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3819F5">
      <w:pPr>
        <w:widowControl w:val="0"/>
        <w:spacing w:after="0" w:line="360" w:lineRule="auto"/>
        <w:ind w:firstLine="480" w:firstLineChars="200"/>
        <w:jc w:val="both"/>
        <w:rPr>
          <w:rFonts w:ascii="Times New Roman" w:hAnsi="Times New Roman" w:eastAsia="宋体" w:cs="Times New Roman"/>
          <w:kern w:val="2"/>
          <w:szCs w:val="24"/>
        </w:rPr>
      </w:pPr>
      <w:r>
        <w:drawing>
          <wp:anchor distT="0" distB="0" distL="114300" distR="114300" simplePos="0" relativeHeight="251661312" behindDoc="0" locked="0" layoutInCell="1" allowOverlap="1">
            <wp:simplePos x="0" y="0"/>
            <wp:positionH relativeFrom="page">
              <wp:align>left</wp:align>
            </wp:positionH>
            <wp:positionV relativeFrom="paragraph">
              <wp:posOffset>-1080135</wp:posOffset>
            </wp:positionV>
            <wp:extent cx="7593965" cy="10677525"/>
            <wp:effectExtent l="0" t="0" r="6985" b="0"/>
            <wp:wrapNone/>
            <wp:docPr id="2962998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99848" name="图片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594052" cy="10677525"/>
                    </a:xfrm>
                    <a:prstGeom prst="rect">
                      <a:avLst/>
                    </a:prstGeom>
                    <a:noFill/>
                    <a:ln>
                      <a:noFill/>
                    </a:ln>
                  </pic:spPr>
                </pic:pic>
              </a:graphicData>
            </a:graphic>
          </wp:anchor>
        </w:drawing>
      </w:r>
    </w:p>
    <w:p w14:paraId="7F03E880">
      <w:pPr>
        <w:widowControl w:val="0"/>
        <w:spacing w:after="0" w:line="360" w:lineRule="auto"/>
        <w:ind w:firstLine="480" w:firstLineChars="200"/>
        <w:jc w:val="both"/>
        <w:rPr>
          <w:rFonts w:ascii="Times New Roman" w:hAnsi="Times New Roman" w:eastAsia="宋体" w:cs="Times New Roman"/>
          <w:kern w:val="2"/>
          <w:szCs w:val="24"/>
        </w:rPr>
      </w:pPr>
    </w:p>
    <w:p w14:paraId="2AB2611E">
      <w:pPr>
        <w:widowControl w:val="0"/>
        <w:spacing w:after="0" w:line="360" w:lineRule="auto"/>
        <w:ind w:firstLine="480" w:firstLineChars="200"/>
        <w:jc w:val="both"/>
        <w:rPr>
          <w:rFonts w:ascii="Times New Roman" w:hAnsi="Times New Roman" w:eastAsia="宋体" w:cs="Times New Roman"/>
          <w:kern w:val="2"/>
          <w:szCs w:val="24"/>
        </w:rPr>
      </w:pPr>
    </w:p>
    <w:p w14:paraId="5669680F">
      <w:pPr>
        <w:widowControl w:val="0"/>
        <w:spacing w:after="0" w:line="360" w:lineRule="auto"/>
        <w:ind w:firstLine="480" w:firstLineChars="200"/>
        <w:jc w:val="both"/>
        <w:rPr>
          <w:rFonts w:ascii="Times New Roman" w:hAnsi="Times New Roman" w:eastAsia="宋体" w:cs="Times New Roman"/>
          <w:kern w:val="2"/>
          <w:szCs w:val="24"/>
        </w:rPr>
      </w:pPr>
    </w:p>
    <w:p w14:paraId="16260C49">
      <w:pPr>
        <w:widowControl w:val="0"/>
        <w:adjustRightInd w:val="0"/>
        <w:snapToGrid w:val="0"/>
        <w:spacing w:after="0" w:line="240" w:lineRule="auto"/>
        <w:jc w:val="center"/>
        <w:outlineLvl w:val="0"/>
        <w:rPr>
          <w:rFonts w:hint="eastAsia" w:ascii="黑体" w:hAnsi="黑体" w:eastAsia="黑体" w:cs="Times New Roman"/>
          <w:bCs/>
          <w:kern w:val="2"/>
          <w:sz w:val="72"/>
          <w:szCs w:val="72"/>
        </w:rPr>
      </w:pPr>
      <w:r>
        <w:rPr>
          <w:rFonts w:ascii="黑体" w:hAnsi="黑体" w:eastAsia="黑体" w:cs="Times New Roman"/>
          <w:bCs/>
          <w:kern w:val="2"/>
          <w:sz w:val="72"/>
          <w:szCs w:val="72"/>
        </w:rPr>
        <w:t>建设项目环境影响报告表</w:t>
      </w:r>
    </w:p>
    <w:p w14:paraId="342E22D0">
      <w:pPr>
        <w:widowControl w:val="0"/>
        <w:adjustRightInd w:val="0"/>
        <w:snapToGrid w:val="0"/>
        <w:spacing w:before="192" w:beforeLines="80" w:after="0" w:line="360" w:lineRule="auto"/>
        <w:jc w:val="center"/>
        <w:rPr>
          <w:rFonts w:hint="eastAsia" w:ascii="楷体" w:hAnsi="楷体" w:eastAsia="楷体" w:cs="Times New Roman"/>
          <w:bCs/>
          <w:kern w:val="2"/>
          <w:sz w:val="48"/>
          <w:szCs w:val="48"/>
        </w:rPr>
      </w:pPr>
      <w:r>
        <w:rPr>
          <w:rFonts w:ascii="楷体" w:hAnsi="楷体" w:eastAsia="楷体" w:cs="Times New Roman"/>
          <w:bCs/>
          <w:kern w:val="2"/>
          <w:sz w:val="48"/>
          <w:szCs w:val="48"/>
        </w:rPr>
        <w:t>（污染影响类）</w:t>
      </w:r>
    </w:p>
    <w:p w14:paraId="3C111353">
      <w:pPr>
        <w:widowControl w:val="0"/>
        <w:spacing w:after="0" w:line="360" w:lineRule="auto"/>
        <w:ind w:firstLine="480" w:firstLineChars="200"/>
        <w:jc w:val="both"/>
        <w:rPr>
          <w:rFonts w:ascii="Times New Roman" w:hAnsi="Times New Roman" w:eastAsia="宋体" w:cs="Times New Roman"/>
          <w:kern w:val="2"/>
          <w:szCs w:val="24"/>
        </w:rPr>
      </w:pPr>
    </w:p>
    <w:p w14:paraId="43538369">
      <w:pPr>
        <w:widowControl w:val="0"/>
        <w:spacing w:after="0" w:line="360" w:lineRule="auto"/>
        <w:ind w:firstLine="480" w:firstLineChars="200"/>
        <w:jc w:val="both"/>
        <w:rPr>
          <w:rFonts w:ascii="Times New Roman" w:hAnsi="Times New Roman" w:eastAsia="宋体" w:cs="Times New Roman"/>
          <w:kern w:val="2"/>
          <w:szCs w:val="24"/>
        </w:rPr>
      </w:pPr>
    </w:p>
    <w:p w14:paraId="1CF5E534">
      <w:pPr>
        <w:widowControl w:val="0"/>
        <w:spacing w:after="0" w:line="360" w:lineRule="auto"/>
        <w:ind w:firstLine="480" w:firstLineChars="200"/>
        <w:jc w:val="both"/>
        <w:rPr>
          <w:rFonts w:ascii="Times New Roman" w:hAnsi="Times New Roman" w:eastAsia="宋体" w:cs="Times New Roman"/>
          <w:kern w:val="2"/>
          <w:szCs w:val="24"/>
        </w:rPr>
      </w:pPr>
    </w:p>
    <w:p w14:paraId="30FD251D">
      <w:pPr>
        <w:widowControl w:val="0"/>
        <w:spacing w:after="0" w:line="360" w:lineRule="auto"/>
        <w:ind w:firstLine="480" w:firstLineChars="200"/>
        <w:jc w:val="both"/>
        <w:rPr>
          <w:rFonts w:ascii="Times New Roman" w:hAnsi="Times New Roman" w:eastAsia="宋体" w:cs="Times New Roman"/>
          <w:kern w:val="2"/>
          <w:szCs w:val="24"/>
        </w:rPr>
      </w:pPr>
    </w:p>
    <w:p w14:paraId="4DE178CC">
      <w:pPr>
        <w:widowControl w:val="0"/>
        <w:spacing w:after="0" w:line="360" w:lineRule="auto"/>
        <w:ind w:firstLine="480" w:firstLineChars="200"/>
        <w:jc w:val="both"/>
        <w:rPr>
          <w:rFonts w:ascii="Times New Roman" w:hAnsi="Times New Roman" w:eastAsia="宋体" w:cs="Times New Roman"/>
          <w:kern w:val="2"/>
          <w:szCs w:val="24"/>
        </w:rPr>
      </w:pPr>
    </w:p>
    <w:p w14:paraId="17429E59">
      <w:pPr>
        <w:widowControl w:val="0"/>
        <w:spacing w:after="0" w:line="360" w:lineRule="auto"/>
        <w:ind w:firstLine="480" w:firstLineChars="200"/>
        <w:jc w:val="both"/>
        <w:rPr>
          <w:rFonts w:ascii="Times New Roman" w:hAnsi="Times New Roman" w:eastAsia="宋体" w:cs="Times New Roman"/>
          <w:kern w:val="2"/>
          <w:szCs w:val="24"/>
        </w:rPr>
      </w:pPr>
    </w:p>
    <w:p w14:paraId="5450D8AC">
      <w:pPr>
        <w:widowControl w:val="0"/>
        <w:adjustRightInd w:val="0"/>
        <w:snapToGrid w:val="0"/>
        <w:spacing w:after="0" w:line="288" w:lineRule="auto"/>
        <w:ind w:left="2160" w:leftChars="300" w:hanging="1440" w:hangingChars="400"/>
        <w:jc w:val="both"/>
        <w:rPr>
          <w:rFonts w:ascii="Times New Roman" w:hAnsi="Times New Roman" w:eastAsia="仿宋_GB2312" w:cs="Times New Roman"/>
          <w:kern w:val="2"/>
          <w:sz w:val="36"/>
          <w:szCs w:val="36"/>
          <w:u w:val="single"/>
        </w:rPr>
      </w:pPr>
      <w:r>
        <w:rPr>
          <w:rFonts w:ascii="Times New Roman" w:hAnsi="Times New Roman" w:eastAsia="仿宋_GB2312" w:cs="Times New Roman"/>
          <w:kern w:val="2"/>
          <w:sz w:val="36"/>
          <w:szCs w:val="36"/>
        </w:rPr>
        <w:t>项目名称：</w:t>
      </w:r>
      <w:bookmarkStart w:id="0" w:name="_Hlk211503627"/>
      <w:r>
        <w:rPr>
          <w:rFonts w:hint="eastAsia" w:ascii="Times New Roman" w:hAnsi="Times New Roman" w:eastAsia="仿宋_GB2312" w:cs="Times New Roman"/>
          <w:kern w:val="2"/>
          <w:sz w:val="36"/>
          <w:szCs w:val="36"/>
          <w:u w:val="single"/>
        </w:rPr>
        <w:t>3#车间扩建提升改造项目</w:t>
      </w:r>
      <w:bookmarkEnd w:id="0"/>
      <w:r>
        <w:rPr>
          <w:rFonts w:ascii="Times New Roman" w:hAnsi="Times New Roman" w:eastAsia="仿宋_GB2312" w:cs="Times New Roman"/>
          <w:kern w:val="2"/>
          <w:sz w:val="36"/>
          <w:szCs w:val="36"/>
          <w:u w:val="single"/>
        </w:rPr>
        <w:t xml:space="preserve"> </w:t>
      </w:r>
      <w:r>
        <w:rPr>
          <w:rFonts w:hint="eastAsia" w:ascii="Times New Roman" w:hAnsi="Times New Roman" w:eastAsia="仿宋_GB2312" w:cs="Times New Roman"/>
          <w:kern w:val="2"/>
          <w:sz w:val="36"/>
          <w:szCs w:val="36"/>
          <w:u w:val="single"/>
        </w:rPr>
        <w:t xml:space="preserve">              </w:t>
      </w:r>
    </w:p>
    <w:p w14:paraId="5BD524A1">
      <w:pPr>
        <w:widowControl w:val="0"/>
        <w:adjustRightInd w:val="0"/>
        <w:snapToGrid w:val="0"/>
        <w:spacing w:after="0" w:line="288" w:lineRule="auto"/>
        <w:ind w:firstLine="720" w:firstLineChars="200"/>
        <w:jc w:val="both"/>
        <w:rPr>
          <w:rFonts w:ascii="Times New Roman" w:hAnsi="Times New Roman" w:eastAsia="仿宋_GB2312" w:cs="Times New Roman"/>
          <w:kern w:val="2"/>
          <w:sz w:val="36"/>
          <w:szCs w:val="36"/>
          <w:u w:val="single"/>
        </w:rPr>
      </w:pPr>
      <w:r>
        <w:rPr>
          <w:rFonts w:ascii="Times New Roman" w:hAnsi="Times New Roman" w:eastAsia="仿宋_GB2312" w:cs="Times New Roman"/>
          <w:kern w:val="2"/>
          <w:sz w:val="36"/>
          <w:szCs w:val="36"/>
        </w:rPr>
        <w:t>建设单位（盖章）：</w:t>
      </w:r>
      <w:bookmarkStart w:id="1" w:name="_Hlk211503634"/>
      <w:r>
        <w:rPr>
          <w:rFonts w:ascii="Times New Roman" w:hAnsi="Times New Roman" w:eastAsia="仿宋_GB2312" w:cs="Times New Roman"/>
          <w:kern w:val="2"/>
          <w:sz w:val="36"/>
          <w:szCs w:val="36"/>
          <w:u w:val="single"/>
        </w:rPr>
        <w:t>福建中能电气有限公司</w:t>
      </w:r>
      <w:bookmarkEnd w:id="1"/>
      <w:r>
        <w:rPr>
          <w:rFonts w:hint="eastAsia" w:ascii="Times New Roman" w:hAnsi="Times New Roman" w:eastAsia="仿宋_GB2312" w:cs="Times New Roman"/>
          <w:kern w:val="2"/>
          <w:sz w:val="36"/>
          <w:szCs w:val="36"/>
          <w:u w:val="single"/>
        </w:rPr>
        <w:t xml:space="preserve">       </w:t>
      </w:r>
    </w:p>
    <w:p w14:paraId="2C6832F7">
      <w:pPr>
        <w:widowControl w:val="0"/>
        <w:adjustRightInd w:val="0"/>
        <w:snapToGrid w:val="0"/>
        <w:spacing w:after="0" w:line="288" w:lineRule="auto"/>
        <w:ind w:firstLine="720" w:firstLineChars="200"/>
        <w:jc w:val="both"/>
        <w:rPr>
          <w:rFonts w:ascii="Times New Roman" w:hAnsi="Times New Roman" w:eastAsia="仿宋_GB2312" w:cs="Times New Roman"/>
          <w:kern w:val="2"/>
          <w:sz w:val="36"/>
          <w:szCs w:val="36"/>
          <w:u w:val="single"/>
        </w:rPr>
      </w:pPr>
      <w:r>
        <w:rPr>
          <w:rFonts w:ascii="Times New Roman" w:hAnsi="Times New Roman" w:eastAsia="仿宋_GB2312" w:cs="Times New Roman"/>
          <w:kern w:val="2"/>
          <w:sz w:val="36"/>
          <w:szCs w:val="36"/>
        </w:rPr>
        <w:t>编制日期：</w:t>
      </w:r>
      <w:r>
        <w:rPr>
          <w:rFonts w:ascii="Times New Roman" w:hAnsi="Times New Roman" w:eastAsia="仿宋_GB2312" w:cs="Times New Roman"/>
          <w:kern w:val="2"/>
          <w:sz w:val="36"/>
          <w:szCs w:val="36"/>
          <w:u w:val="single"/>
        </w:rPr>
        <w:t xml:space="preserve">       </w:t>
      </w:r>
      <w:r>
        <w:rPr>
          <w:rFonts w:hint="eastAsia" w:ascii="Times New Roman" w:hAnsi="Times New Roman" w:eastAsia="仿宋_GB2312" w:cs="Times New Roman"/>
          <w:kern w:val="2"/>
          <w:sz w:val="36"/>
          <w:szCs w:val="36"/>
          <w:u w:val="single"/>
        </w:rPr>
        <w:t xml:space="preserve"> </w:t>
      </w:r>
      <w:r>
        <w:rPr>
          <w:rFonts w:ascii="Times New Roman" w:hAnsi="Times New Roman" w:eastAsia="仿宋_GB2312" w:cs="Times New Roman"/>
          <w:kern w:val="2"/>
          <w:sz w:val="36"/>
          <w:szCs w:val="36"/>
          <w:u w:val="single"/>
        </w:rPr>
        <w:t>202</w:t>
      </w:r>
      <w:r>
        <w:rPr>
          <w:rFonts w:hint="eastAsia" w:ascii="Times New Roman" w:hAnsi="Times New Roman" w:eastAsia="仿宋_GB2312" w:cs="Times New Roman"/>
          <w:kern w:val="2"/>
          <w:sz w:val="36"/>
          <w:szCs w:val="36"/>
          <w:u w:val="single"/>
        </w:rPr>
        <w:t>5</w:t>
      </w:r>
      <w:r>
        <w:rPr>
          <w:rFonts w:ascii="Times New Roman" w:hAnsi="Times New Roman" w:eastAsia="仿宋_GB2312" w:cs="Times New Roman"/>
          <w:kern w:val="2"/>
          <w:sz w:val="36"/>
          <w:szCs w:val="36"/>
          <w:u w:val="single"/>
        </w:rPr>
        <w:t>年</w:t>
      </w:r>
      <w:r>
        <w:rPr>
          <w:rFonts w:hint="eastAsia" w:ascii="Times New Roman" w:hAnsi="Times New Roman" w:eastAsia="仿宋_GB2312" w:cs="Times New Roman"/>
          <w:kern w:val="2"/>
          <w:sz w:val="36"/>
          <w:szCs w:val="36"/>
          <w:u w:val="single"/>
        </w:rPr>
        <w:t>10</w:t>
      </w:r>
      <w:r>
        <w:rPr>
          <w:rFonts w:ascii="Times New Roman" w:hAnsi="Times New Roman" w:eastAsia="仿宋_GB2312" w:cs="Times New Roman"/>
          <w:kern w:val="2"/>
          <w:sz w:val="36"/>
          <w:szCs w:val="36"/>
          <w:u w:val="single"/>
        </w:rPr>
        <w:t xml:space="preserve">月    </w:t>
      </w:r>
      <w:r>
        <w:rPr>
          <w:rFonts w:hint="eastAsia" w:ascii="Times New Roman" w:hAnsi="Times New Roman" w:eastAsia="仿宋_GB2312" w:cs="Times New Roman"/>
          <w:kern w:val="2"/>
          <w:sz w:val="36"/>
          <w:szCs w:val="36"/>
          <w:u w:val="single"/>
        </w:rPr>
        <w:t xml:space="preserve">        </w:t>
      </w:r>
      <w:r>
        <w:rPr>
          <w:rFonts w:ascii="Times New Roman" w:hAnsi="Times New Roman" w:eastAsia="仿宋_GB2312" w:cs="Times New Roman"/>
          <w:kern w:val="2"/>
          <w:sz w:val="36"/>
          <w:szCs w:val="36"/>
          <w:u w:val="single"/>
        </w:rPr>
        <w:t xml:space="preserve">      </w:t>
      </w:r>
      <w:bookmarkStart w:id="2" w:name="_Hlk57884087"/>
    </w:p>
    <w:p w14:paraId="30656F2B">
      <w:pPr>
        <w:widowControl w:val="0"/>
        <w:spacing w:after="0" w:line="360" w:lineRule="auto"/>
        <w:ind w:firstLine="480" w:firstLineChars="200"/>
        <w:jc w:val="both"/>
        <w:rPr>
          <w:rFonts w:ascii="Times New Roman" w:hAnsi="Times New Roman" w:eastAsia="宋体" w:cs="Times New Roman"/>
          <w:kern w:val="2"/>
          <w:szCs w:val="24"/>
        </w:rPr>
      </w:pPr>
    </w:p>
    <w:p w14:paraId="1C7EBBE7">
      <w:pPr>
        <w:widowControl w:val="0"/>
        <w:spacing w:after="0" w:line="360" w:lineRule="auto"/>
        <w:ind w:firstLine="480" w:firstLineChars="200"/>
        <w:jc w:val="both"/>
        <w:rPr>
          <w:rFonts w:ascii="Times New Roman" w:hAnsi="Times New Roman" w:eastAsia="宋体" w:cs="Times New Roman"/>
          <w:kern w:val="2"/>
          <w:szCs w:val="24"/>
        </w:rPr>
      </w:pPr>
    </w:p>
    <w:p w14:paraId="0F71E6AD">
      <w:pPr>
        <w:widowControl w:val="0"/>
        <w:spacing w:after="0" w:line="360" w:lineRule="auto"/>
        <w:ind w:firstLine="480" w:firstLineChars="200"/>
        <w:jc w:val="both"/>
        <w:rPr>
          <w:rFonts w:ascii="Times New Roman" w:hAnsi="Times New Roman" w:eastAsia="宋体" w:cs="Times New Roman"/>
          <w:kern w:val="2"/>
          <w:szCs w:val="24"/>
        </w:rPr>
      </w:pPr>
    </w:p>
    <w:p w14:paraId="71CF1E45">
      <w:pPr>
        <w:widowControl w:val="0"/>
        <w:spacing w:after="0" w:line="360" w:lineRule="auto"/>
        <w:ind w:firstLine="480" w:firstLineChars="200"/>
        <w:jc w:val="both"/>
        <w:rPr>
          <w:rFonts w:ascii="Times New Roman" w:hAnsi="Times New Roman" w:eastAsia="宋体" w:cs="Times New Roman"/>
          <w:kern w:val="2"/>
          <w:szCs w:val="24"/>
        </w:rPr>
      </w:pPr>
    </w:p>
    <w:p w14:paraId="02C4730E">
      <w:pPr>
        <w:widowControl w:val="0"/>
        <w:spacing w:after="0" w:line="360" w:lineRule="auto"/>
        <w:ind w:firstLine="480" w:firstLineChars="200"/>
        <w:jc w:val="both"/>
        <w:rPr>
          <w:rFonts w:ascii="Times New Roman" w:hAnsi="Times New Roman" w:eastAsia="宋体" w:cs="Times New Roman"/>
          <w:kern w:val="2"/>
          <w:szCs w:val="24"/>
        </w:rPr>
      </w:pPr>
    </w:p>
    <w:p w14:paraId="3501ABA1">
      <w:pPr>
        <w:widowControl w:val="0"/>
        <w:spacing w:after="0" w:line="360" w:lineRule="auto"/>
        <w:ind w:firstLine="480" w:firstLineChars="200"/>
        <w:jc w:val="both"/>
        <w:rPr>
          <w:rFonts w:ascii="Times New Roman" w:hAnsi="Times New Roman" w:eastAsia="宋体" w:cs="Times New Roman"/>
          <w:kern w:val="2"/>
          <w:szCs w:val="24"/>
        </w:rPr>
      </w:pPr>
    </w:p>
    <w:p w14:paraId="5A2A6192">
      <w:pPr>
        <w:widowControl w:val="0"/>
        <w:spacing w:after="0" w:line="360" w:lineRule="auto"/>
        <w:ind w:firstLine="480" w:firstLineChars="200"/>
        <w:jc w:val="both"/>
        <w:rPr>
          <w:rFonts w:ascii="Times New Roman" w:hAnsi="Times New Roman" w:eastAsia="宋体" w:cs="Times New Roman"/>
          <w:kern w:val="2"/>
          <w:szCs w:val="24"/>
        </w:rPr>
      </w:pPr>
    </w:p>
    <w:p w14:paraId="7D10CECC">
      <w:pPr>
        <w:widowControl w:val="0"/>
        <w:spacing w:after="0" w:line="360" w:lineRule="auto"/>
        <w:ind w:firstLine="480" w:firstLineChars="200"/>
        <w:jc w:val="both"/>
        <w:rPr>
          <w:rFonts w:ascii="Times New Roman" w:hAnsi="Times New Roman" w:eastAsia="宋体" w:cs="Times New Roman"/>
          <w:kern w:val="2"/>
          <w:szCs w:val="24"/>
        </w:rPr>
      </w:pPr>
    </w:p>
    <w:p w14:paraId="40C02B9A">
      <w:pPr>
        <w:widowControl w:val="0"/>
        <w:spacing w:after="0" w:line="360" w:lineRule="auto"/>
        <w:ind w:firstLine="480" w:firstLineChars="200"/>
        <w:jc w:val="both"/>
        <w:rPr>
          <w:rFonts w:ascii="Times New Roman" w:hAnsi="Times New Roman" w:eastAsia="宋体" w:cs="Times New Roman"/>
          <w:kern w:val="2"/>
          <w:szCs w:val="24"/>
        </w:rPr>
      </w:pPr>
    </w:p>
    <w:bookmarkEnd w:id="2"/>
    <w:p w14:paraId="0ABB05A2">
      <w:pPr>
        <w:jc w:val="center"/>
        <w:rPr>
          <w:color w:val="000000" w:themeColor="text1"/>
          <w14:textFill>
            <w14:solidFill>
              <w14:schemeClr w14:val="tx1"/>
            </w14:solidFill>
          </w14:textFill>
        </w:rPr>
        <w:sectPr>
          <w:headerReference r:id="rId5" w:type="default"/>
          <w:footerReference r:id="rId6" w:type="default"/>
          <w:footerReference r:id="rId7" w:type="even"/>
          <w:pgSz w:w="11906" w:h="16838"/>
          <w:pgMar w:top="1701" w:right="1531" w:bottom="1701" w:left="1531" w:header="851" w:footer="1077" w:gutter="0"/>
          <w:pgNumType w:start="1"/>
          <w:cols w:space="720" w:num="1"/>
          <w:docGrid w:linePitch="312" w:charSpace="0"/>
        </w:sectPr>
      </w:pPr>
      <w:r>
        <w:rPr>
          <w:rFonts w:ascii="楷体" w:hAnsi="楷体" w:eastAsia="楷体" w:cs="Times New Roman"/>
          <w:kern w:val="2"/>
          <w:sz w:val="36"/>
          <w:szCs w:val="36"/>
        </w:rPr>
        <w:t>中华人民共和国生态环境部制</w:t>
      </w:r>
      <w:r>
        <w:rPr>
          <w:color w:val="000000" w:themeColor="text1"/>
          <w14:textFill>
            <w14:solidFill>
              <w14:schemeClr w14:val="tx1"/>
            </w14:solidFill>
          </w14:textFill>
        </w:rPr>
        <w:br w:type="page"/>
      </w:r>
    </w:p>
    <w:p w14:paraId="3C01B32F">
      <w:pPr>
        <w:pStyle w:val="29"/>
        <w:widowControl w:val="0"/>
        <w:topLinePunct/>
        <w:spacing w:before="0" w:beforeAutospacing="0" w:after="0" w:afterAutospacing="0" w:line="240" w:lineRule="auto"/>
        <w:jc w:val="center"/>
        <w:outlineLvl w:val="0"/>
        <w:rPr>
          <w:rFonts w:hint="eastAsia" w:ascii="Times New Roman" w:hAnsi="Times New Roman" w:eastAsia="宋体" w:cs="Times New Roman"/>
          <w:b/>
          <w:bCs/>
          <w:snapToGrid w:val="0"/>
          <w:color w:val="000000" w:themeColor="text1"/>
          <w:sz w:val="32"/>
          <w:szCs w:val="32"/>
          <w:lang w:eastAsia="zh-CN"/>
          <w14:textFill>
            <w14:solidFill>
              <w14:schemeClr w14:val="tx1"/>
            </w14:solidFill>
          </w14:textFill>
        </w:rPr>
        <w:sectPr>
          <w:headerReference r:id="rId8" w:type="default"/>
          <w:footerReference r:id="rId9" w:type="default"/>
          <w:pgSz w:w="11906" w:h="16838"/>
          <w:pgMar w:top="1417" w:right="1417" w:bottom="1417" w:left="1417" w:header="992" w:footer="992" w:gutter="0"/>
          <w:pgNumType w:start="1"/>
          <w:cols w:space="720" w:num="1"/>
          <w:docGrid w:linePitch="312" w:charSpace="0"/>
        </w:sectPr>
      </w:pPr>
      <w:bookmarkStart w:id="3" w:name="_Toc27258"/>
    </w:p>
    <w:p w14:paraId="09752260">
      <w:pPr>
        <w:pStyle w:val="29"/>
        <w:widowControl w:val="0"/>
        <w:topLinePunct/>
        <w:spacing w:before="0" w:beforeAutospacing="0" w:after="0" w:afterAutospacing="0" w:line="240" w:lineRule="auto"/>
        <w:jc w:val="center"/>
        <w:outlineLvl w:val="0"/>
        <w:rPr>
          <w:rFonts w:ascii="Times New Roman" w:hAnsi="Times New Roman" w:eastAsia="宋体" w:cs="Times New Roman"/>
          <w:b/>
          <w:bCs/>
          <w:snapToGrid w:val="0"/>
          <w:color w:val="000000" w:themeColor="text1"/>
          <w:sz w:val="32"/>
          <w:szCs w:val="32"/>
          <w14:textFill>
            <w14:solidFill>
              <w14:schemeClr w14:val="tx1"/>
            </w14:solidFill>
          </w14:textFill>
        </w:rPr>
        <w:sectPr>
          <w:pgSz w:w="11906" w:h="16838"/>
          <w:pgMar w:top="1417" w:right="1417" w:bottom="1417" w:left="1417" w:header="992" w:footer="992" w:gutter="0"/>
          <w:pgNumType w:start="1"/>
          <w:cols w:space="720" w:num="1"/>
          <w:docGrid w:linePitch="312" w:charSpace="0"/>
        </w:sectPr>
      </w:pPr>
    </w:p>
    <w:p w14:paraId="4724A4C1">
      <w:pPr>
        <w:pStyle w:val="29"/>
        <w:widowControl w:val="0"/>
        <w:topLinePunct/>
        <w:spacing w:before="0" w:beforeAutospacing="0" w:after="0" w:afterAutospacing="0" w:line="240" w:lineRule="auto"/>
        <w:jc w:val="center"/>
        <w:outlineLvl w:val="0"/>
        <w:rPr>
          <w:rFonts w:ascii="Times New Roman" w:hAnsi="Times New Roman" w:eastAsia="宋体" w:cs="Times New Roman"/>
          <w:b/>
          <w:bCs/>
          <w:snapToGrid w:val="0"/>
          <w:color w:val="000000" w:themeColor="text1"/>
          <w:sz w:val="32"/>
          <w:szCs w:val="32"/>
          <w14:textFill>
            <w14:solidFill>
              <w14:schemeClr w14:val="tx1"/>
            </w14:solidFill>
          </w14:textFill>
        </w:rPr>
        <w:sectPr>
          <w:pgSz w:w="11906" w:h="16838"/>
          <w:pgMar w:top="1417" w:right="1417" w:bottom="1417" w:left="1417" w:header="992" w:footer="992" w:gutter="0"/>
          <w:pgNumType w:start="1"/>
          <w:cols w:space="720" w:num="1"/>
          <w:docGrid w:linePitch="312" w:charSpace="0"/>
        </w:sectPr>
      </w:pPr>
    </w:p>
    <w:p w14:paraId="48204448">
      <w:pPr>
        <w:pStyle w:val="29"/>
        <w:widowControl w:val="0"/>
        <w:topLinePunct/>
        <w:spacing w:before="0" w:beforeAutospacing="0" w:after="0" w:afterAutospacing="0" w:line="240" w:lineRule="auto"/>
        <w:jc w:val="center"/>
        <w:outlineLvl w:val="0"/>
        <w:rPr>
          <w:rFonts w:ascii="Times New Roman" w:hAnsi="Times New Roman" w:eastAsia="宋体" w:cs="Times New Roman"/>
          <w:b/>
          <w:bCs/>
          <w:snapToGrid w:val="0"/>
          <w:color w:val="000000" w:themeColor="text1"/>
          <w:sz w:val="32"/>
          <w:szCs w:val="32"/>
          <w14:textFill>
            <w14:solidFill>
              <w14:schemeClr w14:val="tx1"/>
            </w14:solidFill>
          </w14:textFill>
        </w:rPr>
        <w:sectPr>
          <w:pgSz w:w="11906" w:h="16838"/>
          <w:pgMar w:top="1417" w:right="1417" w:bottom="1417" w:left="1417" w:header="992" w:footer="992" w:gutter="0"/>
          <w:pgNumType w:start="1"/>
          <w:cols w:space="720" w:num="1"/>
          <w:docGrid w:linePitch="312" w:charSpace="0"/>
        </w:sectPr>
      </w:pPr>
      <w:r>
        <mc:AlternateContent>
          <mc:Choice Requires="wps">
            <w:drawing>
              <wp:anchor distT="0" distB="0" distL="114300" distR="114300" simplePos="0" relativeHeight="251662336" behindDoc="0" locked="0" layoutInCell="1" allowOverlap="1">
                <wp:simplePos x="0" y="0"/>
                <wp:positionH relativeFrom="column">
                  <wp:posOffset>2948305</wp:posOffset>
                </wp:positionH>
                <wp:positionV relativeFrom="paragraph">
                  <wp:posOffset>1281430</wp:posOffset>
                </wp:positionV>
                <wp:extent cx="1123950" cy="200025"/>
                <wp:effectExtent l="0" t="0" r="19050" b="28575"/>
                <wp:wrapNone/>
                <wp:docPr id="195942396" name="矩形 7"/>
                <wp:cNvGraphicFramePr/>
                <a:graphic xmlns:a="http://schemas.openxmlformats.org/drawingml/2006/main">
                  <a:graphicData uri="http://schemas.microsoft.com/office/word/2010/wordprocessingShape">
                    <wps:wsp>
                      <wps:cNvSpPr/>
                      <wps:spPr>
                        <a:xfrm>
                          <a:off x="0" y="0"/>
                          <a:ext cx="1123950" cy="2000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232.15pt;margin-top:100.9pt;height:15.75pt;width:88.5pt;z-index:251662336;v-text-anchor:middle;mso-width-relative:page;mso-height-relative:page;" fillcolor="#FFFFFF [3212]" filled="t" stroked="t" coordsize="21600,21600" o:gfxdata="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yxfhHZAAAACwEAAA8AAAAAAAAAAQAgAAAAIgAAAGRycy9kb3ducmV2LnhtbFBLAQIUABQA&#10;AAAIAIdO4kABWPbNYQIAAOUEAAAOAAAAAAAAAAEAIAAAACgBAABkcnMvZTJvRG9jLnhtbFBLBQYA&#10;AAAABgAGAFkBAAD7BQAAAAA=&#10;">
                <v:fill on="t" focussize="0,0"/>
                <v:stroke weight="2pt" color="#FFFFFF [3212]" joinstyle="round"/>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3338830</wp:posOffset>
                </wp:positionH>
                <wp:positionV relativeFrom="paragraph">
                  <wp:posOffset>5558155</wp:posOffset>
                </wp:positionV>
                <wp:extent cx="685800" cy="180975"/>
                <wp:effectExtent l="0" t="0" r="19050" b="28575"/>
                <wp:wrapNone/>
                <wp:docPr id="397760548" name="矩形 7"/>
                <wp:cNvGraphicFramePr/>
                <a:graphic xmlns:a="http://schemas.openxmlformats.org/drawingml/2006/main">
                  <a:graphicData uri="http://schemas.microsoft.com/office/word/2010/wordprocessingShape">
                    <wps:wsp>
                      <wps:cNvSpPr/>
                      <wps:spPr>
                        <a:xfrm>
                          <a:off x="0" y="0"/>
                          <a:ext cx="685800"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262.9pt;margin-top:437.65pt;height:14.25pt;width:54pt;z-index:251663360;v-text-anchor:middle;mso-width-relative:page;mso-height-relative:page;" fillcolor="#FFFFFF [3212]" filled="t" stroked="t" coordsize="21600,21600" o:gfxdata="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xND02wAAAAsBAAAPAAAAAAAAAAEAIAAAACIAAABkcnMvZG93bnJldi54bWxQSwEC&#10;FAAUAAAACACHTuJASSZEXWMCAADkBAAADgAAAAAAAAABACAAAAAqAQAAZHJzL2Uyb0RvYy54bWxQ&#10;SwUGAAAAAAYABgBZAQAA/wUAAAAA&#10;">
                <v:fill on="t" focussize="0,0"/>
                <v:stroke weight="2pt" color="#FFFFFF [3212]" joinstyle="round"/>
                <v:imagedata o:title=""/>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671830</wp:posOffset>
                </wp:positionH>
                <wp:positionV relativeFrom="paragraph">
                  <wp:posOffset>928370</wp:posOffset>
                </wp:positionV>
                <wp:extent cx="2028825" cy="180975"/>
                <wp:effectExtent l="0" t="0" r="28575" b="28575"/>
                <wp:wrapNone/>
                <wp:docPr id="582428159" name="矩形 7"/>
                <wp:cNvGraphicFramePr/>
                <a:graphic xmlns:a="http://schemas.openxmlformats.org/drawingml/2006/main">
                  <a:graphicData uri="http://schemas.microsoft.com/office/word/2010/wordprocessingShape">
                    <wps:wsp>
                      <wps:cNvSpPr/>
                      <wps:spPr>
                        <a:xfrm>
                          <a:off x="0" y="0"/>
                          <a:ext cx="2028825" cy="1809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52.9pt;margin-top:73.1pt;height:14.25pt;width:159.75pt;z-index:251664384;v-text-anchor:middle;mso-width-relative:page;mso-height-relative:page;" fillcolor="#FFFFFF [3212]" filled="t" stroked="t" coordsize="21600,21600" o:gfxdata="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bLjTZ2gAAAAsBAAAPAAAAAAAAAAEAIAAAACIAAABkcnMvZG93bnJldi54bWxQSwEC&#10;FAAUAAAACACHTuJAJC+W0WQCAADlBAAADgAAAAAAAAABACAAAAApAQAAZHJzL2Uyb0RvYy54bWxQ&#10;SwUGAAAAAAYABgBZAQAA/wUAAAAA&#10;">
                <v:fill on="t" focussize="0,0"/>
                <v:stroke weight="2pt" color="#FFFFFF [3212]" joinstyle="round"/>
                <v:imagedata o:title=""/>
                <o:lock v:ext="edit" aspectratio="f"/>
              </v:rect>
            </w:pict>
          </mc:Fallback>
        </mc:AlternateContent>
      </w:r>
    </w:p>
    <w:p w14:paraId="70568EDC">
      <w:pPr>
        <w:pStyle w:val="29"/>
        <w:widowControl w:val="0"/>
        <w:topLinePunct/>
        <w:spacing w:before="0" w:beforeAutospacing="0" w:after="0" w:afterAutospacing="0" w:line="240" w:lineRule="auto"/>
        <w:jc w:val="center"/>
        <w:outlineLvl w:val="0"/>
        <w:rPr>
          <w:rFonts w:ascii="Times New Roman" w:hAnsi="Times New Roman" w:eastAsia="宋体" w:cs="Times New Roman"/>
          <w:b/>
          <w:bCs/>
          <w:snapToGrid w:val="0"/>
          <w:color w:val="000000" w:themeColor="text1"/>
          <w:sz w:val="32"/>
          <w:szCs w:val="32"/>
          <w14:textFill>
            <w14:solidFill>
              <w14:schemeClr w14:val="tx1"/>
            </w14:solidFill>
          </w14:textFill>
        </w:rPr>
      </w:pPr>
      <w:r>
        <w:rPr>
          <w:rFonts w:ascii="Times New Roman" w:hAnsi="Times New Roman" w:eastAsia="宋体" w:cs="Times New Roman"/>
          <w:b/>
          <w:bCs/>
          <w:snapToGrid w:val="0"/>
          <w:color w:val="000000" w:themeColor="text1"/>
          <w:sz w:val="32"/>
          <w:szCs w:val="32"/>
          <w14:textFill>
            <w14:solidFill>
              <w14:schemeClr w14:val="tx1"/>
            </w14:solidFill>
          </w14:textFill>
        </w:rPr>
        <w:t>一、建设项目基本情况</w:t>
      </w:r>
      <w:bookmarkEnd w:id="3"/>
    </w:p>
    <w:tbl>
      <w:tblPr>
        <w:tblStyle w:val="37"/>
        <w:tblpPr w:leftFromText="180" w:rightFromText="180" w:vertAnchor="text" w:horzAnchor="page" w:tblpX="1469" w:tblpY="212"/>
        <w:tblOverlap w:val="never"/>
        <w:tblW w:w="907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38"/>
        <w:gridCol w:w="2974"/>
        <w:gridCol w:w="1777"/>
        <w:gridCol w:w="3185"/>
      </w:tblGrid>
      <w:tr w14:paraId="287002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38" w:type="dxa"/>
            <w:tcMar>
              <w:top w:w="16" w:type="dxa"/>
              <w:left w:w="16" w:type="dxa"/>
              <w:right w:w="16" w:type="dxa"/>
            </w:tcMar>
            <w:vAlign w:val="center"/>
          </w:tcPr>
          <w:p w14:paraId="65B8B7D0">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建设项目</w:t>
            </w:r>
          </w:p>
          <w:p w14:paraId="435E5BBD">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名称</w:t>
            </w:r>
          </w:p>
        </w:tc>
        <w:tc>
          <w:tcPr>
            <w:tcW w:w="7936" w:type="dxa"/>
            <w:gridSpan w:val="3"/>
            <w:vAlign w:val="center"/>
          </w:tcPr>
          <w:p w14:paraId="3715B679">
            <w:pPr>
              <w:pStyle w:val="96"/>
              <w:widowControl w:val="0"/>
              <w:topLinePunct/>
              <w:spacing w:after="0" w:line="240" w:lineRule="auto"/>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3#车间扩建提升改造项目</w:t>
            </w:r>
          </w:p>
        </w:tc>
      </w:tr>
      <w:tr w14:paraId="0FAB1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9" w:hRule="atLeast"/>
        </w:trPr>
        <w:tc>
          <w:tcPr>
            <w:tcW w:w="1138" w:type="dxa"/>
            <w:tcMar>
              <w:top w:w="16" w:type="dxa"/>
              <w:left w:w="16" w:type="dxa"/>
              <w:right w:w="16" w:type="dxa"/>
            </w:tcMar>
            <w:vAlign w:val="center"/>
          </w:tcPr>
          <w:p w14:paraId="3305933D">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项目代码</w:t>
            </w:r>
          </w:p>
        </w:tc>
        <w:tc>
          <w:tcPr>
            <w:tcW w:w="7936" w:type="dxa"/>
            <w:gridSpan w:val="3"/>
            <w:vAlign w:val="center"/>
          </w:tcPr>
          <w:p w14:paraId="1CDB9337">
            <w:pPr>
              <w:pStyle w:val="96"/>
              <w:widowControl w:val="0"/>
              <w:topLinePunct/>
              <w:spacing w:after="0" w:line="24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2507-350181-04-02-673007</w:t>
            </w:r>
          </w:p>
        </w:tc>
      </w:tr>
      <w:tr w14:paraId="3FACD7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38" w:type="dxa"/>
            <w:tcMar>
              <w:top w:w="16" w:type="dxa"/>
              <w:left w:w="16" w:type="dxa"/>
              <w:right w:w="16" w:type="dxa"/>
            </w:tcMar>
            <w:vAlign w:val="center"/>
          </w:tcPr>
          <w:p w14:paraId="6FFFE286">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建设单位</w:t>
            </w:r>
          </w:p>
          <w:p w14:paraId="13940EFC">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联系人</w:t>
            </w:r>
          </w:p>
        </w:tc>
        <w:tc>
          <w:tcPr>
            <w:tcW w:w="2974" w:type="dxa"/>
            <w:vAlign w:val="center"/>
          </w:tcPr>
          <w:p w14:paraId="10FDDBE0">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p>
        </w:tc>
        <w:tc>
          <w:tcPr>
            <w:tcW w:w="1777" w:type="dxa"/>
            <w:vAlign w:val="center"/>
          </w:tcPr>
          <w:p w14:paraId="6BB5B8AB">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联系方式</w:t>
            </w:r>
          </w:p>
        </w:tc>
        <w:tc>
          <w:tcPr>
            <w:tcW w:w="3185" w:type="dxa"/>
            <w:vAlign w:val="center"/>
          </w:tcPr>
          <w:p w14:paraId="6A7C1BB7">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p>
        </w:tc>
      </w:tr>
      <w:tr w14:paraId="53723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2" w:hRule="atLeast"/>
        </w:trPr>
        <w:tc>
          <w:tcPr>
            <w:tcW w:w="1138" w:type="dxa"/>
            <w:tcMar>
              <w:top w:w="16" w:type="dxa"/>
              <w:left w:w="16" w:type="dxa"/>
              <w:right w:w="16" w:type="dxa"/>
            </w:tcMar>
            <w:vAlign w:val="center"/>
          </w:tcPr>
          <w:p w14:paraId="41F8A3A5">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建设地点</w:t>
            </w:r>
          </w:p>
        </w:tc>
        <w:tc>
          <w:tcPr>
            <w:tcW w:w="7936" w:type="dxa"/>
            <w:gridSpan w:val="3"/>
            <w:vAlign w:val="center"/>
          </w:tcPr>
          <w:p w14:paraId="53807E22">
            <w:pPr>
              <w:spacing w:after="0" w:line="240" w:lineRule="auto"/>
              <w:jc w:val="center"/>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福清融侨经济技术开发区</w:t>
            </w:r>
            <w:r>
              <w:rPr>
                <w:rFonts w:hint="eastAsia" w:cs="Calibri"/>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福建中能电气有限公司</w:t>
            </w:r>
            <w:r>
              <w:rPr>
                <w:rFonts w:hint="eastAsia" w:ascii="Times New Roman" w:hAnsi="Times New Roman" w:cs="Times New Roman"/>
                <w:color w:val="000000" w:themeColor="text1"/>
                <w14:textFill>
                  <w14:solidFill>
                    <w14:schemeClr w14:val="tx1"/>
                  </w14:solidFill>
                </w14:textFill>
              </w:rPr>
              <w:t>3#车间</w:t>
            </w:r>
            <w:r>
              <w:rPr>
                <w:rFonts w:hint="eastAsia" w:cs="Calibri"/>
                <w:color w:val="000000" w:themeColor="text1"/>
                <w14:textFill>
                  <w14:solidFill>
                    <w14:schemeClr w14:val="tx1"/>
                  </w14:solidFill>
                </w14:textFill>
              </w:rPr>
              <w:t>)</w:t>
            </w:r>
          </w:p>
        </w:tc>
      </w:tr>
      <w:tr w14:paraId="21974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38" w:type="dxa"/>
            <w:tcBorders>
              <w:bottom w:val="single" w:color="auto" w:sz="4" w:space="0"/>
            </w:tcBorders>
            <w:tcMar>
              <w:top w:w="16" w:type="dxa"/>
              <w:left w:w="16" w:type="dxa"/>
              <w:right w:w="16" w:type="dxa"/>
            </w:tcMar>
            <w:vAlign w:val="center"/>
          </w:tcPr>
          <w:p w14:paraId="2B0C07C1">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地理坐标</w:t>
            </w:r>
          </w:p>
        </w:tc>
        <w:tc>
          <w:tcPr>
            <w:tcW w:w="7936" w:type="dxa"/>
            <w:gridSpan w:val="3"/>
            <w:tcBorders>
              <w:bottom w:val="single" w:color="auto" w:sz="4" w:space="0"/>
            </w:tcBorders>
            <w:vAlign w:val="center"/>
          </w:tcPr>
          <w:p w14:paraId="43012321">
            <w:pPr>
              <w:widowControl w:val="0"/>
              <w:topLinePunct/>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东经119°18′30.194″，北纬25°40′40.421″</w:t>
            </w:r>
          </w:p>
        </w:tc>
      </w:tr>
      <w:tr w14:paraId="27D25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38" w:type="dxa"/>
            <w:tcBorders>
              <w:top w:val="single" w:color="auto" w:sz="4" w:space="0"/>
              <w:left w:val="single" w:color="auto" w:sz="4" w:space="0"/>
              <w:bottom w:val="single" w:color="auto" w:sz="4" w:space="0"/>
            </w:tcBorders>
            <w:tcMar>
              <w:top w:w="16" w:type="dxa"/>
              <w:left w:w="16" w:type="dxa"/>
              <w:right w:w="16" w:type="dxa"/>
            </w:tcMar>
            <w:vAlign w:val="center"/>
          </w:tcPr>
          <w:p w14:paraId="0B853314">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国民经济</w:t>
            </w:r>
          </w:p>
          <w:p w14:paraId="7678758B">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行业类别</w:t>
            </w:r>
          </w:p>
        </w:tc>
        <w:tc>
          <w:tcPr>
            <w:tcW w:w="2974" w:type="dxa"/>
            <w:tcBorders>
              <w:top w:val="single" w:color="auto" w:sz="4" w:space="0"/>
              <w:bottom w:val="single" w:color="auto" w:sz="4" w:space="0"/>
            </w:tcBorders>
            <w:vAlign w:val="center"/>
          </w:tcPr>
          <w:p w14:paraId="0EAA3FFA">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C3311金属结构制造；</w:t>
            </w:r>
          </w:p>
          <w:p w14:paraId="508080DB">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C3849其他电池制造</w:t>
            </w:r>
          </w:p>
        </w:tc>
        <w:tc>
          <w:tcPr>
            <w:tcW w:w="1777" w:type="dxa"/>
            <w:tcBorders>
              <w:top w:val="single" w:color="auto" w:sz="4" w:space="0"/>
              <w:bottom w:val="single" w:color="auto" w:sz="4" w:space="0"/>
            </w:tcBorders>
            <w:vAlign w:val="center"/>
          </w:tcPr>
          <w:p w14:paraId="41F567AC">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bookmarkStart w:id="4" w:name="_Hlk49843745"/>
            <w:r>
              <w:rPr>
                <w:rFonts w:ascii="Times New Roman" w:hAnsi="Times New Roman" w:eastAsia="宋体" w:cs="Times New Roman"/>
                <w:color w:val="000000" w:themeColor="text1"/>
                <w:szCs w:val="24"/>
                <w14:textFill>
                  <w14:solidFill>
                    <w14:schemeClr w14:val="tx1"/>
                  </w14:solidFill>
                </w14:textFill>
              </w:rPr>
              <w:t>建设项目</w:t>
            </w:r>
          </w:p>
          <w:p w14:paraId="3E43EAAD">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行业类别</w:t>
            </w:r>
            <w:bookmarkEnd w:id="4"/>
          </w:p>
        </w:tc>
        <w:tc>
          <w:tcPr>
            <w:tcW w:w="3185" w:type="dxa"/>
            <w:tcBorders>
              <w:top w:val="single" w:color="auto" w:sz="4" w:space="0"/>
              <w:bottom w:val="single" w:color="auto" w:sz="4" w:space="0"/>
              <w:right w:val="single" w:color="auto" w:sz="4" w:space="0"/>
            </w:tcBorders>
            <w:vAlign w:val="center"/>
          </w:tcPr>
          <w:p w14:paraId="7567AE09">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三十、金属制品业 33</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结构性金属制品制造331；</w:t>
            </w:r>
          </w:p>
          <w:p w14:paraId="10FD77D0">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三十五、电气机械和器材制造业38：</w:t>
            </w:r>
            <w:r>
              <w:rPr>
                <w:rFonts w:hint="eastAsia" w:ascii="Times New Roman" w:hAnsi="Times New Roman" w:eastAsia="宋体" w:cs="Times New Roman"/>
                <w:color w:val="000000" w:themeColor="text1"/>
                <w:szCs w:val="24"/>
                <w14:textFill>
                  <w14:solidFill>
                    <w14:schemeClr w14:val="tx1"/>
                  </w14:solidFill>
                </w14:textFill>
              </w:rPr>
              <w:t>电池制造 384</w:t>
            </w:r>
          </w:p>
        </w:tc>
      </w:tr>
      <w:tr w14:paraId="20B48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1138" w:type="dxa"/>
            <w:tcBorders>
              <w:top w:val="single" w:color="auto" w:sz="4" w:space="0"/>
            </w:tcBorders>
            <w:tcMar>
              <w:top w:w="16" w:type="dxa"/>
              <w:left w:w="16" w:type="dxa"/>
              <w:right w:w="16" w:type="dxa"/>
            </w:tcMar>
            <w:vAlign w:val="center"/>
          </w:tcPr>
          <w:p w14:paraId="7DEC7266">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建设性质</w:t>
            </w:r>
          </w:p>
        </w:tc>
        <w:tc>
          <w:tcPr>
            <w:tcW w:w="2974" w:type="dxa"/>
            <w:tcBorders>
              <w:top w:val="single" w:color="auto" w:sz="4" w:space="0"/>
            </w:tcBorders>
            <w:vAlign w:val="center"/>
          </w:tcPr>
          <w:p w14:paraId="762CDD43">
            <w:pPr>
              <w:widowControl w:val="0"/>
              <w:topLinePunct/>
              <w:spacing w:after="0" w:line="240" w:lineRule="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sym w:font="Wingdings 2" w:char="00A3"/>
            </w:r>
            <w:r>
              <w:rPr>
                <w:rFonts w:ascii="Times New Roman" w:hAnsi="Times New Roman" w:eastAsia="宋体" w:cs="Times New Roman"/>
                <w:color w:val="000000" w:themeColor="text1"/>
                <w:szCs w:val="24"/>
                <w14:textFill>
                  <w14:solidFill>
                    <w14:schemeClr w14:val="tx1"/>
                  </w14:solidFill>
                </w14:textFill>
              </w:rPr>
              <w:t>新建（迁建）</w:t>
            </w:r>
          </w:p>
          <w:p w14:paraId="7DF5070B">
            <w:pPr>
              <w:widowControl w:val="0"/>
              <w:topLinePunct/>
              <w:spacing w:after="0" w:line="240" w:lineRule="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sym w:font="Wingdings 2" w:char="00A3"/>
            </w:r>
            <w:r>
              <w:rPr>
                <w:rFonts w:ascii="Times New Roman" w:hAnsi="Times New Roman" w:eastAsia="宋体" w:cs="Times New Roman"/>
                <w:color w:val="000000" w:themeColor="text1"/>
                <w:szCs w:val="24"/>
                <w14:textFill>
                  <w14:solidFill>
                    <w14:schemeClr w14:val="tx1"/>
                  </w14:solidFill>
                </w14:textFill>
              </w:rPr>
              <w:t>改建</w:t>
            </w:r>
          </w:p>
          <w:p w14:paraId="7A9CEE39">
            <w:pPr>
              <w:widowControl w:val="0"/>
              <w:topLinePunct/>
              <w:spacing w:after="0" w:line="240" w:lineRule="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sym w:font="Wingdings 2" w:char="0052"/>
            </w:r>
            <w:r>
              <w:rPr>
                <w:rFonts w:ascii="Times New Roman" w:hAnsi="Times New Roman" w:eastAsia="宋体" w:cs="Times New Roman"/>
                <w:color w:val="000000" w:themeColor="text1"/>
                <w:szCs w:val="24"/>
                <w14:textFill>
                  <w14:solidFill>
                    <w14:schemeClr w14:val="tx1"/>
                  </w14:solidFill>
                </w14:textFill>
              </w:rPr>
              <w:t>扩建</w:t>
            </w:r>
          </w:p>
          <w:p w14:paraId="6F18AA61">
            <w:pPr>
              <w:widowControl w:val="0"/>
              <w:topLinePunct/>
              <w:spacing w:after="0" w:line="240" w:lineRule="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sym w:font="Wingdings 2" w:char="00A3"/>
            </w:r>
            <w:r>
              <w:rPr>
                <w:rFonts w:ascii="Times New Roman" w:hAnsi="Times New Roman" w:eastAsia="宋体" w:cs="Times New Roman"/>
                <w:color w:val="000000" w:themeColor="text1"/>
                <w:szCs w:val="24"/>
                <w14:textFill>
                  <w14:solidFill>
                    <w14:schemeClr w14:val="tx1"/>
                  </w14:solidFill>
                </w14:textFill>
              </w:rPr>
              <w:t>技术改造</w:t>
            </w:r>
          </w:p>
        </w:tc>
        <w:tc>
          <w:tcPr>
            <w:tcW w:w="1777" w:type="dxa"/>
            <w:tcBorders>
              <w:top w:val="single" w:color="auto" w:sz="4" w:space="0"/>
            </w:tcBorders>
            <w:vAlign w:val="center"/>
          </w:tcPr>
          <w:p w14:paraId="46988C8B">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建设项目</w:t>
            </w:r>
          </w:p>
          <w:p w14:paraId="09966EB7">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申报情形</w:t>
            </w:r>
          </w:p>
        </w:tc>
        <w:tc>
          <w:tcPr>
            <w:tcW w:w="3185" w:type="dxa"/>
            <w:tcBorders>
              <w:top w:val="single" w:color="auto" w:sz="4" w:space="0"/>
            </w:tcBorders>
            <w:vAlign w:val="center"/>
          </w:tcPr>
          <w:p w14:paraId="752B2EF8">
            <w:pPr>
              <w:widowControl w:val="0"/>
              <w:topLinePunct/>
              <w:spacing w:after="0" w:line="240" w:lineRule="auto"/>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sym w:font="Wingdings 2" w:char="0052"/>
            </w:r>
            <w:r>
              <w:rPr>
                <w:rFonts w:ascii="Times New Roman" w:hAnsi="Times New Roman" w:eastAsia="宋体" w:cs="Times New Roman"/>
                <w:color w:val="000000" w:themeColor="text1"/>
                <w:szCs w:val="24"/>
                <w14:textFill>
                  <w14:solidFill>
                    <w14:schemeClr w14:val="tx1"/>
                  </w14:solidFill>
                </w14:textFill>
              </w:rPr>
              <w:t xml:space="preserve">首次申报项目             </w:t>
            </w:r>
          </w:p>
          <w:p w14:paraId="74DB7AA9">
            <w:pPr>
              <w:widowControl w:val="0"/>
              <w:topLinePunct/>
              <w:spacing w:after="0" w:line="240" w:lineRule="auto"/>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sym w:font="Wingdings 2" w:char="00A3"/>
            </w:r>
            <w:r>
              <w:rPr>
                <w:rFonts w:ascii="Times New Roman" w:hAnsi="Times New Roman" w:eastAsia="宋体" w:cs="Times New Roman"/>
                <w:color w:val="000000" w:themeColor="text1"/>
                <w:szCs w:val="24"/>
                <w14:textFill>
                  <w14:solidFill>
                    <w14:schemeClr w14:val="tx1"/>
                  </w14:solidFill>
                </w14:textFill>
              </w:rPr>
              <w:t>不予批准后再次申报项目</w:t>
            </w:r>
          </w:p>
          <w:p w14:paraId="04E3177D">
            <w:pPr>
              <w:widowControl w:val="0"/>
              <w:topLinePunct/>
              <w:spacing w:after="0" w:line="240" w:lineRule="auto"/>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sym w:font="Wingdings 2" w:char="00A3"/>
            </w:r>
            <w:r>
              <w:rPr>
                <w:rFonts w:ascii="Times New Roman" w:hAnsi="Times New Roman" w:eastAsia="宋体" w:cs="Times New Roman"/>
                <w:color w:val="000000" w:themeColor="text1"/>
                <w:szCs w:val="24"/>
                <w14:textFill>
                  <w14:solidFill>
                    <w14:schemeClr w14:val="tx1"/>
                  </w14:solidFill>
                </w14:textFill>
              </w:rPr>
              <w:t>超五年重新审核项目</w:t>
            </w:r>
          </w:p>
          <w:p w14:paraId="33303C17">
            <w:pPr>
              <w:widowControl w:val="0"/>
              <w:topLinePunct/>
              <w:spacing w:after="0" w:line="240" w:lineRule="auto"/>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sym w:font="Wingdings 2" w:char="00A3"/>
            </w:r>
            <w:r>
              <w:rPr>
                <w:rFonts w:ascii="Times New Roman" w:hAnsi="Times New Roman" w:eastAsia="宋体" w:cs="Times New Roman"/>
                <w:color w:val="000000" w:themeColor="text1"/>
                <w:szCs w:val="24"/>
                <w14:textFill>
                  <w14:solidFill>
                    <w14:schemeClr w14:val="tx1"/>
                  </w14:solidFill>
                </w14:textFill>
              </w:rPr>
              <w:t>重大变动重新报批项目</w:t>
            </w:r>
          </w:p>
        </w:tc>
      </w:tr>
      <w:tr w14:paraId="09FE2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138" w:type="dxa"/>
            <w:tcMar>
              <w:top w:w="16" w:type="dxa"/>
              <w:left w:w="16" w:type="dxa"/>
              <w:right w:w="16" w:type="dxa"/>
            </w:tcMar>
            <w:vAlign w:val="center"/>
          </w:tcPr>
          <w:p w14:paraId="5F6C28FC">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项目审批（核准/备案）部门（选填）</w:t>
            </w:r>
          </w:p>
        </w:tc>
        <w:tc>
          <w:tcPr>
            <w:tcW w:w="2974" w:type="dxa"/>
            <w:vAlign w:val="center"/>
          </w:tcPr>
          <w:p w14:paraId="49869C05">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福清市工业和信息化局</w:t>
            </w:r>
          </w:p>
        </w:tc>
        <w:tc>
          <w:tcPr>
            <w:tcW w:w="1777" w:type="dxa"/>
            <w:vAlign w:val="center"/>
          </w:tcPr>
          <w:p w14:paraId="2D9E93AB">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项目审批（核准/</w:t>
            </w:r>
          </w:p>
          <w:p w14:paraId="2BD6E92C">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备案）文号（选填）</w:t>
            </w:r>
          </w:p>
        </w:tc>
        <w:tc>
          <w:tcPr>
            <w:tcW w:w="3185" w:type="dxa"/>
            <w:vAlign w:val="center"/>
          </w:tcPr>
          <w:p w14:paraId="1BB2103F">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闽工信备[202</w:t>
            </w:r>
            <w:r>
              <w:rPr>
                <w:rFonts w:hint="eastAsia" w:ascii="Times New Roman" w:hAnsi="Times New Roman" w:eastAsia="宋体" w:cs="Times New Roman"/>
                <w:color w:val="000000" w:themeColor="text1"/>
                <w:szCs w:val="24"/>
                <w14:textFill>
                  <w14:solidFill>
                    <w14:schemeClr w14:val="tx1"/>
                  </w14:solidFill>
                </w14:textFill>
              </w:rPr>
              <w:t>5</w:t>
            </w:r>
            <w:r>
              <w:rPr>
                <w:rFonts w:ascii="Times New Roman" w:hAnsi="Times New Roman" w:eastAsia="宋体" w:cs="Times New Roman"/>
                <w:color w:val="000000" w:themeColor="text1"/>
                <w:szCs w:val="24"/>
                <w14:textFill>
                  <w14:solidFill>
                    <w14:schemeClr w14:val="tx1"/>
                  </w14:solidFill>
                </w14:textFill>
              </w:rPr>
              <w:t>]A0600</w:t>
            </w:r>
            <w:r>
              <w:rPr>
                <w:rFonts w:hint="eastAsia" w:ascii="Times New Roman" w:hAnsi="Times New Roman" w:eastAsia="宋体" w:cs="Times New Roman"/>
                <w:color w:val="000000" w:themeColor="text1"/>
                <w:szCs w:val="24"/>
                <w14:textFill>
                  <w14:solidFill>
                    <w14:schemeClr w14:val="tx1"/>
                  </w14:solidFill>
                </w14:textFill>
              </w:rPr>
              <w:t>70</w:t>
            </w:r>
            <w:r>
              <w:rPr>
                <w:rFonts w:ascii="Times New Roman" w:hAnsi="Times New Roman" w:eastAsia="宋体" w:cs="Times New Roman"/>
                <w:color w:val="000000" w:themeColor="text1"/>
                <w:szCs w:val="24"/>
                <w14:textFill>
                  <w14:solidFill>
                    <w14:schemeClr w14:val="tx1"/>
                  </w14:solidFill>
                </w14:textFill>
              </w:rPr>
              <w:t>号</w:t>
            </w:r>
          </w:p>
        </w:tc>
      </w:tr>
      <w:tr w14:paraId="4651D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38" w:type="dxa"/>
            <w:tcMar>
              <w:top w:w="16" w:type="dxa"/>
              <w:left w:w="16" w:type="dxa"/>
              <w:right w:w="16" w:type="dxa"/>
            </w:tcMar>
            <w:vAlign w:val="center"/>
          </w:tcPr>
          <w:p w14:paraId="4CC011DB">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总投资</w:t>
            </w:r>
          </w:p>
          <w:p w14:paraId="3FC2BD68">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（万元）</w:t>
            </w:r>
          </w:p>
        </w:tc>
        <w:tc>
          <w:tcPr>
            <w:tcW w:w="2974" w:type="dxa"/>
            <w:vAlign w:val="center"/>
          </w:tcPr>
          <w:p w14:paraId="52369497">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450</w:t>
            </w:r>
          </w:p>
        </w:tc>
        <w:tc>
          <w:tcPr>
            <w:tcW w:w="1777" w:type="dxa"/>
            <w:tcMar>
              <w:top w:w="16" w:type="dxa"/>
              <w:left w:w="16" w:type="dxa"/>
              <w:right w:w="16" w:type="dxa"/>
            </w:tcMar>
            <w:vAlign w:val="center"/>
          </w:tcPr>
          <w:p w14:paraId="44D19943">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环保投资（万元）</w:t>
            </w:r>
          </w:p>
        </w:tc>
        <w:tc>
          <w:tcPr>
            <w:tcW w:w="3185" w:type="dxa"/>
            <w:vAlign w:val="center"/>
          </w:tcPr>
          <w:p w14:paraId="4C8B13D8">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10</w:t>
            </w:r>
          </w:p>
        </w:tc>
      </w:tr>
      <w:tr w14:paraId="7DECE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38" w:type="dxa"/>
            <w:tcMar>
              <w:top w:w="16" w:type="dxa"/>
              <w:left w:w="16" w:type="dxa"/>
              <w:right w:w="16" w:type="dxa"/>
            </w:tcMar>
            <w:vAlign w:val="center"/>
          </w:tcPr>
          <w:p w14:paraId="21AF8E16">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环保投资</w:t>
            </w:r>
          </w:p>
          <w:p w14:paraId="184D51E5">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占比（%）</w:t>
            </w:r>
          </w:p>
        </w:tc>
        <w:tc>
          <w:tcPr>
            <w:tcW w:w="2974" w:type="dxa"/>
            <w:vAlign w:val="center"/>
          </w:tcPr>
          <w:p w14:paraId="3AFE8904">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2.22</w:t>
            </w:r>
          </w:p>
        </w:tc>
        <w:tc>
          <w:tcPr>
            <w:tcW w:w="1777" w:type="dxa"/>
            <w:tcMar>
              <w:top w:w="16" w:type="dxa"/>
              <w:left w:w="16" w:type="dxa"/>
              <w:right w:w="16" w:type="dxa"/>
            </w:tcMar>
            <w:vAlign w:val="center"/>
          </w:tcPr>
          <w:p w14:paraId="3834F8B9">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施工工期</w:t>
            </w:r>
          </w:p>
        </w:tc>
        <w:tc>
          <w:tcPr>
            <w:tcW w:w="3185" w:type="dxa"/>
            <w:vAlign w:val="center"/>
          </w:tcPr>
          <w:p w14:paraId="08C7D2A8">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2个月</w:t>
            </w:r>
          </w:p>
        </w:tc>
      </w:tr>
      <w:tr w14:paraId="0E4C0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38" w:type="dxa"/>
            <w:tcMar>
              <w:top w:w="16" w:type="dxa"/>
              <w:left w:w="16" w:type="dxa"/>
              <w:right w:w="16" w:type="dxa"/>
            </w:tcMar>
            <w:vAlign w:val="center"/>
          </w:tcPr>
          <w:p w14:paraId="37ED2CB5">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是否开工</w:t>
            </w:r>
          </w:p>
          <w:p w14:paraId="4B533C79">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建设</w:t>
            </w:r>
          </w:p>
        </w:tc>
        <w:tc>
          <w:tcPr>
            <w:tcW w:w="2974" w:type="dxa"/>
            <w:vAlign w:val="center"/>
          </w:tcPr>
          <w:p w14:paraId="6D13B84C">
            <w:pPr>
              <w:widowControl w:val="0"/>
              <w:topLinePunct/>
              <w:adjustRightInd w:val="0"/>
              <w:snapToGrid w:val="0"/>
              <w:spacing w:after="0" w:line="240" w:lineRule="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sym w:font="Wingdings 2" w:char="F052"/>
            </w:r>
            <w:r>
              <w:rPr>
                <w:rFonts w:ascii="Times New Roman" w:hAnsi="Times New Roman" w:eastAsia="宋体" w:cs="Times New Roman"/>
                <w:color w:val="000000" w:themeColor="text1"/>
                <w:szCs w:val="24"/>
                <w14:textFill>
                  <w14:solidFill>
                    <w14:schemeClr w14:val="tx1"/>
                  </w14:solidFill>
                </w14:textFill>
              </w:rPr>
              <w:t>否</w:t>
            </w:r>
          </w:p>
          <w:p w14:paraId="74FCB4C3">
            <w:pPr>
              <w:widowControl w:val="0"/>
              <w:topLinePunct/>
              <w:adjustRightInd w:val="0"/>
              <w:snapToGrid w:val="0"/>
              <w:spacing w:after="0" w:line="240" w:lineRule="auto"/>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sym w:font="Wingdings 2" w:char="00A3"/>
            </w:r>
            <w:r>
              <w:rPr>
                <w:rFonts w:ascii="Times New Roman" w:hAnsi="Times New Roman" w:eastAsia="宋体" w:cs="Times New Roman"/>
                <w:color w:val="000000" w:themeColor="text1"/>
                <w:szCs w:val="24"/>
                <w14:textFill>
                  <w14:solidFill>
                    <w14:schemeClr w14:val="tx1"/>
                  </w14:solidFill>
                </w14:textFill>
              </w:rPr>
              <w:t>是：</w:t>
            </w:r>
            <w:r>
              <w:rPr>
                <w:rFonts w:ascii="Times New Roman" w:hAnsi="Times New Roman" w:eastAsia="宋体" w:cs="Times New Roman"/>
                <w:color w:val="000000" w:themeColor="text1"/>
                <w:szCs w:val="24"/>
                <w:u w:val="single"/>
                <w14:textFill>
                  <w14:solidFill>
                    <w14:schemeClr w14:val="tx1"/>
                  </w14:solidFill>
                </w14:textFill>
              </w:rPr>
              <w:t xml:space="preserve">           </w:t>
            </w:r>
          </w:p>
        </w:tc>
        <w:tc>
          <w:tcPr>
            <w:tcW w:w="1777" w:type="dxa"/>
            <w:tcMar>
              <w:top w:w="16" w:type="dxa"/>
              <w:left w:w="16" w:type="dxa"/>
              <w:right w:w="16" w:type="dxa"/>
            </w:tcMar>
            <w:vAlign w:val="center"/>
          </w:tcPr>
          <w:p w14:paraId="2BFB85B2">
            <w:pPr>
              <w:widowControl w:val="0"/>
              <w:topLinePunct/>
              <w:adjustRightInd w:val="0"/>
              <w:snapToGrid w:val="0"/>
              <w:spacing w:after="0" w:line="240" w:lineRule="auto"/>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用地面积（m</w:t>
            </w:r>
            <w:r>
              <w:rPr>
                <w:rFonts w:ascii="Times New Roman" w:hAnsi="Times New Roman" w:eastAsia="宋体" w:cs="Times New Roman"/>
                <w:color w:val="000000" w:themeColor="text1"/>
                <w:szCs w:val="24"/>
                <w:vertAlign w:val="superscript"/>
                <w14:textFill>
                  <w14:solidFill>
                    <w14:schemeClr w14:val="tx1"/>
                  </w14:solidFill>
                </w14:textFill>
              </w:rPr>
              <w:t>2</w:t>
            </w:r>
            <w:r>
              <w:rPr>
                <w:rFonts w:ascii="Times New Roman" w:hAnsi="Times New Roman" w:eastAsia="宋体" w:cs="Times New Roman"/>
                <w:color w:val="000000" w:themeColor="text1"/>
                <w:szCs w:val="24"/>
                <w14:textFill>
                  <w14:solidFill>
                    <w14:schemeClr w14:val="tx1"/>
                  </w14:solidFill>
                </w14:textFill>
              </w:rPr>
              <w:t>）</w:t>
            </w:r>
          </w:p>
        </w:tc>
        <w:tc>
          <w:tcPr>
            <w:tcW w:w="3185" w:type="dxa"/>
            <w:vAlign w:val="center"/>
          </w:tcPr>
          <w:p w14:paraId="5ABC9F9F">
            <w:pPr>
              <w:pStyle w:val="35"/>
              <w:widowControl w:val="0"/>
              <w:topLinePunct/>
              <w:jc w:val="center"/>
              <w:rPr>
                <w:rFonts w:ascii="Times New Roman" w:hAnsi="Times New Roman" w:eastAsia="宋体" w:cs="Times New Roman"/>
                <w:color w:val="000000" w:themeColor="text1"/>
                <w:spacing w:val="0"/>
                <w:sz w:val="24"/>
                <w:szCs w:val="24"/>
                <w14:textFill>
                  <w14:solidFill>
                    <w14:schemeClr w14:val="tx1"/>
                  </w14:solidFill>
                </w14:textFill>
              </w:rPr>
            </w:pPr>
            <w:r>
              <w:rPr>
                <w:rFonts w:hint="eastAsia" w:ascii="Times New Roman" w:hAnsi="Times New Roman" w:eastAsia="宋体" w:cs="Times New Roman"/>
                <w:color w:val="000000" w:themeColor="text1"/>
                <w:spacing w:val="0"/>
                <w:sz w:val="24"/>
                <w:szCs w:val="24"/>
                <w14:textFill>
                  <w14:solidFill>
                    <w14:schemeClr w14:val="tx1"/>
                  </w14:solidFill>
                </w14:textFill>
              </w:rPr>
              <w:t>0（不新增用地）</w:t>
            </w:r>
          </w:p>
        </w:tc>
      </w:tr>
      <w:tr w14:paraId="59FB13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38" w:type="dxa"/>
            <w:vAlign w:val="center"/>
          </w:tcPr>
          <w:p w14:paraId="07D5980C">
            <w:pPr>
              <w:widowControl w:val="0"/>
              <w:topLinePunct/>
              <w:adjustRightInd w:val="0"/>
              <w:snapToGrid w:val="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专项评价设置情况</w:t>
            </w:r>
          </w:p>
        </w:tc>
        <w:tc>
          <w:tcPr>
            <w:tcW w:w="7936" w:type="dxa"/>
            <w:gridSpan w:val="3"/>
            <w:vAlign w:val="center"/>
          </w:tcPr>
          <w:p w14:paraId="5DCB1DD5">
            <w:pPr>
              <w:widowControl w:val="0"/>
              <w:topLinePunct/>
              <w:adjustRightInd w:val="0"/>
              <w:snapToGrid w:val="0"/>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对照《建设项目环境影响报告表编制建设指南——污染影响类》专项评价设置原则表，本项目专题评价设置情况判定如表1.1-1，经判定，本项目无需设置专项评价。</w:t>
            </w:r>
          </w:p>
          <w:p w14:paraId="0920D5C0">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表1.1-1  项目专项评价设置情况一览表</w:t>
            </w:r>
          </w:p>
          <w:tbl>
            <w:tblPr>
              <w:tblStyle w:val="167"/>
              <w:tblW w:w="77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3269"/>
              <w:gridCol w:w="2380"/>
              <w:gridCol w:w="1056"/>
            </w:tblGrid>
            <w:tr w14:paraId="5B375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14:paraId="129F2F8A">
                  <w:pPr>
                    <w:pStyle w:val="221"/>
                    <w:rPr>
                      <w:b/>
                      <w:color w:val="000000" w:themeColor="text1"/>
                      <w14:textFill>
                        <w14:solidFill>
                          <w14:schemeClr w14:val="tx1"/>
                        </w14:solidFill>
                      </w14:textFill>
                    </w:rPr>
                  </w:pPr>
                  <w:r>
                    <w:rPr>
                      <w:b/>
                      <w:color w:val="000000" w:themeColor="text1"/>
                      <w14:textFill>
                        <w14:solidFill>
                          <w14:schemeClr w14:val="tx1"/>
                        </w14:solidFill>
                      </w14:textFill>
                    </w:rPr>
                    <w:t>专项评价类别</w:t>
                  </w:r>
                </w:p>
              </w:tc>
              <w:tc>
                <w:tcPr>
                  <w:tcW w:w="3269" w:type="dxa"/>
                  <w:vAlign w:val="center"/>
                </w:tcPr>
                <w:p w14:paraId="14A34AEC">
                  <w:pPr>
                    <w:pStyle w:val="221"/>
                    <w:rPr>
                      <w:b/>
                      <w:color w:val="000000" w:themeColor="text1"/>
                      <w14:textFill>
                        <w14:solidFill>
                          <w14:schemeClr w14:val="tx1"/>
                        </w14:solidFill>
                      </w14:textFill>
                    </w:rPr>
                  </w:pPr>
                  <w:r>
                    <w:rPr>
                      <w:b/>
                      <w:color w:val="000000" w:themeColor="text1"/>
                      <w14:textFill>
                        <w14:solidFill>
                          <w14:schemeClr w14:val="tx1"/>
                        </w14:solidFill>
                      </w14:textFill>
                    </w:rPr>
                    <w:t>设置原则</w:t>
                  </w:r>
                </w:p>
              </w:tc>
              <w:tc>
                <w:tcPr>
                  <w:tcW w:w="2380" w:type="dxa"/>
                  <w:vAlign w:val="center"/>
                </w:tcPr>
                <w:p w14:paraId="3ABCF462">
                  <w:pPr>
                    <w:pStyle w:val="221"/>
                    <w:rPr>
                      <w:b/>
                      <w:color w:val="000000" w:themeColor="text1"/>
                      <w14:textFill>
                        <w14:solidFill>
                          <w14:schemeClr w14:val="tx1"/>
                        </w14:solidFill>
                      </w14:textFill>
                    </w:rPr>
                  </w:pPr>
                  <w:r>
                    <w:rPr>
                      <w:b/>
                      <w:color w:val="000000" w:themeColor="text1"/>
                      <w14:textFill>
                        <w14:solidFill>
                          <w14:schemeClr w14:val="tx1"/>
                        </w14:solidFill>
                      </w14:textFill>
                    </w:rPr>
                    <w:t>项目情况</w:t>
                  </w:r>
                </w:p>
              </w:tc>
              <w:tc>
                <w:tcPr>
                  <w:tcW w:w="1056" w:type="dxa"/>
                  <w:vAlign w:val="center"/>
                </w:tcPr>
                <w:p w14:paraId="297DBB3E">
                  <w:pPr>
                    <w:pStyle w:val="221"/>
                    <w:rPr>
                      <w:b/>
                      <w:color w:val="000000" w:themeColor="text1"/>
                      <w14:textFill>
                        <w14:solidFill>
                          <w14:schemeClr w14:val="tx1"/>
                        </w14:solidFill>
                      </w14:textFill>
                    </w:rPr>
                  </w:pPr>
                  <w:r>
                    <w:rPr>
                      <w:b/>
                      <w:color w:val="000000" w:themeColor="text1"/>
                      <w14:textFill>
                        <w14:solidFill>
                          <w14:schemeClr w14:val="tx1"/>
                        </w14:solidFill>
                      </w14:textFill>
                    </w:rPr>
                    <w:t>判定</w:t>
                  </w:r>
                </w:p>
                <w:p w14:paraId="73617FE2">
                  <w:pPr>
                    <w:pStyle w:val="221"/>
                    <w:rPr>
                      <w:b/>
                      <w:color w:val="000000" w:themeColor="text1"/>
                      <w14:textFill>
                        <w14:solidFill>
                          <w14:schemeClr w14:val="tx1"/>
                        </w14:solidFill>
                      </w14:textFill>
                    </w:rPr>
                  </w:pPr>
                  <w:r>
                    <w:rPr>
                      <w:b/>
                      <w:color w:val="000000" w:themeColor="text1"/>
                      <w14:textFill>
                        <w14:solidFill>
                          <w14:schemeClr w14:val="tx1"/>
                        </w14:solidFill>
                      </w14:textFill>
                    </w:rPr>
                    <w:t>结果</w:t>
                  </w:r>
                </w:p>
              </w:tc>
            </w:tr>
            <w:tr w14:paraId="1E7EF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14:paraId="559F8B07">
                  <w:pPr>
                    <w:pStyle w:val="221"/>
                    <w:rPr>
                      <w:color w:val="000000" w:themeColor="text1"/>
                      <w14:textFill>
                        <w14:solidFill>
                          <w14:schemeClr w14:val="tx1"/>
                        </w14:solidFill>
                      </w14:textFill>
                    </w:rPr>
                  </w:pPr>
                  <w:r>
                    <w:rPr>
                      <w:color w:val="000000" w:themeColor="text1"/>
                      <w14:textFill>
                        <w14:solidFill>
                          <w14:schemeClr w14:val="tx1"/>
                        </w14:solidFill>
                      </w14:textFill>
                    </w:rPr>
                    <w:t>大气</w:t>
                  </w:r>
                </w:p>
              </w:tc>
              <w:tc>
                <w:tcPr>
                  <w:tcW w:w="3269" w:type="dxa"/>
                  <w:vAlign w:val="center"/>
                </w:tcPr>
                <w:p w14:paraId="6C0E2662">
                  <w:pPr>
                    <w:pStyle w:val="221"/>
                    <w:rPr>
                      <w:color w:val="000000" w:themeColor="text1"/>
                      <w14:textFill>
                        <w14:solidFill>
                          <w14:schemeClr w14:val="tx1"/>
                        </w14:solidFill>
                      </w14:textFill>
                    </w:rPr>
                  </w:pPr>
                  <w:r>
                    <w:rPr>
                      <w:color w:val="000000" w:themeColor="text1"/>
                      <w14:textFill>
                        <w14:solidFill>
                          <w14:schemeClr w14:val="tx1"/>
                        </w14:solidFill>
                      </w14:textFill>
                    </w:rPr>
                    <w:t>排放废气含有毒有害污染物、二噁英、苯并芘、氰化物、氯气</w:t>
                  </w:r>
                  <w:r>
                    <w:rPr>
                      <w:rFonts w:hint="eastAsia"/>
                      <w:color w:val="000000" w:themeColor="text1"/>
                      <w:lang w:eastAsia="zh-CN"/>
                      <w14:textFill>
                        <w14:solidFill>
                          <w14:schemeClr w14:val="tx1"/>
                        </w14:solidFill>
                      </w14:textFill>
                    </w:rPr>
                    <w:t>且</w:t>
                  </w:r>
                  <w:r>
                    <w:rPr>
                      <w:color w:val="000000" w:themeColor="text1"/>
                      <w14:textFill>
                        <w14:solidFill>
                          <w14:schemeClr w14:val="tx1"/>
                        </w14:solidFill>
                      </w14:textFill>
                    </w:rPr>
                    <w:t>厂界外500米范围内有环境空气保护目标的项目</w:t>
                  </w:r>
                </w:p>
              </w:tc>
              <w:tc>
                <w:tcPr>
                  <w:tcW w:w="2380" w:type="dxa"/>
                  <w:vAlign w:val="center"/>
                </w:tcPr>
                <w:p w14:paraId="28211084">
                  <w:pPr>
                    <w:pStyle w:val="221"/>
                    <w:rPr>
                      <w:color w:val="000000" w:themeColor="text1"/>
                      <w14:textFill>
                        <w14:solidFill>
                          <w14:schemeClr w14:val="tx1"/>
                        </w14:solidFill>
                      </w14:textFill>
                    </w:rPr>
                  </w:pPr>
                  <w:r>
                    <w:rPr>
                      <w:color w:val="000000" w:themeColor="text1"/>
                      <w14:textFill>
                        <w14:solidFill>
                          <w14:schemeClr w14:val="tx1"/>
                        </w14:solidFill>
                      </w14:textFill>
                    </w:rPr>
                    <w:t>废气排放不含有毒有害污染物、二噁英、苯并芘、氰化物、氯气</w:t>
                  </w:r>
                </w:p>
              </w:tc>
              <w:tc>
                <w:tcPr>
                  <w:tcW w:w="1056" w:type="dxa"/>
                  <w:vAlign w:val="center"/>
                </w:tcPr>
                <w:p w14:paraId="6C265265">
                  <w:pPr>
                    <w:pStyle w:val="221"/>
                    <w:rPr>
                      <w:color w:val="000000" w:themeColor="text1"/>
                      <w14:textFill>
                        <w14:solidFill>
                          <w14:schemeClr w14:val="tx1"/>
                        </w14:solidFill>
                      </w14:textFill>
                    </w:rPr>
                  </w:pPr>
                  <w:r>
                    <w:rPr>
                      <w:color w:val="000000" w:themeColor="text1"/>
                      <w14:textFill>
                        <w14:solidFill>
                          <w14:schemeClr w14:val="tx1"/>
                        </w14:solidFill>
                      </w14:textFill>
                    </w:rPr>
                    <w:t>无需</w:t>
                  </w:r>
                </w:p>
                <w:p w14:paraId="1A1495BD">
                  <w:pPr>
                    <w:pStyle w:val="221"/>
                    <w:rPr>
                      <w:color w:val="000000" w:themeColor="text1"/>
                      <w14:textFill>
                        <w14:solidFill>
                          <w14:schemeClr w14:val="tx1"/>
                        </w14:solidFill>
                      </w14:textFill>
                    </w:rPr>
                  </w:pPr>
                  <w:r>
                    <w:rPr>
                      <w:color w:val="000000" w:themeColor="text1"/>
                      <w14:textFill>
                        <w14:solidFill>
                          <w14:schemeClr w14:val="tx1"/>
                        </w14:solidFill>
                      </w14:textFill>
                    </w:rPr>
                    <w:t>开展</w:t>
                  </w:r>
                </w:p>
              </w:tc>
            </w:tr>
            <w:tr w14:paraId="37CB1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1012" w:type="dxa"/>
                  <w:vAlign w:val="center"/>
                </w:tcPr>
                <w:p w14:paraId="218F5EC1">
                  <w:pPr>
                    <w:pStyle w:val="221"/>
                    <w:rPr>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3269" w:type="dxa"/>
                  <w:vAlign w:val="center"/>
                </w:tcPr>
                <w:p w14:paraId="68087ED6">
                  <w:pPr>
                    <w:pStyle w:val="221"/>
                    <w:rPr>
                      <w:color w:val="000000" w:themeColor="text1"/>
                      <w14:textFill>
                        <w14:solidFill>
                          <w14:schemeClr w14:val="tx1"/>
                        </w14:solidFill>
                      </w14:textFill>
                    </w:rPr>
                  </w:pPr>
                  <w:r>
                    <w:rPr>
                      <w:color w:val="000000" w:themeColor="text1"/>
                      <w14:textFill>
                        <w14:solidFill>
                          <w14:schemeClr w14:val="tx1"/>
                        </w14:solidFill>
                      </w14:textFill>
                    </w:rPr>
                    <w:t>新增工业废水直排建设项目（槽罐车外送污水处理厂的除外），新增废水直排的污水集中处理厂</w:t>
                  </w:r>
                </w:p>
              </w:tc>
              <w:tc>
                <w:tcPr>
                  <w:tcW w:w="2380" w:type="dxa"/>
                  <w:vAlign w:val="center"/>
                </w:tcPr>
                <w:p w14:paraId="25BAB628">
                  <w:pPr>
                    <w:pStyle w:val="221"/>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无生产废水产生，不新增生活污水</w:t>
                  </w:r>
                </w:p>
              </w:tc>
              <w:tc>
                <w:tcPr>
                  <w:tcW w:w="1056" w:type="dxa"/>
                  <w:vAlign w:val="center"/>
                </w:tcPr>
                <w:p w14:paraId="76716A76">
                  <w:pPr>
                    <w:pStyle w:val="221"/>
                    <w:rPr>
                      <w:color w:val="000000" w:themeColor="text1"/>
                      <w14:textFill>
                        <w14:solidFill>
                          <w14:schemeClr w14:val="tx1"/>
                        </w14:solidFill>
                      </w14:textFill>
                    </w:rPr>
                  </w:pPr>
                  <w:r>
                    <w:rPr>
                      <w:color w:val="000000" w:themeColor="text1"/>
                      <w14:textFill>
                        <w14:solidFill>
                          <w14:schemeClr w14:val="tx1"/>
                        </w14:solidFill>
                      </w14:textFill>
                    </w:rPr>
                    <w:t>无需</w:t>
                  </w:r>
                </w:p>
                <w:p w14:paraId="13D24D28">
                  <w:pPr>
                    <w:pStyle w:val="221"/>
                    <w:rPr>
                      <w:color w:val="000000" w:themeColor="text1"/>
                      <w14:textFill>
                        <w14:solidFill>
                          <w14:schemeClr w14:val="tx1"/>
                        </w14:solidFill>
                      </w14:textFill>
                    </w:rPr>
                  </w:pPr>
                  <w:r>
                    <w:rPr>
                      <w:color w:val="000000" w:themeColor="text1"/>
                      <w14:textFill>
                        <w14:solidFill>
                          <w14:schemeClr w14:val="tx1"/>
                        </w14:solidFill>
                      </w14:textFill>
                    </w:rPr>
                    <w:t>开展</w:t>
                  </w:r>
                </w:p>
              </w:tc>
            </w:tr>
            <w:tr w14:paraId="62AB2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14:paraId="086F90E3">
                  <w:pPr>
                    <w:pStyle w:val="221"/>
                    <w:rPr>
                      <w:color w:val="000000" w:themeColor="text1"/>
                      <w14:textFill>
                        <w14:solidFill>
                          <w14:schemeClr w14:val="tx1"/>
                        </w14:solidFill>
                      </w14:textFill>
                    </w:rPr>
                  </w:pPr>
                  <w:r>
                    <w:rPr>
                      <w:color w:val="000000" w:themeColor="text1"/>
                      <w14:textFill>
                        <w14:solidFill>
                          <w14:schemeClr w14:val="tx1"/>
                        </w14:solidFill>
                      </w14:textFill>
                    </w:rPr>
                    <w:t>环境</w:t>
                  </w:r>
                </w:p>
                <w:p w14:paraId="65371025">
                  <w:pPr>
                    <w:pStyle w:val="221"/>
                    <w:rPr>
                      <w:color w:val="000000" w:themeColor="text1"/>
                      <w14:textFill>
                        <w14:solidFill>
                          <w14:schemeClr w14:val="tx1"/>
                        </w14:solidFill>
                      </w14:textFill>
                    </w:rPr>
                  </w:pPr>
                  <w:r>
                    <w:rPr>
                      <w:color w:val="000000" w:themeColor="text1"/>
                      <w14:textFill>
                        <w14:solidFill>
                          <w14:schemeClr w14:val="tx1"/>
                        </w14:solidFill>
                      </w14:textFill>
                    </w:rPr>
                    <w:t>风险</w:t>
                  </w:r>
                </w:p>
              </w:tc>
              <w:tc>
                <w:tcPr>
                  <w:tcW w:w="3269" w:type="dxa"/>
                  <w:vAlign w:val="center"/>
                </w:tcPr>
                <w:p w14:paraId="08B1AA61">
                  <w:pPr>
                    <w:pStyle w:val="221"/>
                    <w:rPr>
                      <w:color w:val="000000" w:themeColor="text1"/>
                      <w14:textFill>
                        <w14:solidFill>
                          <w14:schemeClr w14:val="tx1"/>
                        </w14:solidFill>
                      </w14:textFill>
                    </w:rPr>
                  </w:pPr>
                  <w:r>
                    <w:rPr>
                      <w:color w:val="000000" w:themeColor="text1"/>
                      <w14:textFill>
                        <w14:solidFill>
                          <w14:schemeClr w14:val="tx1"/>
                        </w14:solidFill>
                      </w14:textFill>
                    </w:rPr>
                    <w:t>有毒有害和易燃易爆危险物质存储量超过临界量的建设项目</w:t>
                  </w:r>
                </w:p>
              </w:tc>
              <w:tc>
                <w:tcPr>
                  <w:tcW w:w="2380" w:type="dxa"/>
                  <w:vAlign w:val="center"/>
                </w:tcPr>
                <w:p w14:paraId="3D5410C3">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r>
                    <w:rPr>
                      <w:color w:val="000000" w:themeColor="text1"/>
                      <w14:textFill>
                        <w14:solidFill>
                          <w14:schemeClr w14:val="tx1"/>
                        </w14:solidFill>
                      </w14:textFill>
                    </w:rPr>
                    <w:t>有毒有害和易燃易爆危险物质，</w:t>
                  </w:r>
                  <w:r>
                    <w:rPr>
                      <w:rFonts w:hint="eastAsia"/>
                      <w:color w:val="000000" w:themeColor="text1"/>
                      <w14:textFill>
                        <w14:solidFill>
                          <w14:schemeClr w14:val="tx1"/>
                        </w14:solidFill>
                      </w14:textFill>
                    </w:rPr>
                    <w:t>Q值为0</w:t>
                  </w:r>
                </w:p>
              </w:tc>
              <w:tc>
                <w:tcPr>
                  <w:tcW w:w="1056" w:type="dxa"/>
                  <w:vAlign w:val="center"/>
                </w:tcPr>
                <w:p w14:paraId="3CD871F9">
                  <w:pPr>
                    <w:pStyle w:val="221"/>
                    <w:rPr>
                      <w:color w:val="000000" w:themeColor="text1"/>
                      <w14:textFill>
                        <w14:solidFill>
                          <w14:schemeClr w14:val="tx1"/>
                        </w14:solidFill>
                      </w14:textFill>
                    </w:rPr>
                  </w:pPr>
                  <w:r>
                    <w:rPr>
                      <w:color w:val="000000" w:themeColor="text1"/>
                      <w14:textFill>
                        <w14:solidFill>
                          <w14:schemeClr w14:val="tx1"/>
                        </w14:solidFill>
                      </w14:textFill>
                    </w:rPr>
                    <w:t>无需</w:t>
                  </w:r>
                </w:p>
                <w:p w14:paraId="61A202E8">
                  <w:pPr>
                    <w:pStyle w:val="221"/>
                    <w:rPr>
                      <w:color w:val="000000" w:themeColor="text1"/>
                      <w14:textFill>
                        <w14:solidFill>
                          <w14:schemeClr w14:val="tx1"/>
                        </w14:solidFill>
                      </w14:textFill>
                    </w:rPr>
                  </w:pPr>
                  <w:r>
                    <w:rPr>
                      <w:color w:val="000000" w:themeColor="text1"/>
                      <w14:textFill>
                        <w14:solidFill>
                          <w14:schemeClr w14:val="tx1"/>
                        </w14:solidFill>
                      </w14:textFill>
                    </w:rPr>
                    <w:t>开展</w:t>
                  </w:r>
                </w:p>
              </w:tc>
            </w:tr>
            <w:tr w14:paraId="30729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14:paraId="611BEEB2">
                  <w:pPr>
                    <w:pStyle w:val="221"/>
                    <w:rPr>
                      <w:color w:val="000000" w:themeColor="text1"/>
                      <w14:textFill>
                        <w14:solidFill>
                          <w14:schemeClr w14:val="tx1"/>
                        </w14:solidFill>
                      </w14:textFill>
                    </w:rPr>
                  </w:pPr>
                  <w:r>
                    <w:rPr>
                      <w:color w:val="000000" w:themeColor="text1"/>
                      <w14:textFill>
                        <w14:solidFill>
                          <w14:schemeClr w14:val="tx1"/>
                        </w14:solidFill>
                      </w14:textFill>
                    </w:rPr>
                    <w:t>生态</w:t>
                  </w:r>
                </w:p>
              </w:tc>
              <w:tc>
                <w:tcPr>
                  <w:tcW w:w="3269" w:type="dxa"/>
                  <w:vAlign w:val="center"/>
                </w:tcPr>
                <w:p w14:paraId="291198CB">
                  <w:pPr>
                    <w:pStyle w:val="221"/>
                    <w:rPr>
                      <w:color w:val="000000" w:themeColor="text1"/>
                      <w14:textFill>
                        <w14:solidFill>
                          <w14:schemeClr w14:val="tx1"/>
                        </w14:solidFill>
                      </w14:textFill>
                    </w:rPr>
                  </w:pPr>
                  <w:r>
                    <w:rPr>
                      <w:color w:val="000000" w:themeColor="text1"/>
                      <w14:textFill>
                        <w14:solidFill>
                          <w14:schemeClr w14:val="tx1"/>
                        </w14:solidFill>
                      </w14:textFill>
                    </w:rPr>
                    <w:t>取水口下游500米范围内有重要水生生物的自然产卵场、索饵场、越冬场和洄游通道的新增河道取水的污染类建设项目</w:t>
                  </w:r>
                </w:p>
              </w:tc>
              <w:tc>
                <w:tcPr>
                  <w:tcW w:w="2380" w:type="dxa"/>
                  <w:vAlign w:val="center"/>
                </w:tcPr>
                <w:p w14:paraId="044D7186">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项目无新增用水</w:t>
                  </w:r>
                </w:p>
              </w:tc>
              <w:tc>
                <w:tcPr>
                  <w:tcW w:w="1056" w:type="dxa"/>
                  <w:vAlign w:val="center"/>
                </w:tcPr>
                <w:p w14:paraId="663679D2">
                  <w:pPr>
                    <w:pStyle w:val="221"/>
                    <w:rPr>
                      <w:color w:val="000000" w:themeColor="text1"/>
                      <w14:textFill>
                        <w14:solidFill>
                          <w14:schemeClr w14:val="tx1"/>
                        </w14:solidFill>
                      </w14:textFill>
                    </w:rPr>
                  </w:pPr>
                  <w:r>
                    <w:rPr>
                      <w:color w:val="000000" w:themeColor="text1"/>
                      <w14:textFill>
                        <w14:solidFill>
                          <w14:schemeClr w14:val="tx1"/>
                        </w14:solidFill>
                      </w14:textFill>
                    </w:rPr>
                    <w:t>无需</w:t>
                  </w:r>
                </w:p>
                <w:p w14:paraId="0426C7B0">
                  <w:pPr>
                    <w:pStyle w:val="221"/>
                    <w:rPr>
                      <w:color w:val="000000" w:themeColor="text1"/>
                      <w14:textFill>
                        <w14:solidFill>
                          <w14:schemeClr w14:val="tx1"/>
                        </w14:solidFill>
                      </w14:textFill>
                    </w:rPr>
                  </w:pPr>
                  <w:r>
                    <w:rPr>
                      <w:color w:val="000000" w:themeColor="text1"/>
                      <w14:textFill>
                        <w14:solidFill>
                          <w14:schemeClr w14:val="tx1"/>
                        </w14:solidFill>
                      </w14:textFill>
                    </w:rPr>
                    <w:t>开展</w:t>
                  </w:r>
                </w:p>
              </w:tc>
            </w:tr>
            <w:tr w14:paraId="2F06B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14:paraId="2ED8241B">
                  <w:pPr>
                    <w:pStyle w:val="221"/>
                    <w:rPr>
                      <w:color w:val="000000" w:themeColor="text1"/>
                      <w14:textFill>
                        <w14:solidFill>
                          <w14:schemeClr w14:val="tx1"/>
                        </w14:solidFill>
                      </w14:textFill>
                    </w:rPr>
                  </w:pPr>
                  <w:r>
                    <w:rPr>
                      <w:color w:val="000000" w:themeColor="text1"/>
                      <w14:textFill>
                        <w14:solidFill>
                          <w14:schemeClr w14:val="tx1"/>
                        </w14:solidFill>
                      </w14:textFill>
                    </w:rPr>
                    <w:t>海洋</w:t>
                  </w:r>
                </w:p>
              </w:tc>
              <w:tc>
                <w:tcPr>
                  <w:tcW w:w="3269" w:type="dxa"/>
                  <w:vAlign w:val="center"/>
                </w:tcPr>
                <w:p w14:paraId="0E1BE60E">
                  <w:pPr>
                    <w:pStyle w:val="221"/>
                    <w:rPr>
                      <w:color w:val="000000" w:themeColor="text1"/>
                      <w14:textFill>
                        <w14:solidFill>
                          <w14:schemeClr w14:val="tx1"/>
                        </w14:solidFill>
                      </w14:textFill>
                    </w:rPr>
                  </w:pPr>
                  <w:r>
                    <w:rPr>
                      <w:color w:val="000000" w:themeColor="text1"/>
                      <w14:textFill>
                        <w14:solidFill>
                          <w14:schemeClr w14:val="tx1"/>
                        </w14:solidFill>
                      </w14:textFill>
                    </w:rPr>
                    <w:t>直接向海排放污染物的海洋工程建设项目</w:t>
                  </w:r>
                </w:p>
              </w:tc>
              <w:tc>
                <w:tcPr>
                  <w:tcW w:w="2380" w:type="dxa"/>
                  <w:vAlign w:val="center"/>
                </w:tcPr>
                <w:p w14:paraId="5A0A00CC">
                  <w:pPr>
                    <w:pStyle w:val="221"/>
                    <w:rPr>
                      <w:color w:val="000000" w:themeColor="text1"/>
                      <w14:textFill>
                        <w14:solidFill>
                          <w14:schemeClr w14:val="tx1"/>
                        </w14:solidFill>
                      </w14:textFill>
                    </w:rPr>
                  </w:pPr>
                  <w:r>
                    <w:rPr>
                      <w:color w:val="000000" w:themeColor="text1"/>
                      <w14:textFill>
                        <w14:solidFill>
                          <w14:schemeClr w14:val="tx1"/>
                        </w14:solidFill>
                      </w14:textFill>
                    </w:rPr>
                    <w:t>本项目不属于海洋工程建设项目</w:t>
                  </w:r>
                </w:p>
              </w:tc>
              <w:tc>
                <w:tcPr>
                  <w:tcW w:w="1056" w:type="dxa"/>
                  <w:vAlign w:val="center"/>
                </w:tcPr>
                <w:p w14:paraId="59BFB453">
                  <w:pPr>
                    <w:pStyle w:val="221"/>
                    <w:rPr>
                      <w:color w:val="000000" w:themeColor="text1"/>
                      <w14:textFill>
                        <w14:solidFill>
                          <w14:schemeClr w14:val="tx1"/>
                        </w14:solidFill>
                      </w14:textFill>
                    </w:rPr>
                  </w:pPr>
                  <w:r>
                    <w:rPr>
                      <w:color w:val="000000" w:themeColor="text1"/>
                      <w14:textFill>
                        <w14:solidFill>
                          <w14:schemeClr w14:val="tx1"/>
                        </w14:solidFill>
                      </w14:textFill>
                    </w:rPr>
                    <w:t>无需</w:t>
                  </w:r>
                </w:p>
                <w:p w14:paraId="73205599">
                  <w:pPr>
                    <w:pStyle w:val="221"/>
                    <w:rPr>
                      <w:color w:val="000000" w:themeColor="text1"/>
                      <w14:textFill>
                        <w14:solidFill>
                          <w14:schemeClr w14:val="tx1"/>
                        </w14:solidFill>
                      </w14:textFill>
                    </w:rPr>
                  </w:pPr>
                  <w:r>
                    <w:rPr>
                      <w:color w:val="000000" w:themeColor="text1"/>
                      <w14:textFill>
                        <w14:solidFill>
                          <w14:schemeClr w14:val="tx1"/>
                        </w14:solidFill>
                      </w14:textFill>
                    </w:rPr>
                    <w:t>开展</w:t>
                  </w:r>
                </w:p>
              </w:tc>
            </w:tr>
          </w:tbl>
          <w:p w14:paraId="062797D1">
            <w:pPr>
              <w:pStyle w:val="14"/>
              <w:widowControl w:val="0"/>
              <w:topLinePunct/>
              <w:ind w:firstLine="0" w:firstLineChars="0"/>
              <w:rPr>
                <w:rFonts w:ascii="Times New Roman" w:hAnsi="Times New Roman" w:eastAsia="宋体" w:cs="Times New Roman"/>
                <w:color w:val="000000" w:themeColor="text1"/>
                <w:sz w:val="21"/>
                <w:szCs w:val="21"/>
                <w14:textFill>
                  <w14:solidFill>
                    <w14:schemeClr w14:val="tx1"/>
                  </w14:solidFill>
                </w14:textFill>
              </w:rPr>
            </w:pPr>
          </w:p>
        </w:tc>
      </w:tr>
      <w:tr w14:paraId="557DF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138" w:type="dxa"/>
            <w:vAlign w:val="center"/>
          </w:tcPr>
          <w:p w14:paraId="75F6B5D5">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规划情况</w:t>
            </w:r>
          </w:p>
        </w:tc>
        <w:tc>
          <w:tcPr>
            <w:tcW w:w="7936" w:type="dxa"/>
            <w:gridSpan w:val="3"/>
            <w:vAlign w:val="center"/>
          </w:tcPr>
          <w:p w14:paraId="37D8325A">
            <w:pPr>
              <w:widowControl w:val="0"/>
              <w:topLinePunct/>
              <w:spacing w:after="0" w:line="360" w:lineRule="auto"/>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规划文件名称：《福清融侨经济技术开发区总体规划（2018-2035年）》</w:t>
            </w:r>
          </w:p>
          <w:p w14:paraId="76B9D875">
            <w:pPr>
              <w:widowControl w:val="0"/>
              <w:topLinePunct/>
              <w:spacing w:after="0" w:line="360" w:lineRule="auto"/>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审批机关：福清市人民政府</w:t>
            </w:r>
          </w:p>
          <w:p w14:paraId="1F620E21">
            <w:pPr>
              <w:widowControl w:val="0"/>
              <w:topLinePunct/>
              <w:spacing w:after="0" w:line="360" w:lineRule="auto"/>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审批文件名称及文号：《福清市人民政府关于同意融侨经济技术开发区总体规划（2018-2035年）编制范围的批复》（融政综〔2019〕189号）</w:t>
            </w:r>
          </w:p>
        </w:tc>
      </w:tr>
      <w:tr w14:paraId="51B1B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138" w:type="dxa"/>
            <w:vAlign w:val="center"/>
          </w:tcPr>
          <w:p w14:paraId="349519BE">
            <w:pPr>
              <w:widowControl w:val="0"/>
              <w:topLinePunct/>
              <w:adjustRightInd w:val="0"/>
              <w:snapToGrid w:val="0"/>
              <w:spacing w:after="0" w:line="36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规划环境影响评价情况</w:t>
            </w:r>
          </w:p>
        </w:tc>
        <w:tc>
          <w:tcPr>
            <w:tcW w:w="7936" w:type="dxa"/>
            <w:gridSpan w:val="3"/>
            <w:vAlign w:val="center"/>
          </w:tcPr>
          <w:p w14:paraId="49F3C732">
            <w:pPr>
              <w:widowControl w:val="0"/>
              <w:topLinePunct/>
              <w:spacing w:after="0" w:line="360" w:lineRule="auto"/>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规划环评名称：《福清融侨经济技术开发区总体规划环境影响报告书（2018-2035年）》</w:t>
            </w:r>
          </w:p>
          <w:p w14:paraId="5B953986">
            <w:pPr>
              <w:widowControl w:val="0"/>
              <w:topLinePunct/>
              <w:spacing w:after="0" w:line="360" w:lineRule="auto"/>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召集审查机关：中华人民共和国生态环境部</w:t>
            </w:r>
          </w:p>
          <w:p w14:paraId="36E2935C">
            <w:pPr>
              <w:widowControl w:val="0"/>
              <w:topLinePunct/>
              <w:spacing w:after="0" w:line="360" w:lineRule="auto"/>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审批文件名称及文号：《关于印发&lt;福清融侨经济技术开发区总体规划环境影响报告书（2018-2035年）&gt;的审查意见》（环审〔2020〕80号）</w:t>
            </w:r>
          </w:p>
        </w:tc>
      </w:tr>
      <w:tr w14:paraId="18633C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138" w:type="dxa"/>
            <w:vAlign w:val="center"/>
          </w:tcPr>
          <w:p w14:paraId="4C9F0431">
            <w:pPr>
              <w:widowControl w:val="0"/>
              <w:topLinePunct/>
              <w:adjustRightInd w:val="0"/>
              <w:snapToGrid w:val="0"/>
              <w:spacing w:after="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规划及规划环境影响评价符合性分析</w:t>
            </w:r>
          </w:p>
        </w:tc>
        <w:tc>
          <w:tcPr>
            <w:tcW w:w="7936" w:type="dxa"/>
            <w:gridSpan w:val="3"/>
            <w:vAlign w:val="center"/>
          </w:tcPr>
          <w:p w14:paraId="6B355D47">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本项目位于福清融侨经济技术开发区</w:t>
            </w:r>
            <w:r>
              <w:rPr>
                <w:rFonts w:hint="eastAsia" w:cs="Calibri"/>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福建中能电气有限公司3#车间</w:t>
            </w:r>
            <w:r>
              <w:rPr>
                <w:rFonts w:hint="eastAsia" w:cs="Calibri"/>
                <w:color w:val="000000" w:themeColor="text1"/>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属福清融侨经济开发区范围内。因此本项目进行与《福清融侨经济技术开发区总体规划（2018-2035年）》相符性分析以及与《关于印发&lt;福清融侨经济技术开发区总体规划环境影响报告书（2018-2035年）&gt;的审查意见》（环审〔2020〕80号）相符性分析。</w:t>
            </w:r>
          </w:p>
          <w:p w14:paraId="6C25EF54">
            <w:pPr>
              <w:widowControl w:val="0"/>
              <w:topLinePunct/>
              <w:spacing w:after="0" w:line="360" w:lineRule="auto"/>
              <w:jc w:val="both"/>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一、与《福清融侨经济技术开发区总体规划（2018-2035年）》相符性分析</w:t>
            </w:r>
          </w:p>
          <w:p w14:paraId="31353803">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根据《福清融侨经济技术开发区总体规划(2018-2035年)》的“产业发展-第二十二条构建“3+1”的产业体系：</w:t>
            </w:r>
          </w:p>
          <w:p w14:paraId="73AB7BAF">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1、三大支柱产业</w:t>
            </w:r>
          </w:p>
          <w:p w14:paraId="61ED33B6">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电子信息产业：显示科技、云计算、电子元器件、光电科技、计算机与智能终端设备等。</w:t>
            </w:r>
          </w:p>
          <w:p w14:paraId="1F7443DD">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精密汽车部件产业：汽车电气电子装置、动力传动装置、汽车轴承、新能源动力电池等。</w:t>
            </w:r>
          </w:p>
          <w:p w14:paraId="489CA650">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光学产业：光学部件、光通讯技术、电子光学、虚拟现实装置等在三大支柱产业基础之上，完善与其相关的配套产业。</w:t>
            </w:r>
          </w:p>
          <w:p w14:paraId="620B5C5D">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2、一项新兴产业</w:t>
            </w:r>
          </w:p>
          <w:p w14:paraId="5BC9BD82">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现代服务业：金融商务、总部经济、科技研发、文化创意、物流展销都市型产业与服务型制造业。</w:t>
            </w:r>
          </w:p>
          <w:p w14:paraId="72CB2784">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本项目位于福建省福清融侨经济技术开发区</w:t>
            </w:r>
            <w:r>
              <w:rPr>
                <w:rFonts w:hint="eastAsia" w:ascii="Times New Roman" w:hAnsi="Times New Roman" w:eastAsia="宋体" w:cs="Times New Roman"/>
                <w:color w:val="000000" w:themeColor="text1"/>
                <w:szCs w:val="24"/>
                <w14:textFill>
                  <w14:solidFill>
                    <w14:schemeClr w14:val="tx1"/>
                  </w14:solidFill>
                </w14:textFill>
              </w:rPr>
              <w:t>(福建中能电气有限公司3#车间)，全厂用地分为三个地块，本项目使用的3#车间位于A地块（产权证编号：闽（2020）福清市不动产第0004954），</w:t>
            </w:r>
            <w:r>
              <w:rPr>
                <w:rFonts w:ascii="Times New Roman" w:hAnsi="Times New Roman" w:eastAsia="宋体" w:cs="Times New Roman"/>
                <w:color w:val="000000" w:themeColor="text1"/>
                <w:szCs w:val="24"/>
                <w14:textFill>
                  <w14:solidFill>
                    <w14:schemeClr w14:val="tx1"/>
                  </w14:solidFill>
                </w14:textFill>
              </w:rPr>
              <w:t>项目</w:t>
            </w:r>
            <w:r>
              <w:rPr>
                <w:rFonts w:hint="eastAsia" w:ascii="Times New Roman" w:hAnsi="Times New Roman" w:eastAsia="宋体" w:cs="Times New Roman"/>
                <w:color w:val="000000" w:themeColor="text1"/>
                <w:szCs w:val="24"/>
                <w14:textFill>
                  <w14:solidFill>
                    <w14:schemeClr w14:val="tx1"/>
                  </w14:solidFill>
                </w14:textFill>
              </w:rPr>
              <w:t>产权证</w:t>
            </w:r>
            <w:r>
              <w:rPr>
                <w:rFonts w:ascii="Times New Roman" w:hAnsi="Times New Roman" w:eastAsia="宋体" w:cs="Times New Roman"/>
                <w:color w:val="000000" w:themeColor="text1"/>
                <w:szCs w:val="24"/>
                <w14:textFill>
                  <w14:solidFill>
                    <w14:schemeClr w14:val="tx1"/>
                  </w14:solidFill>
                </w14:textFill>
              </w:rPr>
              <w:t>见附件</w:t>
            </w:r>
            <w:r>
              <w:rPr>
                <w:rFonts w:hint="eastAsia" w:ascii="Times New Roman" w:hAnsi="Times New Roman" w:eastAsia="宋体" w:cs="Times New Roman"/>
                <w:color w:val="000000" w:themeColor="text1"/>
                <w:szCs w:val="24"/>
                <w14:textFill>
                  <w14:solidFill>
                    <w14:schemeClr w14:val="tx1"/>
                  </w14:solidFill>
                </w14:textFill>
              </w:rPr>
              <w:t>6</w:t>
            </w:r>
            <w:r>
              <w:rPr>
                <w:rFonts w:ascii="Times New Roman" w:hAnsi="Times New Roman" w:eastAsia="宋体" w:cs="Times New Roman"/>
                <w:color w:val="000000" w:themeColor="text1"/>
                <w:szCs w:val="24"/>
                <w14:textFill>
                  <w14:solidFill>
                    <w14:schemeClr w14:val="tx1"/>
                  </w14:solidFill>
                </w14:textFill>
              </w:rPr>
              <w:t>，项目建设用地性质</w:t>
            </w:r>
            <w:r>
              <w:rPr>
                <w:rFonts w:hint="eastAsia" w:ascii="Times New Roman" w:hAnsi="Times New Roman" w:eastAsia="宋体" w:cs="Times New Roman"/>
                <w:color w:val="000000" w:themeColor="text1"/>
                <w:szCs w:val="24"/>
                <w14:textFill>
                  <w14:solidFill>
                    <w14:schemeClr w14:val="tx1"/>
                  </w14:solidFill>
                </w14:textFill>
              </w:rPr>
              <w:t>均</w:t>
            </w:r>
            <w:r>
              <w:rPr>
                <w:rFonts w:ascii="Times New Roman" w:hAnsi="Times New Roman" w:eastAsia="宋体" w:cs="Times New Roman"/>
                <w:color w:val="000000" w:themeColor="text1"/>
                <w:szCs w:val="24"/>
                <w14:textFill>
                  <w14:solidFill>
                    <w14:schemeClr w14:val="tx1"/>
                  </w14:solidFill>
                </w14:textFill>
              </w:rPr>
              <w:t>为工业用地</w:t>
            </w:r>
            <w:r>
              <w:rPr>
                <w:rFonts w:hint="eastAsia" w:ascii="Times New Roman" w:hAnsi="Times New Roman" w:eastAsia="宋体" w:cs="Times New Roman"/>
                <w:color w:val="000000" w:themeColor="text1"/>
                <w:szCs w:val="24"/>
                <w14:textFill>
                  <w14:solidFill>
                    <w14:schemeClr w14:val="tx1"/>
                  </w14:solidFill>
                </w14:textFill>
              </w:rPr>
              <w:t>；同时根据《融侨经济技术开发区总体规划(2018-2023年)图》，扩建项目用地属于工业用地(详见附图5)，符合用地规划。</w:t>
            </w:r>
          </w:p>
          <w:p w14:paraId="27E2FDD7">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本项目主要属于金属结构制造、</w:t>
            </w:r>
            <w:r>
              <w:rPr>
                <w:rFonts w:ascii="Times New Roman" w:hAnsi="Times New Roman" w:eastAsia="宋体" w:cs="Times New Roman"/>
                <w:color w:val="000000" w:themeColor="text1"/>
                <w:szCs w:val="24"/>
                <w14:textFill>
                  <w14:solidFill>
                    <w14:schemeClr w14:val="tx1"/>
                  </w14:solidFill>
                </w14:textFill>
              </w:rPr>
              <w:t>其他电池制造</w:t>
            </w:r>
            <w:r>
              <w:rPr>
                <w:rFonts w:hint="eastAsia" w:ascii="Times New Roman" w:hAnsi="Times New Roman" w:eastAsia="宋体" w:cs="Times New Roman"/>
                <w:color w:val="000000" w:themeColor="text1"/>
                <w:szCs w:val="24"/>
                <w14:textFill>
                  <w14:solidFill>
                    <w14:schemeClr w14:val="tx1"/>
                  </w14:solidFill>
                </w14:textFill>
              </w:rPr>
              <w:t>，最终产品为输配电及控制设备，属于三大支柱产业基础的相关配套产业，因此项目选址和产业定位符合《福清融侨经济技术开发区总体规划(2018-2035年)》要求。</w:t>
            </w:r>
          </w:p>
          <w:p w14:paraId="312ADF2E">
            <w:pPr>
              <w:widowControl w:val="0"/>
              <w:topLinePunct/>
              <w:spacing w:after="0" w:line="360" w:lineRule="auto"/>
              <w:jc w:val="both"/>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二、与《关于印发&lt;福清融侨经济技术开发区总体规划环境影响报告书（2018-2035年）&gt;的审查意见》（环审〔2020〕80号）相符性分析</w:t>
            </w:r>
          </w:p>
          <w:p w14:paraId="437CAD54">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根据《福清融侨经济技术开发区总体规划环境影响报告书(2018-2035年)》中规划区主导产业环境准入清单及其审查意见(环审[2020180号)，融侨经济技术开发区主要以电子信息：显示科技、光电科技、电子元器件、通讯设备、计算机与智能终端设备等。机械电气：数控机床、精密磨具、光机电一体化等。汽车零配件：汽配玻璃、汽车零部件、变速器、汽车轴承等。根据开发区对主导产业发展方向的定位，对照《国民经济行业分类》（GB/T4754-2017），主导行业涉及国民经济类别主要包括C29、C304、</w:t>
            </w:r>
            <w:r>
              <w:rPr>
                <w:rFonts w:hint="eastAsia" w:ascii="Times New Roman" w:hAnsi="Times New Roman" w:eastAsia="宋体" w:cs="Times New Roman"/>
                <w:b/>
                <w:bCs/>
                <w:color w:val="000000" w:themeColor="text1"/>
                <w:szCs w:val="24"/>
                <w14:textFill>
                  <w14:solidFill>
                    <w14:schemeClr w14:val="tx1"/>
                  </w14:solidFill>
                </w14:textFill>
              </w:rPr>
              <w:t>C33</w:t>
            </w:r>
            <w:r>
              <w:rPr>
                <w:rFonts w:hint="eastAsia" w:ascii="Times New Roman" w:hAnsi="Times New Roman" w:eastAsia="宋体" w:cs="Times New Roman"/>
                <w:color w:val="000000" w:themeColor="text1"/>
                <w:szCs w:val="24"/>
                <w14:textFill>
                  <w14:solidFill>
                    <w14:schemeClr w14:val="tx1"/>
                  </w14:solidFill>
                </w14:textFill>
              </w:rPr>
              <w:t>、C34、C35、C36、</w:t>
            </w:r>
            <w:r>
              <w:rPr>
                <w:rFonts w:hint="eastAsia" w:ascii="Times New Roman" w:hAnsi="Times New Roman" w:eastAsia="宋体" w:cs="Times New Roman"/>
                <w:b/>
                <w:bCs/>
                <w:color w:val="000000" w:themeColor="text1"/>
                <w:szCs w:val="24"/>
                <w14:textFill>
                  <w14:solidFill>
                    <w14:schemeClr w14:val="tx1"/>
                  </w14:solidFill>
                </w14:textFill>
              </w:rPr>
              <w:t>C38</w:t>
            </w:r>
            <w:r>
              <w:rPr>
                <w:rFonts w:hint="eastAsia" w:ascii="Times New Roman" w:hAnsi="Times New Roman" w:eastAsia="宋体" w:cs="Times New Roman"/>
                <w:color w:val="000000" w:themeColor="text1"/>
                <w:szCs w:val="24"/>
                <w14:textFill>
                  <w14:solidFill>
                    <w14:schemeClr w14:val="tx1"/>
                  </w14:solidFill>
                </w14:textFill>
              </w:rPr>
              <w:t>、C39、C40。禁止新建含电镀工艺、冶炼工艺、电解铝的项目，现有生产能力一定期限内搬迁；包装印刷业禁止使用不符合环保要求的油墨、胶黏剂。</w:t>
            </w:r>
          </w:p>
          <w:p w14:paraId="3C5421C6">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本项目属于C3311</w:t>
            </w:r>
            <w:r>
              <w:rPr>
                <w:rFonts w:ascii="Times New Roman" w:hAnsi="Times New Roman" w:eastAsia="宋体" w:cs="Times New Roman"/>
                <w:color w:val="000000" w:themeColor="text1"/>
                <w:szCs w:val="24"/>
                <w14:textFill>
                  <w14:solidFill>
                    <w14:schemeClr w14:val="tx1"/>
                  </w14:solidFill>
                </w14:textFill>
              </w:rPr>
              <w:t>金属结构制造</w:t>
            </w:r>
            <w:r>
              <w:rPr>
                <w:rFonts w:hint="eastAsia" w:ascii="Times New Roman" w:hAnsi="Times New Roman" w:eastAsia="宋体" w:cs="Times New Roman"/>
                <w:color w:val="000000" w:themeColor="text1"/>
                <w:szCs w:val="24"/>
                <w14:textFill>
                  <w14:solidFill>
                    <w14:schemeClr w14:val="tx1"/>
                  </w14:solidFill>
                </w14:textFill>
              </w:rPr>
              <w:t>、C3849</w:t>
            </w:r>
            <w:r>
              <w:rPr>
                <w:rFonts w:ascii="Times New Roman" w:hAnsi="Times New Roman" w:eastAsia="宋体" w:cs="Times New Roman"/>
                <w:color w:val="000000" w:themeColor="text1"/>
                <w:szCs w:val="24"/>
                <w14:textFill>
                  <w14:solidFill>
                    <w14:schemeClr w14:val="tx1"/>
                  </w14:solidFill>
                </w14:textFill>
              </w:rPr>
              <w:t>其他电池制造</w:t>
            </w:r>
            <w:r>
              <w:rPr>
                <w:rFonts w:hint="eastAsia" w:ascii="Times New Roman" w:hAnsi="Times New Roman" w:eastAsia="宋体" w:cs="Times New Roman"/>
                <w:color w:val="000000" w:themeColor="text1"/>
                <w:szCs w:val="24"/>
                <w14:textFill>
                  <w14:solidFill>
                    <w14:schemeClr w14:val="tx1"/>
                  </w14:solidFill>
                </w14:textFill>
              </w:rPr>
              <w:t>，是开发区内主导行业，符合开发区对主导产业发展方向的定位要求。</w:t>
            </w:r>
          </w:p>
          <w:p w14:paraId="16D5A4C1">
            <w:pPr>
              <w:widowControl w:val="0"/>
              <w:topLinePunct/>
              <w:spacing w:after="0" w:line="360" w:lineRule="auto"/>
              <w:ind w:firstLine="480" w:firstLineChars="200"/>
              <w:jc w:val="both"/>
              <w:rPr>
                <w:rFonts w:ascii="Times New Roman" w:hAnsi="Times New Roman" w:eastAsia="宋体" w:cs="Times New Roman"/>
                <w:bCs/>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本次扩建项目</w:t>
            </w:r>
            <w:r>
              <w:rPr>
                <w:rFonts w:ascii="Times New Roman" w:hAnsi="Times New Roman" w:eastAsia="宋体" w:cs="Times New Roman"/>
                <w:bCs/>
                <w:color w:val="000000" w:themeColor="text1"/>
                <w:szCs w:val="24"/>
                <w14:textFill>
                  <w14:solidFill>
                    <w14:schemeClr w14:val="tx1"/>
                  </w14:solidFill>
                </w14:textFill>
              </w:rPr>
              <w:t>与规划区配套及其他行业环境准入清单符合性分析见表1.1-2。</w:t>
            </w:r>
          </w:p>
          <w:p w14:paraId="5C8B5951">
            <w:pPr>
              <w:pStyle w:val="222"/>
              <w:spacing w:before="120"/>
              <w:rPr>
                <w:color w:val="000000" w:themeColor="text1"/>
                <w:sz w:val="21"/>
                <w:szCs w:val="21"/>
                <w14:textFill>
                  <w14:solidFill>
                    <w14:schemeClr w14:val="tx1"/>
                  </w14:solidFill>
                </w14:textFill>
              </w:rPr>
            </w:pPr>
            <w:r>
              <w:rPr>
                <w:color w:val="000000" w:themeColor="text1"/>
                <w14:textFill>
                  <w14:solidFill>
                    <w14:schemeClr w14:val="tx1"/>
                  </w14:solidFill>
                </w14:textFill>
              </w:rPr>
              <w:t>表1.1-2 与规划环评、审查意见中环境准入清单符合性分析表</w:t>
            </w:r>
          </w:p>
          <w:tbl>
            <w:tblPr>
              <w:tblStyle w:val="38"/>
              <w:tblW w:w="77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5"/>
              <w:gridCol w:w="599"/>
              <w:gridCol w:w="2872"/>
              <w:gridCol w:w="3182"/>
              <w:gridCol w:w="482"/>
            </w:tblGrid>
            <w:tr w14:paraId="3741D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20" w:type="dxa"/>
                  <w:gridSpan w:val="5"/>
                  <w:tcBorders>
                    <w:tl2br w:val="nil"/>
                    <w:tr2bl w:val="nil"/>
                  </w:tcBorders>
                  <w:vAlign w:val="center"/>
                </w:tcPr>
                <w:p w14:paraId="42CB6005">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一、规划环评中规划区环境准入条件</w:t>
                  </w:r>
                </w:p>
              </w:tc>
            </w:tr>
            <w:tr w14:paraId="65138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tcBorders>
                    <w:tl2br w:val="nil"/>
                    <w:tr2bl w:val="nil"/>
                  </w:tcBorders>
                  <w:vAlign w:val="center"/>
                </w:tcPr>
                <w:p w14:paraId="00D429C2">
                  <w:pPr>
                    <w:pStyle w:val="221"/>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类别名称</w:t>
                  </w:r>
                </w:p>
              </w:tc>
              <w:tc>
                <w:tcPr>
                  <w:tcW w:w="3471" w:type="dxa"/>
                  <w:gridSpan w:val="2"/>
                  <w:tcBorders>
                    <w:tl2br w:val="nil"/>
                    <w:tr2bl w:val="nil"/>
                  </w:tcBorders>
                  <w:vAlign w:val="center"/>
                </w:tcPr>
                <w:p w14:paraId="0121F601">
                  <w:pPr>
                    <w:pStyle w:val="221"/>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产业准入条件</w:t>
                  </w:r>
                </w:p>
              </w:tc>
              <w:tc>
                <w:tcPr>
                  <w:tcW w:w="3182" w:type="dxa"/>
                  <w:tcBorders>
                    <w:tl2br w:val="nil"/>
                    <w:tr2bl w:val="nil"/>
                  </w:tcBorders>
                  <w:vAlign w:val="center"/>
                </w:tcPr>
                <w:p w14:paraId="0D6DA64F">
                  <w:pPr>
                    <w:pStyle w:val="221"/>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w:t>
                  </w:r>
                </w:p>
              </w:tc>
              <w:tc>
                <w:tcPr>
                  <w:tcW w:w="482" w:type="dxa"/>
                  <w:tcBorders>
                    <w:tl2br w:val="nil"/>
                    <w:tr2bl w:val="nil"/>
                  </w:tcBorders>
                  <w:vAlign w:val="center"/>
                </w:tcPr>
                <w:p w14:paraId="1E02426C">
                  <w:pPr>
                    <w:pStyle w:val="193"/>
                    <w:widowControl w:val="0"/>
                    <w:topLinePunct/>
                    <w:spacing w:before="0" w:beforeLines="0" w:after="0" w:afterLines="0" w:line="240" w:lineRule="auto"/>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符合性</w:t>
                  </w:r>
                </w:p>
              </w:tc>
            </w:tr>
            <w:tr w14:paraId="16C53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tcBorders>
                    <w:tl2br w:val="nil"/>
                    <w:tr2bl w:val="nil"/>
                  </w:tcBorders>
                  <w:vAlign w:val="center"/>
                </w:tcPr>
                <w:p w14:paraId="55E3F311">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产业导向</w:t>
                  </w:r>
                </w:p>
              </w:tc>
              <w:tc>
                <w:tcPr>
                  <w:tcW w:w="3471" w:type="dxa"/>
                  <w:gridSpan w:val="2"/>
                  <w:tcBorders>
                    <w:tl2br w:val="nil"/>
                    <w:tr2bl w:val="nil"/>
                  </w:tcBorders>
                  <w:vAlign w:val="center"/>
                </w:tcPr>
                <w:p w14:paraId="5D75AAF8">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1、符合国家及地方产业政策；2、符合所属行业有关发展规划</w:t>
                  </w:r>
                </w:p>
              </w:tc>
              <w:tc>
                <w:tcPr>
                  <w:tcW w:w="3182" w:type="dxa"/>
                  <w:tcBorders>
                    <w:tl2br w:val="nil"/>
                    <w:tr2bl w:val="nil"/>
                  </w:tcBorders>
                  <w:vAlign w:val="center"/>
                </w:tcPr>
                <w:p w14:paraId="3339FF6B">
                  <w:pPr>
                    <w:pStyle w:val="221"/>
                    <w:rPr>
                      <w:color w:val="000000" w:themeColor="text1"/>
                      <w:szCs w:val="21"/>
                      <w14:textFill>
                        <w14:solidFill>
                          <w14:schemeClr w14:val="tx1"/>
                        </w14:solidFill>
                      </w14:textFill>
                    </w:rPr>
                  </w:pPr>
                  <w:r>
                    <w:rPr>
                      <w:color w:val="000000" w:themeColor="text1"/>
                      <w:spacing w:val="9"/>
                      <w:szCs w:val="21"/>
                      <w14:textFill>
                        <w14:solidFill>
                          <w14:schemeClr w14:val="tx1"/>
                        </w14:solidFill>
                      </w14:textFill>
                    </w:rPr>
                    <w:t>本项目符合国家及地方产业政策、行业有关发展规划，已获得备案（</w:t>
                  </w:r>
                  <w:r>
                    <w:rPr>
                      <w:rFonts w:hint="eastAsia"/>
                      <w:color w:val="000000" w:themeColor="text1"/>
                      <w:spacing w:val="9"/>
                      <w:szCs w:val="21"/>
                      <w14:textFill>
                        <w14:solidFill>
                          <w14:schemeClr w14:val="tx1"/>
                        </w14:solidFill>
                      </w14:textFill>
                    </w:rPr>
                    <w:t>闽工信备[2025]A060070号</w:t>
                  </w:r>
                  <w:r>
                    <w:rPr>
                      <w:color w:val="000000" w:themeColor="text1"/>
                      <w:spacing w:val="4"/>
                      <w:position w:val="2"/>
                      <w:szCs w:val="21"/>
                      <w14:textFill>
                        <w14:solidFill>
                          <w14:schemeClr w14:val="tx1"/>
                        </w14:solidFill>
                      </w14:textFill>
                    </w:rPr>
                    <w:t>）</w:t>
                  </w:r>
                </w:p>
              </w:tc>
              <w:tc>
                <w:tcPr>
                  <w:tcW w:w="482" w:type="dxa"/>
                  <w:tcBorders>
                    <w:tl2br w:val="nil"/>
                    <w:tr2bl w:val="nil"/>
                  </w:tcBorders>
                  <w:vAlign w:val="center"/>
                </w:tcPr>
                <w:p w14:paraId="6C0ED759">
                  <w:pPr>
                    <w:pStyle w:val="193"/>
                    <w:widowControl w:val="0"/>
                    <w:topLinePunct/>
                    <w:spacing w:before="0" w:beforeLines="0" w:after="0" w:afterLines="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6E9E0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tcBorders>
                    <w:tl2br w:val="nil"/>
                    <w:tr2bl w:val="nil"/>
                  </w:tcBorders>
                  <w:vAlign w:val="center"/>
                </w:tcPr>
                <w:p w14:paraId="5EE046E5">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规划选址</w:t>
                  </w:r>
                </w:p>
              </w:tc>
              <w:tc>
                <w:tcPr>
                  <w:tcW w:w="3471" w:type="dxa"/>
                  <w:gridSpan w:val="2"/>
                  <w:tcBorders>
                    <w:tl2br w:val="nil"/>
                    <w:tr2bl w:val="nil"/>
                  </w:tcBorders>
                  <w:vAlign w:val="center"/>
                </w:tcPr>
                <w:p w14:paraId="424E4D8F">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选址符合规划区范围内各单元控制性详细规划</w:t>
                  </w:r>
                </w:p>
              </w:tc>
              <w:tc>
                <w:tcPr>
                  <w:tcW w:w="3182" w:type="dxa"/>
                  <w:tcBorders>
                    <w:tl2br w:val="nil"/>
                    <w:tr2bl w:val="nil"/>
                  </w:tcBorders>
                  <w:vAlign w:val="center"/>
                </w:tcPr>
                <w:p w14:paraId="2BFEA1DF">
                  <w:pPr>
                    <w:pStyle w:val="221"/>
                    <w:rPr>
                      <w:color w:val="000000" w:themeColor="text1"/>
                      <w:spacing w:val="9"/>
                      <w:szCs w:val="21"/>
                      <w14:textFill>
                        <w14:solidFill>
                          <w14:schemeClr w14:val="tx1"/>
                        </w14:solidFill>
                      </w14:textFill>
                    </w:rPr>
                  </w:pPr>
                  <w:r>
                    <w:rPr>
                      <w:color w:val="000000" w:themeColor="text1"/>
                      <w:spacing w:val="9"/>
                      <w:szCs w:val="21"/>
                      <w14:textFill>
                        <w14:solidFill>
                          <w14:schemeClr w14:val="tx1"/>
                        </w14:solidFill>
                      </w14:textFill>
                    </w:rPr>
                    <w:t>项目位于福清融侨经济技术开发区</w:t>
                  </w:r>
                  <w:r>
                    <w:rPr>
                      <w:rFonts w:hint="eastAsia" w:cs="Calibri"/>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福建中能电气有限公司3#车间</w:t>
                  </w:r>
                  <w:r>
                    <w:rPr>
                      <w:rFonts w:hint="eastAsia" w:cs="Calibri"/>
                      <w:color w:val="000000" w:themeColor="text1"/>
                      <w:szCs w:val="21"/>
                      <w14:textFill>
                        <w14:solidFill>
                          <w14:schemeClr w14:val="tx1"/>
                        </w14:solidFill>
                      </w14:textFill>
                    </w:rPr>
                    <w:t>)</w:t>
                  </w:r>
                  <w:r>
                    <w:rPr>
                      <w:color w:val="000000" w:themeColor="text1"/>
                      <w:spacing w:val="9"/>
                      <w:szCs w:val="21"/>
                      <w14:textFill>
                        <w14:solidFill>
                          <w14:schemeClr w14:val="tx1"/>
                        </w14:solidFill>
                      </w14:textFill>
                    </w:rPr>
                    <w:t>，</w:t>
                  </w:r>
                  <w:r>
                    <w:rPr>
                      <w:rFonts w:hint="eastAsia"/>
                      <w:color w:val="000000" w:themeColor="text1"/>
                      <w:spacing w:val="9"/>
                      <w:szCs w:val="21"/>
                      <w14:textFill>
                        <w14:solidFill>
                          <w14:schemeClr w14:val="tx1"/>
                        </w14:solidFill>
                      </w14:textFill>
                    </w:rPr>
                    <w:t>符合福清融侨经济技术开发区的用地规划</w:t>
                  </w:r>
                </w:p>
              </w:tc>
              <w:tc>
                <w:tcPr>
                  <w:tcW w:w="482" w:type="dxa"/>
                  <w:tcBorders>
                    <w:tl2br w:val="nil"/>
                    <w:tr2bl w:val="nil"/>
                  </w:tcBorders>
                  <w:vAlign w:val="center"/>
                </w:tcPr>
                <w:p w14:paraId="2DD4907B">
                  <w:pPr>
                    <w:pStyle w:val="193"/>
                    <w:widowControl w:val="0"/>
                    <w:topLinePunct/>
                    <w:spacing w:before="0" w:beforeLines="0" w:after="0" w:afterLines="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55997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tcBorders>
                    <w:tl2br w:val="nil"/>
                    <w:tr2bl w:val="nil"/>
                  </w:tcBorders>
                  <w:vAlign w:val="center"/>
                </w:tcPr>
                <w:p w14:paraId="5F704320">
                  <w:pPr>
                    <w:pStyle w:val="221"/>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清洁生</w:t>
                  </w:r>
                  <w:r>
                    <w:rPr>
                      <w:color w:val="000000" w:themeColor="text1"/>
                      <w:spacing w:val="1"/>
                      <w:szCs w:val="21"/>
                      <w14:textFill>
                        <w14:solidFill>
                          <w14:schemeClr w14:val="tx1"/>
                        </w14:solidFill>
                      </w14:textFill>
                    </w:rPr>
                    <w:t xml:space="preserve"> </w:t>
                  </w:r>
                  <w:r>
                    <w:rPr>
                      <w:color w:val="000000" w:themeColor="text1"/>
                      <w:szCs w:val="21"/>
                      <w14:textFill>
                        <w14:solidFill>
                          <w14:schemeClr w14:val="tx1"/>
                        </w14:solidFill>
                      </w14:textFill>
                    </w:rPr>
                    <w:t>产</w:t>
                  </w:r>
                </w:p>
              </w:tc>
              <w:tc>
                <w:tcPr>
                  <w:tcW w:w="3471" w:type="dxa"/>
                  <w:gridSpan w:val="2"/>
                  <w:tcBorders>
                    <w:tl2br w:val="nil"/>
                    <w:tr2bl w:val="nil"/>
                  </w:tcBorders>
                  <w:vAlign w:val="center"/>
                </w:tcPr>
                <w:p w14:paraId="12CAF9AB">
                  <w:pPr>
                    <w:pStyle w:val="221"/>
                    <w:rPr>
                      <w:color w:val="000000" w:themeColor="text1"/>
                      <w:szCs w:val="21"/>
                      <w14:textFill>
                        <w14:solidFill>
                          <w14:schemeClr w14:val="tx1"/>
                        </w14:solidFill>
                      </w14:textFill>
                    </w:rPr>
                  </w:pPr>
                  <w:r>
                    <w:rPr>
                      <w:color w:val="000000" w:themeColor="text1"/>
                      <w:spacing w:val="5"/>
                      <w:szCs w:val="21"/>
                      <w14:textFill>
                        <w14:solidFill>
                          <w14:schemeClr w14:val="tx1"/>
                        </w14:solidFill>
                      </w14:textFill>
                    </w:rPr>
                    <w:t>入区项目生产工艺、</w:t>
                  </w:r>
                  <w:r>
                    <w:rPr>
                      <w:color w:val="000000" w:themeColor="text1"/>
                      <w:spacing w:val="24"/>
                      <w:szCs w:val="21"/>
                      <w14:textFill>
                        <w14:solidFill>
                          <w14:schemeClr w14:val="tx1"/>
                        </w14:solidFill>
                      </w14:textFill>
                    </w:rPr>
                    <w:t>装备技术水平等应达到国内同行业领</w:t>
                  </w:r>
                  <w:r>
                    <w:rPr>
                      <w:color w:val="000000" w:themeColor="text1"/>
                      <w:szCs w:val="21"/>
                      <w14:textFill>
                        <w14:solidFill>
                          <w14:schemeClr w14:val="tx1"/>
                        </w14:solidFill>
                      </w14:textFill>
                    </w:rPr>
                    <w:t>先水平；水耗、能耗</w:t>
                  </w:r>
                  <w:r>
                    <w:rPr>
                      <w:color w:val="000000" w:themeColor="text1"/>
                      <w:spacing w:val="24"/>
                      <w:szCs w:val="21"/>
                      <w14:textFill>
                        <w14:solidFill>
                          <w14:schemeClr w14:val="tx1"/>
                        </w14:solidFill>
                      </w14:textFill>
                    </w:rPr>
                    <w:t>指标应设定在清洁</w:t>
                  </w:r>
                  <w:r>
                    <w:rPr>
                      <w:color w:val="000000" w:themeColor="text1"/>
                      <w:spacing w:val="-1"/>
                      <w:szCs w:val="21"/>
                      <w14:textFill>
                        <w14:solidFill>
                          <w14:schemeClr w14:val="tx1"/>
                        </w14:solidFill>
                      </w14:textFill>
                    </w:rPr>
                    <w:t>生产一级水平（国际先进水平）或二级水</w:t>
                  </w:r>
                  <w:r>
                    <w:rPr>
                      <w:color w:val="000000" w:themeColor="text1"/>
                      <w:spacing w:val="7"/>
                      <w:szCs w:val="21"/>
                      <w14:textFill>
                        <w14:solidFill>
                          <w14:schemeClr w14:val="tx1"/>
                        </w14:solidFill>
                      </w14:textFill>
                    </w:rPr>
                    <w:t>平（国内先进水平）</w:t>
                  </w:r>
                </w:p>
              </w:tc>
              <w:tc>
                <w:tcPr>
                  <w:tcW w:w="3182" w:type="dxa"/>
                  <w:tcBorders>
                    <w:tl2br w:val="nil"/>
                    <w:tr2bl w:val="nil"/>
                  </w:tcBorders>
                  <w:vAlign w:val="center"/>
                </w:tcPr>
                <w:p w14:paraId="37B1FB08">
                  <w:pPr>
                    <w:pStyle w:val="221"/>
                    <w:rPr>
                      <w:color w:val="000000" w:themeColor="text1"/>
                      <w:szCs w:val="21"/>
                      <w14:textFill>
                        <w14:solidFill>
                          <w14:schemeClr w14:val="tx1"/>
                        </w14:solidFill>
                      </w14:textFill>
                    </w:rPr>
                  </w:pPr>
                  <w:r>
                    <w:rPr>
                      <w:color w:val="000000" w:themeColor="text1"/>
                      <w:spacing w:val="9"/>
                      <w:szCs w:val="21"/>
                      <w14:textFill>
                        <w14:solidFill>
                          <w14:schemeClr w14:val="tx1"/>
                        </w14:solidFill>
                      </w14:textFill>
                    </w:rPr>
                    <w:t>项目工艺简单，能耗较少，清洁生产水平可达国内先进水平</w:t>
                  </w:r>
                </w:p>
              </w:tc>
              <w:tc>
                <w:tcPr>
                  <w:tcW w:w="482" w:type="dxa"/>
                  <w:tcBorders>
                    <w:tl2br w:val="nil"/>
                    <w:tr2bl w:val="nil"/>
                  </w:tcBorders>
                  <w:vAlign w:val="center"/>
                </w:tcPr>
                <w:p w14:paraId="1D1730C9">
                  <w:pPr>
                    <w:pStyle w:val="193"/>
                    <w:widowControl w:val="0"/>
                    <w:topLinePunct/>
                    <w:spacing w:before="0" w:beforeLines="0" w:after="0" w:afterLines="0" w:line="240" w:lineRule="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符合</w:t>
                  </w:r>
                </w:p>
              </w:tc>
            </w:tr>
            <w:tr w14:paraId="1973F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tcBorders>
                    <w:tl2br w:val="nil"/>
                    <w:tr2bl w:val="nil"/>
                  </w:tcBorders>
                  <w:vAlign w:val="center"/>
                </w:tcPr>
                <w:p w14:paraId="7B080FFD">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w:t>
                  </w:r>
                </w:p>
              </w:tc>
              <w:tc>
                <w:tcPr>
                  <w:tcW w:w="3471" w:type="dxa"/>
                  <w:gridSpan w:val="2"/>
                  <w:tcBorders>
                    <w:tl2br w:val="nil"/>
                    <w:tr2bl w:val="nil"/>
                  </w:tcBorders>
                  <w:vAlign w:val="center"/>
                </w:tcPr>
                <w:p w14:paraId="765A3BD6">
                  <w:pPr>
                    <w:pStyle w:val="221"/>
                    <w:rPr>
                      <w:color w:val="000000" w:themeColor="text1"/>
                      <w:szCs w:val="21"/>
                      <w14:textFill>
                        <w14:solidFill>
                          <w14:schemeClr w14:val="tx1"/>
                        </w14:solidFill>
                      </w14:textFill>
                    </w:rPr>
                  </w:pPr>
                  <w:r>
                    <w:rPr>
                      <w:rFonts w:eastAsia="Times New Roman"/>
                      <w:color w:val="000000" w:themeColor="text1"/>
                      <w:spacing w:val="6"/>
                      <w:szCs w:val="21"/>
                      <w14:textFill>
                        <w14:solidFill>
                          <w14:schemeClr w14:val="tx1"/>
                        </w14:solidFill>
                      </w14:textFill>
                    </w:rPr>
                    <w:t>1</w:t>
                  </w:r>
                  <w:r>
                    <w:rPr>
                      <w:color w:val="000000" w:themeColor="text1"/>
                      <w:spacing w:val="6"/>
                      <w:szCs w:val="21"/>
                      <w14:textFill>
                        <w14:solidFill>
                          <w14:schemeClr w14:val="tx1"/>
                        </w14:solidFill>
                      </w14:textFill>
                    </w:rPr>
                    <w:t>、符合行业环境准</w:t>
                  </w:r>
                  <w:r>
                    <w:rPr>
                      <w:color w:val="000000" w:themeColor="text1"/>
                      <w:spacing w:val="5"/>
                      <w:szCs w:val="21"/>
                      <w14:textFill>
                        <w14:solidFill>
                          <w14:schemeClr w14:val="tx1"/>
                        </w14:solidFill>
                      </w14:textFill>
                    </w:rPr>
                    <w:t>入要求。</w:t>
                  </w:r>
                </w:p>
                <w:p w14:paraId="4FD42668">
                  <w:pPr>
                    <w:pStyle w:val="221"/>
                    <w:rPr>
                      <w:color w:val="000000" w:themeColor="text1"/>
                      <w:szCs w:val="21"/>
                      <w14:textFill>
                        <w14:solidFill>
                          <w14:schemeClr w14:val="tx1"/>
                        </w14:solidFill>
                      </w14:textFill>
                    </w:rPr>
                  </w:pPr>
                  <w:r>
                    <w:rPr>
                      <w:rFonts w:eastAsia="Times New Roman"/>
                      <w:color w:val="000000" w:themeColor="text1"/>
                      <w:spacing w:val="8"/>
                      <w:szCs w:val="21"/>
                      <w14:textFill>
                        <w14:solidFill>
                          <w14:schemeClr w14:val="tx1"/>
                        </w14:solidFill>
                      </w14:textFill>
                    </w:rPr>
                    <w:t>2</w:t>
                  </w:r>
                  <w:r>
                    <w:rPr>
                      <w:color w:val="000000" w:themeColor="text1"/>
                      <w:spacing w:val="8"/>
                      <w:szCs w:val="21"/>
                      <w14:textFill>
                        <w14:solidFill>
                          <w14:schemeClr w14:val="tx1"/>
                        </w14:solidFill>
                      </w14:textFill>
                    </w:rPr>
                    <w:t>、建设项目排放污</w:t>
                  </w:r>
                  <w:r>
                    <w:rPr>
                      <w:color w:val="000000" w:themeColor="text1"/>
                      <w:spacing w:val="-1"/>
                      <w:szCs w:val="21"/>
                      <w14:textFill>
                        <w14:solidFill>
                          <w14:schemeClr w14:val="tx1"/>
                        </w14:solidFill>
                      </w14:textFill>
                    </w:rPr>
                    <w:t>染物符合国家、省规</w:t>
                  </w:r>
                  <w:r>
                    <w:rPr>
                      <w:color w:val="000000" w:themeColor="text1"/>
                      <w:spacing w:val="3"/>
                      <w:szCs w:val="21"/>
                      <w14:textFill>
                        <w14:solidFill>
                          <w14:schemeClr w14:val="tx1"/>
                        </w14:solidFill>
                      </w14:textFill>
                    </w:rPr>
                    <w:t xml:space="preserve"> </w:t>
                  </w:r>
                  <w:r>
                    <w:rPr>
                      <w:color w:val="000000" w:themeColor="text1"/>
                      <w:spacing w:val="24"/>
                      <w:szCs w:val="21"/>
                      <w14:textFill>
                        <w14:solidFill>
                          <w14:schemeClr w14:val="tx1"/>
                        </w14:solidFill>
                      </w14:textFill>
                    </w:rPr>
                    <w:t>定的污染物排放标</w:t>
                  </w:r>
                  <w:r>
                    <w:rPr>
                      <w:color w:val="000000" w:themeColor="text1"/>
                      <w:spacing w:val="-1"/>
                      <w:szCs w:val="21"/>
                      <w14:textFill>
                        <w14:solidFill>
                          <w14:schemeClr w14:val="tx1"/>
                        </w14:solidFill>
                      </w14:textFill>
                    </w:rPr>
                    <w:t>准。</w:t>
                  </w:r>
                </w:p>
                <w:p w14:paraId="7005B3F9">
                  <w:pPr>
                    <w:pStyle w:val="221"/>
                    <w:rPr>
                      <w:color w:val="000000" w:themeColor="text1"/>
                      <w:szCs w:val="21"/>
                      <w14:textFill>
                        <w14:solidFill>
                          <w14:schemeClr w14:val="tx1"/>
                        </w14:solidFill>
                      </w14:textFill>
                    </w:rPr>
                  </w:pPr>
                  <w:r>
                    <w:rPr>
                      <w:rFonts w:eastAsia="Times New Roman"/>
                      <w:color w:val="000000" w:themeColor="text1"/>
                      <w:spacing w:val="8"/>
                      <w:szCs w:val="21"/>
                      <w14:textFill>
                        <w14:solidFill>
                          <w14:schemeClr w14:val="tx1"/>
                        </w14:solidFill>
                      </w14:textFill>
                    </w:rPr>
                    <w:t>3</w:t>
                  </w:r>
                  <w:r>
                    <w:rPr>
                      <w:color w:val="000000" w:themeColor="text1"/>
                      <w:spacing w:val="8"/>
                      <w:szCs w:val="21"/>
                      <w14:textFill>
                        <w14:solidFill>
                          <w14:schemeClr w14:val="tx1"/>
                        </w14:solidFill>
                      </w14:textFill>
                    </w:rPr>
                    <w:t>、建设项目新增主</w:t>
                  </w:r>
                  <w:r>
                    <w:rPr>
                      <w:color w:val="000000" w:themeColor="text1"/>
                      <w:spacing w:val="24"/>
                      <w:szCs w:val="21"/>
                      <w14:textFill>
                        <w14:solidFill>
                          <w14:schemeClr w14:val="tx1"/>
                        </w14:solidFill>
                      </w14:textFill>
                    </w:rPr>
                    <w:t>要污染物排放量符合总量控制和污染</w:t>
                  </w:r>
                  <w:r>
                    <w:rPr>
                      <w:color w:val="000000" w:themeColor="text1"/>
                      <w:spacing w:val="6"/>
                      <w:szCs w:val="21"/>
                      <w14:textFill>
                        <w14:solidFill>
                          <w14:schemeClr w14:val="tx1"/>
                        </w14:solidFill>
                      </w14:textFill>
                    </w:rPr>
                    <w:t>物减排要求。</w:t>
                  </w:r>
                </w:p>
                <w:p w14:paraId="50599046">
                  <w:pPr>
                    <w:pStyle w:val="221"/>
                    <w:rPr>
                      <w:color w:val="000000" w:themeColor="text1"/>
                      <w:szCs w:val="21"/>
                      <w14:textFill>
                        <w14:solidFill>
                          <w14:schemeClr w14:val="tx1"/>
                        </w14:solidFill>
                      </w14:textFill>
                    </w:rPr>
                  </w:pPr>
                  <w:r>
                    <w:rPr>
                      <w:rFonts w:eastAsia="Times New Roman"/>
                      <w:color w:val="000000" w:themeColor="text1"/>
                      <w:spacing w:val="8"/>
                      <w:szCs w:val="21"/>
                      <w14:textFill>
                        <w14:solidFill>
                          <w14:schemeClr w14:val="tx1"/>
                        </w14:solidFill>
                      </w14:textFill>
                    </w:rPr>
                    <w:t>4</w:t>
                  </w:r>
                  <w:r>
                    <w:rPr>
                      <w:color w:val="000000" w:themeColor="text1"/>
                      <w:spacing w:val="8"/>
                      <w:szCs w:val="21"/>
                      <w14:textFill>
                        <w14:solidFill>
                          <w14:schemeClr w14:val="tx1"/>
                        </w14:solidFill>
                      </w14:textFill>
                    </w:rPr>
                    <w:t>、废水集中纳管排</w:t>
                  </w:r>
                  <w:r>
                    <w:rPr>
                      <w:color w:val="000000" w:themeColor="text1"/>
                      <w:szCs w:val="21"/>
                      <w14:textFill>
                        <w14:solidFill>
                          <w14:schemeClr w14:val="tx1"/>
                        </w14:solidFill>
                      </w14:textFill>
                    </w:rPr>
                    <w:t>放。</w:t>
                  </w:r>
                </w:p>
                <w:p w14:paraId="705E9663">
                  <w:pPr>
                    <w:pStyle w:val="221"/>
                    <w:rPr>
                      <w:color w:val="000000" w:themeColor="text1"/>
                      <w:szCs w:val="21"/>
                      <w14:textFill>
                        <w14:solidFill>
                          <w14:schemeClr w14:val="tx1"/>
                        </w14:solidFill>
                      </w14:textFill>
                    </w:rPr>
                  </w:pPr>
                  <w:r>
                    <w:rPr>
                      <w:rFonts w:eastAsia="Times New Roman"/>
                      <w:color w:val="000000" w:themeColor="text1"/>
                      <w:spacing w:val="7"/>
                      <w:szCs w:val="21"/>
                      <w14:textFill>
                        <w14:solidFill>
                          <w14:schemeClr w14:val="tx1"/>
                        </w14:solidFill>
                      </w14:textFill>
                    </w:rPr>
                    <w:t>5</w:t>
                  </w:r>
                  <w:r>
                    <w:rPr>
                      <w:color w:val="000000" w:themeColor="text1"/>
                      <w:spacing w:val="7"/>
                      <w:szCs w:val="21"/>
                      <w14:textFill>
                        <w14:solidFill>
                          <w14:schemeClr w14:val="tx1"/>
                        </w14:solidFill>
                      </w14:textFill>
                    </w:rPr>
                    <w:t>、实施技改项目的</w:t>
                  </w:r>
                  <w:r>
                    <w:rPr>
                      <w:color w:val="000000" w:themeColor="text1"/>
                      <w:spacing w:val="24"/>
                      <w:szCs w:val="21"/>
                      <w14:textFill>
                        <w14:solidFill>
                          <w14:schemeClr w14:val="tx1"/>
                        </w14:solidFill>
                      </w14:textFill>
                    </w:rPr>
                    <w:t>企业近三年未发生</w:t>
                  </w:r>
                  <w:r>
                    <w:rPr>
                      <w:color w:val="000000" w:themeColor="text1"/>
                      <w:spacing w:val="-1"/>
                      <w:szCs w:val="21"/>
                      <w14:textFill>
                        <w14:solidFill>
                          <w14:schemeClr w14:val="tx1"/>
                        </w14:solidFill>
                      </w14:textFill>
                    </w:rPr>
                    <w:t>重大污染事故，未发</w:t>
                  </w:r>
                  <w:r>
                    <w:rPr>
                      <w:color w:val="000000" w:themeColor="text1"/>
                      <w:spacing w:val="24"/>
                      <w:szCs w:val="21"/>
                      <w14:textFill>
                        <w14:solidFill>
                          <w14:schemeClr w14:val="tx1"/>
                        </w14:solidFill>
                      </w14:textFill>
                    </w:rPr>
                    <w:t>生因环境污染引起</w:t>
                  </w:r>
                  <w:r>
                    <w:rPr>
                      <w:color w:val="000000" w:themeColor="text1"/>
                      <w:spacing w:val="7"/>
                      <w:szCs w:val="21"/>
                      <w14:textFill>
                        <w14:solidFill>
                          <w14:schemeClr w14:val="tx1"/>
                        </w14:solidFill>
                      </w14:textFill>
                    </w:rPr>
                    <w:t>的群体事件</w:t>
                  </w:r>
                </w:p>
              </w:tc>
              <w:tc>
                <w:tcPr>
                  <w:tcW w:w="3182" w:type="dxa"/>
                  <w:tcBorders>
                    <w:tl2br w:val="nil"/>
                    <w:tr2bl w:val="nil"/>
                  </w:tcBorders>
                  <w:vAlign w:val="center"/>
                </w:tcPr>
                <w:p w14:paraId="77B2F9B6">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1、本项目为金属结构制造</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其他电池制造，不属于禁止引进的行业，经对照规划环评中的“规划区配套及其他行业环境准入清单”，项目建设符合园区行业环境准入要求；</w:t>
                  </w:r>
                </w:p>
                <w:p w14:paraId="5049EB69">
                  <w:pPr>
                    <w:pStyle w:val="221"/>
                    <w:rPr>
                      <w:color w:val="000000" w:themeColor="text1"/>
                      <w:szCs w:val="21"/>
                      <w14:textFill>
                        <w14:solidFill>
                          <w14:schemeClr w14:val="tx1"/>
                        </w14:solidFill>
                      </w14:textFill>
                    </w:rPr>
                  </w:pPr>
                  <w:r>
                    <w:rPr>
                      <w:rFonts w:eastAsia="Times New Roman"/>
                      <w:color w:val="000000" w:themeColor="text1"/>
                      <w:spacing w:val="7"/>
                      <w:szCs w:val="21"/>
                      <w14:textFill>
                        <w14:solidFill>
                          <w14:schemeClr w14:val="tx1"/>
                        </w14:solidFill>
                      </w14:textFill>
                    </w:rPr>
                    <w:t>2</w:t>
                  </w:r>
                  <w:r>
                    <w:rPr>
                      <w:color w:val="000000" w:themeColor="text1"/>
                      <w:spacing w:val="7"/>
                      <w:szCs w:val="21"/>
                      <w14:textFill>
                        <w14:solidFill>
                          <w14:schemeClr w14:val="tx1"/>
                        </w14:solidFill>
                      </w14:textFill>
                    </w:rPr>
                    <w:t>、项目废气各污染物经处理后可达标排</w:t>
                  </w:r>
                  <w:r>
                    <w:rPr>
                      <w:color w:val="000000" w:themeColor="text1"/>
                      <w:szCs w:val="21"/>
                      <w14:textFill>
                        <w14:solidFill>
                          <w14:schemeClr w14:val="tx1"/>
                        </w14:solidFill>
                      </w14:textFill>
                    </w:rPr>
                    <w:t>放；</w:t>
                  </w:r>
                </w:p>
                <w:p w14:paraId="771FD203">
                  <w:pPr>
                    <w:pStyle w:val="221"/>
                    <w:rPr>
                      <w:color w:val="000000" w:themeColor="text1"/>
                      <w:szCs w:val="21"/>
                      <w14:textFill>
                        <w14:solidFill>
                          <w14:schemeClr w14:val="tx1"/>
                        </w14:solidFill>
                      </w14:textFill>
                    </w:rPr>
                  </w:pPr>
                  <w:r>
                    <w:rPr>
                      <w:rFonts w:eastAsia="Times New Roman"/>
                      <w:color w:val="000000" w:themeColor="text1"/>
                      <w:spacing w:val="6"/>
                      <w:szCs w:val="21"/>
                      <w14:textFill>
                        <w14:solidFill>
                          <w14:schemeClr w14:val="tx1"/>
                        </w14:solidFill>
                      </w14:textFill>
                    </w:rPr>
                    <w:t>3</w:t>
                  </w:r>
                  <w:r>
                    <w:rPr>
                      <w:color w:val="000000" w:themeColor="text1"/>
                      <w:spacing w:val="6"/>
                      <w:szCs w:val="21"/>
                      <w14:textFill>
                        <w14:solidFill>
                          <w14:schemeClr w14:val="tx1"/>
                        </w14:solidFill>
                      </w14:textFill>
                    </w:rPr>
                    <w:t>、新增主要污染物排放量符合总量控</w:t>
                  </w:r>
                  <w:r>
                    <w:rPr>
                      <w:color w:val="000000" w:themeColor="text1"/>
                      <w:spacing w:val="7"/>
                      <w:szCs w:val="21"/>
                      <w14:textFill>
                        <w14:solidFill>
                          <w14:schemeClr w14:val="tx1"/>
                        </w14:solidFill>
                      </w14:textFill>
                    </w:rPr>
                    <w:t>制和污染物减排要求；</w:t>
                  </w:r>
                </w:p>
                <w:p w14:paraId="6CC48227">
                  <w:pPr>
                    <w:pStyle w:val="221"/>
                    <w:rPr>
                      <w:color w:val="000000" w:themeColor="text1"/>
                      <w:szCs w:val="21"/>
                      <w14:textFill>
                        <w14:solidFill>
                          <w14:schemeClr w14:val="tx1"/>
                        </w14:solidFill>
                      </w14:textFill>
                    </w:rPr>
                  </w:pPr>
                  <w:r>
                    <w:rPr>
                      <w:rFonts w:eastAsia="Times New Roman"/>
                      <w:color w:val="000000" w:themeColor="text1"/>
                      <w:spacing w:val="5"/>
                      <w:szCs w:val="21"/>
                      <w14:textFill>
                        <w14:solidFill>
                          <w14:schemeClr w14:val="tx1"/>
                        </w14:solidFill>
                      </w14:textFill>
                    </w:rPr>
                    <w:t>4</w:t>
                  </w:r>
                  <w:r>
                    <w:rPr>
                      <w:color w:val="000000" w:themeColor="text1"/>
                      <w:spacing w:val="5"/>
                      <w:szCs w:val="21"/>
                      <w14:textFill>
                        <w14:solidFill>
                          <w14:schemeClr w14:val="tx1"/>
                        </w14:solidFill>
                      </w14:textFill>
                    </w:rPr>
                    <w:t>、项目无</w:t>
                  </w:r>
                  <w:r>
                    <w:rPr>
                      <w:rFonts w:hint="eastAsia"/>
                      <w:color w:val="000000" w:themeColor="text1"/>
                      <w:spacing w:val="5"/>
                      <w:szCs w:val="21"/>
                      <w14:textFill>
                        <w14:solidFill>
                          <w14:schemeClr w14:val="tx1"/>
                        </w14:solidFill>
                      </w14:textFill>
                    </w:rPr>
                    <w:t>新增</w:t>
                  </w:r>
                  <w:r>
                    <w:rPr>
                      <w:color w:val="000000" w:themeColor="text1"/>
                      <w:spacing w:val="5"/>
                      <w:szCs w:val="21"/>
                      <w14:textFill>
                        <w14:solidFill>
                          <w14:schemeClr w14:val="tx1"/>
                        </w14:solidFill>
                      </w14:textFill>
                    </w:rPr>
                    <w:t>生产废水</w:t>
                  </w:r>
                  <w:r>
                    <w:rPr>
                      <w:rFonts w:hint="eastAsia"/>
                      <w:color w:val="000000" w:themeColor="text1"/>
                      <w:spacing w:val="5"/>
                      <w:szCs w:val="21"/>
                      <w14:textFill>
                        <w14:solidFill>
                          <w14:schemeClr w14:val="tx1"/>
                        </w14:solidFill>
                      </w14:textFill>
                    </w:rPr>
                    <w:t>和生活污水</w:t>
                  </w:r>
                  <w:r>
                    <w:rPr>
                      <w:color w:val="000000" w:themeColor="text1"/>
                      <w:spacing w:val="5"/>
                      <w:szCs w:val="21"/>
                      <w14:textFill>
                        <w14:solidFill>
                          <w14:schemeClr w14:val="tx1"/>
                        </w14:solidFill>
                      </w14:textFill>
                    </w:rPr>
                    <w:t>产生</w:t>
                  </w:r>
                  <w:r>
                    <w:rPr>
                      <w:color w:val="000000" w:themeColor="text1"/>
                      <w:spacing w:val="7"/>
                      <w:szCs w:val="21"/>
                      <w14:textFill>
                        <w14:solidFill>
                          <w14:schemeClr w14:val="tx1"/>
                        </w14:solidFill>
                      </w14:textFill>
                    </w:rPr>
                    <w:t>；</w:t>
                  </w:r>
                </w:p>
                <w:p w14:paraId="060A9CC1">
                  <w:pPr>
                    <w:pStyle w:val="221"/>
                    <w:rPr>
                      <w:color w:val="000000" w:themeColor="text1"/>
                      <w:szCs w:val="21"/>
                      <w14:textFill>
                        <w14:solidFill>
                          <w14:schemeClr w14:val="tx1"/>
                        </w14:solidFill>
                      </w14:textFill>
                    </w:rPr>
                  </w:pPr>
                  <w:r>
                    <w:rPr>
                      <w:rFonts w:eastAsia="Times New Roman"/>
                      <w:color w:val="000000" w:themeColor="text1"/>
                      <w:spacing w:val="4"/>
                      <w:szCs w:val="21"/>
                      <w14:textFill>
                        <w14:solidFill>
                          <w14:schemeClr w14:val="tx1"/>
                        </w14:solidFill>
                      </w14:textFill>
                    </w:rPr>
                    <w:t>5</w:t>
                  </w:r>
                  <w:r>
                    <w:rPr>
                      <w:color w:val="000000" w:themeColor="text1"/>
                      <w:spacing w:val="4"/>
                      <w:szCs w:val="21"/>
                      <w14:textFill>
                        <w14:solidFill>
                          <w14:schemeClr w14:val="tx1"/>
                        </w14:solidFill>
                      </w14:textFill>
                    </w:rPr>
                    <w:t>、项目近三年未发生重大污染事故，</w:t>
                  </w:r>
                  <w:r>
                    <w:rPr>
                      <w:color w:val="000000" w:themeColor="text1"/>
                      <w:spacing w:val="9"/>
                      <w:szCs w:val="21"/>
                      <w14:textFill>
                        <w14:solidFill>
                          <w14:schemeClr w14:val="tx1"/>
                        </w14:solidFill>
                      </w14:textFill>
                    </w:rPr>
                    <w:t>未发生因环境污染引起的群体事件</w:t>
                  </w:r>
                </w:p>
              </w:tc>
              <w:tc>
                <w:tcPr>
                  <w:tcW w:w="482" w:type="dxa"/>
                  <w:tcBorders>
                    <w:tl2br w:val="nil"/>
                    <w:tr2bl w:val="nil"/>
                  </w:tcBorders>
                  <w:vAlign w:val="center"/>
                </w:tcPr>
                <w:p w14:paraId="5119FA49">
                  <w:pPr>
                    <w:pStyle w:val="193"/>
                    <w:widowControl w:val="0"/>
                    <w:topLinePunct/>
                    <w:spacing w:before="0" w:beforeLines="0" w:after="0" w:afterLines="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73514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20" w:type="dxa"/>
                  <w:gridSpan w:val="5"/>
                  <w:tcBorders>
                    <w:tl2br w:val="nil"/>
                    <w:tr2bl w:val="nil"/>
                  </w:tcBorders>
                  <w:vAlign w:val="center"/>
                </w:tcPr>
                <w:p w14:paraId="5D8CE99B">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二、</w:t>
                  </w:r>
                  <w:r>
                    <w:rPr>
                      <w:rFonts w:hint="eastAsia"/>
                      <w:color w:val="000000" w:themeColor="text1"/>
                      <w:szCs w:val="21"/>
                      <w14:textFill>
                        <w14:solidFill>
                          <w14:schemeClr w14:val="tx1"/>
                        </w14:solidFill>
                      </w14:textFill>
                    </w:rPr>
                    <w:t>与规划区主导产业环境准入清单及审查意见分析</w:t>
                  </w:r>
                </w:p>
              </w:tc>
            </w:tr>
            <w:tr w14:paraId="26DC1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tcBorders>
                    <w:tl2br w:val="nil"/>
                    <w:tr2bl w:val="nil"/>
                  </w:tcBorders>
                  <w:vAlign w:val="center"/>
                </w:tcPr>
                <w:p w14:paraId="25F581EB">
                  <w:pPr>
                    <w:pStyle w:val="221"/>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类别名称</w:t>
                  </w:r>
                </w:p>
              </w:tc>
              <w:tc>
                <w:tcPr>
                  <w:tcW w:w="599" w:type="dxa"/>
                  <w:tcBorders>
                    <w:tl2br w:val="nil"/>
                    <w:tr2bl w:val="nil"/>
                  </w:tcBorders>
                  <w:vAlign w:val="center"/>
                </w:tcPr>
                <w:p w14:paraId="7FAEE923">
                  <w:pPr>
                    <w:pStyle w:val="221"/>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类型</w:t>
                  </w:r>
                </w:p>
              </w:tc>
              <w:tc>
                <w:tcPr>
                  <w:tcW w:w="2872" w:type="dxa"/>
                  <w:tcBorders>
                    <w:tl2br w:val="nil"/>
                    <w:tr2bl w:val="nil"/>
                  </w:tcBorders>
                  <w:vAlign w:val="center"/>
                </w:tcPr>
                <w:p w14:paraId="179A129A">
                  <w:pPr>
                    <w:pStyle w:val="221"/>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要求</w:t>
                  </w:r>
                </w:p>
              </w:tc>
              <w:tc>
                <w:tcPr>
                  <w:tcW w:w="3182" w:type="dxa"/>
                  <w:tcBorders>
                    <w:tl2br w:val="nil"/>
                    <w:tr2bl w:val="nil"/>
                  </w:tcBorders>
                  <w:vAlign w:val="center"/>
                </w:tcPr>
                <w:p w14:paraId="0B483AD5">
                  <w:pPr>
                    <w:pStyle w:val="221"/>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w:t>
                  </w:r>
                </w:p>
              </w:tc>
              <w:tc>
                <w:tcPr>
                  <w:tcW w:w="482" w:type="dxa"/>
                  <w:tcBorders>
                    <w:tl2br w:val="nil"/>
                    <w:tr2bl w:val="nil"/>
                  </w:tcBorders>
                  <w:vAlign w:val="center"/>
                </w:tcPr>
                <w:p w14:paraId="6B6B2D9A">
                  <w:pPr>
                    <w:pStyle w:val="193"/>
                    <w:widowControl w:val="0"/>
                    <w:topLinePunct/>
                    <w:spacing w:before="0" w:beforeLines="0" w:after="0" w:afterLines="0" w:line="240" w:lineRule="auto"/>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符合性</w:t>
                  </w:r>
                </w:p>
              </w:tc>
            </w:tr>
            <w:tr w14:paraId="42130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restart"/>
                  <w:tcBorders>
                    <w:tl2br w:val="nil"/>
                    <w:tr2bl w:val="nil"/>
                  </w:tcBorders>
                  <w:vAlign w:val="center"/>
                </w:tcPr>
                <w:p w14:paraId="6E1D8B94">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主导行业</w:t>
                  </w:r>
                </w:p>
              </w:tc>
              <w:tc>
                <w:tcPr>
                  <w:tcW w:w="599" w:type="dxa"/>
                  <w:tcBorders>
                    <w:tl2br w:val="nil"/>
                    <w:tr2bl w:val="nil"/>
                  </w:tcBorders>
                  <w:vAlign w:val="center"/>
                </w:tcPr>
                <w:p w14:paraId="5AC84C3D">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空间布局约束</w:t>
                  </w:r>
                </w:p>
              </w:tc>
              <w:tc>
                <w:tcPr>
                  <w:tcW w:w="2872" w:type="dxa"/>
                  <w:tcBorders>
                    <w:tl2br w:val="nil"/>
                    <w:tr2bl w:val="nil"/>
                  </w:tcBorders>
                  <w:vAlign w:val="center"/>
                </w:tcPr>
                <w:p w14:paraId="7B51452B">
                  <w:pPr>
                    <w:pStyle w:val="2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禁止新建：1、使用有机涂层的(喷塑、电泳及高端项目配套除外)。2、涉及熔炼、电镀工艺。3、涉及钝化工艺的热镀锌。4、油性漆使用量超过10t/a喷漆工艺。5、使用火焰法除旧漆，使用干喷砂除锈。6、采用煤、油、生物质等非清洁能源。7、铅酸蓄电池制造。8、印刷电路板(高密度印刷电路板和柔性电路板除外)现有生产能力允许企业在一定期限内采取措施改造升级。</w:t>
                  </w:r>
                </w:p>
                <w:p w14:paraId="636F5D6E">
                  <w:pPr>
                    <w:widowControl w:val="0"/>
                    <w:tabs>
                      <w:tab w:val="left" w:pos="3420"/>
                    </w:tabs>
                    <w:spacing w:after="0" w:line="240" w:lineRule="auto"/>
                    <w:jc w:val="both"/>
                    <w:rPr>
                      <w:rFonts w:hint="eastAsia" w:ascii="宋体" w:hAnsi="宋体" w:eastAsia="宋体" w:cs="宋体"/>
                      <w:color w:val="000000" w:themeColor="text1"/>
                      <w:szCs w:val="24"/>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w:t>
                  </w:r>
                  <w:r>
                    <w:rPr>
                      <w:rFonts w:ascii="Times New Roman" w:hAnsi="Times New Roman" w:eastAsia="宋体" w:cs="Times New Roman"/>
                      <w:color w:val="000000" w:themeColor="text1"/>
                      <w:sz w:val="21"/>
                      <w:szCs w:val="21"/>
                      <w14:textFill>
                        <w14:solidFill>
                          <w14:schemeClr w14:val="tx1"/>
                        </w14:solidFill>
                      </w14:textFill>
                    </w:rPr>
                    <w:t>、涉及开炼、密炼、硫化工艺；10、采用煤、油、生物质等非清洁能源；11、再生橡胶制造、橡胶加工、橡胶制品翻新；12、废塑料再生现代生产能力允许企业在一定期限内采取措施改造升级。</w:t>
                  </w:r>
                </w:p>
              </w:tc>
              <w:tc>
                <w:tcPr>
                  <w:tcW w:w="3182" w:type="dxa"/>
                  <w:tcBorders>
                    <w:tl2br w:val="nil"/>
                    <w:tr2bl w:val="nil"/>
                  </w:tcBorders>
                  <w:vAlign w:val="center"/>
                </w:tcPr>
                <w:p w14:paraId="37F715F5">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不使用有机涂层、不涉及禁止工艺，不使用油性漆，能源采用电能。</w:t>
                  </w:r>
                  <w:r>
                    <w:rPr>
                      <w:color w:val="000000" w:themeColor="text1"/>
                      <w:szCs w:val="21"/>
                      <w14:textFill>
                        <w14:solidFill>
                          <w14:schemeClr w14:val="tx1"/>
                        </w14:solidFill>
                      </w14:textFill>
                    </w:rPr>
                    <w:t>生产工艺不涉及开炼、密炼、硫化工艺，不属于再生橡胶制造、橡胶加工和橡胶制品翻新，不属于废塑料再生生产</w:t>
                  </w:r>
                  <w:r>
                    <w:rPr>
                      <w:rFonts w:hint="eastAsia"/>
                      <w:color w:val="000000" w:themeColor="text1"/>
                      <w:szCs w:val="21"/>
                      <w14:textFill>
                        <w14:solidFill>
                          <w14:schemeClr w14:val="tx1"/>
                        </w14:solidFill>
                      </w14:textFill>
                    </w:rPr>
                    <w:t>；不属于铅酸蓄电池制造、印刷电路板制造项目。</w:t>
                  </w:r>
                </w:p>
              </w:tc>
              <w:tc>
                <w:tcPr>
                  <w:tcW w:w="482" w:type="dxa"/>
                  <w:tcBorders>
                    <w:tl2br w:val="nil"/>
                    <w:tr2bl w:val="nil"/>
                  </w:tcBorders>
                  <w:vAlign w:val="center"/>
                </w:tcPr>
                <w:p w14:paraId="625006B3">
                  <w:pPr>
                    <w:pStyle w:val="193"/>
                    <w:widowControl w:val="0"/>
                    <w:topLinePunct/>
                    <w:spacing w:before="0" w:beforeLines="0" w:after="0" w:afterLines="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596E6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continue"/>
                  <w:tcBorders>
                    <w:tl2br w:val="nil"/>
                    <w:tr2bl w:val="nil"/>
                  </w:tcBorders>
                  <w:vAlign w:val="center"/>
                </w:tcPr>
                <w:p w14:paraId="72A78D3D">
                  <w:pPr>
                    <w:pStyle w:val="221"/>
                    <w:rPr>
                      <w:color w:val="000000" w:themeColor="text1"/>
                      <w:szCs w:val="21"/>
                      <w14:textFill>
                        <w14:solidFill>
                          <w14:schemeClr w14:val="tx1"/>
                        </w14:solidFill>
                      </w14:textFill>
                    </w:rPr>
                  </w:pPr>
                </w:p>
              </w:tc>
              <w:tc>
                <w:tcPr>
                  <w:tcW w:w="599" w:type="dxa"/>
                  <w:tcBorders>
                    <w:tl2br w:val="nil"/>
                    <w:tr2bl w:val="nil"/>
                  </w:tcBorders>
                  <w:vAlign w:val="center"/>
                </w:tcPr>
                <w:p w14:paraId="6BEA1C31">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2872" w:type="dxa"/>
                  <w:tcBorders>
                    <w:tl2br w:val="nil"/>
                    <w:tr2bl w:val="nil"/>
                  </w:tcBorders>
                  <w:vAlign w:val="center"/>
                </w:tcPr>
                <w:p w14:paraId="09014C69">
                  <w:pPr>
                    <w:pStyle w:val="221"/>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1、必须规范配套应急池，建设企业、园区和周边水系三级环境风险防控工程，确保有效拦截、降污和倒流；受园区排污影响的周边水系应建设应急闸门，防止泄漏物和消防水等排入外环境。</w:t>
                  </w:r>
                </w:p>
                <w:p w14:paraId="4E9FE930">
                  <w:pPr>
                    <w:pStyle w:val="221"/>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2、开发区内污水处理设施应采取必要的防渗处理，不得污染地下水环境。</w:t>
                  </w:r>
                </w:p>
              </w:tc>
              <w:tc>
                <w:tcPr>
                  <w:tcW w:w="3182" w:type="dxa"/>
                  <w:tcBorders>
                    <w:tl2br w:val="nil"/>
                    <w:tr2bl w:val="nil"/>
                  </w:tcBorders>
                  <w:vAlign w:val="center"/>
                </w:tcPr>
                <w:p w14:paraId="666F93D5">
                  <w:pPr>
                    <w:widowControl w:val="0"/>
                    <w:spacing w:after="0" w:line="240" w:lineRule="auto"/>
                    <w:jc w:val="both"/>
                    <w:rPr>
                      <w:rFonts w:hint="eastAsia" w:ascii="宋体" w:hAnsi="宋体" w:eastAsia="宋体" w:cs="宋体"/>
                      <w:color w:val="000000" w:themeColor="text1"/>
                      <w:szCs w:val="24"/>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企业拟按照要求建立健全环境风险防控体系，成立应急组织机构，防止在处理安全生产事故过程中产生的可能严重污染水体的消防废水、废液直接排入水体。</w:t>
                  </w:r>
                </w:p>
                <w:p w14:paraId="4433AD65">
                  <w:pPr>
                    <w:widowControl w:val="0"/>
                    <w:spacing w:after="0" w:line="240" w:lineRule="auto"/>
                    <w:jc w:val="both"/>
                    <w:rPr>
                      <w:rFonts w:hint="eastAsia" w:ascii="宋体" w:hAnsi="宋体" w:eastAsia="宋体" w:cs="宋体"/>
                      <w:color w:val="000000" w:themeColor="text1"/>
                      <w:szCs w:val="24"/>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本项目厂区各构筑物均采取有效防渗措施对地下水、土壤环境影响很小。</w:t>
                  </w:r>
                </w:p>
                <w:p w14:paraId="6D5528B0">
                  <w:pPr>
                    <w:pStyle w:val="221"/>
                    <w:rPr>
                      <w:color w:val="000000" w:themeColor="text1"/>
                      <w:szCs w:val="21"/>
                      <w14:textFill>
                        <w14:solidFill>
                          <w14:schemeClr w14:val="tx1"/>
                        </w14:solidFill>
                      </w14:textFill>
                    </w:rPr>
                  </w:pPr>
                </w:p>
              </w:tc>
              <w:tc>
                <w:tcPr>
                  <w:tcW w:w="482" w:type="dxa"/>
                  <w:tcBorders>
                    <w:tl2br w:val="nil"/>
                    <w:tr2bl w:val="nil"/>
                  </w:tcBorders>
                  <w:vAlign w:val="center"/>
                </w:tcPr>
                <w:p w14:paraId="3121A6AA">
                  <w:pPr>
                    <w:widowControl w:val="0"/>
                    <w:topLinePunct/>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3E31B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continue"/>
                  <w:tcBorders>
                    <w:tl2br w:val="nil"/>
                    <w:tr2bl w:val="nil"/>
                  </w:tcBorders>
                  <w:vAlign w:val="center"/>
                </w:tcPr>
                <w:p w14:paraId="0E7F5406">
                  <w:pPr>
                    <w:pStyle w:val="221"/>
                    <w:rPr>
                      <w:color w:val="000000" w:themeColor="text1"/>
                      <w:szCs w:val="21"/>
                      <w14:textFill>
                        <w14:solidFill>
                          <w14:schemeClr w14:val="tx1"/>
                        </w14:solidFill>
                      </w14:textFill>
                    </w:rPr>
                  </w:pPr>
                </w:p>
              </w:tc>
              <w:tc>
                <w:tcPr>
                  <w:tcW w:w="599" w:type="dxa"/>
                  <w:tcBorders>
                    <w:tl2br w:val="nil"/>
                    <w:tr2bl w:val="nil"/>
                  </w:tcBorders>
                  <w:vAlign w:val="center"/>
                </w:tcPr>
                <w:p w14:paraId="7474F9DD">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污染物排放管控</w:t>
                  </w:r>
                </w:p>
              </w:tc>
              <w:tc>
                <w:tcPr>
                  <w:tcW w:w="2872" w:type="dxa"/>
                  <w:tcBorders>
                    <w:tl2br w:val="nil"/>
                    <w:tr2bl w:val="nil"/>
                  </w:tcBorders>
                  <w:vAlign w:val="center"/>
                </w:tcPr>
                <w:p w14:paraId="07A32ADB">
                  <w:pPr>
                    <w:pStyle w:val="221"/>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1、新、改、扩建项目新增大气污染物（现阶段指SO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、NOx）排放量实行1.5倍削减替代（不含使用天然气、液化石油气等作为燃料的非火电锅炉和工业炉窑）。</w:t>
                  </w:r>
                </w:p>
                <w:p w14:paraId="0E2A7215">
                  <w:pPr>
                    <w:pStyle w:val="221"/>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2、新、改、扩建项目新增VOCs排放量实行倍量削减替代。</w:t>
                  </w:r>
                </w:p>
                <w:p w14:paraId="25F8FAE2">
                  <w:pPr>
                    <w:pStyle w:val="221"/>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3、工业企业废水全部纳管进入污水厂集中处理后达标排放。</w:t>
                  </w:r>
                </w:p>
              </w:tc>
              <w:tc>
                <w:tcPr>
                  <w:tcW w:w="3182" w:type="dxa"/>
                  <w:tcBorders>
                    <w:tl2br w:val="nil"/>
                    <w:tr2bl w:val="nil"/>
                  </w:tcBorders>
                  <w:vAlign w:val="center"/>
                </w:tcPr>
                <w:p w14:paraId="7210A757">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仅排放颗粒物</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无新增生产废水和生活污水</w:t>
                  </w:r>
                  <w:r>
                    <w:rPr>
                      <w:color w:val="000000" w:themeColor="text1"/>
                      <w:szCs w:val="21"/>
                      <w14:textFill>
                        <w14:solidFill>
                          <w14:schemeClr w14:val="tx1"/>
                        </w14:solidFill>
                      </w14:textFill>
                    </w:rPr>
                    <w:t>。</w:t>
                  </w:r>
                </w:p>
              </w:tc>
              <w:tc>
                <w:tcPr>
                  <w:tcW w:w="482" w:type="dxa"/>
                  <w:tcBorders>
                    <w:tl2br w:val="nil"/>
                    <w:tr2bl w:val="nil"/>
                  </w:tcBorders>
                  <w:vAlign w:val="center"/>
                </w:tcPr>
                <w:p w14:paraId="410FA80D">
                  <w:pPr>
                    <w:widowControl w:val="0"/>
                    <w:topLinePunct/>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145D4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5" w:type="dxa"/>
                  <w:vMerge w:val="continue"/>
                  <w:tcBorders>
                    <w:tl2br w:val="nil"/>
                    <w:tr2bl w:val="nil"/>
                  </w:tcBorders>
                  <w:vAlign w:val="center"/>
                </w:tcPr>
                <w:p w14:paraId="0F97386C">
                  <w:pPr>
                    <w:pStyle w:val="221"/>
                    <w:rPr>
                      <w:color w:val="000000" w:themeColor="text1"/>
                      <w:szCs w:val="21"/>
                      <w14:textFill>
                        <w14:solidFill>
                          <w14:schemeClr w14:val="tx1"/>
                        </w14:solidFill>
                      </w14:textFill>
                    </w:rPr>
                  </w:pPr>
                </w:p>
              </w:tc>
              <w:tc>
                <w:tcPr>
                  <w:tcW w:w="599" w:type="dxa"/>
                  <w:tcBorders>
                    <w:tl2br w:val="nil"/>
                    <w:tr2bl w:val="nil"/>
                  </w:tcBorders>
                  <w:vAlign w:val="center"/>
                </w:tcPr>
                <w:p w14:paraId="17B810C2">
                  <w:pPr>
                    <w:keepNext/>
                    <w:widowControl w:val="0"/>
                    <w:spacing w:after="0" w:line="240" w:lineRule="auto"/>
                    <w:jc w:val="center"/>
                    <w:rPr>
                      <w:rFonts w:hint="eastAsia" w:ascii="宋体" w:hAnsi="宋体" w:eastAsia="宋体" w:cs="宋体"/>
                      <w:color w:val="000000" w:themeColor="text1"/>
                      <w:szCs w:val="24"/>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资源环境效率管控</w:t>
                  </w:r>
                </w:p>
              </w:tc>
              <w:tc>
                <w:tcPr>
                  <w:tcW w:w="2872" w:type="dxa"/>
                  <w:tcBorders>
                    <w:tl2br w:val="nil"/>
                    <w:tr2bl w:val="nil"/>
                  </w:tcBorders>
                  <w:vAlign w:val="center"/>
                </w:tcPr>
                <w:p w14:paraId="4B2968ED">
                  <w:pPr>
                    <w:keepNext/>
                    <w:widowControl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33 金属制品业</w:t>
                  </w:r>
                </w:p>
                <w:p w14:paraId="129D0AE3">
                  <w:pPr>
                    <w:keepNext/>
                    <w:widowControl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1、能耗不超过 0.04吨标煤/万元工业增加值；</w:t>
                  </w:r>
                </w:p>
                <w:p w14:paraId="5DAD418A">
                  <w:pPr>
                    <w:keepNext/>
                    <w:widowControl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2、水耗不超过 1.19t/万元工业增加值；</w:t>
                  </w:r>
                </w:p>
                <w:p w14:paraId="06737CB4">
                  <w:pPr>
                    <w:keepNext/>
                    <w:widowControl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3、污水排放量不超过 0.70t/万元工业增加值；4、VOCs 排放量不超过 0.43kg/万元工业增加值</w:t>
                  </w:r>
                </w:p>
              </w:tc>
              <w:tc>
                <w:tcPr>
                  <w:tcW w:w="3182" w:type="dxa"/>
                  <w:tcBorders>
                    <w:tl2br w:val="nil"/>
                    <w:tr2bl w:val="nil"/>
                  </w:tcBorders>
                  <w:vAlign w:val="center"/>
                </w:tcPr>
                <w:p w14:paraId="06E35D80">
                  <w:pPr>
                    <w:tabs>
                      <w:tab w:val="left" w:pos="3420"/>
                    </w:tabs>
                    <w:spacing w:after="0" w:line="340" w:lineRule="atLeast"/>
                    <w:jc w:val="center"/>
                    <w:rPr>
                      <w:rFonts w:hint="eastAsia" w:ascii="宋体" w:hAnsi="宋体" w:eastAsia="宋体" w:cs="宋体"/>
                      <w:color w:val="000000" w:themeColor="text1"/>
                      <w:szCs w:val="24"/>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项目能耗、水耗、污水排放量均不超过标准限制</w:t>
                  </w:r>
                  <w:r>
                    <w:rPr>
                      <w:rFonts w:hint="eastAsia" w:ascii="Times New Roman" w:hAnsi="Times New Roman" w:eastAsia="宋体" w:cs="Times New Roman"/>
                      <w:color w:val="000000" w:themeColor="text1"/>
                      <w:sz w:val="21"/>
                      <w:szCs w:val="21"/>
                      <w14:textFill>
                        <w14:solidFill>
                          <w14:schemeClr w14:val="tx1"/>
                        </w14:solidFill>
                      </w14:textFill>
                    </w:rPr>
                    <w:t>，具体数值见表1.1-3</w:t>
                  </w:r>
                  <w:r>
                    <w:rPr>
                      <w:rFonts w:ascii="Times New Roman" w:hAnsi="Times New Roman" w:eastAsia="宋体" w:cs="Times New Roman"/>
                      <w:color w:val="000000" w:themeColor="text1"/>
                      <w:sz w:val="21"/>
                      <w:szCs w:val="21"/>
                      <w14:textFill>
                        <w14:solidFill>
                          <w14:schemeClr w14:val="tx1"/>
                        </w14:solidFill>
                      </w14:textFill>
                    </w:rPr>
                    <w:t>。</w:t>
                  </w:r>
                </w:p>
              </w:tc>
              <w:tc>
                <w:tcPr>
                  <w:tcW w:w="482" w:type="dxa"/>
                  <w:tcBorders>
                    <w:tl2br w:val="nil"/>
                    <w:tr2bl w:val="nil"/>
                  </w:tcBorders>
                  <w:vAlign w:val="center"/>
                </w:tcPr>
                <w:p w14:paraId="69326E8D">
                  <w:pPr>
                    <w:widowControl w:val="0"/>
                    <w:topLinePunct/>
                    <w:spacing w:after="0" w:line="240" w:lineRule="auto"/>
                    <w:rPr>
                      <w:rFonts w:ascii="Times New Roman" w:hAnsi="Times New Roman" w:eastAsia="宋体" w:cs="Times New Roman"/>
                      <w:color w:val="000000" w:themeColor="text1"/>
                      <w:sz w:val="21"/>
                      <w:szCs w:val="21"/>
                      <w14:textFill>
                        <w14:solidFill>
                          <w14:schemeClr w14:val="tx1"/>
                        </w14:solidFill>
                      </w14:textFill>
                    </w:rPr>
                  </w:pPr>
                </w:p>
              </w:tc>
            </w:tr>
          </w:tbl>
          <w:p w14:paraId="2437997A">
            <w:pPr>
              <w:pStyle w:val="223"/>
              <w:spacing w:before="120"/>
              <w:ind w:firstLine="480"/>
              <w:rPr>
                <w:rFonts w:hint="eastAsia" w:ascii="宋体" w:hAnsi="宋体" w:cs="宋体"/>
              </w:rPr>
            </w:pPr>
            <w:r>
              <w:t>根据建设单位提供资料，项目建成投产后工业增加值约为</w:t>
            </w:r>
            <w:r>
              <w:rPr>
                <w:rFonts w:hint="eastAsia"/>
              </w:rPr>
              <w:t>1000</w:t>
            </w:r>
            <w:r>
              <w:rPr>
                <w:rFonts w:ascii="TimesNewRoman" w:hAnsi="TimesNewRoman" w:cs="宋体"/>
              </w:rPr>
              <w:t>万元，则项目能源利用情况详见下表：</w:t>
            </w:r>
          </w:p>
          <w:p w14:paraId="40362B3E">
            <w:pPr>
              <w:pStyle w:val="222"/>
              <w:spacing w:before="120"/>
              <w:rPr>
                <w:rFonts w:hint="eastAsia" w:ascii="宋体" w:hAnsi="宋体" w:cs="宋体"/>
              </w:rPr>
            </w:pPr>
            <w:r>
              <w:t>表1.1-3</w:t>
            </w:r>
            <w:r>
              <w:rPr>
                <w:rFonts w:hint="eastAsia"/>
              </w:rPr>
              <w:t xml:space="preserve"> </w:t>
            </w:r>
            <w:r>
              <w:t>本项目资源利用情况符合性分析对照表</w:t>
            </w:r>
          </w:p>
          <w:tbl>
            <w:tblPr>
              <w:tblStyle w:val="38"/>
              <w:tblW w:w="7722" w:type="dxa"/>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7"/>
              <w:gridCol w:w="2007"/>
              <w:gridCol w:w="1786"/>
              <w:gridCol w:w="2007"/>
              <w:gridCol w:w="935"/>
            </w:tblGrid>
            <w:tr w14:paraId="5E25B9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7" w:type="dxa"/>
                  <w:vAlign w:val="center"/>
                </w:tcPr>
                <w:p w14:paraId="6C3DEDF3">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行业类别</w:t>
                  </w:r>
                </w:p>
              </w:tc>
              <w:tc>
                <w:tcPr>
                  <w:tcW w:w="2007" w:type="dxa"/>
                  <w:vAlign w:val="center"/>
                </w:tcPr>
                <w:p w14:paraId="49C1FD30">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资源</w:t>
                  </w:r>
                </w:p>
              </w:tc>
              <w:tc>
                <w:tcPr>
                  <w:tcW w:w="1786" w:type="dxa"/>
                  <w:vAlign w:val="center"/>
                </w:tcPr>
                <w:p w14:paraId="2B3C6399">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bookmarkStart w:id="28" w:name="_GoBack"/>
                  <w:bookmarkEnd w:id="28"/>
                  <w:r>
                    <w:rPr>
                      <w:rFonts w:ascii="Times New Roman" w:hAnsi="Times New Roman" w:cs="Times New Roman"/>
                      <w:color w:val="000000" w:themeColor="text1"/>
                      <w:sz w:val="21"/>
                      <w:szCs w:val="21"/>
                      <w14:textFill>
                        <w14:solidFill>
                          <w14:schemeClr w14:val="tx1"/>
                        </w14:solidFill>
                      </w14:textFill>
                    </w:rPr>
                    <w:t>利用上限</w:t>
                  </w:r>
                </w:p>
              </w:tc>
              <w:tc>
                <w:tcPr>
                  <w:tcW w:w="2007" w:type="dxa"/>
                  <w:vAlign w:val="center"/>
                </w:tcPr>
                <w:p w14:paraId="42D67829">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项目实际情况</w:t>
                  </w:r>
                </w:p>
              </w:tc>
              <w:tc>
                <w:tcPr>
                  <w:tcW w:w="935" w:type="dxa"/>
                  <w:vAlign w:val="center"/>
                </w:tcPr>
                <w:p w14:paraId="62BB0748">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符合性分析</w:t>
                  </w:r>
                </w:p>
              </w:tc>
            </w:tr>
            <w:tr w14:paraId="168340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7" w:type="dxa"/>
                  <w:vMerge w:val="restart"/>
                  <w:vAlign w:val="center"/>
                </w:tcPr>
                <w:p w14:paraId="423B27D5">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主导行业（</w:t>
                  </w:r>
                  <w:r>
                    <w:rPr>
                      <w:rFonts w:hint="eastAsia" w:ascii="Times New Roman" w:hAnsi="Times New Roman" w:cs="Times New Roman"/>
                      <w:color w:val="000000" w:themeColor="text1"/>
                      <w:sz w:val="21"/>
                      <w:szCs w:val="21"/>
                      <w14:textFill>
                        <w14:solidFill>
                          <w14:schemeClr w14:val="tx1"/>
                        </w14:solidFill>
                      </w14:textFill>
                    </w:rPr>
                    <w:t>C33</w:t>
                  </w:r>
                  <w:r>
                    <w:rPr>
                      <w:rFonts w:ascii="Times New Roman" w:hAnsi="Times New Roman" w:cs="Times New Roman"/>
                      <w:color w:val="000000" w:themeColor="text1"/>
                      <w:sz w:val="21"/>
                      <w:szCs w:val="21"/>
                      <w14:textFill>
                        <w14:solidFill>
                          <w14:schemeClr w14:val="tx1"/>
                        </w14:solidFill>
                      </w14:textFill>
                    </w:rPr>
                    <w:t>）</w:t>
                  </w:r>
                </w:p>
              </w:tc>
              <w:tc>
                <w:tcPr>
                  <w:tcW w:w="2007" w:type="dxa"/>
                  <w:vAlign w:val="center"/>
                </w:tcPr>
                <w:p w14:paraId="6E807E04">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能耗</w:t>
                  </w:r>
                </w:p>
              </w:tc>
              <w:tc>
                <w:tcPr>
                  <w:tcW w:w="1786" w:type="dxa"/>
                  <w:vAlign w:val="center"/>
                </w:tcPr>
                <w:p w14:paraId="5BE69388">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0.04吨标煤/万元工业增加值</w:t>
                  </w:r>
                </w:p>
              </w:tc>
              <w:tc>
                <w:tcPr>
                  <w:tcW w:w="2007" w:type="dxa"/>
                  <w:vAlign w:val="center"/>
                </w:tcPr>
                <w:p w14:paraId="12C05CA3">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0.0129吨标煤/万元工业增加值</w:t>
                  </w:r>
                </w:p>
              </w:tc>
              <w:tc>
                <w:tcPr>
                  <w:tcW w:w="935" w:type="dxa"/>
                  <w:vAlign w:val="center"/>
                </w:tcPr>
                <w:p w14:paraId="09E71541">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76E25A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7" w:type="dxa"/>
                  <w:vMerge w:val="continue"/>
                  <w:vAlign w:val="center"/>
                </w:tcPr>
                <w:p w14:paraId="1203161C">
                  <w:pPr>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p>
              </w:tc>
              <w:tc>
                <w:tcPr>
                  <w:tcW w:w="2007" w:type="dxa"/>
                  <w:vAlign w:val="center"/>
                </w:tcPr>
                <w:p w14:paraId="3F210E4A">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水耗</w:t>
                  </w:r>
                </w:p>
              </w:tc>
              <w:tc>
                <w:tcPr>
                  <w:tcW w:w="1786" w:type="dxa"/>
                  <w:vAlign w:val="center"/>
                </w:tcPr>
                <w:p w14:paraId="4CAEACF3">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1.19t/万元工业增加值</w:t>
                  </w:r>
                </w:p>
              </w:tc>
              <w:tc>
                <w:tcPr>
                  <w:tcW w:w="2007" w:type="dxa"/>
                  <w:vAlign w:val="center"/>
                </w:tcPr>
                <w:p w14:paraId="55C9F38A">
                  <w:pPr>
                    <w:spacing w:after="0" w:line="240" w:lineRule="auto"/>
                    <w:jc w:val="center"/>
                    <w:rPr>
                      <w:rFonts w:ascii="Times New Roman" w:hAnsi="Times New Roman"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kern w:val="2"/>
                      <w:sz w:val="21"/>
                      <w:szCs w:val="21"/>
                      <w14:textFill>
                        <w14:solidFill>
                          <w14:schemeClr w14:val="tx1"/>
                        </w14:solidFill>
                      </w14:textFill>
                    </w:rPr>
                    <w:t>项目不新增用水</w:t>
                  </w:r>
                </w:p>
              </w:tc>
              <w:tc>
                <w:tcPr>
                  <w:tcW w:w="935" w:type="dxa"/>
                  <w:vAlign w:val="center"/>
                </w:tcPr>
                <w:p w14:paraId="5C683C2F">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3CA79C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7" w:type="dxa"/>
                  <w:vMerge w:val="continue"/>
                  <w:vAlign w:val="center"/>
                </w:tcPr>
                <w:p w14:paraId="7E0873D0">
                  <w:pPr>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p>
              </w:tc>
              <w:tc>
                <w:tcPr>
                  <w:tcW w:w="2007" w:type="dxa"/>
                  <w:vAlign w:val="center"/>
                </w:tcPr>
                <w:p w14:paraId="58D1897F">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污水排放量</w:t>
                  </w:r>
                </w:p>
              </w:tc>
              <w:tc>
                <w:tcPr>
                  <w:tcW w:w="1786" w:type="dxa"/>
                  <w:vAlign w:val="center"/>
                </w:tcPr>
                <w:p w14:paraId="774DA42B">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0.70t/万元工业增加值</w:t>
                  </w:r>
                </w:p>
              </w:tc>
              <w:tc>
                <w:tcPr>
                  <w:tcW w:w="2007" w:type="dxa"/>
                  <w:vAlign w:val="center"/>
                </w:tcPr>
                <w:p w14:paraId="05DD383B">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项目不新增</w:t>
                  </w:r>
                  <w:r>
                    <w:rPr>
                      <w:rFonts w:hint="eastAsia" w:ascii="Times New Roman" w:hAnsi="Times New Roman" w:eastAsia="宋体" w:cs="Times New Roman"/>
                      <w:color w:val="000000" w:themeColor="text1"/>
                      <w:kern w:val="2"/>
                      <w:sz w:val="21"/>
                      <w:szCs w:val="21"/>
                      <w14:textFill>
                        <w14:solidFill>
                          <w14:schemeClr w14:val="tx1"/>
                        </w14:solidFill>
                      </w14:textFill>
                    </w:rPr>
                    <w:t>污水排放</w:t>
                  </w:r>
                </w:p>
              </w:tc>
              <w:tc>
                <w:tcPr>
                  <w:tcW w:w="935" w:type="dxa"/>
                  <w:vAlign w:val="center"/>
                </w:tcPr>
                <w:p w14:paraId="5DD52E08">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r w14:paraId="6ED10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7" w:type="dxa"/>
                  <w:vMerge w:val="continue"/>
                  <w:vAlign w:val="center"/>
                </w:tcPr>
                <w:p w14:paraId="41AF231B">
                  <w:pPr>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p>
              </w:tc>
              <w:tc>
                <w:tcPr>
                  <w:tcW w:w="2007" w:type="dxa"/>
                  <w:vAlign w:val="center"/>
                </w:tcPr>
                <w:p w14:paraId="61AA86C2">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VOCs排放量</w:t>
                  </w:r>
                </w:p>
              </w:tc>
              <w:tc>
                <w:tcPr>
                  <w:tcW w:w="1786" w:type="dxa"/>
                  <w:vAlign w:val="center"/>
                </w:tcPr>
                <w:p w14:paraId="3F2B8ED0">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0.43kg/万元工业增加值</w:t>
                  </w:r>
                </w:p>
              </w:tc>
              <w:tc>
                <w:tcPr>
                  <w:tcW w:w="2007" w:type="dxa"/>
                  <w:vAlign w:val="center"/>
                </w:tcPr>
                <w:p w14:paraId="74A173EE">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项目不</w:t>
                  </w:r>
                  <w:r>
                    <w:rPr>
                      <w:rFonts w:ascii="Times New Roman" w:hAnsi="Times New Roman" w:eastAsia="宋体" w:cs="Times New Roman"/>
                      <w:color w:val="000000" w:themeColor="text1"/>
                      <w:kern w:val="2"/>
                      <w:sz w:val="21"/>
                      <w:szCs w:val="21"/>
                      <w14:textFill>
                        <w14:solidFill>
                          <w14:schemeClr w14:val="tx1"/>
                        </w14:solidFill>
                      </w14:textFill>
                    </w:rPr>
                    <w:t>新增</w:t>
                  </w:r>
                  <w:r>
                    <w:rPr>
                      <w:rFonts w:hint="eastAsia" w:ascii="Times New Roman" w:hAnsi="Times New Roman" w:eastAsia="宋体" w:cs="Times New Roman"/>
                      <w:color w:val="000000" w:themeColor="text1"/>
                      <w:kern w:val="2"/>
                      <w:sz w:val="21"/>
                      <w:szCs w:val="21"/>
                      <w14:textFill>
                        <w14:solidFill>
                          <w14:schemeClr w14:val="tx1"/>
                        </w14:solidFill>
                      </w14:textFill>
                    </w:rPr>
                    <w:t>排放</w:t>
                  </w:r>
                  <w:r>
                    <w:rPr>
                      <w:rFonts w:ascii="Times New Roman" w:hAnsi="Times New Roman" w:eastAsia="宋体" w:cs="Times New Roman"/>
                      <w:color w:val="000000" w:themeColor="text1"/>
                      <w:kern w:val="2"/>
                      <w:sz w:val="21"/>
                      <w:szCs w:val="21"/>
                      <w14:textFill>
                        <w14:solidFill>
                          <w14:schemeClr w14:val="tx1"/>
                        </w14:solidFill>
                      </w14:textFill>
                    </w:rPr>
                    <w:t>VOCs</w:t>
                  </w:r>
                </w:p>
              </w:tc>
              <w:tc>
                <w:tcPr>
                  <w:tcW w:w="935" w:type="dxa"/>
                  <w:vAlign w:val="center"/>
                </w:tcPr>
                <w:p w14:paraId="79132205">
                  <w:pPr>
                    <w:widowControl w:val="0"/>
                    <w:spacing w:after="0" w:line="240" w:lineRule="auto"/>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符合</w:t>
                  </w:r>
                </w:p>
              </w:tc>
            </w:tr>
          </w:tbl>
          <w:p w14:paraId="619FACCC">
            <w:pPr>
              <w:widowControl w:val="0"/>
              <w:topLinePunct/>
              <w:spacing w:after="0" w:line="360" w:lineRule="auto"/>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项目年新增用</w:t>
            </w:r>
            <w:r>
              <w:rPr>
                <w:rFonts w:hint="eastAsia" w:ascii="Times New Roman" w:hAnsi="Times New Roman" w:cs="Times New Roman"/>
                <w:color w:val="000000" w:themeColor="text1"/>
                <w:sz w:val="21"/>
                <w:szCs w:val="21"/>
                <w14:textFill>
                  <w14:solidFill>
                    <w14:schemeClr w14:val="tx1"/>
                  </w14:solidFill>
                </w14:textFill>
              </w:rPr>
              <w:t>电</w:t>
            </w:r>
            <w:r>
              <w:rPr>
                <w:rFonts w:ascii="Times New Roman" w:hAnsi="Times New Roman" w:cs="Times New Roman"/>
                <w:color w:val="000000" w:themeColor="text1"/>
                <w:sz w:val="21"/>
                <w:szCs w:val="21"/>
                <w14:textFill>
                  <w14:solidFill>
                    <w14:schemeClr w14:val="tx1"/>
                  </w14:solidFill>
                </w14:textFill>
              </w:rPr>
              <w:t>量约为</w:t>
            </w:r>
            <w:r>
              <w:rPr>
                <w:rFonts w:hint="eastAsia" w:ascii="Times New Roman" w:hAnsi="Times New Roman" w:cs="Times New Roman"/>
                <w:color w:val="000000" w:themeColor="text1"/>
                <w:sz w:val="21"/>
                <w:szCs w:val="21"/>
                <w14:textFill>
                  <w14:solidFill>
                    <w14:schemeClr w14:val="tx1"/>
                  </w14:solidFill>
                </w14:textFill>
              </w:rPr>
              <w:t>10万</w:t>
            </w:r>
            <w:r>
              <w:rPr>
                <w:rFonts w:ascii="Times New Roman" w:hAnsi="Times New Roman" w:cs="Times New Roman"/>
                <w:color w:val="000000" w:themeColor="text1"/>
                <w:sz w:val="21"/>
                <w:szCs w:val="21"/>
                <w14:textFill>
                  <w14:solidFill>
                    <w14:schemeClr w14:val="tx1"/>
                  </w14:solidFill>
                </w14:textFill>
              </w:rPr>
              <w:t>kW/h，折算成标煤约为</w:t>
            </w:r>
            <w:r>
              <w:rPr>
                <w:rFonts w:hint="eastAsia" w:ascii="Times New Roman" w:hAnsi="Times New Roman" w:cs="Times New Roman"/>
                <w:color w:val="000000" w:themeColor="text1"/>
                <w:sz w:val="21"/>
                <w:szCs w:val="21"/>
                <w14:textFill>
                  <w14:solidFill>
                    <w14:schemeClr w14:val="tx1"/>
                  </w14:solidFill>
                </w14:textFill>
              </w:rPr>
              <w:t>10*1.299=12.9</w:t>
            </w:r>
            <w:r>
              <w:rPr>
                <w:rFonts w:ascii="Times New Roman" w:hAnsi="Times New Roman" w:cs="Times New Roman"/>
                <w:color w:val="000000" w:themeColor="text1"/>
                <w:sz w:val="21"/>
                <w:szCs w:val="21"/>
                <w14:textFill>
                  <w14:solidFill>
                    <w14:schemeClr w14:val="tx1"/>
                  </w14:solidFill>
                </w14:textFill>
              </w:rPr>
              <w:t>吨标煤。</w:t>
            </w:r>
          </w:p>
          <w:p w14:paraId="74EFE8D3">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因此，本项目建设符合</w:t>
            </w:r>
            <w:r>
              <w:rPr>
                <w:rFonts w:ascii="Times New Roman" w:hAnsi="Times New Roman" w:cs="Times New Roman"/>
                <w:color w:val="000000" w:themeColor="text1"/>
                <w:szCs w:val="24"/>
                <w14:textFill>
                  <w14:solidFill>
                    <w14:schemeClr w14:val="tx1"/>
                  </w14:solidFill>
                </w14:textFill>
              </w:rPr>
              <w:t>《福清融侨经济技术开发区总体规划环境影响报告书(2018-2035年)》及其审查小组意见中的相关要求</w:t>
            </w:r>
            <w:r>
              <w:rPr>
                <w:rFonts w:ascii="Times New Roman" w:hAnsi="Times New Roman" w:eastAsia="宋体" w:cs="Times New Roman"/>
                <w:color w:val="000000" w:themeColor="text1"/>
                <w:szCs w:val="24"/>
                <w14:textFill>
                  <w14:solidFill>
                    <w14:schemeClr w14:val="tx1"/>
                  </w14:solidFill>
                </w14:textFill>
              </w:rPr>
              <w:t>。</w:t>
            </w:r>
          </w:p>
        </w:tc>
      </w:tr>
      <w:tr w14:paraId="5751E8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138" w:type="dxa"/>
            <w:vAlign w:val="center"/>
          </w:tcPr>
          <w:p w14:paraId="7AD89FAD">
            <w:pPr>
              <w:widowControl w:val="0"/>
              <w:topLinePunct/>
              <w:adjustRightInd w:val="0"/>
              <w:snapToGrid w:val="0"/>
              <w:spacing w:after="0" w:line="36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其他符合性分析</w:t>
            </w:r>
          </w:p>
        </w:tc>
        <w:tc>
          <w:tcPr>
            <w:tcW w:w="7936" w:type="dxa"/>
            <w:gridSpan w:val="3"/>
            <w:vAlign w:val="center"/>
          </w:tcPr>
          <w:p w14:paraId="4A5CFDE4">
            <w:pPr>
              <w:pStyle w:val="14"/>
              <w:widowControl w:val="0"/>
              <w:topLinePunct/>
              <w:spacing w:after="0"/>
              <w:ind w:firstLine="482"/>
              <w:jc w:val="both"/>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1、产业政策符合性分析</w:t>
            </w:r>
          </w:p>
          <w:p w14:paraId="11B77CD7">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本项目属于</w:t>
            </w:r>
            <w:r>
              <w:rPr>
                <w:rFonts w:hint="eastAsia" w:ascii="Times New Roman" w:hAnsi="Times New Roman" w:eastAsia="宋体" w:cs="Times New Roman"/>
                <w:color w:val="000000" w:themeColor="text1"/>
                <w:szCs w:val="24"/>
                <w14:textFill>
                  <w14:solidFill>
                    <w14:schemeClr w14:val="tx1"/>
                  </w14:solidFill>
                </w14:textFill>
              </w:rPr>
              <w:t>C3311</w:t>
            </w:r>
            <w:r>
              <w:rPr>
                <w:rFonts w:ascii="Times New Roman" w:hAnsi="Times New Roman" w:eastAsia="宋体" w:cs="Times New Roman"/>
                <w:color w:val="000000" w:themeColor="text1"/>
                <w:szCs w:val="24"/>
                <w14:textFill>
                  <w14:solidFill>
                    <w14:schemeClr w14:val="tx1"/>
                  </w14:solidFill>
                </w14:textFill>
              </w:rPr>
              <w:t>金属结构制造</w:t>
            </w:r>
            <w:r>
              <w:rPr>
                <w:rFonts w:hint="eastAsia" w:ascii="Times New Roman" w:hAnsi="Times New Roman" w:eastAsia="宋体" w:cs="Times New Roman"/>
                <w:color w:val="000000" w:themeColor="text1"/>
                <w:szCs w:val="24"/>
                <w14:textFill>
                  <w14:solidFill>
                    <w14:schemeClr w14:val="tx1"/>
                  </w14:solidFill>
                </w14:textFill>
              </w:rPr>
              <w:t>、C3849</w:t>
            </w:r>
            <w:r>
              <w:rPr>
                <w:rFonts w:ascii="Times New Roman" w:hAnsi="Times New Roman" w:eastAsia="宋体" w:cs="Times New Roman"/>
                <w:color w:val="000000" w:themeColor="text1"/>
                <w:szCs w:val="24"/>
                <w14:textFill>
                  <w14:solidFill>
                    <w14:schemeClr w14:val="tx1"/>
                  </w14:solidFill>
                </w14:textFill>
              </w:rPr>
              <w:t>其他电池制造，项目不属于《产业结构调整指导目录（2024年本）》中限制和淘汰类的项目，</w:t>
            </w:r>
            <w:r>
              <w:rPr>
                <w:rFonts w:hint="eastAsia" w:ascii="Times New Roman" w:hAnsi="Times New Roman" w:eastAsia="宋体" w:cs="Times New Roman"/>
                <w:color w:val="000000" w:themeColor="text1"/>
                <w:szCs w:val="24"/>
                <w14:textFill>
                  <w14:solidFill>
                    <w14:schemeClr w14:val="tx1"/>
                  </w14:solidFill>
                </w14:textFill>
              </w:rPr>
              <w:t>项目</w:t>
            </w:r>
            <w:r>
              <w:rPr>
                <w:rFonts w:ascii="Times New Roman" w:hAnsi="Times New Roman" w:eastAsia="宋体" w:cs="Times New Roman"/>
                <w:color w:val="000000" w:themeColor="text1"/>
                <w:szCs w:val="24"/>
                <w14:textFill>
                  <w14:solidFill>
                    <w14:schemeClr w14:val="tx1"/>
                  </w14:solidFill>
                </w14:textFill>
              </w:rPr>
              <w:t>通过了福清市工业和信息化局的备案（</w:t>
            </w:r>
            <w:r>
              <w:rPr>
                <w:rFonts w:hint="eastAsia" w:ascii="Times New Roman" w:hAnsi="Times New Roman" w:eastAsia="宋体" w:cs="Times New Roman"/>
                <w:color w:val="000000" w:themeColor="text1"/>
                <w:szCs w:val="24"/>
                <w14:textFill>
                  <w14:solidFill>
                    <w14:schemeClr w14:val="tx1"/>
                  </w14:solidFill>
                </w14:textFill>
              </w:rPr>
              <w:t>闽工信备[2025]A060070号</w:t>
            </w:r>
            <w:r>
              <w:rPr>
                <w:rFonts w:ascii="Times New Roman" w:hAnsi="Times New Roman" w:eastAsia="宋体" w:cs="Times New Roman"/>
                <w:color w:val="000000" w:themeColor="text1"/>
                <w:szCs w:val="24"/>
                <w14:textFill>
                  <w14:solidFill>
                    <w14:schemeClr w14:val="tx1"/>
                  </w14:solidFill>
                </w14:textFill>
              </w:rPr>
              <w:t>，详见附件2），因此项目的建设内容符合国家和地方相关产业政策要求。</w:t>
            </w:r>
          </w:p>
          <w:p w14:paraId="6BA38ED4">
            <w:pPr>
              <w:widowControl w:val="0"/>
              <w:topLinePunct/>
              <w:spacing w:after="0" w:line="360" w:lineRule="auto"/>
              <w:ind w:firstLine="482" w:firstLineChars="200"/>
              <w:jc w:val="both"/>
              <w:rPr>
                <w:rFonts w:ascii="Times New Roman" w:hAnsi="Times New Roman" w:eastAsia="宋体" w:cs="Times New Roman"/>
                <w:b/>
                <w:bCs/>
                <w:color w:val="000000" w:themeColor="text1"/>
                <w:kern w:val="21"/>
                <w:szCs w:val="24"/>
                <w14:textFill>
                  <w14:solidFill>
                    <w14:schemeClr w14:val="tx1"/>
                  </w14:solidFill>
                </w14:textFill>
              </w:rPr>
            </w:pPr>
            <w:r>
              <w:rPr>
                <w:rFonts w:ascii="Times New Roman" w:hAnsi="Times New Roman" w:eastAsia="宋体" w:cs="Times New Roman"/>
                <w:b/>
                <w:bCs/>
                <w:color w:val="000000" w:themeColor="text1"/>
                <w:kern w:val="21"/>
                <w:szCs w:val="24"/>
                <w14:textFill>
                  <w14:solidFill>
                    <w14:schemeClr w14:val="tx1"/>
                  </w14:solidFill>
                </w14:textFill>
              </w:rPr>
              <w:t>2、土地利用总体规划符合性分析</w:t>
            </w:r>
          </w:p>
          <w:p w14:paraId="137C6133">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本项目位于福建省福清融侨经济技术开发区</w:t>
            </w:r>
            <w:r>
              <w:rPr>
                <w:rFonts w:hint="eastAsia" w:ascii="Times New Roman" w:hAnsi="Times New Roman" w:eastAsia="宋体" w:cs="Times New Roman"/>
                <w:color w:val="000000" w:themeColor="text1"/>
                <w:szCs w:val="24"/>
                <w14:textFill>
                  <w14:solidFill>
                    <w14:schemeClr w14:val="tx1"/>
                  </w14:solidFill>
                </w14:textFill>
              </w:rPr>
              <w:t>(福建中能电气有限公司3#车间)，全厂用地分为三个地块，本项目使用的3#车间位于A地块（产权证编号：闽（2020）福清市不动产第0004954），</w:t>
            </w:r>
            <w:r>
              <w:rPr>
                <w:rFonts w:ascii="Times New Roman" w:hAnsi="Times New Roman" w:eastAsia="宋体" w:cs="Times New Roman"/>
                <w:color w:val="000000" w:themeColor="text1"/>
                <w:szCs w:val="24"/>
                <w14:textFill>
                  <w14:solidFill>
                    <w14:schemeClr w14:val="tx1"/>
                  </w14:solidFill>
                </w14:textFill>
              </w:rPr>
              <w:t>项目</w:t>
            </w:r>
            <w:r>
              <w:rPr>
                <w:rFonts w:hint="eastAsia" w:ascii="Times New Roman" w:hAnsi="Times New Roman" w:eastAsia="宋体" w:cs="Times New Roman"/>
                <w:color w:val="000000" w:themeColor="text1"/>
                <w:szCs w:val="24"/>
                <w14:textFill>
                  <w14:solidFill>
                    <w14:schemeClr w14:val="tx1"/>
                  </w14:solidFill>
                </w14:textFill>
              </w:rPr>
              <w:t>产权证</w:t>
            </w:r>
            <w:r>
              <w:rPr>
                <w:rFonts w:ascii="Times New Roman" w:hAnsi="Times New Roman" w:eastAsia="宋体" w:cs="Times New Roman"/>
                <w:color w:val="000000" w:themeColor="text1"/>
                <w:szCs w:val="24"/>
                <w14:textFill>
                  <w14:solidFill>
                    <w14:schemeClr w14:val="tx1"/>
                  </w14:solidFill>
                </w14:textFill>
              </w:rPr>
              <w:t>见附件</w:t>
            </w:r>
            <w:r>
              <w:rPr>
                <w:rFonts w:hint="eastAsia" w:ascii="Times New Roman" w:hAnsi="Times New Roman" w:eastAsia="宋体" w:cs="Times New Roman"/>
                <w:color w:val="000000" w:themeColor="text1"/>
                <w:szCs w:val="24"/>
                <w14:textFill>
                  <w14:solidFill>
                    <w14:schemeClr w14:val="tx1"/>
                  </w14:solidFill>
                </w14:textFill>
              </w:rPr>
              <w:t>6</w:t>
            </w:r>
            <w:r>
              <w:rPr>
                <w:rFonts w:ascii="Times New Roman" w:hAnsi="Times New Roman" w:eastAsia="宋体" w:cs="Times New Roman"/>
                <w:color w:val="000000" w:themeColor="text1"/>
                <w:szCs w:val="24"/>
                <w14:textFill>
                  <w14:solidFill>
                    <w14:schemeClr w14:val="tx1"/>
                  </w14:solidFill>
                </w14:textFill>
              </w:rPr>
              <w:t>，项目建设用地性质</w:t>
            </w:r>
            <w:r>
              <w:rPr>
                <w:rFonts w:hint="eastAsia" w:ascii="Times New Roman" w:hAnsi="Times New Roman" w:eastAsia="宋体" w:cs="Times New Roman"/>
                <w:color w:val="000000" w:themeColor="text1"/>
                <w:szCs w:val="24"/>
                <w14:textFill>
                  <w14:solidFill>
                    <w14:schemeClr w14:val="tx1"/>
                  </w14:solidFill>
                </w14:textFill>
              </w:rPr>
              <w:t>均</w:t>
            </w:r>
            <w:r>
              <w:rPr>
                <w:rFonts w:ascii="Times New Roman" w:hAnsi="Times New Roman" w:eastAsia="宋体" w:cs="Times New Roman"/>
                <w:color w:val="000000" w:themeColor="text1"/>
                <w:szCs w:val="24"/>
                <w14:textFill>
                  <w14:solidFill>
                    <w14:schemeClr w14:val="tx1"/>
                  </w14:solidFill>
                </w14:textFill>
              </w:rPr>
              <w:t>为工业用地</w:t>
            </w:r>
            <w:r>
              <w:rPr>
                <w:rFonts w:hint="eastAsia" w:ascii="Times New Roman" w:hAnsi="Times New Roman" w:eastAsia="宋体" w:cs="Times New Roman"/>
                <w:color w:val="000000" w:themeColor="text1"/>
                <w:szCs w:val="24"/>
                <w14:textFill>
                  <w14:solidFill>
                    <w14:schemeClr w14:val="tx1"/>
                  </w14:solidFill>
                </w14:textFill>
              </w:rPr>
              <w:t>；同时根据《融侨经济技术开发区总体规划(2018-2023年)图》，扩建项目用地属于工业用地(详见附图5)，符合用地规划</w:t>
            </w:r>
            <w:r>
              <w:rPr>
                <w:rFonts w:ascii="Times New Roman" w:hAnsi="Times New Roman" w:eastAsia="宋体" w:cs="Times New Roman"/>
                <w:color w:val="000000" w:themeColor="text1"/>
                <w:szCs w:val="24"/>
                <w14:textFill>
                  <w14:solidFill>
                    <w14:schemeClr w14:val="tx1"/>
                  </w14:solidFill>
                </w14:textFill>
              </w:rPr>
              <w:t>，项目选址合理。</w:t>
            </w:r>
          </w:p>
          <w:p w14:paraId="2F05BBA6">
            <w:pPr>
              <w:pStyle w:val="14"/>
              <w:widowControl w:val="0"/>
              <w:topLinePunct/>
              <w:spacing w:after="0"/>
              <w:ind w:firstLine="482"/>
              <w:jc w:val="both"/>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3、所在地“三线一单”分析</w:t>
            </w:r>
          </w:p>
          <w:p w14:paraId="0D2F656D">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（1）所在地“三线一单”分析</w:t>
            </w:r>
          </w:p>
          <w:p w14:paraId="5C7AF22A">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①</w:t>
            </w:r>
            <w:r>
              <w:rPr>
                <w:rFonts w:ascii="Times New Roman" w:hAnsi="Times New Roman" w:eastAsia="宋体" w:cs="Times New Roman"/>
                <w:color w:val="000000" w:themeColor="text1"/>
                <w:szCs w:val="24"/>
                <w14:textFill>
                  <w14:solidFill>
                    <w14:schemeClr w14:val="tx1"/>
                  </w14:solidFill>
                </w14:textFill>
              </w:rPr>
              <w:t>生态保护红线符合性分析</w:t>
            </w:r>
          </w:p>
          <w:p w14:paraId="2FB37BCF">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对照《福建省生态保护红线划定方案》及其调整方案，本项目位于福清融侨经济技术开发区</w:t>
            </w:r>
            <w:r>
              <w:rPr>
                <w:rFonts w:hint="eastAsia" w:cs="Calibri"/>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福建中能电气有限公司3#车间</w:t>
            </w:r>
            <w:r>
              <w:rPr>
                <w:rFonts w:hint="eastAsia" w:cs="Calibri"/>
                <w:color w:val="000000" w:themeColor="text1"/>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，属于福清融侨经济开发区范围内，</w:t>
            </w:r>
            <w:r>
              <w:rPr>
                <w:rFonts w:ascii="Times New Roman" w:hAnsi="Times New Roman" w:eastAsia="宋体" w:cs="Times New Roman"/>
                <w:color w:val="000000" w:themeColor="text1"/>
                <w:szCs w:val="24"/>
                <w:lang w:bidi="ar"/>
                <w14:textFill>
                  <w14:solidFill>
                    <w14:schemeClr w14:val="tx1"/>
                  </w14:solidFill>
                </w14:textFill>
              </w:rPr>
              <w:t>本评价范围内不涉及重要生态保护红线</w:t>
            </w:r>
            <w:r>
              <w:rPr>
                <w:rFonts w:ascii="Times New Roman" w:hAnsi="Times New Roman" w:eastAsia="宋体" w:cs="Times New Roman"/>
                <w:color w:val="000000" w:themeColor="text1"/>
                <w:szCs w:val="24"/>
                <w14:textFill>
                  <w14:solidFill>
                    <w14:schemeClr w14:val="tx1"/>
                  </w14:solidFill>
                </w14:textFill>
              </w:rPr>
              <w:t>，</w:t>
            </w:r>
            <w:r>
              <w:rPr>
                <w:rFonts w:ascii="Times New Roman" w:hAnsi="Times New Roman" w:eastAsia="宋体" w:cs="Times New Roman"/>
                <w:color w:val="000000" w:themeColor="text1"/>
                <w:szCs w:val="24"/>
                <w:lang w:bidi="ar"/>
                <w14:textFill>
                  <w14:solidFill>
                    <w14:schemeClr w14:val="tx1"/>
                  </w14:solidFill>
                </w14:textFill>
              </w:rPr>
              <w:t>（环境管控</w:t>
            </w:r>
            <w:r>
              <w:rPr>
                <w:rFonts w:ascii="Times New Roman" w:hAnsi="Times New Roman" w:cs="Times New Roman"/>
                <w:color w:val="000000" w:themeColor="text1"/>
                <w:szCs w:val="24"/>
                <w:lang w:bidi="ar"/>
                <w14:textFill>
                  <w14:solidFill>
                    <w14:schemeClr w14:val="tx1"/>
                  </w14:solidFill>
                </w14:textFill>
              </w:rPr>
              <w:t>名称：福清融侨经济开发区重点管控单元，</w:t>
            </w:r>
            <w:r>
              <w:rPr>
                <w:rFonts w:ascii="Times New Roman" w:hAnsi="Times New Roman" w:eastAsia="宋体" w:cs="Times New Roman"/>
                <w:color w:val="000000" w:themeColor="text1"/>
                <w:szCs w:val="24"/>
                <w:lang w:bidi="ar"/>
                <w14:textFill>
                  <w14:solidFill>
                    <w14:schemeClr w14:val="tx1"/>
                  </w14:solidFill>
                </w14:textFill>
              </w:rPr>
              <w:t>环境管控单元编码</w:t>
            </w:r>
            <w:r>
              <w:rPr>
                <w:rFonts w:ascii="Times New Roman" w:hAnsi="Times New Roman" w:cs="Times New Roman"/>
                <w:color w:val="000000" w:themeColor="text1"/>
                <w:szCs w:val="24"/>
                <w:lang w:bidi="ar"/>
                <w14:textFill>
                  <w14:solidFill>
                    <w14:schemeClr w14:val="tx1"/>
                  </w14:solidFill>
                </w14:textFill>
              </w:rPr>
              <w:t>：</w:t>
            </w:r>
            <w:r>
              <w:rPr>
                <w:rFonts w:ascii="Times New Roman" w:hAnsi="Times New Roman" w:eastAsia="宋体" w:cs="Times New Roman"/>
                <w:color w:val="000000" w:themeColor="text1"/>
                <w:szCs w:val="24"/>
                <w:lang w:bidi="ar"/>
                <w14:textFill>
                  <w14:solidFill>
                    <w14:schemeClr w14:val="tx1"/>
                  </w14:solidFill>
                </w14:textFill>
              </w:rPr>
              <w:t>ZH35018120003</w:t>
            </w:r>
            <w:r>
              <w:rPr>
                <w:rFonts w:ascii="Times New Roman" w:hAnsi="Times New Roman" w:cs="Times New Roman"/>
                <w:color w:val="000000" w:themeColor="text1"/>
                <w:szCs w:val="24"/>
                <w:lang w:bidi="ar"/>
                <w14:textFill>
                  <w14:solidFill>
                    <w14:schemeClr w14:val="tx1"/>
                  </w14:solidFill>
                </w14:textFill>
              </w:rPr>
              <w:t>，详见附件9</w:t>
            </w:r>
            <w:r>
              <w:rPr>
                <w:rFonts w:ascii="Times New Roman" w:hAnsi="Times New Roman" w:eastAsia="宋体" w:cs="Times New Roman"/>
                <w:color w:val="000000" w:themeColor="text1"/>
                <w:szCs w:val="24"/>
                <w:lang w:bidi="ar"/>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41AF601C">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ascii="Times New Roman" w:hAnsi="Times New Roman" w:eastAsia="宋体" w:cs="Times New Roman"/>
                <w:color w:val="000000" w:themeColor="text1"/>
                <w:szCs w:val="24"/>
                <w14:textFill>
                  <w14:solidFill>
                    <w14:schemeClr w14:val="tx1"/>
                  </w14:solidFill>
                </w14:textFill>
              </w:rPr>
              <w:t>环境质量底线符合性分析</w:t>
            </w:r>
          </w:p>
          <w:p w14:paraId="68DD2C69">
            <w:pPr>
              <w:widowControl w:val="0"/>
              <w:topLinePunct/>
              <w:spacing w:after="0" w:line="360" w:lineRule="auto"/>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项目周边水系关溪属于龙江流域，各因子均符合《地表水环境质量标准》（GB3838-2002）中IV类标准；项目所在区域的环境空气质量现状符合《环境空气质量标准》（GB3095-2012）二级标准，属于达标区；项目所在区域声环境质量现状符合《声环境质量标准》（GB3096-2008）中3类标准。因此，项目所在区域环境现状质量良好。</w:t>
            </w:r>
          </w:p>
          <w:p w14:paraId="3459DD46">
            <w:pPr>
              <w:widowControl w:val="0"/>
              <w:topLinePunct/>
              <w:spacing w:after="0" w:line="360" w:lineRule="auto"/>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次扩建项目废气对周围大气环境影响较小；各生产设备产生的噪声经隔声、减震等降噪措施处理后也不会对周边声环境造成重大影响。综上分析，项目在采取本环评提出的防治措施后，运营期排放的污染物不会对区域环境质量底线造成冲击。</w:t>
            </w:r>
          </w:p>
          <w:p w14:paraId="5F598F2C">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③</w:t>
            </w:r>
            <w:r>
              <w:rPr>
                <w:rFonts w:ascii="Times New Roman" w:hAnsi="Times New Roman" w:eastAsia="宋体" w:cs="Times New Roman"/>
                <w:color w:val="000000" w:themeColor="text1"/>
                <w:szCs w:val="24"/>
                <w14:textFill>
                  <w14:solidFill>
                    <w14:schemeClr w14:val="tx1"/>
                  </w14:solidFill>
                </w14:textFill>
              </w:rPr>
              <w:t>资源利用上线符合性分析</w:t>
            </w:r>
          </w:p>
          <w:p w14:paraId="29551CD8">
            <w:pPr>
              <w:pStyle w:val="172"/>
              <w:spacing w:after="0" w:line="360" w:lineRule="auto"/>
              <w:ind w:firstLine="480" w:firstLineChars="200"/>
              <w:jc w:val="both"/>
              <w:rPr>
                <w:rFonts w:ascii="Times New Roman" w:hAnsi="Times New Roman" w:eastAsia="宋体" w:cs="Times New Roman"/>
                <w:color w:val="000000" w:themeColor="text1"/>
                <w:szCs w:val="24"/>
                <w:lang w:eastAsia="zh-CN"/>
                <w14:textFill>
                  <w14:solidFill>
                    <w14:schemeClr w14:val="tx1"/>
                  </w14:solidFill>
                </w14:textFill>
              </w:rPr>
            </w:pPr>
            <w:r>
              <w:rPr>
                <w:rFonts w:ascii="Times New Roman" w:hAnsi="Times New Roman" w:eastAsia="宋体" w:cs="Times New Roman"/>
                <w:color w:val="000000" w:themeColor="text1"/>
                <w:szCs w:val="24"/>
                <w:lang w:eastAsia="zh-CN"/>
                <w14:textFill>
                  <w14:solidFill>
                    <w14:schemeClr w14:val="tx1"/>
                  </w14:solidFill>
                </w14:textFill>
              </w:rPr>
              <w:t>本项目原料均从正规合法单位购得，水和电等公共资源由当地相关单位供应，</w:t>
            </w:r>
            <w:r>
              <w:rPr>
                <w:rFonts w:ascii="Times New Roman" w:hAnsi="Times New Roman" w:cs="Times New Roman"/>
                <w:color w:val="000000" w:themeColor="text1"/>
                <w:spacing w:val="3"/>
                <w:lang w:eastAsia="zh-CN"/>
                <w14:textFill>
                  <w14:solidFill>
                    <w14:schemeClr w14:val="tx1"/>
                  </w14:solidFill>
                </w14:textFill>
              </w:rPr>
              <w:t>设备选择、原辅材料的选用和管理、污染治理等多方面采取合理可</w:t>
            </w:r>
            <w:r>
              <w:rPr>
                <w:rFonts w:ascii="Times New Roman" w:hAnsi="Times New Roman" w:cs="Times New Roman"/>
                <w:color w:val="000000" w:themeColor="text1"/>
                <w:spacing w:val="13"/>
                <w:lang w:eastAsia="zh-CN"/>
                <w14:textFill>
                  <w14:solidFill>
                    <w14:schemeClr w14:val="tx1"/>
                  </w14:solidFill>
                </w14:textFill>
              </w:rPr>
              <w:t xml:space="preserve"> </w:t>
            </w:r>
            <w:r>
              <w:rPr>
                <w:rFonts w:ascii="Times New Roman" w:hAnsi="Times New Roman" w:cs="Times New Roman"/>
                <w:color w:val="000000" w:themeColor="text1"/>
                <w:spacing w:val="-3"/>
                <w:lang w:eastAsia="zh-CN"/>
                <w14:textFill>
                  <w14:solidFill>
                    <w14:schemeClr w14:val="tx1"/>
                  </w14:solidFill>
                </w14:textFill>
              </w:rPr>
              <w:t>行的防治措施，以“节能、降耗、减污</w:t>
            </w:r>
            <w:r>
              <w:rPr>
                <w:rFonts w:ascii="Times New Roman" w:hAnsi="Times New Roman" w:cs="Times New Roman"/>
                <w:color w:val="000000" w:themeColor="text1"/>
                <w:spacing w:val="-86"/>
                <w:lang w:eastAsia="zh-CN"/>
                <w14:textFill>
                  <w14:solidFill>
                    <w14:schemeClr w14:val="tx1"/>
                  </w14:solidFill>
                </w14:textFill>
              </w:rPr>
              <w:t xml:space="preserve"> </w:t>
            </w:r>
            <w:r>
              <w:rPr>
                <w:rFonts w:ascii="Times New Roman" w:hAnsi="Times New Roman" w:cs="Times New Roman"/>
                <w:color w:val="000000" w:themeColor="text1"/>
                <w:spacing w:val="-3"/>
                <w:lang w:eastAsia="zh-CN"/>
                <w14:textFill>
                  <w14:solidFill>
                    <w14:schemeClr w14:val="tx1"/>
                  </w14:solidFill>
                </w14:textFill>
              </w:rPr>
              <w:t>”为目标，有效的控制污染。</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spacing w:val="-1"/>
                <w:lang w:eastAsia="zh-CN"/>
                <w14:textFill>
                  <w14:solidFill>
                    <w14:schemeClr w14:val="tx1"/>
                  </w14:solidFill>
                </w14:textFill>
              </w:rPr>
              <w:t>项目的水、电等资源利用不会突破区域的资源利用上线</w:t>
            </w:r>
            <w:r>
              <w:rPr>
                <w:rFonts w:ascii="Times New Roman" w:hAnsi="Times New Roman" w:eastAsia="宋体" w:cs="Times New Roman"/>
                <w:color w:val="000000" w:themeColor="text1"/>
                <w:szCs w:val="24"/>
                <w:lang w:eastAsia="zh-CN"/>
                <w14:textFill>
                  <w14:solidFill>
                    <w14:schemeClr w14:val="tx1"/>
                  </w14:solidFill>
                </w14:textFill>
              </w:rPr>
              <w:t>。</w:t>
            </w:r>
          </w:p>
          <w:p w14:paraId="5E657AC6">
            <w:pPr>
              <w:pStyle w:val="14"/>
              <w:widowControl w:val="0"/>
              <w:numPr>
                <w:ilvl w:val="0"/>
                <w:numId w:val="2"/>
              </w:numPr>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环境准入清单</w:t>
            </w:r>
          </w:p>
          <w:p w14:paraId="6CEC4787">
            <w:pPr>
              <w:pStyle w:val="172"/>
              <w:spacing w:after="0" w:line="360" w:lineRule="auto"/>
              <w:ind w:firstLine="488" w:firstLineChars="200"/>
              <w:rPr>
                <w:rFonts w:ascii="Times New Roman" w:hAnsi="Times New Roman" w:cs="Times New Roman"/>
                <w:color w:val="000000" w:themeColor="text1"/>
                <w:lang w:eastAsia="zh-CN"/>
                <w14:textFill>
                  <w14:solidFill>
                    <w14:schemeClr w14:val="tx1"/>
                  </w14:solidFill>
                </w14:textFill>
              </w:rPr>
            </w:pPr>
            <w:r>
              <w:rPr>
                <w:rFonts w:hint="eastAsia" w:eastAsia="宋体"/>
                <w:color w:val="000000" w:themeColor="text1"/>
                <w:spacing w:val="2"/>
                <w:lang w:eastAsia="zh-CN"/>
                <w14:textFill>
                  <w14:solidFill>
                    <w14:schemeClr w14:val="tx1"/>
                  </w14:solidFill>
                </w14:textFill>
              </w:rPr>
              <w:t>①</w:t>
            </w:r>
            <w:r>
              <w:rPr>
                <w:rFonts w:ascii="Times New Roman" w:hAnsi="Times New Roman" w:cs="Times New Roman"/>
                <w:color w:val="000000" w:themeColor="text1"/>
                <w:spacing w:val="2"/>
                <w:lang w:eastAsia="zh-CN"/>
                <w14:textFill>
                  <w14:solidFill>
                    <w14:schemeClr w14:val="tx1"/>
                  </w14:solidFill>
                </w14:textFill>
              </w:rPr>
              <w:t>与《福建省人民政府关于实施“三线一单</w:t>
            </w:r>
            <w:r>
              <w:rPr>
                <w:rFonts w:ascii="Times New Roman" w:hAnsi="Times New Roman" w:cs="Times New Roman"/>
                <w:color w:val="000000" w:themeColor="text1"/>
                <w:spacing w:val="-69"/>
                <w:lang w:eastAsia="zh-CN"/>
                <w14:textFill>
                  <w14:solidFill>
                    <w14:schemeClr w14:val="tx1"/>
                  </w14:solidFill>
                </w14:textFill>
              </w:rPr>
              <w:t xml:space="preserve"> </w:t>
            </w:r>
            <w:r>
              <w:rPr>
                <w:rFonts w:ascii="Times New Roman" w:hAnsi="Times New Roman" w:cs="Times New Roman"/>
                <w:color w:val="000000" w:themeColor="text1"/>
                <w:spacing w:val="2"/>
                <w:lang w:eastAsia="zh-CN"/>
                <w14:textFill>
                  <w14:solidFill>
                    <w14:schemeClr w14:val="tx1"/>
                  </w14:solidFill>
                </w14:textFill>
              </w:rPr>
              <w:t>”生态环境分区管</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spacing w:val="-1"/>
                <w:lang w:eastAsia="zh-CN"/>
                <w14:textFill>
                  <w14:solidFill>
                    <w14:schemeClr w14:val="tx1"/>
                  </w14:solidFill>
                </w14:textFill>
              </w:rPr>
              <w:t>控的通知》符合性分析</w:t>
            </w:r>
          </w:p>
          <w:p w14:paraId="3439B2C0">
            <w:pPr>
              <w:pStyle w:val="172"/>
              <w:spacing w:after="0" w:line="360" w:lineRule="auto"/>
              <w:ind w:firstLine="488" w:firstLineChars="20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2"/>
                <w:lang w:eastAsia="zh-CN"/>
                <w14:textFill>
                  <w14:solidFill>
                    <w14:schemeClr w14:val="tx1"/>
                  </w14:solidFill>
                </w14:textFill>
              </w:rPr>
              <w:t>项目与《福建省人民政府关于实施“三线一单</w:t>
            </w:r>
            <w:r>
              <w:rPr>
                <w:rFonts w:ascii="Times New Roman" w:hAnsi="Times New Roman" w:cs="Times New Roman"/>
                <w:color w:val="000000" w:themeColor="text1"/>
                <w:spacing w:val="-76"/>
                <w:lang w:eastAsia="zh-CN"/>
                <w14:textFill>
                  <w14:solidFill>
                    <w14:schemeClr w14:val="tx1"/>
                  </w14:solidFill>
                </w14:textFill>
              </w:rPr>
              <w:t xml:space="preserve"> </w:t>
            </w:r>
            <w:r>
              <w:rPr>
                <w:rFonts w:ascii="Times New Roman" w:hAnsi="Times New Roman" w:cs="Times New Roman"/>
                <w:color w:val="000000" w:themeColor="text1"/>
                <w:spacing w:val="2"/>
                <w:lang w:eastAsia="zh-CN"/>
                <w14:textFill>
                  <w14:solidFill>
                    <w14:schemeClr w14:val="tx1"/>
                  </w14:solidFill>
                </w14:textFill>
              </w:rPr>
              <w:t>”生态环境分区</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spacing w:val="-6"/>
                <w:lang w:eastAsia="zh-CN"/>
                <w14:textFill>
                  <w14:solidFill>
                    <w14:schemeClr w14:val="tx1"/>
                  </w14:solidFill>
                </w14:textFill>
              </w:rPr>
              <w:t>管控的通知》（闽政</w:t>
            </w:r>
            <w:r>
              <w:rPr>
                <w:rFonts w:ascii="Times New Roman" w:hAnsi="Times New Roman" w:eastAsia="Times New Roman" w:cs="Times New Roman"/>
                <w:color w:val="000000" w:themeColor="text1"/>
                <w:spacing w:val="-6"/>
                <w:lang w:eastAsia="zh-CN"/>
                <w14:textFill>
                  <w14:solidFill>
                    <w14:schemeClr w14:val="tx1"/>
                  </w14:solidFill>
                </w14:textFill>
              </w:rPr>
              <w:t>[2020]</w:t>
            </w:r>
            <w:r>
              <w:rPr>
                <w:rFonts w:ascii="Times New Roman" w:hAnsi="Times New Roman" w:eastAsia="Times New Roman" w:cs="Times New Roman"/>
                <w:color w:val="000000" w:themeColor="text1"/>
                <w:spacing w:val="-31"/>
                <w:lang w:eastAsia="zh-CN"/>
                <w14:textFill>
                  <w14:solidFill>
                    <w14:schemeClr w14:val="tx1"/>
                  </w14:solidFill>
                </w14:textFill>
              </w:rPr>
              <w:t xml:space="preserve"> </w:t>
            </w:r>
            <w:r>
              <w:rPr>
                <w:rFonts w:ascii="Times New Roman" w:hAnsi="Times New Roman" w:eastAsia="Times New Roman" w:cs="Times New Roman"/>
                <w:color w:val="000000" w:themeColor="text1"/>
                <w:spacing w:val="-6"/>
                <w:lang w:eastAsia="zh-CN"/>
                <w14:textFill>
                  <w14:solidFill>
                    <w14:schemeClr w14:val="tx1"/>
                  </w14:solidFill>
                </w14:textFill>
              </w:rPr>
              <w:t>12</w:t>
            </w:r>
            <w:r>
              <w:rPr>
                <w:rFonts w:ascii="Times New Roman" w:hAnsi="Times New Roman" w:eastAsia="Times New Roman" w:cs="Times New Roman"/>
                <w:color w:val="000000" w:themeColor="text1"/>
                <w:spacing w:val="13"/>
                <w:lang w:eastAsia="zh-CN"/>
                <w14:textFill>
                  <w14:solidFill>
                    <w14:schemeClr w14:val="tx1"/>
                  </w14:solidFill>
                </w14:textFill>
              </w:rPr>
              <w:t xml:space="preserve"> </w:t>
            </w:r>
            <w:r>
              <w:rPr>
                <w:rFonts w:ascii="Times New Roman" w:hAnsi="Times New Roman" w:cs="Times New Roman"/>
                <w:color w:val="000000" w:themeColor="text1"/>
                <w:spacing w:val="-6"/>
                <w:lang w:eastAsia="zh-CN"/>
                <w14:textFill>
                  <w14:solidFill>
                    <w14:schemeClr w14:val="tx1"/>
                  </w14:solidFill>
                </w14:textFill>
              </w:rPr>
              <w:t>号）相关要求</w:t>
            </w:r>
            <w:r>
              <w:rPr>
                <w:rFonts w:ascii="Times New Roman" w:hAnsi="Times New Roman" w:cs="Times New Roman"/>
                <w:color w:val="000000" w:themeColor="text1"/>
                <w:spacing w:val="-7"/>
                <w:lang w:eastAsia="zh-CN"/>
                <w14:textFill>
                  <w14:solidFill>
                    <w14:schemeClr w14:val="tx1"/>
                  </w14:solidFill>
                </w14:textFill>
              </w:rPr>
              <w:t>分析见表</w:t>
            </w:r>
            <w:r>
              <w:rPr>
                <w:rFonts w:ascii="Times New Roman" w:hAnsi="Times New Roman" w:cs="Times New Roman"/>
                <w:color w:val="000000" w:themeColor="text1"/>
                <w:spacing w:val="-32"/>
                <w:lang w:eastAsia="zh-CN"/>
                <w14:textFill>
                  <w14:solidFill>
                    <w14:schemeClr w14:val="tx1"/>
                  </w14:solidFill>
                </w14:textFill>
              </w:rPr>
              <w:t xml:space="preserve"> </w:t>
            </w:r>
            <w:r>
              <w:rPr>
                <w:rFonts w:ascii="Times New Roman" w:hAnsi="Times New Roman" w:eastAsia="宋体" w:cs="Times New Roman"/>
                <w:color w:val="000000" w:themeColor="text1"/>
                <w:spacing w:val="-7"/>
                <w:lang w:eastAsia="zh-CN"/>
                <w14:textFill>
                  <w14:solidFill>
                    <w14:schemeClr w14:val="tx1"/>
                  </w14:solidFill>
                </w14:textFill>
              </w:rPr>
              <w:t>1.1-</w:t>
            </w:r>
            <w:r>
              <w:rPr>
                <w:rFonts w:hint="eastAsia" w:ascii="Times New Roman" w:hAnsi="Times New Roman" w:eastAsia="宋体" w:cs="Times New Roman"/>
                <w:color w:val="000000" w:themeColor="text1"/>
                <w:spacing w:val="-7"/>
                <w:lang w:eastAsia="zh-CN"/>
                <w14:textFill>
                  <w14:solidFill>
                    <w14:schemeClr w14:val="tx1"/>
                  </w14:solidFill>
                </w14:textFill>
              </w:rPr>
              <w:t>4</w:t>
            </w:r>
            <w:r>
              <w:rPr>
                <w:rFonts w:ascii="Times New Roman" w:hAnsi="Times New Roman" w:cs="Times New Roman"/>
                <w:color w:val="000000" w:themeColor="text1"/>
                <w:spacing w:val="-7"/>
                <w:lang w:eastAsia="zh-CN"/>
                <w14:textFill>
                  <w14:solidFill>
                    <w14:schemeClr w14:val="tx1"/>
                  </w14:solidFill>
                </w14:textFill>
              </w:rPr>
              <w:t>。</w:t>
            </w:r>
          </w:p>
          <w:p w14:paraId="5C5E1D23">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rFonts w:eastAsia="Times New Roman"/>
                <w:color w:val="000000" w:themeColor="text1"/>
                <w14:textFill>
                  <w14:solidFill>
                    <w14:schemeClr w14:val="tx1"/>
                  </w14:solidFill>
                </w14:textFill>
              </w:rPr>
              <w:t>1</w:t>
            </w:r>
            <w:r>
              <w:rPr>
                <w:color w:val="000000" w:themeColor="text1"/>
                <w14:textFill>
                  <w14:solidFill>
                    <w14:schemeClr w14:val="tx1"/>
                  </w14:solidFill>
                </w14:textFill>
              </w:rPr>
              <w:t>.1</w:t>
            </w:r>
            <w:r>
              <w:rPr>
                <w:rFonts w:eastAsia="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与全省生态环境总体准入要求的符合性分析</w:t>
            </w:r>
          </w:p>
          <w:tbl>
            <w:tblPr>
              <w:tblStyle w:val="167"/>
              <w:tblW w:w="77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3"/>
              <w:gridCol w:w="648"/>
              <w:gridCol w:w="3664"/>
              <w:gridCol w:w="2063"/>
              <w:gridCol w:w="609"/>
            </w:tblGrid>
            <w:tr w14:paraId="3507D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733" w:type="dxa"/>
                  <w:vAlign w:val="center"/>
                </w:tcPr>
                <w:p w14:paraId="214DD125">
                  <w:pPr>
                    <w:pStyle w:val="221"/>
                    <w:rPr>
                      <w:b/>
                      <w:color w:val="000000" w:themeColor="text1"/>
                      <w14:textFill>
                        <w14:solidFill>
                          <w14:schemeClr w14:val="tx1"/>
                        </w14:solidFill>
                      </w14:textFill>
                    </w:rPr>
                  </w:pPr>
                  <w:r>
                    <w:rPr>
                      <w:b/>
                      <w:color w:val="000000" w:themeColor="text1"/>
                      <w14:textFill>
                        <w14:solidFill>
                          <w14:schemeClr w14:val="tx1"/>
                        </w14:solidFill>
                      </w14:textFill>
                    </w:rPr>
                    <w:t xml:space="preserve">适用 </w:t>
                  </w:r>
                  <w:r>
                    <w:rPr>
                      <w:b/>
                      <w:color w:val="000000" w:themeColor="text1"/>
                      <w:spacing w:val="2"/>
                      <w14:textFill>
                        <w14:solidFill>
                          <w14:schemeClr w14:val="tx1"/>
                        </w14:solidFill>
                      </w14:textFill>
                    </w:rPr>
                    <w:t>范围</w:t>
                  </w:r>
                </w:p>
              </w:tc>
              <w:tc>
                <w:tcPr>
                  <w:tcW w:w="4312" w:type="dxa"/>
                  <w:gridSpan w:val="2"/>
                  <w:vAlign w:val="center"/>
                </w:tcPr>
                <w:p w14:paraId="77E4BFB1">
                  <w:pPr>
                    <w:pStyle w:val="221"/>
                    <w:rPr>
                      <w:b/>
                      <w:color w:val="000000" w:themeColor="text1"/>
                      <w14:textFill>
                        <w14:solidFill>
                          <w14:schemeClr w14:val="tx1"/>
                        </w14:solidFill>
                      </w14:textFill>
                    </w:rPr>
                  </w:pPr>
                  <w:r>
                    <w:rPr>
                      <w:b/>
                      <w:color w:val="000000" w:themeColor="text1"/>
                      <w:spacing w:val="6"/>
                      <w14:textFill>
                        <w14:solidFill>
                          <w14:schemeClr w14:val="tx1"/>
                        </w14:solidFill>
                      </w14:textFill>
                    </w:rPr>
                    <w:t>准入要求</w:t>
                  </w:r>
                </w:p>
              </w:tc>
              <w:tc>
                <w:tcPr>
                  <w:tcW w:w="2063" w:type="dxa"/>
                  <w:vAlign w:val="center"/>
                </w:tcPr>
                <w:p w14:paraId="5DF8B3EE">
                  <w:pPr>
                    <w:pStyle w:val="221"/>
                    <w:rPr>
                      <w:b/>
                      <w:color w:val="000000" w:themeColor="text1"/>
                      <w14:textFill>
                        <w14:solidFill>
                          <w14:schemeClr w14:val="tx1"/>
                        </w14:solidFill>
                      </w14:textFill>
                    </w:rPr>
                  </w:pPr>
                  <w:r>
                    <w:rPr>
                      <w:b/>
                      <w:color w:val="000000" w:themeColor="text1"/>
                      <w:spacing w:val="7"/>
                      <w14:textFill>
                        <w14:solidFill>
                          <w14:schemeClr w14:val="tx1"/>
                        </w14:solidFill>
                      </w14:textFill>
                    </w:rPr>
                    <w:t>本项目情况</w:t>
                  </w:r>
                </w:p>
              </w:tc>
              <w:tc>
                <w:tcPr>
                  <w:tcW w:w="609" w:type="dxa"/>
                  <w:vAlign w:val="center"/>
                </w:tcPr>
                <w:p w14:paraId="23671BF6">
                  <w:pPr>
                    <w:pStyle w:val="221"/>
                    <w:rPr>
                      <w:b/>
                      <w:color w:val="000000" w:themeColor="text1"/>
                      <w14:textFill>
                        <w14:solidFill>
                          <w14:schemeClr w14:val="tx1"/>
                        </w14:solidFill>
                      </w14:textFill>
                    </w:rPr>
                  </w:pPr>
                  <w:r>
                    <w:rPr>
                      <w:b/>
                      <w:color w:val="000000" w:themeColor="text1"/>
                      <w:spacing w:val="3"/>
                      <w14:textFill>
                        <w14:solidFill>
                          <w14:schemeClr w14:val="tx1"/>
                        </w14:solidFill>
                      </w14:textFill>
                    </w:rPr>
                    <w:t>符合</w:t>
                  </w:r>
                  <w:r>
                    <w:rPr>
                      <w:b/>
                      <w:color w:val="000000" w:themeColor="text1"/>
                      <w14:textFill>
                        <w14:solidFill>
                          <w14:schemeClr w14:val="tx1"/>
                        </w14:solidFill>
                      </w14:textFill>
                    </w:rPr>
                    <w:t xml:space="preserve"> 性</w:t>
                  </w:r>
                </w:p>
              </w:tc>
            </w:tr>
            <w:tr w14:paraId="2A1AD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0" w:hRule="atLeast"/>
              </w:trPr>
              <w:tc>
                <w:tcPr>
                  <w:tcW w:w="733" w:type="dxa"/>
                  <w:vMerge w:val="restart"/>
                  <w:vAlign w:val="center"/>
                </w:tcPr>
                <w:p w14:paraId="2026294D">
                  <w:pPr>
                    <w:pStyle w:val="221"/>
                    <w:rPr>
                      <w:color w:val="000000" w:themeColor="text1"/>
                      <w14:textFill>
                        <w14:solidFill>
                          <w14:schemeClr w14:val="tx1"/>
                        </w14:solidFill>
                      </w14:textFill>
                    </w:rPr>
                  </w:pPr>
                  <w:r>
                    <w:rPr>
                      <w:color w:val="000000" w:themeColor="text1"/>
                      <w14:textFill>
                        <w14:solidFill>
                          <w14:schemeClr w14:val="tx1"/>
                        </w14:solidFill>
                      </w14:textFill>
                    </w:rPr>
                    <w:t xml:space="preserve">全省 </w:t>
                  </w:r>
                  <w:r>
                    <w:rPr>
                      <w:color w:val="000000" w:themeColor="text1"/>
                      <w:spacing w:val="-1"/>
                      <w14:textFill>
                        <w14:solidFill>
                          <w14:schemeClr w14:val="tx1"/>
                        </w14:solidFill>
                      </w14:textFill>
                    </w:rPr>
                    <w:t>陆域</w:t>
                  </w:r>
                </w:p>
              </w:tc>
              <w:tc>
                <w:tcPr>
                  <w:tcW w:w="648" w:type="dxa"/>
                  <w:vAlign w:val="center"/>
                </w:tcPr>
                <w:p w14:paraId="2E3A177D">
                  <w:pPr>
                    <w:pStyle w:val="221"/>
                    <w:rPr>
                      <w:color w:val="000000" w:themeColor="text1"/>
                      <w14:textFill>
                        <w14:solidFill>
                          <w14:schemeClr w14:val="tx1"/>
                        </w14:solidFill>
                      </w14:textFill>
                    </w:rPr>
                  </w:pPr>
                  <w:r>
                    <w:rPr>
                      <w:color w:val="000000" w:themeColor="text1"/>
                      <w:spacing w:val="1"/>
                      <w14:textFill>
                        <w14:solidFill>
                          <w14:schemeClr w14:val="tx1"/>
                        </w14:solidFill>
                      </w14:textFill>
                    </w:rPr>
                    <w:t>空间</w:t>
                  </w:r>
                  <w:r>
                    <w:rPr>
                      <w:color w:val="000000" w:themeColor="text1"/>
                      <w14:textFill>
                        <w14:solidFill>
                          <w14:schemeClr w14:val="tx1"/>
                        </w14:solidFill>
                      </w14:textFill>
                    </w:rPr>
                    <w:t xml:space="preserve"> 布局 约束</w:t>
                  </w:r>
                </w:p>
              </w:tc>
              <w:tc>
                <w:tcPr>
                  <w:tcW w:w="3664" w:type="dxa"/>
                  <w:vAlign w:val="center"/>
                </w:tcPr>
                <w:p w14:paraId="4A011516">
                  <w:pPr>
                    <w:pStyle w:val="221"/>
                    <w:jc w:val="left"/>
                    <w:rPr>
                      <w:color w:val="000000" w:themeColor="text1"/>
                      <w14:textFill>
                        <w14:solidFill>
                          <w14:schemeClr w14:val="tx1"/>
                        </w14:solidFill>
                      </w14:textFill>
                    </w:rPr>
                  </w:pPr>
                  <w:r>
                    <w:rPr>
                      <w:rFonts w:eastAsia="Times New Roman"/>
                      <w:color w:val="000000" w:themeColor="text1"/>
                      <w:spacing w:val="-4"/>
                      <w14:textFill>
                        <w14:solidFill>
                          <w14:schemeClr w14:val="tx1"/>
                        </w14:solidFill>
                      </w14:textFill>
                    </w:rPr>
                    <w:t>1</w:t>
                  </w:r>
                  <w:r>
                    <w:rPr>
                      <w:rFonts w:eastAsia="Times New Roman"/>
                      <w:color w:val="000000" w:themeColor="text1"/>
                      <w:spacing w:val="-16"/>
                      <w14:textFill>
                        <w14:solidFill>
                          <w14:schemeClr w14:val="tx1"/>
                        </w14:solidFill>
                      </w14:textFill>
                    </w:rPr>
                    <w:t xml:space="preserve"> </w:t>
                  </w:r>
                  <w:r>
                    <w:rPr>
                      <w:color w:val="000000" w:themeColor="text1"/>
                      <w:spacing w:val="-4"/>
                      <w14:textFill>
                        <w14:solidFill>
                          <w14:schemeClr w14:val="tx1"/>
                        </w14:solidFill>
                      </w14:textFill>
                    </w:rPr>
                    <w:t>、石化、汽车、船舶、冶金、水泥、</w:t>
                  </w:r>
                  <w:r>
                    <w:rPr>
                      <w:color w:val="000000" w:themeColor="text1"/>
                      <w14:textFill>
                        <w14:solidFill>
                          <w14:schemeClr w14:val="tx1"/>
                        </w14:solidFill>
                      </w14:textFill>
                    </w:rPr>
                    <w:t xml:space="preserve"> </w:t>
                  </w:r>
                  <w:r>
                    <w:rPr>
                      <w:color w:val="000000" w:themeColor="text1"/>
                      <w:spacing w:val="14"/>
                      <w14:textFill>
                        <w14:solidFill>
                          <w14:schemeClr w14:val="tx1"/>
                        </w14:solidFill>
                      </w14:textFill>
                    </w:rPr>
                    <w:t>制浆造纸、印染等重点产业，要符</w:t>
                  </w:r>
                  <w:r>
                    <w:rPr>
                      <w:color w:val="000000" w:themeColor="text1"/>
                      <w:spacing w:val="1"/>
                      <w14:textFill>
                        <w14:solidFill>
                          <w14:schemeClr w14:val="tx1"/>
                        </w14:solidFill>
                      </w14:textFill>
                    </w:rPr>
                    <w:t xml:space="preserve"> </w:t>
                  </w:r>
                  <w:r>
                    <w:rPr>
                      <w:color w:val="000000" w:themeColor="text1"/>
                      <w:spacing w:val="6"/>
                      <w14:textFill>
                        <w14:solidFill>
                          <w14:schemeClr w14:val="tx1"/>
                        </w14:solidFill>
                      </w14:textFill>
                    </w:rPr>
                    <w:t>合全省规划布局要求。</w:t>
                  </w:r>
                </w:p>
                <w:p w14:paraId="01C38686">
                  <w:pPr>
                    <w:pStyle w:val="221"/>
                    <w:jc w:val="left"/>
                    <w:rPr>
                      <w:color w:val="000000" w:themeColor="text1"/>
                      <w14:textFill>
                        <w14:solidFill>
                          <w14:schemeClr w14:val="tx1"/>
                        </w14:solidFill>
                      </w14:textFill>
                    </w:rPr>
                  </w:pPr>
                  <w:r>
                    <w:rPr>
                      <w:rFonts w:eastAsia="Times New Roman"/>
                      <w:color w:val="000000" w:themeColor="text1"/>
                      <w:spacing w:val="7"/>
                      <w14:textFill>
                        <w14:solidFill>
                          <w14:schemeClr w14:val="tx1"/>
                        </w14:solidFill>
                      </w14:textFill>
                    </w:rPr>
                    <w:t>2</w:t>
                  </w:r>
                  <w:r>
                    <w:rPr>
                      <w:rFonts w:eastAsia="Times New Roman"/>
                      <w:color w:val="000000" w:themeColor="text1"/>
                      <w:spacing w:val="-28"/>
                      <w14:textFill>
                        <w14:solidFill>
                          <w14:schemeClr w14:val="tx1"/>
                        </w14:solidFill>
                      </w14:textFill>
                    </w:rPr>
                    <w:t xml:space="preserve"> </w:t>
                  </w:r>
                  <w:r>
                    <w:rPr>
                      <w:color w:val="000000" w:themeColor="text1"/>
                      <w:spacing w:val="7"/>
                      <w14:textFill>
                        <w14:solidFill>
                          <w14:schemeClr w14:val="tx1"/>
                        </w14:solidFill>
                      </w14:textFill>
                    </w:rPr>
                    <w:t>、严控钢铁、水泥、平板玻璃等产</w:t>
                  </w:r>
                  <w:r>
                    <w:rPr>
                      <w:color w:val="000000" w:themeColor="text1"/>
                      <w14:textFill>
                        <w14:solidFill>
                          <w14:schemeClr w14:val="tx1"/>
                        </w14:solidFill>
                      </w14:textFill>
                    </w:rPr>
                    <w:t xml:space="preserve"> </w:t>
                  </w:r>
                  <w:r>
                    <w:rPr>
                      <w:color w:val="000000" w:themeColor="text1"/>
                      <w:spacing w:val="15"/>
                      <w14:textFill>
                        <w14:solidFill>
                          <w14:schemeClr w14:val="tx1"/>
                        </w14:solidFill>
                      </w14:textFill>
                    </w:rPr>
                    <w:t>能过剩行业新增产能，新增产能应</w:t>
                  </w:r>
                  <w:r>
                    <w:rPr>
                      <w:color w:val="000000" w:themeColor="text1"/>
                      <w:spacing w:val="1"/>
                      <w14:textFill>
                        <w14:solidFill>
                          <w14:schemeClr w14:val="tx1"/>
                        </w14:solidFill>
                      </w14:textFill>
                    </w:rPr>
                    <w:t xml:space="preserve"> </w:t>
                  </w:r>
                  <w:r>
                    <w:rPr>
                      <w:color w:val="000000" w:themeColor="text1"/>
                      <w:spacing w:val="7"/>
                      <w14:textFill>
                        <w14:solidFill>
                          <w14:schemeClr w14:val="tx1"/>
                        </w14:solidFill>
                      </w14:textFill>
                    </w:rPr>
                    <w:t>实施产能等量或减量置换。</w:t>
                  </w:r>
                </w:p>
                <w:p w14:paraId="58E60800">
                  <w:pPr>
                    <w:pStyle w:val="221"/>
                    <w:jc w:val="left"/>
                    <w:rPr>
                      <w:color w:val="000000" w:themeColor="text1"/>
                      <w14:textFill>
                        <w14:solidFill>
                          <w14:schemeClr w14:val="tx1"/>
                        </w14:solidFill>
                      </w14:textFill>
                    </w:rPr>
                  </w:pPr>
                  <w:r>
                    <w:rPr>
                      <w:rFonts w:eastAsia="Times New Roman"/>
                      <w:color w:val="000000" w:themeColor="text1"/>
                      <w:spacing w:val="6"/>
                      <w14:textFill>
                        <w14:solidFill>
                          <w14:schemeClr w14:val="tx1"/>
                        </w14:solidFill>
                      </w14:textFill>
                    </w:rPr>
                    <w:t>3</w:t>
                  </w:r>
                  <w:r>
                    <w:rPr>
                      <w:rFonts w:eastAsia="Times New Roman"/>
                      <w:color w:val="000000" w:themeColor="text1"/>
                      <w:spacing w:val="-18"/>
                      <w14:textFill>
                        <w14:solidFill>
                          <w14:schemeClr w14:val="tx1"/>
                        </w14:solidFill>
                      </w14:textFill>
                    </w:rPr>
                    <w:t xml:space="preserve"> </w:t>
                  </w:r>
                  <w:r>
                    <w:rPr>
                      <w:color w:val="000000" w:themeColor="text1"/>
                      <w:spacing w:val="6"/>
                      <w14:textFill>
                        <w14:solidFill>
                          <w14:schemeClr w14:val="tx1"/>
                        </w14:solidFill>
                      </w14:textFill>
                    </w:rPr>
                    <w:t>、除列入国家规划的大型煤电和符</w:t>
                  </w:r>
                  <w:r>
                    <w:rPr>
                      <w:color w:val="000000" w:themeColor="text1"/>
                      <w14:textFill>
                        <w14:solidFill>
                          <w14:schemeClr w14:val="tx1"/>
                        </w14:solidFill>
                      </w14:textFill>
                    </w:rPr>
                    <w:t xml:space="preserve"> </w:t>
                  </w:r>
                  <w:r>
                    <w:rPr>
                      <w:color w:val="000000" w:themeColor="text1"/>
                      <w:spacing w:val="12"/>
                      <w14:textFill>
                        <w14:solidFill>
                          <w14:schemeClr w14:val="tx1"/>
                        </w14:solidFill>
                      </w14:textFill>
                    </w:rPr>
                    <w:t>合相关要求的等容量替代项目，</w:t>
                  </w:r>
                  <w:r>
                    <w:rPr>
                      <w:color w:val="000000" w:themeColor="text1"/>
                      <w:spacing w:val="-49"/>
                      <w14:textFill>
                        <w14:solidFill>
                          <w14:schemeClr w14:val="tx1"/>
                        </w14:solidFill>
                      </w14:textFill>
                    </w:rPr>
                    <w:t xml:space="preserve"> </w:t>
                  </w:r>
                  <w:r>
                    <w:rPr>
                      <w:color w:val="000000" w:themeColor="text1"/>
                      <w:spacing w:val="12"/>
                      <w14:textFill>
                        <w14:solidFill>
                          <w14:schemeClr w14:val="tx1"/>
                        </w14:solidFill>
                      </w14:textFill>
                    </w:rPr>
                    <w:t>以</w:t>
                  </w:r>
                  <w:r>
                    <w:rPr>
                      <w:color w:val="000000" w:themeColor="text1"/>
                      <w14:textFill>
                        <w14:solidFill>
                          <w14:schemeClr w14:val="tx1"/>
                        </w14:solidFill>
                      </w14:textFill>
                    </w:rPr>
                    <w:t xml:space="preserve"> </w:t>
                  </w:r>
                  <w:r>
                    <w:rPr>
                      <w:color w:val="000000" w:themeColor="text1"/>
                      <w:spacing w:val="15"/>
                      <w14:textFill>
                        <w14:solidFill>
                          <w14:schemeClr w14:val="tx1"/>
                        </w14:solidFill>
                      </w14:textFill>
                    </w:rPr>
                    <w:t>及以供热为主的热电联产项目外，</w:t>
                  </w:r>
                  <w:r>
                    <w:rPr>
                      <w:color w:val="000000" w:themeColor="text1"/>
                      <w:spacing w:val="6"/>
                      <w14:textFill>
                        <w14:solidFill>
                          <w14:schemeClr w14:val="tx1"/>
                        </w14:solidFill>
                      </w14:textFill>
                    </w:rPr>
                    <w:t xml:space="preserve"> </w:t>
                  </w:r>
                  <w:r>
                    <w:rPr>
                      <w:color w:val="000000" w:themeColor="text1"/>
                      <w:spacing w:val="8"/>
                      <w14:textFill>
                        <w14:solidFill>
                          <w14:schemeClr w14:val="tx1"/>
                        </w14:solidFill>
                      </w14:textFill>
                    </w:rPr>
                    <w:t>原则上不再建设新的煤电项目。</w:t>
                  </w:r>
                </w:p>
                <w:p w14:paraId="48674FA8">
                  <w:pPr>
                    <w:pStyle w:val="221"/>
                    <w:jc w:val="left"/>
                    <w:rPr>
                      <w:color w:val="000000" w:themeColor="text1"/>
                      <w14:textFill>
                        <w14:solidFill>
                          <w14:schemeClr w14:val="tx1"/>
                        </w14:solidFill>
                      </w14:textFill>
                    </w:rPr>
                  </w:pPr>
                  <w:r>
                    <w:rPr>
                      <w:rFonts w:eastAsia="Times New Roman"/>
                      <w:color w:val="000000" w:themeColor="text1"/>
                      <w:spacing w:val="7"/>
                      <w14:textFill>
                        <w14:solidFill>
                          <w14:schemeClr w14:val="tx1"/>
                        </w14:solidFill>
                      </w14:textFill>
                    </w:rPr>
                    <w:t>4</w:t>
                  </w:r>
                  <w:r>
                    <w:rPr>
                      <w:rFonts w:eastAsia="Times New Roman"/>
                      <w:color w:val="000000" w:themeColor="text1"/>
                      <w:spacing w:val="-29"/>
                      <w14:textFill>
                        <w14:solidFill>
                          <w14:schemeClr w14:val="tx1"/>
                        </w14:solidFill>
                      </w14:textFill>
                    </w:rPr>
                    <w:t xml:space="preserve"> </w:t>
                  </w:r>
                  <w:r>
                    <w:rPr>
                      <w:color w:val="000000" w:themeColor="text1"/>
                      <w:spacing w:val="7"/>
                      <w14:textFill>
                        <w14:solidFill>
                          <w14:schemeClr w14:val="tx1"/>
                        </w14:solidFill>
                      </w14:textFill>
                    </w:rPr>
                    <w:t>、氟化工产业应集中布局在《关于</w:t>
                  </w:r>
                  <w:r>
                    <w:rPr>
                      <w:color w:val="000000" w:themeColor="text1"/>
                      <w14:textFill>
                        <w14:solidFill>
                          <w14:schemeClr w14:val="tx1"/>
                        </w14:solidFill>
                      </w14:textFill>
                    </w:rPr>
                    <w:t xml:space="preserve"> </w:t>
                  </w:r>
                  <w:r>
                    <w:rPr>
                      <w:color w:val="000000" w:themeColor="text1"/>
                      <w:spacing w:val="15"/>
                      <w14:textFill>
                        <w14:solidFill>
                          <w14:schemeClr w14:val="tx1"/>
                        </w14:solidFill>
                      </w14:textFill>
                    </w:rPr>
                    <w:t>促进我省氟化工产业绿色高效发展</w:t>
                  </w:r>
                  <w:r>
                    <w:rPr>
                      <w:color w:val="000000" w:themeColor="text1"/>
                      <w:spacing w:val="6"/>
                      <w14:textFill>
                        <w14:solidFill>
                          <w14:schemeClr w14:val="tx1"/>
                        </w14:solidFill>
                      </w14:textFill>
                    </w:rPr>
                    <w:t xml:space="preserve"> </w:t>
                  </w:r>
                  <w:r>
                    <w:rPr>
                      <w:color w:val="000000" w:themeColor="text1"/>
                      <w:spacing w:val="12"/>
                      <w14:textFill>
                        <w14:solidFill>
                          <w14:schemeClr w14:val="tx1"/>
                        </w14:solidFill>
                      </w14:textFill>
                    </w:rPr>
                    <w:t>的若干意见》</w:t>
                  </w:r>
                  <w:r>
                    <w:rPr>
                      <w:color w:val="000000" w:themeColor="text1"/>
                      <w:spacing w:val="-49"/>
                      <w14:textFill>
                        <w14:solidFill>
                          <w14:schemeClr w14:val="tx1"/>
                        </w14:solidFill>
                      </w14:textFill>
                    </w:rPr>
                    <w:t xml:space="preserve"> </w:t>
                  </w:r>
                  <w:r>
                    <w:rPr>
                      <w:color w:val="000000" w:themeColor="text1"/>
                      <w:spacing w:val="12"/>
                      <w14:textFill>
                        <w14:solidFill>
                          <w14:schemeClr w14:val="tx1"/>
                        </w14:solidFill>
                      </w14:textFill>
                    </w:rPr>
                    <w:t>中确定的园区，在上</w:t>
                  </w:r>
                  <w:r>
                    <w:rPr>
                      <w:color w:val="000000" w:themeColor="text1"/>
                      <w14:textFill>
                        <w14:solidFill>
                          <w14:schemeClr w14:val="tx1"/>
                        </w14:solidFill>
                      </w14:textFill>
                    </w:rPr>
                    <w:t xml:space="preserve"> </w:t>
                  </w:r>
                  <w:r>
                    <w:rPr>
                      <w:color w:val="000000" w:themeColor="text1"/>
                      <w:spacing w:val="15"/>
                      <w14:textFill>
                        <w14:solidFill>
                          <w14:schemeClr w14:val="tx1"/>
                        </w14:solidFill>
                      </w14:textFill>
                    </w:rPr>
                    <w:t>述园区之外不再新建氟化工项目，</w:t>
                  </w:r>
                  <w:r>
                    <w:rPr>
                      <w:color w:val="000000" w:themeColor="text1"/>
                      <w:spacing w:val="6"/>
                      <w14:textFill>
                        <w14:solidFill>
                          <w14:schemeClr w14:val="tx1"/>
                        </w14:solidFill>
                      </w14:textFill>
                    </w:rPr>
                    <w:t xml:space="preserve"> </w:t>
                  </w:r>
                  <w:r>
                    <w:rPr>
                      <w:color w:val="000000" w:themeColor="text1"/>
                      <w:spacing w:val="15"/>
                      <w14:textFill>
                        <w14:solidFill>
                          <w14:schemeClr w14:val="tx1"/>
                        </w14:solidFill>
                      </w14:textFill>
                    </w:rPr>
                    <w:t>园区之外现有氟化工项目不再扩大</w:t>
                  </w:r>
                  <w:r>
                    <w:rPr>
                      <w:color w:val="000000" w:themeColor="text1"/>
                      <w:spacing w:val="6"/>
                      <w14:textFill>
                        <w14:solidFill>
                          <w14:schemeClr w14:val="tx1"/>
                        </w14:solidFill>
                      </w14:textFill>
                    </w:rPr>
                    <w:t xml:space="preserve"> </w:t>
                  </w:r>
                  <w:r>
                    <w:rPr>
                      <w:color w:val="000000" w:themeColor="text1"/>
                      <w:spacing w:val="3"/>
                      <w14:textFill>
                        <w14:solidFill>
                          <w14:schemeClr w14:val="tx1"/>
                        </w14:solidFill>
                      </w14:textFill>
                    </w:rPr>
                    <w:t>规模。</w:t>
                  </w:r>
                </w:p>
                <w:p w14:paraId="76609C01">
                  <w:pPr>
                    <w:pStyle w:val="221"/>
                    <w:jc w:val="left"/>
                    <w:rPr>
                      <w:color w:val="000000" w:themeColor="text1"/>
                      <w14:textFill>
                        <w14:solidFill>
                          <w14:schemeClr w14:val="tx1"/>
                        </w14:solidFill>
                      </w14:textFill>
                    </w:rPr>
                  </w:pPr>
                  <w:r>
                    <w:rPr>
                      <w:rFonts w:eastAsia="Times New Roman"/>
                      <w:color w:val="000000" w:themeColor="text1"/>
                      <w:spacing w:val="6"/>
                      <w14:textFill>
                        <w14:solidFill>
                          <w14:schemeClr w14:val="tx1"/>
                        </w14:solidFill>
                      </w14:textFill>
                    </w:rPr>
                    <w:t>5</w:t>
                  </w:r>
                  <w:r>
                    <w:rPr>
                      <w:rFonts w:eastAsia="Times New Roman"/>
                      <w:color w:val="000000" w:themeColor="text1"/>
                      <w:spacing w:val="-20"/>
                      <w14:textFill>
                        <w14:solidFill>
                          <w14:schemeClr w14:val="tx1"/>
                        </w14:solidFill>
                      </w14:textFill>
                    </w:rPr>
                    <w:t xml:space="preserve"> </w:t>
                  </w:r>
                  <w:r>
                    <w:rPr>
                      <w:color w:val="000000" w:themeColor="text1"/>
                      <w:spacing w:val="6"/>
                      <w14:textFill>
                        <w14:solidFill>
                          <w14:schemeClr w14:val="tx1"/>
                        </w14:solidFill>
                      </w14:textFill>
                    </w:rPr>
                    <w:t>、禁止在水环境质量不能稳定达标</w:t>
                  </w:r>
                  <w:r>
                    <w:rPr>
                      <w:color w:val="000000" w:themeColor="text1"/>
                      <w14:textFill>
                        <w14:solidFill>
                          <w14:schemeClr w14:val="tx1"/>
                        </w14:solidFill>
                      </w14:textFill>
                    </w:rPr>
                    <w:t xml:space="preserve"> </w:t>
                  </w:r>
                  <w:r>
                    <w:rPr>
                      <w:color w:val="000000" w:themeColor="text1"/>
                      <w:spacing w:val="15"/>
                      <w14:textFill>
                        <w14:solidFill>
                          <w14:schemeClr w14:val="tx1"/>
                        </w14:solidFill>
                      </w14:textFill>
                    </w:rPr>
                    <w:t>的区域内，建设新增相应不达标污</w:t>
                  </w:r>
                  <w:r>
                    <w:rPr>
                      <w:color w:val="000000" w:themeColor="text1"/>
                      <w:spacing w:val="2"/>
                      <w14:textFill>
                        <w14:solidFill>
                          <w14:schemeClr w14:val="tx1"/>
                        </w14:solidFill>
                      </w14:textFill>
                    </w:rPr>
                    <w:t xml:space="preserve"> </w:t>
                  </w:r>
                  <w:r>
                    <w:rPr>
                      <w:color w:val="000000" w:themeColor="text1"/>
                      <w:spacing w:val="8"/>
                      <w14:textFill>
                        <w14:solidFill>
                          <w14:schemeClr w14:val="tx1"/>
                        </w14:solidFill>
                      </w14:textFill>
                    </w:rPr>
                    <w:t>染物指标排放量的工业项目。</w:t>
                  </w:r>
                </w:p>
              </w:tc>
              <w:tc>
                <w:tcPr>
                  <w:tcW w:w="2063" w:type="dxa"/>
                  <w:vAlign w:val="center"/>
                </w:tcPr>
                <w:p w14:paraId="2B69AE07">
                  <w:pPr>
                    <w:pStyle w:val="221"/>
                    <w:jc w:val="left"/>
                    <w:rPr>
                      <w:color w:val="000000" w:themeColor="text1"/>
                      <w14:textFill>
                        <w14:solidFill>
                          <w14:schemeClr w14:val="tx1"/>
                        </w14:solidFill>
                      </w14:textFill>
                    </w:rPr>
                  </w:pPr>
                  <w:r>
                    <w:rPr>
                      <w:color w:val="000000" w:themeColor="text1"/>
                      <w:spacing w:val="8"/>
                      <w14:textFill>
                        <w14:solidFill>
                          <w14:schemeClr w14:val="tx1"/>
                        </w14:solidFill>
                      </w14:textFill>
                    </w:rPr>
                    <w:t>本项目主要从事</w:t>
                  </w:r>
                  <w:r>
                    <w:rPr>
                      <w:color w:val="000000" w:themeColor="text1"/>
                      <w:spacing w:val="1"/>
                      <w14:textFill>
                        <w14:solidFill>
                          <w14:schemeClr w14:val="tx1"/>
                        </w14:solidFill>
                      </w14:textFill>
                    </w:rPr>
                    <w:t>金属结构制造</w:t>
                  </w:r>
                  <w:r>
                    <w:rPr>
                      <w:rFonts w:hint="eastAsia"/>
                      <w:color w:val="000000" w:themeColor="text1"/>
                      <w:spacing w:val="1"/>
                      <w14:textFill>
                        <w14:solidFill>
                          <w14:schemeClr w14:val="tx1"/>
                        </w14:solidFill>
                      </w14:textFill>
                    </w:rPr>
                    <w:t>、</w:t>
                  </w:r>
                  <w:r>
                    <w:rPr>
                      <w:color w:val="000000" w:themeColor="text1"/>
                      <w:spacing w:val="1"/>
                      <w14:textFill>
                        <w14:solidFill>
                          <w14:schemeClr w14:val="tx1"/>
                        </w14:solidFill>
                      </w14:textFill>
                    </w:rPr>
                    <w:t>其他电池制造</w:t>
                  </w:r>
                  <w:r>
                    <w:rPr>
                      <w:color w:val="000000" w:themeColor="text1"/>
                      <w:spacing w:val="8"/>
                      <w14:textFill>
                        <w14:solidFill>
                          <w14:schemeClr w14:val="tx1"/>
                        </w14:solidFill>
                      </w14:textFill>
                    </w:rPr>
                    <w:t>，不属于左侧所列约束性产业；项目建设与空间布局约束要求不</w:t>
                  </w:r>
                  <w:r>
                    <w:rPr>
                      <w:color w:val="000000" w:themeColor="text1"/>
                      <w:spacing w:val="2"/>
                      <w14:textFill>
                        <w14:solidFill>
                          <w14:schemeClr w14:val="tx1"/>
                        </w14:solidFill>
                      </w14:textFill>
                    </w:rPr>
                    <w:t>冲突。</w:t>
                  </w:r>
                </w:p>
              </w:tc>
              <w:tc>
                <w:tcPr>
                  <w:tcW w:w="609" w:type="dxa"/>
                  <w:vAlign w:val="center"/>
                </w:tcPr>
                <w:p w14:paraId="7BD0768F">
                  <w:pPr>
                    <w:pStyle w:val="221"/>
                    <w:rPr>
                      <w:color w:val="000000" w:themeColor="text1"/>
                      <w14:textFill>
                        <w14:solidFill>
                          <w14:schemeClr w14:val="tx1"/>
                        </w14:solidFill>
                      </w14:textFill>
                    </w:rPr>
                  </w:pPr>
                  <w:r>
                    <w:rPr>
                      <w:color w:val="000000" w:themeColor="text1"/>
                      <w:spacing w:val="3"/>
                      <w14:textFill>
                        <w14:solidFill>
                          <w14:schemeClr w14:val="tx1"/>
                        </w14:solidFill>
                      </w14:textFill>
                    </w:rPr>
                    <w:t>符合</w:t>
                  </w:r>
                </w:p>
              </w:tc>
            </w:tr>
            <w:tr w14:paraId="443B5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33" w:type="dxa"/>
                  <w:vMerge w:val="continue"/>
                  <w:vAlign w:val="center"/>
                </w:tcPr>
                <w:p w14:paraId="72985DC4">
                  <w:pPr>
                    <w:pStyle w:val="221"/>
                    <w:rPr>
                      <w:color w:val="000000" w:themeColor="text1"/>
                      <w14:textFill>
                        <w14:solidFill>
                          <w14:schemeClr w14:val="tx1"/>
                        </w14:solidFill>
                      </w14:textFill>
                    </w:rPr>
                  </w:pPr>
                </w:p>
              </w:tc>
              <w:tc>
                <w:tcPr>
                  <w:tcW w:w="648" w:type="dxa"/>
                  <w:vAlign w:val="center"/>
                </w:tcPr>
                <w:p w14:paraId="07A18081">
                  <w:pPr>
                    <w:pStyle w:val="221"/>
                    <w:rPr>
                      <w:color w:val="000000" w:themeColor="text1"/>
                      <w:spacing w:val="3"/>
                      <w14:textFill>
                        <w14:solidFill>
                          <w14:schemeClr w14:val="tx1"/>
                        </w14:solidFill>
                      </w14:textFill>
                    </w:rPr>
                  </w:pPr>
                  <w:r>
                    <w:rPr>
                      <w:color w:val="000000" w:themeColor="text1"/>
                      <w:spacing w:val="3"/>
                      <w14:textFill>
                        <w14:solidFill>
                          <w14:schemeClr w14:val="tx1"/>
                        </w14:solidFill>
                      </w14:textFill>
                    </w:rPr>
                    <w:t>污染 物排 放管 控</w:t>
                  </w:r>
                </w:p>
              </w:tc>
              <w:tc>
                <w:tcPr>
                  <w:tcW w:w="3664" w:type="dxa"/>
                  <w:vAlign w:val="center"/>
                </w:tcPr>
                <w:p w14:paraId="7E191F74">
                  <w:pPr>
                    <w:pStyle w:val="221"/>
                    <w:jc w:val="left"/>
                    <w:rPr>
                      <w:color w:val="000000" w:themeColor="text1"/>
                      <w14:textFill>
                        <w14:solidFill>
                          <w14:schemeClr w14:val="tx1"/>
                        </w14:solidFill>
                      </w14:textFill>
                    </w:rPr>
                  </w:pPr>
                  <w:r>
                    <w:rPr>
                      <w:rFonts w:eastAsia="Times New Roman"/>
                      <w:color w:val="000000" w:themeColor="text1"/>
                      <w:spacing w:val="5"/>
                      <w14:textFill>
                        <w14:solidFill>
                          <w14:schemeClr w14:val="tx1"/>
                        </w14:solidFill>
                      </w14:textFill>
                    </w:rPr>
                    <w:t>1</w:t>
                  </w:r>
                  <w:r>
                    <w:rPr>
                      <w:rFonts w:eastAsia="Times New Roman"/>
                      <w:color w:val="000000" w:themeColor="text1"/>
                      <w:spacing w:val="-18"/>
                      <w14:textFill>
                        <w14:solidFill>
                          <w14:schemeClr w14:val="tx1"/>
                        </w14:solidFill>
                      </w14:textFill>
                    </w:rPr>
                    <w:t xml:space="preserve"> </w:t>
                  </w:r>
                  <w:r>
                    <w:rPr>
                      <w:color w:val="000000" w:themeColor="text1"/>
                      <w:spacing w:val="5"/>
                      <w14:textFill>
                        <w14:solidFill>
                          <w14:schemeClr w14:val="tx1"/>
                        </w14:solidFill>
                      </w14:textFill>
                    </w:rPr>
                    <w:t>、建设项目新增的主要污染物排放</w:t>
                  </w:r>
                  <w:r>
                    <w:rPr>
                      <w:color w:val="000000" w:themeColor="text1"/>
                      <w14:textFill>
                        <w14:solidFill>
                          <w14:schemeClr w14:val="tx1"/>
                        </w14:solidFill>
                      </w14:textFill>
                    </w:rPr>
                    <w:t xml:space="preserve"> </w:t>
                  </w:r>
                  <w:r>
                    <w:rPr>
                      <w:color w:val="000000" w:themeColor="text1"/>
                      <w:spacing w:val="8"/>
                      <w14:textFill>
                        <w14:solidFill>
                          <w14:schemeClr w14:val="tx1"/>
                        </w14:solidFill>
                      </w14:textFill>
                    </w:rPr>
                    <w:t>量应按要求实行等量或倍量替代。</w:t>
                  </w:r>
                </w:p>
                <w:p w14:paraId="41767102">
                  <w:pPr>
                    <w:pStyle w:val="221"/>
                    <w:rPr>
                      <w:color w:val="000000" w:themeColor="text1"/>
                      <w14:textFill>
                        <w14:solidFill>
                          <w14:schemeClr w14:val="tx1"/>
                        </w14:solidFill>
                      </w14:textFill>
                    </w:rPr>
                  </w:pPr>
                  <w:r>
                    <w:rPr>
                      <w:color w:val="000000" w:themeColor="text1"/>
                      <w:spacing w:val="9"/>
                      <w14:textFill>
                        <w14:solidFill>
                          <w14:schemeClr w14:val="tx1"/>
                        </w14:solidFill>
                      </w14:textFill>
                    </w:rPr>
                    <w:t>涉及总磷排放的建设项目应按照要求实行总磷排放量倍量或等量削减替代。涉及重金属重点行业建设项目新增的重点重金属污染物应按要</w:t>
                  </w:r>
                  <w:r>
                    <w:rPr>
                      <w:color w:val="000000" w:themeColor="text1"/>
                      <w:spacing w:val="6"/>
                      <w14:textFill>
                        <w14:solidFill>
                          <w14:schemeClr w14:val="tx1"/>
                        </w14:solidFill>
                      </w14:textFill>
                    </w:rPr>
                    <w:t>求实行</w:t>
                  </w:r>
                  <w:r>
                    <w:rPr>
                      <w:rFonts w:eastAsia="Times New Roman"/>
                      <w:color w:val="000000" w:themeColor="text1"/>
                      <w:spacing w:val="6"/>
                      <w14:textFill>
                        <w14:solidFill>
                          <w14:schemeClr w14:val="tx1"/>
                        </w14:solidFill>
                      </w14:textFill>
                    </w:rPr>
                    <w:t>“</w:t>
                  </w:r>
                  <w:r>
                    <w:rPr>
                      <w:color w:val="000000" w:themeColor="text1"/>
                      <w:spacing w:val="6"/>
                      <w14:textFill>
                        <w14:solidFill>
                          <w14:schemeClr w14:val="tx1"/>
                        </w14:solidFill>
                      </w14:textFill>
                    </w:rPr>
                    <w:t>减量置换</w:t>
                  </w:r>
                  <w:r>
                    <w:rPr>
                      <w:rFonts w:eastAsia="Times New Roman"/>
                      <w:color w:val="000000" w:themeColor="text1"/>
                      <w:spacing w:val="6"/>
                      <w14:textFill>
                        <w14:solidFill>
                          <w14:schemeClr w14:val="tx1"/>
                        </w14:solidFill>
                      </w14:textFill>
                    </w:rPr>
                    <w:t>”</w:t>
                  </w:r>
                  <w:r>
                    <w:rPr>
                      <w:color w:val="000000" w:themeColor="text1"/>
                      <w:spacing w:val="6"/>
                      <w14:textFill>
                        <w14:solidFill>
                          <w14:schemeClr w14:val="tx1"/>
                        </w14:solidFill>
                      </w14:textFill>
                    </w:rPr>
                    <w:t>或等量替换</w:t>
                  </w:r>
                  <w:r>
                    <w:rPr>
                      <w:rFonts w:eastAsia="Times New Roman"/>
                      <w:color w:val="000000" w:themeColor="text1"/>
                      <w:spacing w:val="6"/>
                      <w14:textFill>
                        <w14:solidFill>
                          <w14:schemeClr w14:val="tx1"/>
                        </w14:solidFill>
                      </w14:textFill>
                    </w:rPr>
                    <w:t>"</w:t>
                  </w:r>
                  <w:r>
                    <w:rPr>
                      <w:rFonts w:eastAsia="Times New Roman"/>
                      <w:color w:val="000000" w:themeColor="text1"/>
                      <w:spacing w:val="-13"/>
                      <w14:textFill>
                        <w14:solidFill>
                          <w14:schemeClr w14:val="tx1"/>
                        </w14:solidFill>
                      </w14:textFill>
                    </w:rPr>
                    <w:t xml:space="preserve"> </w:t>
                  </w:r>
                  <w:r>
                    <w:rPr>
                      <w:color w:val="000000" w:themeColor="text1"/>
                      <w:spacing w:val="6"/>
                      <w14:textFill>
                        <w14:solidFill>
                          <w14:schemeClr w14:val="tx1"/>
                        </w14:solidFill>
                      </w14:textFill>
                    </w:rPr>
                    <w:t>。涉</w:t>
                  </w:r>
                  <w:r>
                    <w:rPr>
                      <w:color w:val="000000" w:themeColor="text1"/>
                      <w:spacing w:val="10"/>
                      <w14:textFill>
                        <w14:solidFill>
                          <w14:schemeClr w14:val="tx1"/>
                        </w14:solidFill>
                      </w14:textFill>
                    </w:rPr>
                    <w:t>新增</w:t>
                  </w:r>
                  <w:r>
                    <w:rPr>
                      <w:rFonts w:eastAsia="Times New Roman"/>
                      <w:color w:val="000000" w:themeColor="text1"/>
                      <w14:textFill>
                        <w14:solidFill>
                          <w14:schemeClr w14:val="tx1"/>
                        </w14:solidFill>
                      </w14:textFill>
                    </w:rPr>
                    <w:t>VOC</w:t>
                  </w:r>
                  <w:r>
                    <w:rPr>
                      <w:rFonts w:eastAsia="Times New Roman"/>
                      <w:color w:val="000000" w:themeColor="text1"/>
                      <w:position w:val="-1"/>
                      <w14:textFill>
                        <w14:solidFill>
                          <w14:schemeClr w14:val="tx1"/>
                        </w14:solidFill>
                      </w14:textFill>
                    </w:rPr>
                    <w:t>S</w:t>
                  </w:r>
                  <w:r>
                    <w:rPr>
                      <w:color w:val="000000" w:themeColor="text1"/>
                      <w:spacing w:val="10"/>
                      <w14:textFill>
                        <w14:solidFill>
                          <w14:schemeClr w14:val="tx1"/>
                        </w14:solidFill>
                      </w14:textFill>
                    </w:rPr>
                    <w:t>排放项目，</w:t>
                  </w:r>
                  <w:r>
                    <w:rPr>
                      <w:rFonts w:eastAsia="Times New Roman"/>
                      <w:color w:val="000000" w:themeColor="text1"/>
                      <w14:textFill>
                        <w14:solidFill>
                          <w14:schemeClr w14:val="tx1"/>
                        </w14:solidFill>
                      </w14:textFill>
                    </w:rPr>
                    <w:t>VOC</w:t>
                  </w:r>
                  <w:r>
                    <w:rPr>
                      <w:rFonts w:eastAsia="Times New Roman"/>
                      <w:color w:val="000000" w:themeColor="text1"/>
                      <w:position w:val="-1"/>
                      <w14:textFill>
                        <w14:solidFill>
                          <w14:schemeClr w14:val="tx1"/>
                        </w14:solidFill>
                      </w14:textFill>
                    </w:rPr>
                    <w:t>S</w:t>
                  </w:r>
                  <w:r>
                    <w:rPr>
                      <w:rFonts w:eastAsia="Times New Roman"/>
                      <w:color w:val="000000" w:themeColor="text1"/>
                      <w:spacing w:val="10"/>
                      <w:position w:val="-1"/>
                      <w14:textFill>
                        <w14:solidFill>
                          <w14:schemeClr w14:val="tx1"/>
                        </w14:solidFill>
                      </w14:textFill>
                    </w:rPr>
                    <w:t xml:space="preserve"> </w:t>
                  </w:r>
                  <w:r>
                    <w:rPr>
                      <w:color w:val="000000" w:themeColor="text1"/>
                      <w:spacing w:val="10"/>
                      <w14:textFill>
                        <w14:solidFill>
                          <w14:schemeClr w14:val="tx1"/>
                        </w14:solidFill>
                      </w14:textFill>
                    </w:rPr>
                    <w:t>排放实</w:t>
                  </w:r>
                  <w:r>
                    <w:rPr>
                      <w:color w:val="000000" w:themeColor="text1"/>
                      <w:spacing w:val="9"/>
                      <w14:textFill>
                        <w14:solidFill>
                          <w14:schemeClr w14:val="tx1"/>
                        </w14:solidFill>
                      </w14:textFill>
                    </w:rPr>
                    <w:t>行区域内等量替代。福州、厦门、</w:t>
                  </w:r>
                  <w:r>
                    <w:rPr>
                      <w:color w:val="000000" w:themeColor="text1"/>
                      <w:spacing w:val="7"/>
                      <w14:textFill>
                        <w14:solidFill>
                          <w14:schemeClr w14:val="tx1"/>
                        </w14:solidFill>
                      </w14:textFill>
                    </w:rPr>
                    <w:t>漳州、泉州、莆田、宁德等</w:t>
                  </w:r>
                  <w:r>
                    <w:rPr>
                      <w:color w:val="000000" w:themeColor="text1"/>
                      <w:spacing w:val="-27"/>
                      <w14:textFill>
                        <w14:solidFill>
                          <w14:schemeClr w14:val="tx1"/>
                        </w14:solidFill>
                      </w14:textFill>
                    </w:rPr>
                    <w:t xml:space="preserve"> </w:t>
                  </w:r>
                  <w:r>
                    <w:rPr>
                      <w:rFonts w:eastAsia="Times New Roman"/>
                      <w:color w:val="000000" w:themeColor="text1"/>
                      <w:spacing w:val="7"/>
                      <w14:textFill>
                        <w14:solidFill>
                          <w14:schemeClr w14:val="tx1"/>
                        </w14:solidFill>
                      </w14:textFill>
                    </w:rPr>
                    <w:t>6</w:t>
                  </w:r>
                  <w:r>
                    <w:rPr>
                      <w:color w:val="000000" w:themeColor="text1"/>
                      <w:spacing w:val="7"/>
                      <w14:textFill>
                        <w14:solidFill>
                          <w14:schemeClr w14:val="tx1"/>
                        </w14:solidFill>
                      </w14:textFill>
                    </w:rPr>
                    <w:t>个重</w:t>
                  </w:r>
                  <w:r>
                    <w:rPr>
                      <w:color w:val="000000" w:themeColor="text1"/>
                      <w:spacing w:val="8"/>
                      <w14:textFill>
                        <w14:solidFill>
                          <w14:schemeClr w14:val="tx1"/>
                        </w14:solidFill>
                      </w14:textFill>
                    </w:rPr>
                    <w:t>点控制区可实施倍量替代。</w:t>
                  </w:r>
                </w:p>
                <w:p w14:paraId="403C950E">
                  <w:pPr>
                    <w:pStyle w:val="221"/>
                    <w:jc w:val="left"/>
                    <w:rPr>
                      <w:color w:val="000000" w:themeColor="text1"/>
                      <w14:textFill>
                        <w14:solidFill>
                          <w14:schemeClr w14:val="tx1"/>
                        </w14:solidFill>
                      </w14:textFill>
                    </w:rPr>
                  </w:pPr>
                  <w:r>
                    <w:rPr>
                      <w:rFonts w:eastAsia="Times New Roman"/>
                      <w:color w:val="000000" w:themeColor="text1"/>
                      <w:spacing w:val="6"/>
                      <w14:textFill>
                        <w14:solidFill>
                          <w14:schemeClr w14:val="tx1"/>
                        </w14:solidFill>
                      </w14:textFill>
                    </w:rPr>
                    <w:t>2</w:t>
                  </w:r>
                  <w:r>
                    <w:rPr>
                      <w:rFonts w:eastAsia="Times New Roman"/>
                      <w:color w:val="000000" w:themeColor="text1"/>
                      <w:spacing w:val="-14"/>
                      <w14:textFill>
                        <w14:solidFill>
                          <w14:schemeClr w14:val="tx1"/>
                        </w14:solidFill>
                      </w14:textFill>
                    </w:rPr>
                    <w:t xml:space="preserve"> </w:t>
                  </w:r>
                  <w:r>
                    <w:rPr>
                      <w:color w:val="000000" w:themeColor="text1"/>
                      <w:spacing w:val="6"/>
                      <w14:textFill>
                        <w14:solidFill>
                          <w14:schemeClr w14:val="tx1"/>
                        </w14:solidFill>
                      </w14:textFill>
                    </w:rPr>
                    <w:t>、新建水泥、有色金属项目应执行</w:t>
                  </w:r>
                  <w:r>
                    <w:rPr>
                      <w:color w:val="000000" w:themeColor="text1"/>
                      <w:spacing w:val="9"/>
                      <w14:textFill>
                        <w14:solidFill>
                          <w14:schemeClr w14:val="tx1"/>
                        </w14:solidFill>
                      </w14:textFill>
                    </w:rPr>
                    <w:t>大气污染物特别排放限值，钢铁项目应执行超低排放指标要求，火电</w:t>
                  </w:r>
                  <w:r>
                    <w:rPr>
                      <w:color w:val="000000" w:themeColor="text1"/>
                      <w:spacing w:val="8"/>
                      <w14:textFill>
                        <w14:solidFill>
                          <w14:schemeClr w14:val="tx1"/>
                        </w14:solidFill>
                      </w14:textFill>
                    </w:rPr>
                    <w:t>项目应达到超低排放限值。</w:t>
                  </w:r>
                </w:p>
                <w:p w14:paraId="4A5E2717">
                  <w:pPr>
                    <w:pStyle w:val="221"/>
                    <w:jc w:val="left"/>
                    <w:rPr>
                      <w:color w:val="000000" w:themeColor="text1"/>
                      <w14:textFill>
                        <w14:solidFill>
                          <w14:schemeClr w14:val="tx1"/>
                        </w14:solidFill>
                      </w14:textFill>
                    </w:rPr>
                  </w:pPr>
                  <w:r>
                    <w:rPr>
                      <w:rFonts w:eastAsia="Times New Roman"/>
                      <w:color w:val="000000" w:themeColor="text1"/>
                      <w:spacing w:val="2"/>
                      <w14:textFill>
                        <w14:solidFill>
                          <w14:schemeClr w14:val="tx1"/>
                        </w14:solidFill>
                      </w14:textFill>
                    </w:rPr>
                    <w:t>3</w:t>
                  </w:r>
                  <w:r>
                    <w:rPr>
                      <w:color w:val="000000" w:themeColor="text1"/>
                      <w:spacing w:val="2"/>
                      <w14:textFill>
                        <w14:solidFill>
                          <w14:schemeClr w14:val="tx1"/>
                        </w14:solidFill>
                      </w14:textFill>
                    </w:rPr>
                    <w:t>、尾水排入近岸海域汇水区域、</w:t>
                  </w:r>
                  <w:r>
                    <w:rPr>
                      <w:rFonts w:eastAsia="Times New Roman"/>
                      <w:color w:val="000000" w:themeColor="text1"/>
                      <w:spacing w:val="2"/>
                      <w14:textFill>
                        <w14:solidFill>
                          <w14:schemeClr w14:val="tx1"/>
                        </w14:solidFill>
                      </w14:textFill>
                    </w:rPr>
                    <w:t>“</w:t>
                  </w:r>
                  <w:r>
                    <w:rPr>
                      <w:color w:val="000000" w:themeColor="text1"/>
                      <w:spacing w:val="2"/>
                      <w14:textFill>
                        <w14:solidFill>
                          <w14:schemeClr w14:val="tx1"/>
                        </w14:solidFill>
                      </w14:textFill>
                    </w:rPr>
                    <w:t>六</w:t>
                  </w:r>
                  <w:r>
                    <w:rPr>
                      <w:color w:val="000000" w:themeColor="text1"/>
                      <w:spacing w:val="8"/>
                      <w14:textFill>
                        <w14:solidFill>
                          <w14:schemeClr w14:val="tx1"/>
                        </w14:solidFill>
                      </w14:textFill>
                    </w:rPr>
                    <w:t>江两溪</w:t>
                  </w:r>
                  <w:r>
                    <w:rPr>
                      <w:rFonts w:eastAsia="Times New Roman"/>
                      <w:color w:val="000000" w:themeColor="text1"/>
                      <w:spacing w:val="8"/>
                      <w14:textFill>
                        <w14:solidFill>
                          <w14:schemeClr w14:val="tx1"/>
                        </w14:solidFill>
                      </w14:textFill>
                    </w:rPr>
                    <w:t>”</w:t>
                  </w:r>
                  <w:r>
                    <w:rPr>
                      <w:color w:val="000000" w:themeColor="text1"/>
                      <w:spacing w:val="8"/>
                      <w14:textFill>
                        <w14:solidFill>
                          <w14:schemeClr w14:val="tx1"/>
                        </w14:solidFill>
                      </w14:textFill>
                    </w:rPr>
                    <w:t>流域以及湖泊、水库等封</w:t>
                  </w:r>
                </w:p>
                <w:p w14:paraId="071D2ED4">
                  <w:pPr>
                    <w:pStyle w:val="221"/>
                    <w:rPr>
                      <w:color w:val="000000" w:themeColor="text1"/>
                      <w14:textFill>
                        <w14:solidFill>
                          <w14:schemeClr w14:val="tx1"/>
                        </w14:solidFill>
                      </w14:textFill>
                    </w:rPr>
                  </w:pPr>
                  <w:r>
                    <w:rPr>
                      <w:color w:val="000000" w:themeColor="text1"/>
                      <w:spacing w:val="8"/>
                      <w14:textFill>
                        <w14:solidFill>
                          <w14:schemeClr w14:val="tx1"/>
                        </w14:solidFill>
                      </w14:textFill>
                    </w:rPr>
                    <w:t>闭、半封闭水域的城镇污水处理设</w:t>
                  </w:r>
                  <w:r>
                    <w:rPr>
                      <w:color w:val="000000" w:themeColor="text1"/>
                      <w:spacing w:val="6"/>
                      <w14:textFill>
                        <w14:solidFill>
                          <w14:schemeClr w14:val="tx1"/>
                        </w14:solidFill>
                      </w14:textFill>
                    </w:rPr>
                    <w:t>施执行不低于一级</w:t>
                  </w:r>
                  <w:r>
                    <w:rPr>
                      <w:rFonts w:eastAsia="Times New Roman"/>
                      <w:color w:val="000000" w:themeColor="text1"/>
                      <w:spacing w:val="6"/>
                      <w14:textFill>
                        <w14:solidFill>
                          <w14:schemeClr w14:val="tx1"/>
                        </w14:solidFill>
                      </w14:textFill>
                    </w:rPr>
                    <w:t>A</w:t>
                  </w:r>
                  <w:r>
                    <w:rPr>
                      <w:color w:val="000000" w:themeColor="text1"/>
                      <w:spacing w:val="6"/>
                      <w14:textFill>
                        <w14:solidFill>
                          <w14:schemeClr w14:val="tx1"/>
                        </w14:solidFill>
                      </w14:textFill>
                    </w:rPr>
                    <w:t>排放标准。</w:t>
                  </w:r>
                </w:p>
              </w:tc>
              <w:tc>
                <w:tcPr>
                  <w:tcW w:w="2063" w:type="dxa"/>
                  <w:vAlign w:val="center"/>
                </w:tcPr>
                <w:p w14:paraId="6282EFF4">
                  <w:pPr>
                    <w:pStyle w:val="221"/>
                    <w:jc w:val="left"/>
                    <w:rPr>
                      <w:color w:val="000000" w:themeColor="text1"/>
                      <w14:textFill>
                        <w14:solidFill>
                          <w14:schemeClr w14:val="tx1"/>
                        </w14:solidFill>
                      </w14:textFill>
                    </w:rPr>
                  </w:pPr>
                  <w:r>
                    <w:rPr>
                      <w:rFonts w:eastAsia="Times New Roman"/>
                      <w:color w:val="000000" w:themeColor="text1"/>
                      <w:spacing w:val="2"/>
                      <w14:textFill>
                        <w14:solidFill>
                          <w14:schemeClr w14:val="tx1"/>
                        </w14:solidFill>
                      </w14:textFill>
                    </w:rPr>
                    <w:t>1</w:t>
                  </w:r>
                  <w:r>
                    <w:rPr>
                      <w:color w:val="000000" w:themeColor="text1"/>
                      <w:spacing w:val="2"/>
                      <w14:textFill>
                        <w14:solidFill>
                          <w14:schemeClr w14:val="tx1"/>
                        </w14:solidFill>
                      </w14:textFill>
                    </w:rPr>
                    <w:t>、项目不涉及重金</w:t>
                  </w:r>
                  <w:r>
                    <w:rPr>
                      <w:color w:val="000000" w:themeColor="text1"/>
                      <w:spacing w:val="8"/>
                      <w14:textFill>
                        <w14:solidFill>
                          <w14:schemeClr w14:val="tx1"/>
                        </w14:solidFill>
                      </w14:textFill>
                    </w:rPr>
                    <w:t>属</w:t>
                  </w:r>
                  <w:r>
                    <w:rPr>
                      <w:rFonts w:hint="eastAsia"/>
                      <w:color w:val="000000" w:themeColor="text1"/>
                      <w:spacing w:val="8"/>
                      <w14:textFill>
                        <w14:solidFill>
                          <w14:schemeClr w14:val="tx1"/>
                        </w14:solidFill>
                      </w14:textFill>
                    </w:rPr>
                    <w:t>和</w:t>
                  </w:r>
                  <w:r>
                    <w:rPr>
                      <w:rFonts w:eastAsia="Times New Roman"/>
                      <w:color w:val="000000" w:themeColor="text1"/>
                      <w14:textFill>
                        <w14:solidFill>
                          <w14:schemeClr w14:val="tx1"/>
                        </w14:solidFill>
                      </w14:textFill>
                    </w:rPr>
                    <w:t>VOCs</w:t>
                  </w:r>
                  <w:r>
                    <w:rPr>
                      <w:rFonts w:eastAsia="Times New Roman"/>
                      <w:color w:val="000000" w:themeColor="text1"/>
                      <w:spacing w:val="12"/>
                      <w14:textFill>
                        <w14:solidFill>
                          <w14:schemeClr w14:val="tx1"/>
                        </w14:solidFill>
                      </w14:textFill>
                    </w:rPr>
                    <w:t xml:space="preserve"> </w:t>
                  </w:r>
                  <w:r>
                    <w:rPr>
                      <w:color w:val="000000" w:themeColor="text1"/>
                      <w:spacing w:val="8"/>
                      <w14:textFill>
                        <w14:solidFill>
                          <w14:schemeClr w14:val="tx1"/>
                        </w14:solidFill>
                      </w14:textFill>
                    </w:rPr>
                    <w:t>排放</w:t>
                  </w:r>
                  <w:r>
                    <w:rPr>
                      <w:color w:val="000000" w:themeColor="text1"/>
                      <w:spacing w:val="5"/>
                      <w14:textFill>
                        <w14:solidFill>
                          <w14:schemeClr w14:val="tx1"/>
                        </w14:solidFill>
                      </w14:textFill>
                    </w:rPr>
                    <w:t>。</w:t>
                  </w:r>
                </w:p>
                <w:p w14:paraId="282C0B5A">
                  <w:pPr>
                    <w:pStyle w:val="221"/>
                    <w:jc w:val="left"/>
                    <w:rPr>
                      <w:color w:val="000000" w:themeColor="text1"/>
                      <w14:textFill>
                        <w14:solidFill>
                          <w14:schemeClr w14:val="tx1"/>
                        </w14:solidFill>
                      </w14:textFill>
                    </w:rPr>
                  </w:pPr>
                  <w:r>
                    <w:rPr>
                      <w:rFonts w:eastAsia="Times New Roman"/>
                      <w:color w:val="000000" w:themeColor="text1"/>
                      <w:spacing w:val="5"/>
                      <w14:textFill>
                        <w14:solidFill>
                          <w14:schemeClr w14:val="tx1"/>
                        </w14:solidFill>
                      </w14:textFill>
                    </w:rPr>
                    <w:t>2</w:t>
                  </w:r>
                  <w:r>
                    <w:rPr>
                      <w:rFonts w:eastAsia="Times New Roman"/>
                      <w:color w:val="000000" w:themeColor="text1"/>
                      <w:spacing w:val="-25"/>
                      <w14:textFill>
                        <w14:solidFill>
                          <w14:schemeClr w14:val="tx1"/>
                        </w14:solidFill>
                      </w14:textFill>
                    </w:rPr>
                    <w:t xml:space="preserve"> </w:t>
                  </w:r>
                  <w:r>
                    <w:rPr>
                      <w:color w:val="000000" w:themeColor="text1"/>
                      <w:spacing w:val="5"/>
                      <w14:textFill>
                        <w14:solidFill>
                          <w14:schemeClr w14:val="tx1"/>
                        </w14:solidFill>
                      </w14:textFill>
                    </w:rPr>
                    <w:t>、本项目主要从事金属结构制造</w:t>
                  </w:r>
                  <w:r>
                    <w:rPr>
                      <w:rFonts w:hint="eastAsia"/>
                      <w:color w:val="000000" w:themeColor="text1"/>
                      <w:spacing w:val="5"/>
                      <w14:textFill>
                        <w14:solidFill>
                          <w14:schemeClr w14:val="tx1"/>
                        </w14:solidFill>
                      </w14:textFill>
                    </w:rPr>
                    <w:t>、</w:t>
                  </w:r>
                  <w:r>
                    <w:rPr>
                      <w:color w:val="000000" w:themeColor="text1"/>
                      <w:spacing w:val="5"/>
                      <w14:textFill>
                        <w14:solidFill>
                          <w14:schemeClr w14:val="tx1"/>
                        </w14:solidFill>
                      </w14:textFill>
                    </w:rPr>
                    <w:t>其他电池制造</w:t>
                  </w:r>
                  <w:r>
                    <w:rPr>
                      <w:color w:val="000000" w:themeColor="text1"/>
                      <w:spacing w:val="8"/>
                      <w14:textFill>
                        <w14:solidFill>
                          <w14:schemeClr w14:val="tx1"/>
                        </w14:solidFill>
                      </w14:textFill>
                    </w:rPr>
                    <w:t>，不属于</w:t>
                  </w:r>
                  <w:r>
                    <w:rPr>
                      <w:color w:val="000000" w:themeColor="text1"/>
                      <w:spacing w:val="7"/>
                      <w14:textFill>
                        <w14:solidFill>
                          <w14:schemeClr w14:val="tx1"/>
                        </w14:solidFill>
                      </w14:textFill>
                    </w:rPr>
                    <w:t>水泥、有色金属、钢铁、火电项目。</w:t>
                  </w:r>
                </w:p>
                <w:p w14:paraId="375DCBCC">
                  <w:pPr>
                    <w:pStyle w:val="221"/>
                    <w:jc w:val="left"/>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项目无新增排放生产废水和生活污水</w:t>
                  </w:r>
                  <w:r>
                    <w:rPr>
                      <w:color w:val="000000" w:themeColor="text1"/>
                      <w14:textFill>
                        <w14:solidFill>
                          <w14:schemeClr w14:val="tx1"/>
                        </w14:solidFill>
                      </w14:textFill>
                    </w:rPr>
                    <w:t>。</w:t>
                  </w:r>
                </w:p>
              </w:tc>
              <w:tc>
                <w:tcPr>
                  <w:tcW w:w="609" w:type="dxa"/>
                  <w:vAlign w:val="center"/>
                </w:tcPr>
                <w:p w14:paraId="19D022C8">
                  <w:pPr>
                    <w:pStyle w:val="221"/>
                    <w:rPr>
                      <w:color w:val="000000" w:themeColor="text1"/>
                      <w14:textFill>
                        <w14:solidFill>
                          <w14:schemeClr w14:val="tx1"/>
                        </w14:solidFill>
                      </w14:textFill>
                    </w:rPr>
                  </w:pPr>
                  <w:r>
                    <w:rPr>
                      <w:color w:val="000000" w:themeColor="text1"/>
                      <w:spacing w:val="3"/>
                      <w14:textFill>
                        <w14:solidFill>
                          <w14:schemeClr w14:val="tx1"/>
                        </w14:solidFill>
                      </w14:textFill>
                    </w:rPr>
                    <w:t>符合</w:t>
                  </w:r>
                </w:p>
              </w:tc>
            </w:tr>
          </w:tbl>
          <w:p w14:paraId="7288E0D9">
            <w:pPr>
              <w:pStyle w:val="223"/>
              <w:spacing w:before="120"/>
              <w:ind w:firstLine="480"/>
              <w:rPr>
                <w:szCs w:val="24"/>
              </w:rPr>
            </w:pPr>
            <w:r>
              <w:t>根据上表分析，项目与《福建省人民政府关于实施“三线一单</w:t>
            </w:r>
            <w:r>
              <w:rPr>
                <w:spacing w:val="-84"/>
              </w:rPr>
              <w:t xml:space="preserve"> </w:t>
            </w:r>
            <w:r>
              <w:t xml:space="preserve">” </w:t>
            </w:r>
            <w:r>
              <w:rPr>
                <w:spacing w:val="-5"/>
              </w:rPr>
              <w:t>生态环境分区管控的通知》相关要求相符合。</w:t>
            </w:r>
          </w:p>
          <w:p w14:paraId="2A0CFCA1">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②</w:t>
            </w:r>
            <w:r>
              <w:rPr>
                <w:rFonts w:ascii="Times New Roman" w:hAnsi="Times New Roman" w:eastAsia="宋体" w:cs="Times New Roman"/>
                <w:color w:val="000000" w:themeColor="text1"/>
                <w:szCs w:val="24"/>
                <w14:textFill>
                  <w14:solidFill>
                    <w14:schemeClr w14:val="tx1"/>
                  </w14:solidFill>
                </w14:textFill>
              </w:rPr>
              <w:t>与《福州市人民政府关于实施“三线一单”生态分区管控的通知》符合性分析</w:t>
            </w:r>
          </w:p>
          <w:p w14:paraId="2AAED358">
            <w:pPr>
              <w:spacing w:line="360" w:lineRule="auto"/>
              <w:ind w:firstLine="480" w:firstLineChars="200"/>
              <w:jc w:val="both"/>
              <w:rPr>
                <w:color w:val="000000" w:themeColor="text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本项目位于福清融侨经济技术开发区</w:t>
            </w:r>
            <w:r>
              <w:rPr>
                <w:rFonts w:hint="eastAsia" w:cs="Calibri"/>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福建中能电气有限公司3#车间</w:t>
            </w:r>
            <w:r>
              <w:rPr>
                <w:rFonts w:hint="eastAsia" w:cs="Calibri"/>
                <w:color w:val="000000" w:themeColor="text1"/>
                <w14:textFill>
                  <w14:solidFill>
                    <w14:schemeClr w14:val="tx1"/>
                  </w14:solidFill>
                </w14:textFill>
              </w:rPr>
              <w:t>)</w:t>
            </w:r>
            <w:r>
              <w:rPr>
                <w:rFonts w:ascii="Times New Roman" w:hAnsi="Times New Roman" w:eastAsia="宋体" w:cs="Times New Roman"/>
                <w:color w:val="000000" w:themeColor="text1"/>
                <w:szCs w:val="24"/>
                <w14:textFill>
                  <w14:solidFill>
                    <w14:schemeClr w14:val="tx1"/>
                  </w14:solidFill>
                </w14:textFill>
              </w:rPr>
              <w:t>，因此本项目对照福州市人民政府办公厅关于印发《福州市生态环境分区管控方案（2023年更新）》的通知（榕政办规〔2024〕20号）相关要求分析，本项目所在位置属于福州市陆域区域、福清市生态环境准入清单-重点管控单元-ZH35018120003（详见附件</w:t>
            </w:r>
            <w:r>
              <w:rPr>
                <w:rFonts w:hint="eastAsia" w:ascii="Times New Roman" w:hAnsi="Times New Roman" w:eastAsia="宋体" w:cs="Times New Roman"/>
                <w:color w:val="000000" w:themeColor="text1"/>
                <w:szCs w:val="24"/>
                <w14:textFill>
                  <w14:solidFill>
                    <w14:schemeClr w14:val="tx1"/>
                  </w14:solidFill>
                </w14:textFill>
              </w:rPr>
              <w:t>9</w:t>
            </w:r>
            <w:r>
              <w:rPr>
                <w:rFonts w:ascii="Times New Roman" w:hAnsi="Times New Roman" w:eastAsia="宋体" w:cs="Times New Roman"/>
                <w:color w:val="000000" w:themeColor="text1"/>
                <w:szCs w:val="24"/>
                <w14:textFill>
                  <w14:solidFill>
                    <w14:schemeClr w14:val="tx1"/>
                  </w14:solidFill>
                </w14:textFill>
              </w:rPr>
              <w:t>）。具体见表1.1-</w:t>
            </w:r>
            <w:r>
              <w:rPr>
                <w:rFonts w:hint="eastAsia" w:ascii="Times New Roman" w:hAnsi="Times New Roman" w:eastAsia="宋体" w:cs="Times New Roman"/>
                <w:color w:val="000000" w:themeColor="text1"/>
                <w:szCs w:val="24"/>
                <w14:textFill>
                  <w14:solidFill>
                    <w14:schemeClr w14:val="tx1"/>
                  </w14:solidFill>
                </w14:textFill>
              </w:rPr>
              <w:t>5</w:t>
            </w:r>
            <w:r>
              <w:rPr>
                <w:rFonts w:ascii="Times New Roman" w:hAnsi="Times New Roman" w:eastAsia="宋体" w:cs="Times New Roman"/>
                <w:color w:val="000000" w:themeColor="text1"/>
                <w:szCs w:val="24"/>
                <w14:textFill>
                  <w14:solidFill>
                    <w14:schemeClr w14:val="tx1"/>
                  </w14:solidFill>
                </w14:textFill>
              </w:rPr>
              <w:t>。</w:t>
            </w:r>
          </w:p>
          <w:p w14:paraId="0A5AE4B8">
            <w:pPr>
              <w:pStyle w:val="222"/>
              <w:spacing w:before="120"/>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表1.1-</w:t>
            </w:r>
            <w:r>
              <w:rPr>
                <w:rFonts w:hint="eastAsia"/>
                <w:color w:val="000000" w:themeColor="text1"/>
                <w:shd w:val="clear" w:color="auto" w:fill="FFFFFF"/>
                <w14:textFill>
                  <w14:solidFill>
                    <w14:schemeClr w14:val="tx1"/>
                  </w14:solidFill>
                </w14:textFill>
              </w:rPr>
              <w:t>5</w:t>
            </w:r>
            <w:r>
              <w:rPr>
                <w:color w:val="000000" w:themeColor="text1"/>
                <w:shd w:val="clear" w:color="auto" w:fill="FFFFFF"/>
                <w14:textFill>
                  <w14:solidFill>
                    <w14:schemeClr w14:val="tx1"/>
                  </w14:solidFill>
                </w14:textFill>
              </w:rPr>
              <w:t xml:space="preserve">  福州市生态环境准入要求一览表</w:t>
            </w:r>
          </w:p>
          <w:tbl>
            <w:tblPr>
              <w:tblStyle w:val="167"/>
              <w:tblW w:w="77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520"/>
              <w:gridCol w:w="3847"/>
              <w:gridCol w:w="1519"/>
              <w:gridCol w:w="428"/>
            </w:tblGrid>
            <w:tr w14:paraId="39BEA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dxa"/>
                  <w:vAlign w:val="center"/>
                </w:tcPr>
                <w:p w14:paraId="1E75339A">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适用</w:t>
                  </w:r>
                </w:p>
                <w:p w14:paraId="5F069687">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范围</w:t>
                  </w:r>
                </w:p>
              </w:tc>
              <w:tc>
                <w:tcPr>
                  <w:tcW w:w="4367" w:type="dxa"/>
                  <w:gridSpan w:val="2"/>
                  <w:vAlign w:val="center"/>
                </w:tcPr>
                <w:p w14:paraId="0A6E3B04">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准入要求</w:t>
                  </w:r>
                </w:p>
              </w:tc>
              <w:tc>
                <w:tcPr>
                  <w:tcW w:w="1519" w:type="dxa"/>
                  <w:vAlign w:val="center"/>
                </w:tcPr>
                <w:p w14:paraId="1CDDF49E">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本项目情况</w:t>
                  </w:r>
                </w:p>
              </w:tc>
              <w:tc>
                <w:tcPr>
                  <w:tcW w:w="428" w:type="dxa"/>
                  <w:vAlign w:val="center"/>
                </w:tcPr>
                <w:p w14:paraId="5BC77E3E">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符合性</w:t>
                  </w:r>
                </w:p>
              </w:tc>
            </w:tr>
            <w:tr w14:paraId="14E52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dxa"/>
                  <w:vMerge w:val="restart"/>
                  <w:vAlign w:val="center"/>
                </w:tcPr>
                <w:p w14:paraId="5ED96CD6">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福州市陆域</w:t>
                  </w:r>
                </w:p>
              </w:tc>
              <w:tc>
                <w:tcPr>
                  <w:tcW w:w="520" w:type="dxa"/>
                  <w:vAlign w:val="center"/>
                </w:tcPr>
                <w:p w14:paraId="3B201F23">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空间布局约束</w:t>
                  </w:r>
                </w:p>
              </w:tc>
              <w:tc>
                <w:tcPr>
                  <w:tcW w:w="3847" w:type="dxa"/>
                  <w:vAlign w:val="center"/>
                </w:tcPr>
                <w:p w14:paraId="433A04AD">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三、其它要求</w:t>
                  </w:r>
                </w:p>
                <w:p w14:paraId="5AC4FF72">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1.福州市石化中上游项目重点在福州江阴港城经济区、可门港经济区化工新材料产业园布局。</w:t>
                  </w:r>
                </w:p>
                <w:p w14:paraId="7F01B0F9">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2.禁止在闽江马尾罗星塔以上流域范围新、扩建制革项目，严控新（扩）建植物制浆、印染、合成革及人造革、电镀项目。</w:t>
                  </w:r>
                </w:p>
                <w:p w14:paraId="053F9525">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3.禁止在通风廊道和主导风向的上风向布局大气重污染企业，推进建成区大气重污染企业搬迁或升级改造、环境风险企业搬迁或关闭退出。</w:t>
                  </w:r>
                </w:p>
                <w:p w14:paraId="57D0380F">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4.禁止新、改、扩建生产高 VOCs 含量有机溶剂型涂料、油墨和胶黏剂的项目。</w:t>
                  </w:r>
                </w:p>
                <w:p w14:paraId="398AE5DD">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5.持续加强闽清等地建陶产业的环境综合治理，充分衔接国土空间规划和生态环境分区管控，并对照产业政策、城市总体发展规划等要求，进一步明确发展定位，优化产业布局和规模。</w:t>
                  </w:r>
                </w:p>
                <w:p w14:paraId="587E5730">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6.新建、扩建的涉及重点重金属污染物</w:t>
                  </w:r>
                  <w:r>
                    <w:rPr>
                      <w:rFonts w:ascii="Times New Roman" w:hAnsi="Times New Roman" w:eastAsia="宋体" w:cs="Times New Roman"/>
                      <w:color w:val="000000" w:themeColor="text1"/>
                      <w:sz w:val="21"/>
                      <w:szCs w:val="21"/>
                      <w:vertAlign w:val="superscript"/>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 年底专业电镀企业入园率达到90%以上。</w:t>
                  </w:r>
                </w:p>
                <w:p w14:paraId="1EE1C9D9">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7.禁止在流域上游新建、扩建重污染企业和项目。</w:t>
                  </w:r>
                </w:p>
                <w:p w14:paraId="72CE1638">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8.重要敏感水体及富营养化湖库生态缓冲带除相关政府部门批准的科学研究活动外，禁止其它可能对保护区构成危害或不良影响的大规模生产、建设活动。</w:t>
                  </w:r>
                </w:p>
                <w:p w14:paraId="6EC8CF64">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9.新、改、扩建煤电、钢铁、建材、石化、化工等“两高”项目，严格落实国家、省、市产业规划、产业政策、“三线一单”、规划环评，以及产能置换、煤炭消费减量替代、区域污染削减等相关要求。</w:t>
                  </w:r>
                </w:p>
                <w:p w14:paraId="5F22DE67">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10.单元内涉及永久基本农田的，应按照《福建省基本农田保护条例》（2010 年修正本）、《国土资源部关于全面实行永久共本农田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w:t>
                  </w:r>
                </w:p>
                <w:p w14:paraId="756F6EE0">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519" w:type="dxa"/>
                  <w:vAlign w:val="center"/>
                </w:tcPr>
                <w:p w14:paraId="42CE20B7">
                  <w:pPr>
                    <w:rPr>
                      <w:color w:val="000000" w:themeColor="text1"/>
                      <w14:textFill>
                        <w14:solidFill>
                          <w14:schemeClr w14:val="tx1"/>
                        </w14:solidFill>
                      </w14:textFill>
                    </w:rPr>
                  </w:pPr>
                  <w:r>
                    <w:rPr>
                      <w:rFonts w:ascii="Times New Roman" w:hAnsi="Times New Roman" w:cs="Times New Roman"/>
                      <w:color w:val="000000" w:themeColor="text1"/>
                      <w:spacing w:val="8"/>
                      <w:sz w:val="21"/>
                      <w:szCs w:val="21"/>
                      <w14:textFill>
                        <w14:solidFill>
                          <w14:schemeClr w14:val="tx1"/>
                        </w14:solidFill>
                      </w14:textFill>
                    </w:rPr>
                    <w:t>本项目主要从</w:t>
                  </w:r>
                  <w:r>
                    <w:rPr>
                      <w:rFonts w:ascii="Times New Roman" w:hAnsi="Times New Roman" w:cs="Times New Roman"/>
                      <w:color w:val="000000" w:themeColor="text1"/>
                      <w:sz w:val="21"/>
                      <w:szCs w:val="21"/>
                      <w14:textFill>
                        <w14:solidFill>
                          <w14:schemeClr w14:val="tx1"/>
                        </w14:solidFill>
                      </w14:textFill>
                    </w:rPr>
                    <w:t>金属结构制造</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其他电池制造</w:t>
                  </w:r>
                  <w:r>
                    <w:rPr>
                      <w:rFonts w:ascii="Times New Roman" w:hAnsi="Times New Roman" w:cs="Times New Roman"/>
                      <w:color w:val="000000" w:themeColor="text1"/>
                      <w:spacing w:val="17"/>
                      <w:sz w:val="21"/>
                      <w:szCs w:val="21"/>
                      <w14:textFill>
                        <w14:solidFill>
                          <w14:schemeClr w14:val="tx1"/>
                        </w14:solidFill>
                      </w14:textFill>
                    </w:rPr>
                    <w:t>，不属于左列禁止建设项目；项目位于福建省福州市福清市融侨经济技术开发区</w:t>
                  </w:r>
                  <w:r>
                    <w:rPr>
                      <w:rFonts w:hint="eastAsia" w:ascii="Times New Roman" w:hAnsi="Times New Roman" w:cs="Times New Roman"/>
                      <w:color w:val="000000" w:themeColor="text1"/>
                      <w:spacing w:val="17"/>
                      <w:sz w:val="21"/>
                      <w:szCs w:val="21"/>
                      <w14:textFill>
                        <w14:solidFill>
                          <w14:schemeClr w14:val="tx1"/>
                        </w14:solidFill>
                      </w14:textFill>
                    </w:rPr>
                    <w:t>(福建中能电气有限公司3#车间)，</w:t>
                  </w:r>
                  <w:r>
                    <w:rPr>
                      <w:rFonts w:ascii="Times New Roman" w:hAnsi="Times New Roman" w:cs="Times New Roman"/>
                      <w:color w:val="000000" w:themeColor="text1"/>
                      <w:spacing w:val="17"/>
                      <w:sz w:val="21"/>
                      <w:szCs w:val="21"/>
                      <w14:textFill>
                        <w14:solidFill>
                          <w14:schemeClr w14:val="tx1"/>
                        </w14:solidFill>
                      </w14:textFill>
                    </w:rPr>
                    <w:t>不位于新局调节库周边</w:t>
                  </w:r>
                  <w:r>
                    <w:rPr>
                      <w:rFonts w:ascii="Times New Roman" w:hAnsi="Times New Roman" w:eastAsia="Times New Roman" w:cs="Times New Roman"/>
                      <w:color w:val="000000" w:themeColor="text1"/>
                      <w:spacing w:val="1"/>
                      <w:sz w:val="21"/>
                      <w:szCs w:val="21"/>
                      <w14:textFill>
                        <w14:solidFill>
                          <w14:schemeClr w14:val="tx1"/>
                        </w14:solidFill>
                      </w14:textFill>
                    </w:rPr>
                    <w:t>200m</w:t>
                  </w:r>
                  <w:r>
                    <w:rPr>
                      <w:rFonts w:ascii="Times New Roman" w:hAnsi="Times New Roman" w:cs="Times New Roman"/>
                      <w:color w:val="000000" w:themeColor="text1"/>
                      <w:spacing w:val="1"/>
                      <w:sz w:val="21"/>
                      <w:szCs w:val="21"/>
                      <w14:textFill>
                        <w14:solidFill>
                          <w14:schemeClr w14:val="tx1"/>
                        </w14:solidFill>
                      </w14:textFill>
                    </w:rPr>
                    <w:t>范围内。</w:t>
                  </w:r>
                </w:p>
              </w:tc>
              <w:tc>
                <w:tcPr>
                  <w:tcW w:w="428" w:type="dxa"/>
                  <w:vAlign w:val="center"/>
                </w:tcPr>
                <w:p w14:paraId="4421A8B9">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1BA7A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dxa"/>
                  <w:vMerge w:val="continue"/>
                  <w:vAlign w:val="center"/>
                </w:tcPr>
                <w:p w14:paraId="54268DF5">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20" w:type="dxa"/>
                  <w:vAlign w:val="center"/>
                </w:tcPr>
                <w:p w14:paraId="0234F109">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污染物排放管控</w:t>
                  </w:r>
                </w:p>
              </w:tc>
              <w:tc>
                <w:tcPr>
                  <w:tcW w:w="3847" w:type="dxa"/>
                  <w:vAlign w:val="center"/>
                </w:tcPr>
                <w:p w14:paraId="52BA161B">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 号”等相关文件执行。</w:t>
                  </w:r>
                </w:p>
                <w:p w14:paraId="4725C451">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2.新、改、扩建涉 VOCs 排放项目污染物排放量应满足《福州市“十四五”空气质量持续改善计划》（榕环保综〔2023〕40号），应从源头加强控制，使用低（无）VOCs 含量的原辅材料。</w:t>
                  </w:r>
                </w:p>
                <w:p w14:paraId="60ED9BE5">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6BB399F1">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4.氟化工、印染、电镀等行业企业实行水污染物特别排放限值。</w:t>
                  </w:r>
                </w:p>
                <w:p w14:paraId="586D7A5A">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5.新、改、扩建重点行业</w:t>
                  </w:r>
                  <w:r>
                    <w:rPr>
                      <w:rFonts w:ascii="Times New Roman" w:hAnsi="Times New Roman" w:eastAsia="宋体" w:cs="Times New Roman"/>
                      <w:color w:val="000000" w:themeColor="text1"/>
                      <w:sz w:val="21"/>
                      <w:szCs w:val="21"/>
                      <w:vertAlign w:val="superscript"/>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建设项目要遵循重点重金属污染物排放“等量替代”原则，总量来源原则上应是同一重点行业内的削减量，当同一重点行业无法满足时可从其他重点行业调剂。</w:t>
                  </w:r>
                </w:p>
                <w:p w14:paraId="42617E4E">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6.每小时 35（含）—65 蒸吨燃煤锅炉和位于县级及以上城市建成区内保留的燃煤、燃油、燃生物质锅炉，原则上 2024 年底前必须全面实现超低排放。</w:t>
                  </w:r>
                </w:p>
                <w:p w14:paraId="5FEE22BF">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7.水泥行业新改扩建项目严格对照超低排放、能效标杆水平建设实施；现有项目超低排放改造应按文件（闽环规〔2023〕2 号）的时限要求分步推进，2025 年底前全面完成</w:t>
                  </w:r>
                  <w:r>
                    <w:rPr>
                      <w:rFonts w:ascii="Times New Roman" w:hAnsi="Times New Roman" w:eastAsia="宋体" w:cs="Times New Roman"/>
                      <w:color w:val="000000" w:themeColor="text1"/>
                      <w:sz w:val="21"/>
                      <w:szCs w:val="21"/>
                      <w:vertAlign w:val="superscript"/>
                      <w14:textFill>
                        <w14:solidFill>
                          <w14:schemeClr w14:val="tx1"/>
                        </w14:solidFill>
                      </w14:textFill>
                    </w:rPr>
                    <w:t>［3］［4］</w:t>
                  </w:r>
                  <w:r>
                    <w:rPr>
                      <w:rFonts w:ascii="Times New Roman" w:hAnsi="Times New Roman" w:eastAsia="宋体" w:cs="Times New Roman"/>
                      <w:color w:val="000000" w:themeColor="text1"/>
                      <w:sz w:val="21"/>
                      <w:szCs w:val="21"/>
                      <w14:textFill>
                        <w14:solidFill>
                          <w14:schemeClr w14:val="tx1"/>
                        </w14:solidFill>
                      </w14:textFill>
                    </w:rPr>
                    <w:t>。</w:t>
                  </w:r>
                </w:p>
                <w:p w14:paraId="7DB4F865">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519" w:type="dxa"/>
                  <w:vAlign w:val="center"/>
                </w:tcPr>
                <w:p w14:paraId="6E71DFBD">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3"/>
                      <w:sz w:val="21"/>
                      <w:szCs w:val="21"/>
                      <w14:textFill>
                        <w14:solidFill>
                          <w14:schemeClr w14:val="tx1"/>
                        </w14:solidFill>
                      </w14:textFill>
                    </w:rPr>
                    <w:t>本项目</w:t>
                  </w:r>
                  <w:r>
                    <w:rPr>
                      <w:rFonts w:hint="eastAsia" w:ascii="Times New Roman" w:hAnsi="Times New Roman" w:cs="Times New Roman"/>
                      <w:color w:val="000000" w:themeColor="text1"/>
                      <w:spacing w:val="13"/>
                      <w:sz w:val="21"/>
                      <w:szCs w:val="21"/>
                      <w14:textFill>
                        <w14:solidFill>
                          <w14:schemeClr w14:val="tx1"/>
                        </w14:solidFill>
                      </w14:textFill>
                    </w:rPr>
                    <w:t>无新增生产废水</w:t>
                  </w:r>
                  <w:r>
                    <w:rPr>
                      <w:rFonts w:ascii="Times New Roman" w:hAnsi="Times New Roman" w:cs="Times New Roman"/>
                      <w:color w:val="000000" w:themeColor="text1"/>
                      <w:spacing w:val="13"/>
                      <w:sz w:val="21"/>
                      <w:szCs w:val="21"/>
                      <w14:textFill>
                        <w14:solidFill>
                          <w14:schemeClr w14:val="tx1"/>
                        </w14:solidFill>
                      </w14:textFill>
                    </w:rPr>
                    <w:t>，员工从现有工程中调配，不新增员工生活污水</w:t>
                  </w:r>
                  <w:r>
                    <w:rPr>
                      <w:rFonts w:ascii="Times New Roman" w:hAnsi="Times New Roman" w:cs="Times New Roman"/>
                      <w:color w:val="000000" w:themeColor="text1"/>
                      <w:spacing w:val="7"/>
                      <w:sz w:val="21"/>
                      <w:szCs w:val="21"/>
                      <w14:textFill>
                        <w14:solidFill>
                          <w14:schemeClr w14:val="tx1"/>
                        </w14:solidFill>
                      </w14:textFill>
                    </w:rPr>
                    <w:t>；本项目主</w:t>
                  </w:r>
                  <w:r>
                    <w:rPr>
                      <w:rFonts w:ascii="Times New Roman" w:hAnsi="Times New Roman" w:cs="Times New Roman"/>
                      <w:color w:val="000000" w:themeColor="text1"/>
                      <w:spacing w:val="26"/>
                      <w:sz w:val="21"/>
                      <w:szCs w:val="21"/>
                      <w14:textFill>
                        <w14:solidFill>
                          <w14:schemeClr w14:val="tx1"/>
                        </w14:solidFill>
                      </w14:textFill>
                    </w:rPr>
                    <w:t>要从事金属结构制造</w:t>
                  </w:r>
                  <w:r>
                    <w:rPr>
                      <w:rFonts w:hint="eastAsia" w:ascii="Times New Roman" w:hAnsi="Times New Roman" w:cs="Times New Roman"/>
                      <w:color w:val="000000" w:themeColor="text1"/>
                      <w:spacing w:val="26"/>
                      <w:sz w:val="21"/>
                      <w:szCs w:val="21"/>
                      <w14:textFill>
                        <w14:solidFill>
                          <w14:schemeClr w14:val="tx1"/>
                        </w14:solidFill>
                      </w14:textFill>
                    </w:rPr>
                    <w:t>、</w:t>
                  </w:r>
                  <w:r>
                    <w:rPr>
                      <w:rFonts w:ascii="Times New Roman" w:hAnsi="Times New Roman" w:cs="Times New Roman"/>
                      <w:color w:val="000000" w:themeColor="text1"/>
                      <w:spacing w:val="26"/>
                      <w:sz w:val="21"/>
                      <w:szCs w:val="21"/>
                      <w14:textFill>
                        <w14:solidFill>
                          <w14:schemeClr w14:val="tx1"/>
                        </w14:solidFill>
                      </w14:textFill>
                    </w:rPr>
                    <w:t>其他电池制造</w:t>
                  </w:r>
                  <w:r>
                    <w:rPr>
                      <w:rFonts w:ascii="Times New Roman" w:hAnsi="Times New Roman" w:cs="Times New Roman"/>
                      <w:color w:val="000000" w:themeColor="text1"/>
                      <w:spacing w:val="19"/>
                      <w:sz w:val="21"/>
                      <w:szCs w:val="21"/>
                      <w14:textFill>
                        <w14:solidFill>
                          <w14:schemeClr w14:val="tx1"/>
                        </w14:solidFill>
                      </w14:textFill>
                    </w:rPr>
                    <w:t>，不属</w:t>
                  </w:r>
                  <w:r>
                    <w:rPr>
                      <w:rFonts w:ascii="Times New Roman" w:hAnsi="Times New Roman" w:cs="Times New Roman"/>
                      <w:color w:val="000000" w:themeColor="text1"/>
                      <w:spacing w:val="17"/>
                      <w:sz w:val="21"/>
                      <w:szCs w:val="21"/>
                      <w14:textFill>
                        <w14:solidFill>
                          <w14:schemeClr w14:val="tx1"/>
                        </w14:solidFill>
                      </w14:textFill>
                    </w:rPr>
                    <w:t>于印刷行业；</w:t>
                  </w:r>
                  <w:r>
                    <w:rPr>
                      <w:rFonts w:ascii="Times New Roman" w:hAnsi="Times New Roman" w:cs="Times New Roman"/>
                      <w:color w:val="000000" w:themeColor="text1"/>
                      <w:spacing w:val="14"/>
                      <w:sz w:val="21"/>
                      <w:szCs w:val="21"/>
                      <w14:textFill>
                        <w14:solidFill>
                          <w14:schemeClr w14:val="tx1"/>
                        </w14:solidFill>
                      </w14:textFill>
                    </w:rPr>
                    <w:t>本项目</w:t>
                  </w:r>
                  <w:r>
                    <w:rPr>
                      <w:rFonts w:hint="eastAsia" w:ascii="Times New Roman" w:hAnsi="Times New Roman" w:cs="Times New Roman"/>
                      <w:color w:val="000000" w:themeColor="text1"/>
                      <w:spacing w:val="14"/>
                      <w:sz w:val="21"/>
                      <w:szCs w:val="21"/>
                      <w14:textFill>
                        <w14:solidFill>
                          <w14:schemeClr w14:val="tx1"/>
                        </w14:solidFill>
                      </w14:textFill>
                    </w:rPr>
                    <w:t>不排放</w:t>
                  </w:r>
                  <w:r>
                    <w:rPr>
                      <w:rFonts w:ascii="Times New Roman" w:hAnsi="Times New Roman" w:eastAsia="Times New Roman" w:cs="Times New Roman"/>
                      <w:color w:val="000000" w:themeColor="text1"/>
                      <w:sz w:val="21"/>
                      <w:szCs w:val="21"/>
                      <w14:textFill>
                        <w14:solidFill>
                          <w14:schemeClr w14:val="tx1"/>
                        </w14:solidFill>
                      </w14:textFill>
                    </w:rPr>
                    <w:t>VOCs</w:t>
                  </w:r>
                  <w:r>
                    <w:rPr>
                      <w:rFonts w:ascii="Times New Roman" w:hAnsi="Times New Roman" w:eastAsia="宋体" w:cs="Times New Roman"/>
                      <w:color w:val="000000" w:themeColor="text1"/>
                      <w:sz w:val="21"/>
                      <w:szCs w:val="21"/>
                      <w14:textFill>
                        <w14:solidFill>
                          <w14:schemeClr w14:val="tx1"/>
                        </w14:solidFill>
                      </w14:textFill>
                    </w:rPr>
                    <w:t>。</w:t>
                  </w:r>
                </w:p>
              </w:tc>
              <w:tc>
                <w:tcPr>
                  <w:tcW w:w="428" w:type="dxa"/>
                  <w:vAlign w:val="center"/>
                </w:tcPr>
                <w:p w14:paraId="4E4DE019">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37E34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dxa"/>
                  <w:vMerge w:val="continue"/>
                  <w:vAlign w:val="center"/>
                </w:tcPr>
                <w:p w14:paraId="5093C377">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20" w:type="dxa"/>
                  <w:vAlign w:val="center"/>
                </w:tcPr>
                <w:p w14:paraId="523E9211">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资源开发效率要求</w:t>
                  </w:r>
                </w:p>
              </w:tc>
              <w:tc>
                <w:tcPr>
                  <w:tcW w:w="3847" w:type="dxa"/>
                  <w:vAlign w:val="center"/>
                </w:tcPr>
                <w:p w14:paraId="7091FDD0">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1.到 2024 年底，全市范围内每小时 10 蒸吨及以下燃煤锅炉全面淘汰；到 2025 年底，全市范围内每小时35 蒸吨以下燃煤锅炉通过集中供热、清洁能源替代、深度治理等方式全面实现转型、升级、退出，县级及以上城市建成区在用锅炉（燃煤、燃油、燃生物质）全面改用电能等清洁能源或治理达到超低排放水平；禁止新建每小时35 蒸吨以下燃煤锅炉，以及每小时10蒸吨及以下燃生物质和其他使用高污染燃料的锅炉。集中供热管网覆盖范围内禁止新建、扩建分散燃煤、燃油等供热锅炉。</w:t>
                  </w:r>
                </w:p>
                <w:p w14:paraId="31E7222F">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2.按照“提气、转电、控煤”的发展思路，推动陶瓷行业进一步优化用能结构，实现能源消费清洁低碳化。</w:t>
                  </w:r>
                </w:p>
              </w:tc>
              <w:tc>
                <w:tcPr>
                  <w:tcW w:w="1519" w:type="dxa"/>
                  <w:vAlign w:val="center"/>
                </w:tcPr>
                <w:p w14:paraId="00A0D969">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本项目不涉及该项。</w:t>
                  </w:r>
                </w:p>
              </w:tc>
              <w:tc>
                <w:tcPr>
                  <w:tcW w:w="428" w:type="dxa"/>
                  <w:vAlign w:val="center"/>
                </w:tcPr>
                <w:p w14:paraId="338B873B">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4EF39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dxa"/>
                  <w:vMerge w:val="restart"/>
                  <w:vAlign w:val="center"/>
                </w:tcPr>
                <w:p w14:paraId="5F924F4F">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福清融侨经济技术开发区-重点管控单元-ZH35018120</w:t>
                  </w:r>
                </w:p>
                <w:p w14:paraId="4BB18877">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003</w:t>
                  </w:r>
                </w:p>
              </w:tc>
              <w:tc>
                <w:tcPr>
                  <w:tcW w:w="520" w:type="dxa"/>
                  <w:vAlign w:val="center"/>
                </w:tcPr>
                <w:p w14:paraId="443783B6">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空间布局约束</w:t>
                  </w:r>
                </w:p>
              </w:tc>
              <w:tc>
                <w:tcPr>
                  <w:tcW w:w="3847" w:type="dxa"/>
                  <w:vAlign w:val="center"/>
                </w:tcPr>
                <w:p w14:paraId="4BD8417A">
                  <w:pPr>
                    <w:pStyle w:val="221"/>
                  </w:pPr>
                  <w:r>
                    <w:rPr>
                      <w:rFonts w:hint="eastAsia"/>
                    </w:rPr>
                    <w:t>1.禁止引进纺织业（含印染精加工）、造纸和纸制品业（纸制品制造除外）、化学原料和化学制品制造业（工业气体生产除外）和有色金属冶炼及压延加工业（压延加工除外）；禁止引入含电镀工艺（紧密配套型电镀工艺除外）、冶炼工艺、电解铝的项目；主导产业电气机械和器材制造业禁止类铅酸蓄电池制造。2.加强京东方一期、二期工程周边用地规划控制。3.积极推进区内高耗水的印染、造纸等重污染企业的搬迁工作。4.居住用地周边禁止布局潜在废气扰民的建设项目。5.新局调节库周边200米范围内禁止工业企业生产过程中使用危化品，禁止新建排放烟粉尘、VOCs废气的工业项目</w:t>
                  </w:r>
                  <w:r>
                    <w:t>。</w:t>
                  </w:r>
                </w:p>
              </w:tc>
              <w:tc>
                <w:tcPr>
                  <w:tcW w:w="1519" w:type="dxa"/>
                  <w:vAlign w:val="center"/>
                </w:tcPr>
                <w:p w14:paraId="79B1849F">
                  <w:pPr>
                    <w:rPr>
                      <w:color w:val="000000" w:themeColor="text1"/>
                      <w14:textFill>
                        <w14:solidFill>
                          <w14:schemeClr w14:val="tx1"/>
                        </w14:solidFill>
                      </w14:textFill>
                    </w:rPr>
                  </w:pPr>
                  <w:r>
                    <w:rPr>
                      <w:rFonts w:ascii="Times New Roman" w:hAnsi="Times New Roman" w:cs="Times New Roman"/>
                      <w:color w:val="000000" w:themeColor="text1"/>
                      <w:spacing w:val="8"/>
                      <w:sz w:val="21"/>
                      <w:szCs w:val="21"/>
                      <w14:textFill>
                        <w14:solidFill>
                          <w14:schemeClr w14:val="tx1"/>
                        </w14:solidFill>
                      </w14:textFill>
                    </w:rPr>
                    <w:t>本项目主要从</w:t>
                  </w:r>
                  <w:r>
                    <w:rPr>
                      <w:rFonts w:ascii="Times New Roman" w:hAnsi="Times New Roman" w:cs="Times New Roman"/>
                      <w:color w:val="000000" w:themeColor="text1"/>
                      <w:spacing w:val="17"/>
                      <w:sz w:val="21"/>
                      <w:szCs w:val="21"/>
                      <w14:textFill>
                        <w14:solidFill>
                          <w14:schemeClr w14:val="tx1"/>
                        </w14:solidFill>
                      </w14:textFill>
                    </w:rPr>
                    <w:t>事金属结构制造</w:t>
                  </w:r>
                  <w:r>
                    <w:rPr>
                      <w:rFonts w:hint="eastAsia" w:ascii="Times New Roman" w:hAnsi="Times New Roman" w:cs="Times New Roman"/>
                      <w:color w:val="000000" w:themeColor="text1"/>
                      <w:spacing w:val="17"/>
                      <w:sz w:val="21"/>
                      <w:szCs w:val="21"/>
                      <w14:textFill>
                        <w14:solidFill>
                          <w14:schemeClr w14:val="tx1"/>
                        </w14:solidFill>
                      </w14:textFill>
                    </w:rPr>
                    <w:t>、</w:t>
                  </w:r>
                  <w:r>
                    <w:rPr>
                      <w:rFonts w:ascii="Times New Roman" w:hAnsi="Times New Roman" w:cs="Times New Roman"/>
                      <w:color w:val="000000" w:themeColor="text1"/>
                      <w:spacing w:val="17"/>
                      <w:sz w:val="21"/>
                      <w:szCs w:val="21"/>
                      <w14:textFill>
                        <w14:solidFill>
                          <w14:schemeClr w14:val="tx1"/>
                        </w14:solidFill>
                      </w14:textFill>
                    </w:rPr>
                    <w:t>其他电池制造，不属于左列禁止建设项目；项目位于</w:t>
                  </w:r>
                  <w:r>
                    <w:rPr>
                      <w:rFonts w:ascii="Times New Roman" w:hAnsi="Times New Roman" w:cs="Times New Roman"/>
                      <w:color w:val="000000" w:themeColor="text1"/>
                      <w:spacing w:val="3"/>
                      <w:sz w:val="21"/>
                      <w:szCs w:val="21"/>
                      <w14:textFill>
                        <w14:solidFill>
                          <w14:schemeClr w14:val="tx1"/>
                        </w14:solidFill>
                      </w14:textFill>
                    </w:rPr>
                    <w:t xml:space="preserve"> </w:t>
                  </w:r>
                  <w:r>
                    <w:rPr>
                      <w:rFonts w:ascii="Times New Roman" w:hAnsi="Times New Roman" w:cs="Times New Roman"/>
                      <w:color w:val="000000" w:themeColor="text1"/>
                      <w:spacing w:val="17"/>
                      <w:sz w:val="21"/>
                      <w:szCs w:val="21"/>
                      <w14:textFill>
                        <w14:solidFill>
                          <w14:schemeClr w14:val="tx1"/>
                        </w14:solidFill>
                      </w14:textFill>
                    </w:rPr>
                    <w:t>福建省福州市福清市融侨经济技术开发区</w:t>
                  </w:r>
                  <w:r>
                    <w:rPr>
                      <w:rFonts w:hint="eastAsia" w:cs="Calibri"/>
                      <w:color w:val="000000" w:themeColor="text1"/>
                      <w14:textFill>
                        <w14:solidFill>
                          <w14:schemeClr w14:val="tx1"/>
                        </w14:solidFill>
                      </w14:textFill>
                    </w:rPr>
                    <w:t xml:space="preserve"> </w:t>
                  </w:r>
                  <w:r>
                    <w:rPr>
                      <w:rFonts w:hint="eastAsia" w:ascii="Times New Roman" w:hAnsi="Times New Roman" w:cs="Times New Roman"/>
                      <w:color w:val="000000" w:themeColor="text1"/>
                      <w:spacing w:val="17"/>
                      <w:sz w:val="21"/>
                      <w:szCs w:val="21"/>
                      <w14:textFill>
                        <w14:solidFill>
                          <w14:schemeClr w14:val="tx1"/>
                        </w14:solidFill>
                      </w14:textFill>
                    </w:rPr>
                    <w:t>(福建中能电气有限公司3#车间)，</w:t>
                  </w:r>
                  <w:r>
                    <w:rPr>
                      <w:rFonts w:ascii="Times New Roman" w:hAnsi="Times New Roman" w:cs="Times New Roman"/>
                      <w:color w:val="000000" w:themeColor="text1"/>
                      <w:spacing w:val="17"/>
                      <w:sz w:val="21"/>
                      <w:szCs w:val="21"/>
                      <w14:textFill>
                        <w14:solidFill>
                          <w14:schemeClr w14:val="tx1"/>
                        </w14:solidFill>
                      </w14:textFill>
                    </w:rPr>
                    <w:t>不位于新局调节库周边</w:t>
                  </w:r>
                  <w:r>
                    <w:rPr>
                      <w:rFonts w:ascii="Times New Roman" w:hAnsi="Times New Roman" w:eastAsia="Times New Roman" w:cs="Times New Roman"/>
                      <w:color w:val="000000" w:themeColor="text1"/>
                      <w:spacing w:val="1"/>
                      <w:sz w:val="21"/>
                      <w:szCs w:val="21"/>
                      <w14:textFill>
                        <w14:solidFill>
                          <w14:schemeClr w14:val="tx1"/>
                        </w14:solidFill>
                      </w14:textFill>
                    </w:rPr>
                    <w:t>200m</w:t>
                  </w:r>
                  <w:r>
                    <w:rPr>
                      <w:rFonts w:ascii="Times New Roman" w:hAnsi="Times New Roman" w:cs="Times New Roman"/>
                      <w:color w:val="000000" w:themeColor="text1"/>
                      <w:spacing w:val="1"/>
                      <w:sz w:val="21"/>
                      <w:szCs w:val="21"/>
                      <w14:textFill>
                        <w14:solidFill>
                          <w14:schemeClr w14:val="tx1"/>
                        </w14:solidFill>
                      </w14:textFill>
                    </w:rPr>
                    <w:t>范围内</w:t>
                  </w:r>
                  <w:r>
                    <w:rPr>
                      <w:rFonts w:hint="eastAsia" w:ascii="Times New Roman" w:hAnsi="Times New Roman" w:cs="Times New Roman"/>
                      <w:color w:val="000000" w:themeColor="text1"/>
                      <w:spacing w:val="1"/>
                      <w:sz w:val="21"/>
                      <w:szCs w:val="21"/>
                      <w14:textFill>
                        <w14:solidFill>
                          <w14:schemeClr w14:val="tx1"/>
                        </w14:solidFill>
                      </w14:textFill>
                    </w:rPr>
                    <w:t>；本次扩建车间与最近居民区距离为250m，处于居民区侧风向，产生的废气经处理后达标排放，不属于</w:t>
                  </w:r>
                  <w:r>
                    <w:rPr>
                      <w:rFonts w:ascii="Times New Roman" w:hAnsi="Times New Roman" w:cs="Times New Roman"/>
                      <w:color w:val="000000" w:themeColor="text1"/>
                      <w:spacing w:val="1"/>
                      <w:sz w:val="21"/>
                      <w:szCs w:val="21"/>
                      <w14:textFill>
                        <w14:solidFill>
                          <w14:schemeClr w14:val="tx1"/>
                        </w14:solidFill>
                      </w14:textFill>
                    </w:rPr>
                    <w:t>居住用地周边废气扰民的建设项目</w:t>
                  </w:r>
                </w:p>
              </w:tc>
              <w:tc>
                <w:tcPr>
                  <w:tcW w:w="428" w:type="dxa"/>
                  <w:vAlign w:val="center"/>
                </w:tcPr>
                <w:p w14:paraId="07AB1EEC">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4C84B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dxa"/>
                  <w:vMerge w:val="continue"/>
                  <w:vAlign w:val="center"/>
                </w:tcPr>
                <w:p w14:paraId="4CB637FE">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20" w:type="dxa"/>
                  <w:vAlign w:val="center"/>
                </w:tcPr>
                <w:p w14:paraId="1D0E1B6C">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污染物排放管控</w:t>
                  </w:r>
                </w:p>
              </w:tc>
              <w:tc>
                <w:tcPr>
                  <w:tcW w:w="3847" w:type="dxa"/>
                  <w:vAlign w:val="center"/>
                </w:tcPr>
                <w:p w14:paraId="0618A5D9">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1.完善建设污水收集管网，确保园区内所有工业废水、生活污水纳入污水处理厂处理并达标排放。</w:t>
                  </w:r>
                </w:p>
                <w:p w14:paraId="76F1D038">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2.包装印刷业有机废气排放及控制应符合国家和地方相关标准和规范要求。</w:t>
                  </w:r>
                </w:p>
                <w:p w14:paraId="67FF6F17">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3.落实新增二氧化硫、氮氧化物和 VOCs 排放总量控制要求。</w:t>
                  </w:r>
                </w:p>
              </w:tc>
              <w:tc>
                <w:tcPr>
                  <w:tcW w:w="1519" w:type="dxa"/>
                  <w:vAlign w:val="center"/>
                </w:tcPr>
                <w:p w14:paraId="49A3D803">
                  <w:pPr>
                    <w:widowControl w:val="0"/>
                    <w:topLinePunct/>
                    <w:adjustRightInd w:val="0"/>
                    <w:snapToGrid w:val="0"/>
                    <w:spacing w:after="0" w:line="240" w:lineRule="auto"/>
                    <w:jc w:val="both"/>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3"/>
                      <w:sz w:val="21"/>
                      <w:szCs w:val="21"/>
                      <w14:textFill>
                        <w14:solidFill>
                          <w14:schemeClr w14:val="tx1"/>
                        </w14:solidFill>
                      </w14:textFill>
                    </w:rPr>
                    <w:t>本项目</w:t>
                  </w:r>
                  <w:r>
                    <w:rPr>
                      <w:rFonts w:hint="eastAsia" w:ascii="Times New Roman" w:hAnsi="Times New Roman" w:cs="Times New Roman"/>
                      <w:color w:val="000000" w:themeColor="text1"/>
                      <w:spacing w:val="13"/>
                      <w:sz w:val="21"/>
                      <w:szCs w:val="21"/>
                      <w14:textFill>
                        <w14:solidFill>
                          <w14:schemeClr w14:val="tx1"/>
                        </w14:solidFill>
                      </w14:textFill>
                    </w:rPr>
                    <w:t>无新增生产废水</w:t>
                  </w:r>
                  <w:r>
                    <w:rPr>
                      <w:rFonts w:ascii="Times New Roman" w:hAnsi="Times New Roman" w:cs="Times New Roman"/>
                      <w:color w:val="000000" w:themeColor="text1"/>
                      <w:spacing w:val="13"/>
                      <w:sz w:val="21"/>
                      <w:szCs w:val="21"/>
                      <w14:textFill>
                        <w14:solidFill>
                          <w14:schemeClr w14:val="tx1"/>
                        </w14:solidFill>
                      </w14:textFill>
                    </w:rPr>
                    <w:t>，员工从现有工程中调配，不新增员工生活污水</w:t>
                  </w:r>
                  <w:r>
                    <w:rPr>
                      <w:rFonts w:ascii="Times New Roman" w:hAnsi="Times New Roman" w:cs="Times New Roman"/>
                      <w:color w:val="000000" w:themeColor="text1"/>
                      <w:spacing w:val="7"/>
                      <w:sz w:val="21"/>
                      <w:szCs w:val="21"/>
                      <w14:textFill>
                        <w14:solidFill>
                          <w14:schemeClr w14:val="tx1"/>
                        </w14:solidFill>
                      </w14:textFill>
                    </w:rPr>
                    <w:t>；本项目</w:t>
                  </w:r>
                  <w:r>
                    <w:rPr>
                      <w:rFonts w:ascii="Times New Roman" w:hAnsi="Times New Roman" w:cs="Times New Roman"/>
                      <w:color w:val="000000" w:themeColor="text1"/>
                      <w:spacing w:val="19"/>
                      <w:sz w:val="21"/>
                      <w:szCs w:val="21"/>
                      <w14:textFill>
                        <w14:solidFill>
                          <w14:schemeClr w14:val="tx1"/>
                        </w14:solidFill>
                      </w14:textFill>
                    </w:rPr>
                    <w:t>不属</w:t>
                  </w:r>
                  <w:r>
                    <w:rPr>
                      <w:rFonts w:ascii="Times New Roman" w:hAnsi="Times New Roman" w:cs="Times New Roman"/>
                      <w:color w:val="000000" w:themeColor="text1"/>
                      <w:spacing w:val="17"/>
                      <w:sz w:val="21"/>
                      <w:szCs w:val="21"/>
                      <w14:textFill>
                        <w14:solidFill>
                          <w14:schemeClr w14:val="tx1"/>
                        </w14:solidFill>
                      </w14:textFill>
                    </w:rPr>
                    <w:t>于印刷行业</w:t>
                  </w:r>
                  <w:r>
                    <w:rPr>
                      <w:rFonts w:ascii="Times New Roman" w:hAnsi="Times New Roman" w:cs="Times New Roman"/>
                      <w:color w:val="000000" w:themeColor="text1"/>
                      <w:spacing w:val="7"/>
                      <w:sz w:val="21"/>
                      <w:szCs w:val="21"/>
                      <w14:textFill>
                        <w14:solidFill>
                          <w14:schemeClr w14:val="tx1"/>
                        </w14:solidFill>
                      </w14:textFill>
                    </w:rPr>
                    <w:t>；</w:t>
                  </w:r>
                  <w:r>
                    <w:rPr>
                      <w:rFonts w:hint="eastAsia" w:ascii="Times New Roman" w:hAnsi="Times New Roman" w:cs="Times New Roman"/>
                      <w:color w:val="000000" w:themeColor="text1"/>
                      <w:spacing w:val="7"/>
                      <w:sz w:val="21"/>
                      <w:szCs w:val="21"/>
                      <w14:textFill>
                        <w14:solidFill>
                          <w14:schemeClr w14:val="tx1"/>
                        </w14:solidFill>
                      </w14:textFill>
                    </w:rPr>
                    <w:t>不排放</w:t>
                  </w:r>
                  <w:r>
                    <w:rPr>
                      <w:rFonts w:ascii="Times New Roman" w:hAnsi="Times New Roman" w:cs="Times New Roman"/>
                      <w:color w:val="000000" w:themeColor="text1"/>
                      <w:spacing w:val="7"/>
                      <w:sz w:val="21"/>
                      <w:szCs w:val="21"/>
                      <w14:textFill>
                        <w14:solidFill>
                          <w14:schemeClr w14:val="tx1"/>
                        </w14:solidFill>
                      </w14:textFill>
                    </w:rPr>
                    <w:t>二氧化硫、氮氧化物和 VOCs。</w:t>
                  </w:r>
                </w:p>
              </w:tc>
              <w:tc>
                <w:tcPr>
                  <w:tcW w:w="428" w:type="dxa"/>
                  <w:vAlign w:val="center"/>
                </w:tcPr>
                <w:p w14:paraId="49E9EB57">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292F8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dxa"/>
                  <w:vMerge w:val="continue"/>
                  <w:vAlign w:val="center"/>
                </w:tcPr>
                <w:p w14:paraId="27A256D8">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20" w:type="dxa"/>
                  <w:vAlign w:val="center"/>
                </w:tcPr>
                <w:p w14:paraId="41D76F87">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环境风险防控</w:t>
                  </w:r>
                </w:p>
              </w:tc>
              <w:tc>
                <w:tcPr>
                  <w:tcW w:w="3847" w:type="dxa"/>
                  <w:vAlign w:val="center"/>
                </w:tcPr>
                <w:p w14:paraId="60FF8248">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1.建立健全环境风险防控体系，制定环境风险应急预案，建设事故应急池，成立应急组织机构，防止在处理安全生产事故过程中产生的可能严重污染水体的消防废水、废液直接排入水体。</w:t>
                  </w:r>
                </w:p>
                <w:p w14:paraId="542A68A9">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2.应采取有效措施防止园区建设对区域地下水、土壤造成污染。</w:t>
                  </w:r>
                </w:p>
              </w:tc>
              <w:tc>
                <w:tcPr>
                  <w:tcW w:w="1519" w:type="dxa"/>
                  <w:vAlign w:val="center"/>
                </w:tcPr>
                <w:p w14:paraId="5D65F9AF">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项目生产车间已做好防渗，不会对地下水及土壤造成污染，拟建设运营期会做好环境风险防控措施。</w:t>
                  </w:r>
                </w:p>
              </w:tc>
              <w:tc>
                <w:tcPr>
                  <w:tcW w:w="428" w:type="dxa"/>
                  <w:vAlign w:val="center"/>
                </w:tcPr>
                <w:p w14:paraId="2E269FE1">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r w14:paraId="1C0D1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6" w:type="dxa"/>
                  <w:vMerge w:val="continue"/>
                  <w:vAlign w:val="center"/>
                </w:tcPr>
                <w:p w14:paraId="5E1B9AF1">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520" w:type="dxa"/>
                  <w:vAlign w:val="center"/>
                </w:tcPr>
                <w:p w14:paraId="1BE9FAC4">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资源开发效率要求</w:t>
                  </w:r>
                </w:p>
              </w:tc>
              <w:tc>
                <w:tcPr>
                  <w:tcW w:w="3847" w:type="dxa"/>
                  <w:vAlign w:val="center"/>
                </w:tcPr>
                <w:p w14:paraId="28B291B8">
                  <w:pPr>
                    <w:widowControl w:val="0"/>
                    <w:topLinePunct/>
                    <w:adjustRightInd w:val="0"/>
                    <w:snapToGrid w:val="0"/>
                    <w:spacing w:after="0" w:line="240" w:lineRule="auto"/>
                    <w:ind w:firstLine="210" w:firstLineChars="1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高污染燃料禁燃区内禁止燃用高污染燃料，禁止新建、扩建燃用高污染燃料的设施。已建的燃用高污染燃料设施，限期改用电、天然气、液化石油气等清洁能源。</w:t>
                  </w:r>
                </w:p>
              </w:tc>
              <w:tc>
                <w:tcPr>
                  <w:tcW w:w="1519" w:type="dxa"/>
                  <w:vAlign w:val="center"/>
                </w:tcPr>
                <w:p w14:paraId="5D851AE7">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项目用电作为能源，未使用高污染燃料，本项目符合资源环境效率管控要求。</w:t>
                  </w:r>
                </w:p>
              </w:tc>
              <w:tc>
                <w:tcPr>
                  <w:tcW w:w="428" w:type="dxa"/>
                  <w:vAlign w:val="center"/>
                </w:tcPr>
                <w:p w14:paraId="46255601">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符合</w:t>
                  </w:r>
                </w:p>
              </w:tc>
            </w:tr>
          </w:tbl>
          <w:p w14:paraId="5F9D0F7F">
            <w:pPr>
              <w:pStyle w:val="223"/>
              <w:spacing w:before="120"/>
              <w:ind w:firstLine="480"/>
            </w:pPr>
            <w:r>
              <w:t>根据上述分析，本项目与福州市人民政府办公厅关于印发《福州市生态环境分区管控方案（2023年更新）》的通知（榕政办规〔2024〕20号）中的相关规定是符合的。</w:t>
            </w:r>
          </w:p>
        </w:tc>
      </w:tr>
    </w:tbl>
    <w:p w14:paraId="4AD49E9F">
      <w:pPr>
        <w:widowControl w:val="0"/>
        <w:topLinePunct/>
        <w:spacing w:line="360" w:lineRule="auto"/>
        <w:rPr>
          <w:rFonts w:ascii="Times New Roman" w:hAnsi="Times New Roman" w:eastAsia="宋体" w:cs="Times New Roman"/>
          <w:color w:val="000000" w:themeColor="text1"/>
          <w:sz w:val="30"/>
          <w14:textFill>
            <w14:solidFill>
              <w14:schemeClr w14:val="tx1"/>
            </w14:solidFill>
          </w14:textFill>
        </w:rPr>
        <w:sectPr>
          <w:pgSz w:w="11906" w:h="16838"/>
          <w:pgMar w:top="1417" w:right="1417" w:bottom="1417" w:left="1417" w:header="992" w:footer="992" w:gutter="0"/>
          <w:pgNumType w:start="1"/>
          <w:cols w:space="720" w:num="1"/>
          <w:docGrid w:linePitch="312" w:charSpace="0"/>
        </w:sectPr>
      </w:pPr>
    </w:p>
    <w:p w14:paraId="422C605A">
      <w:pPr>
        <w:pStyle w:val="29"/>
        <w:widowControl w:val="0"/>
        <w:topLinePunct/>
        <w:spacing w:line="240" w:lineRule="auto"/>
        <w:jc w:val="center"/>
        <w:outlineLvl w:val="0"/>
        <w:rPr>
          <w:rFonts w:ascii="Times New Roman" w:hAnsi="Times New Roman" w:eastAsia="宋体" w:cs="Times New Roman"/>
          <w:b/>
          <w:bCs/>
          <w:snapToGrid w:val="0"/>
          <w:color w:val="000000" w:themeColor="text1"/>
          <w:sz w:val="32"/>
          <w:szCs w:val="32"/>
          <w14:textFill>
            <w14:solidFill>
              <w14:schemeClr w14:val="tx1"/>
            </w14:solidFill>
          </w14:textFill>
        </w:rPr>
      </w:pPr>
      <w:bookmarkStart w:id="5" w:name="_Toc32681"/>
      <w:bookmarkStart w:id="6" w:name="_Toc29661"/>
      <w:r>
        <w:rPr>
          <w:rFonts w:ascii="Times New Roman" w:hAnsi="Times New Roman" w:eastAsia="宋体" w:cs="Times New Roman"/>
          <w:b/>
          <w:bCs/>
          <w:snapToGrid w:val="0"/>
          <w:color w:val="000000" w:themeColor="text1"/>
          <w:sz w:val="32"/>
          <w:szCs w:val="32"/>
          <w14:textFill>
            <w14:solidFill>
              <w14:schemeClr w14:val="tx1"/>
            </w14:solidFill>
          </w14:textFill>
        </w:rPr>
        <w:t>二、建设项目工程分析</w:t>
      </w:r>
      <w:bookmarkEnd w:id="5"/>
      <w:bookmarkEnd w:id="6"/>
    </w:p>
    <w:tbl>
      <w:tblPr>
        <w:tblStyle w:val="37"/>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33"/>
      </w:tblGrid>
      <w:tr w14:paraId="1E5CA6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456" w:type="dxa"/>
            <w:vAlign w:val="center"/>
          </w:tcPr>
          <w:p w14:paraId="0AA4BCE1">
            <w:pPr>
              <w:pStyle w:val="29"/>
              <w:widowControl w:val="0"/>
              <w:topLinePunct/>
              <w:adjustRightInd w:val="0"/>
              <w:snapToGrid w:val="0"/>
              <w:spacing w:before="0" w:beforeAutospacing="0" w:after="0" w:afterAutospacing="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建设内容</w:t>
            </w:r>
          </w:p>
        </w:tc>
        <w:tc>
          <w:tcPr>
            <w:tcW w:w="8833" w:type="dxa"/>
          </w:tcPr>
          <w:p w14:paraId="4B0F8D7B">
            <w:pPr>
              <w:widowControl w:val="0"/>
              <w:topLinePunct/>
              <w:spacing w:after="0" w:line="360" w:lineRule="auto"/>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2.1 建设内容</w:t>
            </w:r>
          </w:p>
          <w:p w14:paraId="1DEC95FB">
            <w:pPr>
              <w:widowControl w:val="0"/>
              <w:topLinePunct/>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2.1.1 项目由来</w:t>
            </w:r>
          </w:p>
          <w:p w14:paraId="225EB034">
            <w:pPr>
              <w:spacing w:after="0" w:line="360" w:lineRule="auto"/>
              <w:ind w:firstLine="472" w:firstLineChars="200"/>
              <w:rPr>
                <w:rFonts w:ascii="Times New Roman" w:hAnsi="Times New Roman" w:eastAsia="宋体" w:cs="Times New Roman"/>
                <w:color w:val="000000" w:themeColor="text1"/>
                <w:spacing w:val="-2"/>
                <w:szCs w:val="24"/>
                <w14:textFill>
                  <w14:solidFill>
                    <w14:schemeClr w14:val="tx1"/>
                  </w14:solidFill>
                </w14:textFill>
              </w:rPr>
            </w:pPr>
            <w:r>
              <w:rPr>
                <w:rFonts w:ascii="Times New Roman" w:hAnsi="Times New Roman" w:eastAsia="宋体" w:cs="Times New Roman"/>
                <w:color w:val="000000" w:themeColor="text1"/>
                <w:spacing w:val="-2"/>
                <w:szCs w:val="24"/>
                <w14:textFill>
                  <w14:solidFill>
                    <w14:schemeClr w14:val="tx1"/>
                  </w14:solidFill>
                </w14:textFill>
              </w:rPr>
              <w:t>中能电气（福清）有限公司于2017年1月</w:t>
            </w:r>
            <w:r>
              <w:rPr>
                <w:rFonts w:hint="eastAsia" w:ascii="Times New Roman" w:hAnsi="Times New Roman" w:eastAsia="宋体" w:cs="Times New Roman"/>
                <w:color w:val="000000" w:themeColor="text1"/>
                <w:spacing w:val="-2"/>
                <w:szCs w:val="24"/>
                <w14:textFill>
                  <w14:solidFill>
                    <w14:schemeClr w14:val="tx1"/>
                  </w14:solidFill>
                </w14:textFill>
              </w:rPr>
              <w:t>名称</w:t>
            </w:r>
            <w:r>
              <w:rPr>
                <w:rFonts w:ascii="Times New Roman" w:hAnsi="Times New Roman" w:eastAsia="宋体" w:cs="Times New Roman"/>
                <w:color w:val="000000" w:themeColor="text1"/>
                <w:spacing w:val="-2"/>
                <w:szCs w:val="24"/>
                <w14:textFill>
                  <w14:solidFill>
                    <w14:schemeClr w14:val="tx1"/>
                  </w14:solidFill>
                </w14:textFill>
              </w:rPr>
              <w:t>变更为福建中能电气有限公司（变更证明详见附件4），</w:t>
            </w:r>
            <w:r>
              <w:rPr>
                <w:rFonts w:hint="eastAsia" w:ascii="Times New Roman" w:hAnsi="Times New Roman" w:eastAsia="宋体" w:cs="Times New Roman"/>
                <w:color w:val="000000" w:themeColor="text1"/>
                <w:spacing w:val="-2"/>
                <w:szCs w:val="24"/>
                <w14:textFill>
                  <w14:solidFill>
                    <w14:schemeClr w14:val="tx1"/>
                  </w14:solidFill>
                </w14:textFill>
              </w:rPr>
              <w:t>是一家从事一般项目：电气设备销售；输配电及控制设备制造；电线、电缆经营；电工器材制造；电工器材销售；软件开发；信息系统集成服务；机械设备租赁；智能输配电及控制设备销售；技术服务、技术开发、技术咨询、技术交流、技术转让、技术推广；光伏设备及元器件制造；光伏设备及元器件销售；充电桩销售；集中式快速充电站；电动汽车充电基础设施运营；货物进出口；技术进出口；光电子器件制造；光电子器件销售；光通信设备销售；网络设备销售；通信设备制造；通信设备销售；非居住房地产租赁；住房租赁。(除依法须经批准的项目外，凭营业执照依法自主开展经营活动)许可项目：发电业务、输电业务、供(配)电业务；电线、电缆制造；建设工程施工；建设工程设计(营业执照详见附件 2、法定代表人身份证详见附件 4)。</w:t>
            </w:r>
          </w:p>
          <w:p w14:paraId="4136A511">
            <w:pPr>
              <w:spacing w:after="0" w:line="360" w:lineRule="auto"/>
              <w:ind w:firstLine="472" w:firstLineChars="20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pacing w:val="-2"/>
                <w:szCs w:val="24"/>
                <w14:textFill>
                  <w14:solidFill>
                    <w14:schemeClr w14:val="tx1"/>
                  </w14:solidFill>
                </w14:textFill>
              </w:rPr>
              <w:t>福建中能电气有限公司拟建的</w:t>
            </w:r>
            <w:r>
              <w:rPr>
                <w:rFonts w:hint="eastAsia" w:ascii="Times New Roman" w:hAnsi="Times New Roman" w:eastAsia="宋体" w:cs="Times New Roman"/>
                <w:color w:val="000000" w:themeColor="text1"/>
                <w:spacing w:val="-2"/>
                <w:szCs w:val="24"/>
                <w14:textFill>
                  <w14:solidFill>
                    <w14:schemeClr w14:val="tx1"/>
                  </w14:solidFill>
                </w14:textFill>
              </w:rPr>
              <w:t>“3#车间扩建提升改造项目”</w:t>
            </w:r>
            <w:r>
              <w:rPr>
                <w:rFonts w:ascii="Times New Roman" w:hAnsi="Times New Roman" w:eastAsia="宋体" w:cs="Times New Roman"/>
                <w:color w:val="000000" w:themeColor="text1"/>
                <w:spacing w:val="-2"/>
                <w:szCs w:val="24"/>
                <w14:textFill>
                  <w14:solidFill>
                    <w14:schemeClr w14:val="tx1"/>
                  </w14:solidFill>
                </w14:textFill>
              </w:rPr>
              <w:t>位于福清融侨经济技术开发区</w:t>
            </w:r>
            <w:r>
              <w:rPr>
                <w:rFonts w:hint="eastAsia" w:cs="Calibri"/>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福建中能电气有限公司3#车间</w:t>
            </w:r>
            <w:r>
              <w:rPr>
                <w:rFonts w:hint="eastAsia" w:cs="Calibri"/>
                <w:color w:val="000000" w:themeColor="text1"/>
                <w14:textFill>
                  <w14:solidFill>
                    <w14:schemeClr w14:val="tx1"/>
                  </w14:solidFill>
                </w14:textFill>
              </w:rPr>
              <w:t>)</w:t>
            </w:r>
            <w:r>
              <w:rPr>
                <w:rFonts w:hint="eastAsia" w:ascii="Times New Roman" w:hAnsi="Times New Roman" w:eastAsia="宋体" w:cs="Times New Roman"/>
                <w:color w:val="000000" w:themeColor="text1"/>
                <w:spacing w:val="-2"/>
                <w:szCs w:val="24"/>
                <w14:textFill>
                  <w14:solidFill>
                    <w14:schemeClr w14:val="tx1"/>
                  </w14:solidFill>
                </w14:textFill>
              </w:rPr>
              <w:t>，</w:t>
            </w:r>
            <w:r>
              <w:rPr>
                <w:rFonts w:ascii="Times New Roman" w:hAnsi="Times New Roman" w:eastAsia="宋体" w:cs="Times New Roman"/>
                <w:color w:val="000000" w:themeColor="text1"/>
                <w:spacing w:val="-2"/>
                <w:szCs w:val="24"/>
                <w14:textFill>
                  <w14:solidFill>
                    <w14:schemeClr w14:val="tx1"/>
                  </w14:solidFill>
                </w14:textFill>
              </w:rPr>
              <w:t>总投资</w:t>
            </w:r>
            <w:r>
              <w:rPr>
                <w:rFonts w:hint="eastAsia" w:ascii="Times New Roman" w:hAnsi="Times New Roman" w:eastAsia="宋体" w:cs="Times New Roman"/>
                <w:color w:val="000000" w:themeColor="text1"/>
                <w:szCs w:val="24"/>
                <w14:textFill>
                  <w14:solidFill>
                    <w14:schemeClr w14:val="tx1"/>
                  </w14:solidFill>
                </w14:textFill>
              </w:rPr>
              <w:t>450</w:t>
            </w:r>
            <w:r>
              <w:rPr>
                <w:rFonts w:ascii="Times New Roman" w:hAnsi="Times New Roman" w:eastAsia="宋体" w:cs="Times New Roman"/>
                <w:color w:val="000000" w:themeColor="text1"/>
                <w:szCs w:val="24"/>
                <w14:textFill>
                  <w14:solidFill>
                    <w14:schemeClr w14:val="tx1"/>
                  </w14:solidFill>
                </w14:textFill>
              </w:rPr>
              <w:t>万</w:t>
            </w:r>
            <w:r>
              <w:rPr>
                <w:rFonts w:ascii="Times New Roman" w:hAnsi="Times New Roman" w:eastAsia="宋体" w:cs="Times New Roman"/>
                <w:color w:val="000000" w:themeColor="text1"/>
                <w:spacing w:val="-2"/>
                <w:szCs w:val="24"/>
                <w14:textFill>
                  <w14:solidFill>
                    <w14:schemeClr w14:val="tx1"/>
                  </w14:solidFill>
                </w14:textFill>
              </w:rPr>
              <w:t>元。</w:t>
            </w:r>
            <w:r>
              <w:rPr>
                <w:rFonts w:hint="eastAsia" w:ascii="Times New Roman" w:hAnsi="Times New Roman" w:eastAsia="宋体" w:cs="Times New Roman"/>
                <w:color w:val="000000" w:themeColor="text1"/>
                <w:spacing w:val="-2"/>
                <w:szCs w:val="24"/>
                <w14:textFill>
                  <w14:solidFill>
                    <w14:schemeClr w14:val="tx1"/>
                  </w14:solidFill>
                </w14:textFill>
              </w:rPr>
              <w:t>在3#车间与4#车间之间扩建厂房，即3#车间扩建A区，占地面积2566.4平方米，新增厂房建筑面积2566.4平方米，将3#车间与4#车间连通，方便车间之间物流运送；在3#车间北侧扩建，即3#车间扩建B区，占地面积992.2平方米，新增厂房建筑面积992.2平方米，建筑高度均不超过11米，用于建设喷漆生产线的污水处理设施和环保设备间；新增1条新能源储充生产线，购置组装设备、检验设备等，通过对各种配件的组装，完成产品的生产；新增1条喷砂流水线，购置喷砂房室体（包含单仓连续加砂喷砂机、皮带输送机、斗式提升机、丸尘分离器等相关生产设备），对本厂现有工程生产的配件进行喷砂处理，并建设配套的环保设施</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新增生产能力：新增喷砂处理各类智能配电设备和新能源产品储充外壳15万件/年，新增新能源储充产品2500台/年。</w:t>
            </w:r>
          </w:p>
          <w:p w14:paraId="6B4A0635">
            <w:pPr>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企业于2025年5月21日取得了福州市生态环境局“关于《福建中能电气有限公司喷漆生产线建设及生产设备提升改造项目环境影响报告表》的批复意见”，生产规模：新增喷粉、烤粉、喷漆和烤漆流水线1、喷粉烤粉流水线2、喷漆和烤漆流水线3等，对现有产品（各类智能配电设备和新能源产品储充外壳15万件/年）进行喷漆、喷粉等处理，喷漆项目改建后全厂不新增产能。</w:t>
            </w:r>
            <w:r>
              <w:rPr>
                <w:rFonts w:hint="eastAsia" w:ascii="Times New Roman" w:hAnsi="Times New Roman" w:eastAsia="宋体" w:cs="Times New Roman"/>
                <w:b/>
                <w:bCs/>
                <w:color w:val="000000" w:themeColor="text1"/>
                <w:szCs w:val="24"/>
                <w14:textFill>
                  <w14:solidFill>
                    <w14:schemeClr w14:val="tx1"/>
                  </w14:solidFill>
                </w14:textFill>
              </w:rPr>
              <w:t>本项目是对已批复的喷漆项目进行改建，在喷漆前增加喷砂工序，新增1条喷砂流水线，新增喷砂处理各类智能配电设备和新能源产品储充外壳15万件/年（产品产能不变）。同时单独新增1条新能源储充生产线。</w:t>
            </w:r>
          </w:p>
          <w:p w14:paraId="42BBA529">
            <w:pPr>
              <w:widowControl w:val="0"/>
              <w:topLinePunct/>
              <w:spacing w:after="0" w:line="360" w:lineRule="auto"/>
              <w:ind w:firstLine="436" w:firstLineChars="200"/>
              <w:jc w:val="both"/>
              <w:rPr>
                <w:rFonts w:ascii="Times New Roman" w:hAnsi="Times New Roman" w:eastAsia="宋体" w:cs="Times New Roman"/>
                <w:color w:val="000000" w:themeColor="text1"/>
                <w:spacing w:val="-1"/>
                <w:szCs w:val="24"/>
                <w14:textFill>
                  <w14:solidFill>
                    <w14:schemeClr w14:val="tx1"/>
                  </w14:solidFill>
                </w14:textFill>
              </w:rPr>
            </w:pPr>
            <w:r>
              <w:rPr>
                <w:rFonts w:ascii="Times New Roman" w:hAnsi="Times New Roman" w:eastAsia="宋体" w:cs="Times New Roman"/>
                <w:color w:val="000000" w:themeColor="text1"/>
                <w:spacing w:val="-11"/>
                <w:szCs w:val="24"/>
                <w14:textFill>
                  <w14:solidFill>
                    <w14:schemeClr w14:val="tx1"/>
                  </w14:solidFill>
                </w14:textFill>
              </w:rPr>
              <w:t>根据《中华人民共和国环境保护法》、《中华人民共和国环境影响评价法》</w:t>
            </w:r>
            <w:r>
              <w:rPr>
                <w:rFonts w:ascii="Times New Roman" w:hAnsi="Times New Roman" w:eastAsia="宋体" w:cs="Times New Roman"/>
                <w:color w:val="000000" w:themeColor="text1"/>
                <w:szCs w:val="24"/>
                <w14:textFill>
                  <w14:solidFill>
                    <w14:schemeClr w14:val="tx1"/>
                  </w14:solidFill>
                </w14:textFill>
              </w:rPr>
              <w:t xml:space="preserve"> </w:t>
            </w:r>
            <w:r>
              <w:rPr>
                <w:rFonts w:ascii="Times New Roman" w:hAnsi="Times New Roman" w:eastAsia="宋体" w:cs="Times New Roman"/>
                <w:color w:val="000000" w:themeColor="text1"/>
                <w:spacing w:val="-2"/>
                <w:szCs w:val="24"/>
                <w14:textFill>
                  <w14:solidFill>
                    <w14:schemeClr w14:val="tx1"/>
                  </w14:solidFill>
                </w14:textFill>
              </w:rPr>
              <w:t>等有关法律法规以及</w:t>
            </w:r>
            <w:r>
              <w:rPr>
                <w:rFonts w:ascii="Times New Roman" w:hAnsi="Times New Roman" w:eastAsia="宋体" w:cs="Times New Roman"/>
                <w:color w:val="000000" w:themeColor="text1"/>
                <w:szCs w:val="24"/>
                <w14:textFill>
                  <w14:solidFill>
                    <w14:schemeClr w14:val="tx1"/>
                  </w14:solidFill>
                </w14:textFill>
              </w:rPr>
              <w:t>《建设项目环境影响评价分类管理名录》（2021年版）等相关规定</w:t>
            </w:r>
            <w:r>
              <w:rPr>
                <w:rFonts w:ascii="Times New Roman" w:hAnsi="Times New Roman" w:eastAsia="宋体" w:cs="Times New Roman"/>
                <w:color w:val="000000" w:themeColor="text1"/>
                <w:spacing w:val="-3"/>
                <w:szCs w:val="24"/>
                <w14:textFill>
                  <w14:solidFill>
                    <w14:schemeClr w14:val="tx1"/>
                  </w14:solidFill>
                </w14:textFill>
              </w:rPr>
              <w:t>，项目</w:t>
            </w:r>
            <w:r>
              <w:rPr>
                <w:rFonts w:ascii="Times New Roman" w:hAnsi="Times New Roman" w:eastAsia="宋体" w:cs="Times New Roman"/>
                <w:color w:val="000000" w:themeColor="text1"/>
                <w:spacing w:val="-1"/>
                <w:szCs w:val="24"/>
                <w14:textFill>
                  <w14:solidFill>
                    <w14:schemeClr w14:val="tx1"/>
                  </w14:solidFill>
                </w14:textFill>
              </w:rPr>
              <w:t>应编制环境影响报告表，具体见表</w:t>
            </w:r>
            <w:r>
              <w:rPr>
                <w:rFonts w:ascii="Times New Roman" w:hAnsi="Times New Roman" w:eastAsia="宋体" w:cs="Times New Roman"/>
                <w:color w:val="000000" w:themeColor="text1"/>
                <w:spacing w:val="-53"/>
                <w:szCs w:val="24"/>
                <w14:textFill>
                  <w14:solidFill>
                    <w14:schemeClr w14:val="tx1"/>
                  </w14:solidFill>
                </w14:textFill>
              </w:rPr>
              <w:t xml:space="preserve"> </w:t>
            </w:r>
            <w:r>
              <w:rPr>
                <w:rFonts w:ascii="Times New Roman" w:hAnsi="Times New Roman" w:eastAsia="宋体" w:cs="Times New Roman"/>
                <w:color w:val="000000" w:themeColor="text1"/>
                <w:spacing w:val="-1"/>
                <w:szCs w:val="24"/>
                <w14:textFill>
                  <w14:solidFill>
                    <w14:schemeClr w14:val="tx1"/>
                  </w14:solidFill>
                </w14:textFill>
              </w:rPr>
              <w:t>2-1。</w:t>
            </w:r>
          </w:p>
          <w:p w14:paraId="44E9E723">
            <w:pPr>
              <w:pStyle w:val="185"/>
              <w:ind w:firstLine="480"/>
            </w:pPr>
            <w:r>
              <w:t>因此，建设单位委托本环评单位编制该项目的环境影响评价文件（见附件 1）。本环评单位接受委托后，立即派技术人员踏勘现场和收集相关资料， 并依照《中华人民共和国环境保护法》、《中华人民共和国环境影响评价法》 等相关规定编制成报告表，建设单位报生态环境主管部门审批。</w:t>
            </w:r>
          </w:p>
          <w:p w14:paraId="3AF7E2BB">
            <w:pPr>
              <w:pStyle w:val="222"/>
              <w:spacing w:before="120"/>
              <w:rPr>
                <w:color w:val="000000" w:themeColor="text1"/>
                <w:spacing w:val="-1"/>
                <w14:textFill>
                  <w14:solidFill>
                    <w14:schemeClr w14:val="tx1"/>
                  </w14:solidFill>
                </w14:textFill>
              </w:rPr>
            </w:pPr>
            <w:r>
              <w:rPr>
                <w:color w:val="000000" w:themeColor="text1"/>
                <w14:textFill>
                  <w14:solidFill>
                    <w14:schemeClr w14:val="tx1"/>
                  </w14:solidFill>
                </w14:textFill>
              </w:rPr>
              <w:t>表</w:t>
            </w:r>
            <w:r>
              <w:rPr>
                <w:color w:val="000000" w:themeColor="text1"/>
                <w:spacing w:val="-40"/>
                <w14:textFill>
                  <w14:solidFill>
                    <w14:schemeClr w14:val="tx1"/>
                  </w14:solidFill>
                </w14:textFill>
              </w:rPr>
              <w:t xml:space="preserve"> </w:t>
            </w:r>
            <w:r>
              <w:rPr>
                <w:color w:val="000000" w:themeColor="text1"/>
                <w14:textFill>
                  <w14:solidFill>
                    <w14:schemeClr w14:val="tx1"/>
                  </w14:solidFill>
                </w14:textFill>
              </w:rPr>
              <w:t>2.1-1   建设环境影响评价分类管理</w:t>
            </w:r>
            <w:r>
              <w:rPr>
                <w:color w:val="000000" w:themeColor="text1"/>
                <w:spacing w:val="6"/>
                <w14:textFill>
                  <w14:solidFill>
                    <w14:schemeClr w14:val="tx1"/>
                  </w14:solidFill>
                </w14:textFill>
              </w:rPr>
              <w:t>名录（摘录）</w:t>
            </w:r>
          </w:p>
          <w:tbl>
            <w:tblPr>
              <w:tblStyle w:val="173"/>
              <w:tblW w:w="860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8"/>
              <w:gridCol w:w="2128"/>
              <w:gridCol w:w="2269"/>
              <w:gridCol w:w="1834"/>
            </w:tblGrid>
            <w:tr w14:paraId="42DB3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378" w:type="dxa"/>
                  <w:tcBorders>
                    <w:top w:val="single" w:color="000000" w:sz="10" w:space="0"/>
                    <w:tl2br w:val="single" w:color="000000" w:sz="4" w:space="0"/>
                  </w:tcBorders>
                  <w:vAlign w:val="bottom"/>
                </w:tcPr>
                <w:p w14:paraId="0E76C725">
                  <w:pPr>
                    <w:pStyle w:val="172"/>
                    <w:spacing w:after="0" w:line="240" w:lineRule="auto"/>
                    <w:jc w:val="right"/>
                    <w:rPr>
                      <w:rFonts w:ascii="Times New Roman" w:hAnsi="Times New Roman" w:eastAsia="宋体" w:cs="Times New Roman"/>
                      <w:color w:val="000000" w:themeColor="text1"/>
                      <w:spacing w:val="7"/>
                      <w:sz w:val="21"/>
                      <w:szCs w:val="21"/>
                      <w14:textFill>
                        <w14:solidFill>
                          <w14:schemeClr w14:val="tx1"/>
                        </w14:solidFill>
                      </w14:textFill>
                    </w:rPr>
                  </w:pPr>
                  <w:r>
                    <w:rPr>
                      <w:rFonts w:ascii="Times New Roman" w:hAnsi="Times New Roman" w:eastAsia="宋体" w:cs="Times New Roman"/>
                      <w:color w:val="000000" w:themeColor="text1"/>
                      <w:spacing w:val="7"/>
                      <w:sz w:val="21"/>
                      <w:szCs w:val="21"/>
                      <w14:textFill>
                        <w14:solidFill>
                          <w14:schemeClr w14:val="tx1"/>
                        </w14:solidFill>
                      </w14:textFill>
                    </w:rPr>
                    <w:t>环评类别</w:t>
                  </w:r>
                </w:p>
                <w:p w14:paraId="52A001B7">
                  <w:pPr>
                    <w:pStyle w:val="172"/>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6"/>
                      <w:sz w:val="21"/>
                      <w:szCs w:val="21"/>
                      <w14:textFill>
                        <w14:solidFill>
                          <w14:schemeClr w14:val="tx1"/>
                        </w14:solidFill>
                      </w14:textFill>
                    </w:rPr>
                    <w:t>项目类别</w:t>
                  </w:r>
                </w:p>
              </w:tc>
              <w:tc>
                <w:tcPr>
                  <w:tcW w:w="2128" w:type="dxa"/>
                  <w:tcBorders>
                    <w:top w:val="single" w:color="000000" w:sz="10" w:space="0"/>
                  </w:tcBorders>
                  <w:vAlign w:val="center"/>
                </w:tcPr>
                <w:p w14:paraId="3A2CE310">
                  <w:pPr>
                    <w:pStyle w:val="172"/>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7"/>
                      <w:sz w:val="21"/>
                      <w:szCs w:val="21"/>
                      <w14:textFill>
                        <w14:solidFill>
                          <w14:schemeClr w14:val="tx1"/>
                        </w14:solidFill>
                      </w14:textFill>
                    </w:rPr>
                    <w:t>报告书</w:t>
                  </w:r>
                </w:p>
              </w:tc>
              <w:tc>
                <w:tcPr>
                  <w:tcW w:w="2269" w:type="dxa"/>
                  <w:tcBorders>
                    <w:top w:val="single" w:color="000000" w:sz="10" w:space="0"/>
                  </w:tcBorders>
                  <w:vAlign w:val="center"/>
                </w:tcPr>
                <w:p w14:paraId="37FBFAF7">
                  <w:pPr>
                    <w:pStyle w:val="172"/>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pacing w:val="7"/>
                      <w:sz w:val="21"/>
                      <w:szCs w:val="21"/>
                      <w14:textFill>
                        <w14:solidFill>
                          <w14:schemeClr w14:val="tx1"/>
                        </w14:solidFill>
                      </w14:textFill>
                    </w:rPr>
                    <w:t>报告表</w:t>
                  </w:r>
                </w:p>
              </w:tc>
              <w:tc>
                <w:tcPr>
                  <w:tcW w:w="1834" w:type="dxa"/>
                  <w:tcBorders>
                    <w:top w:val="single" w:color="000000" w:sz="10" w:space="0"/>
                    <w:right w:val="single" w:color="000000" w:sz="6" w:space="0"/>
                  </w:tcBorders>
                  <w:vAlign w:val="center"/>
                </w:tcPr>
                <w:p w14:paraId="2241F970">
                  <w:pPr>
                    <w:pStyle w:val="172"/>
                    <w:spacing w:after="0" w:line="240" w:lineRule="auto"/>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5"/>
                      <w:sz w:val="21"/>
                      <w:szCs w:val="21"/>
                      <w:lang w:eastAsia="zh-CN"/>
                      <w14:textFill>
                        <w14:solidFill>
                          <w14:schemeClr w14:val="tx1"/>
                        </w14:solidFill>
                      </w14:textFill>
                    </w:rPr>
                    <w:t>判定类别</w:t>
                  </w:r>
                </w:p>
              </w:tc>
            </w:tr>
            <w:tr w14:paraId="7BB39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609" w:type="dxa"/>
                  <w:gridSpan w:val="4"/>
                  <w:tcBorders>
                    <w:right w:val="single" w:color="000000" w:sz="6" w:space="0"/>
                  </w:tcBorders>
                  <w:vAlign w:val="center"/>
                </w:tcPr>
                <w:p w14:paraId="51A227E0">
                  <w:pPr>
                    <w:pStyle w:val="172"/>
                    <w:spacing w:after="0" w:line="240" w:lineRule="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pacing w:val="7"/>
                      <w:sz w:val="21"/>
                      <w:szCs w:val="21"/>
                      <w:lang w:eastAsia="zh-CN"/>
                      <w14:textFill>
                        <w14:solidFill>
                          <w14:schemeClr w14:val="tx1"/>
                        </w14:solidFill>
                      </w14:textFill>
                    </w:rPr>
                    <w:t>三十、金属制品业 33</w:t>
                  </w:r>
                </w:p>
              </w:tc>
            </w:tr>
            <w:tr w14:paraId="5B9FB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378" w:type="dxa"/>
                  <w:vAlign w:val="center"/>
                </w:tcPr>
                <w:p w14:paraId="04C4E92A">
                  <w:pPr>
                    <w:pStyle w:val="221"/>
                  </w:pPr>
                  <w:r>
                    <w:rPr>
                      <w:rFonts w:hint="eastAsia"/>
                    </w:rPr>
                    <w:t>66.结构性金属制品制造 331；金属工具制造 332；集装箱及金属包装容器制造333；金属丝绳及其制品制造334；建筑、安全用金属制品制造 335；搪瓷制品制造 337；金属制日用品制造 338</w:t>
                  </w:r>
                </w:p>
              </w:tc>
              <w:tc>
                <w:tcPr>
                  <w:tcW w:w="2128" w:type="dxa"/>
                  <w:vAlign w:val="center"/>
                </w:tcPr>
                <w:p w14:paraId="088A0136">
                  <w:pPr>
                    <w:pStyle w:val="221"/>
                    <w:rPr>
                      <w:spacing w:val="6"/>
                    </w:rPr>
                  </w:pPr>
                  <w:r>
                    <w:rPr>
                      <w:rFonts w:hint="eastAsia"/>
                      <w:spacing w:val="6"/>
                    </w:rPr>
                    <w:t>有电镀工艺的；年用溶剂型涂料(含稀释剂)10吨及以上的</w:t>
                  </w:r>
                </w:p>
              </w:tc>
              <w:tc>
                <w:tcPr>
                  <w:tcW w:w="2269" w:type="dxa"/>
                  <w:shd w:val="clear" w:color="auto" w:fill="auto"/>
                  <w:vAlign w:val="center"/>
                </w:tcPr>
                <w:p w14:paraId="5D608A0B">
                  <w:pPr>
                    <w:pStyle w:val="221"/>
                  </w:pPr>
                  <w:r>
                    <w:t>其他（仅分割、焊接、组装的除外；年用非溶剂型低 VOCs 含量涂料10吨以下的除外）</w:t>
                  </w:r>
                </w:p>
              </w:tc>
              <w:tc>
                <w:tcPr>
                  <w:tcW w:w="1834" w:type="dxa"/>
                  <w:tcBorders>
                    <w:right w:val="single" w:color="000000" w:sz="6" w:space="0"/>
                  </w:tcBorders>
                  <w:vAlign w:val="center"/>
                </w:tcPr>
                <w:p w14:paraId="22E4BC44">
                  <w:pPr>
                    <w:pStyle w:val="221"/>
                    <w:rPr>
                      <w:szCs w:val="21"/>
                    </w:rPr>
                  </w:pPr>
                  <w:r>
                    <w:rPr>
                      <w:rFonts w:hint="eastAsia"/>
                    </w:rPr>
                    <w:t>本项目新增喷砂工序，无电镀工艺，不使用涂料；其中喷砂是一种工件表面处理的工艺，不属于</w:t>
                  </w:r>
                  <w:r>
                    <w:t>仅分割、焊接、组装的</w:t>
                  </w:r>
                  <w:r>
                    <w:rPr>
                      <w:rFonts w:hint="eastAsia"/>
                      <w:szCs w:val="21"/>
                    </w:rPr>
                    <w:t>，</w:t>
                  </w:r>
                  <w:r>
                    <w:rPr>
                      <w:rFonts w:hint="eastAsia"/>
                      <w:b/>
                      <w:bCs/>
                      <w:szCs w:val="21"/>
                    </w:rPr>
                    <w:t>应编制报告表</w:t>
                  </w:r>
                </w:p>
              </w:tc>
            </w:tr>
            <w:tr w14:paraId="51C07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609" w:type="dxa"/>
                  <w:gridSpan w:val="4"/>
                  <w:tcBorders>
                    <w:right w:val="single" w:color="000000" w:sz="6" w:space="0"/>
                  </w:tcBorders>
                  <w:shd w:val="clear" w:color="auto" w:fill="auto"/>
                  <w:vAlign w:val="center"/>
                </w:tcPr>
                <w:p w14:paraId="47202833">
                  <w:pPr>
                    <w:spacing w:after="0" w:line="240" w:lineRule="auto"/>
                    <w:jc w:val="both"/>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三十五、电气机械和器材制造业 38</w:t>
                  </w:r>
                </w:p>
              </w:tc>
            </w:tr>
            <w:tr w14:paraId="2385D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378" w:type="dxa"/>
                  <w:vAlign w:val="center"/>
                </w:tcPr>
                <w:p w14:paraId="6FA670EB">
                  <w:pPr>
                    <w:pStyle w:val="221"/>
                  </w:pPr>
                  <w:r>
                    <w:rPr>
                      <w:rFonts w:hint="eastAsia"/>
                    </w:rPr>
                    <w:t>电机制造381；输配电及控制设备制造382；电线、电缆、光缆及电工器材制造383；电池制造384；家用电力器具制造385；非电力家用器具制造386；照明器具制造387；其他电气机械及器材制造389</w:t>
                  </w:r>
                </w:p>
              </w:tc>
              <w:tc>
                <w:tcPr>
                  <w:tcW w:w="2128" w:type="dxa"/>
                  <w:vAlign w:val="center"/>
                </w:tcPr>
                <w:p w14:paraId="7D4E76FC">
                  <w:pPr>
                    <w:pStyle w:val="221"/>
                    <w:rPr>
                      <w:spacing w:val="6"/>
                    </w:rPr>
                  </w:pPr>
                  <w:r>
                    <w:rPr>
                      <w:rFonts w:hint="eastAsia"/>
                      <w:spacing w:val="6"/>
                    </w:rPr>
                    <w:t>铅蓄电池制造；太阳能电池片生产；有电镀工艺的；年用溶剂型涂料（含稀释剂）10吨及以上的</w:t>
                  </w:r>
                </w:p>
              </w:tc>
              <w:tc>
                <w:tcPr>
                  <w:tcW w:w="2269" w:type="dxa"/>
                  <w:shd w:val="clear" w:color="auto" w:fill="auto"/>
                  <w:vAlign w:val="center"/>
                </w:tcPr>
                <w:p w14:paraId="737624F0">
                  <w:pPr>
                    <w:pStyle w:val="221"/>
                  </w:pPr>
                  <w:r>
                    <w:rPr>
                      <w:rFonts w:hint="eastAsia"/>
                    </w:rPr>
                    <w:t>其他（仅分割、焊接、组装的除外；年用非溶剂型低VOCs含量涂料10吨以下的除外）</w:t>
                  </w:r>
                </w:p>
              </w:tc>
              <w:tc>
                <w:tcPr>
                  <w:tcW w:w="1834" w:type="dxa"/>
                  <w:tcBorders>
                    <w:right w:val="single" w:color="000000" w:sz="6" w:space="0"/>
                  </w:tcBorders>
                  <w:vAlign w:val="center"/>
                </w:tcPr>
                <w:p w14:paraId="2E423062">
                  <w:pPr>
                    <w:pStyle w:val="221"/>
                    <w:rPr>
                      <w:szCs w:val="21"/>
                    </w:rPr>
                  </w:pPr>
                  <w:r>
                    <w:rPr>
                      <w:rFonts w:hint="eastAsia"/>
                      <w:szCs w:val="21"/>
                    </w:rPr>
                    <w:t>项目生产新能源储充设备，为仅采购各类配件进行组装，</w:t>
                  </w:r>
                  <w:r>
                    <w:rPr>
                      <w:rFonts w:hint="eastAsia"/>
                      <w:b/>
                      <w:bCs/>
                      <w:szCs w:val="21"/>
                    </w:rPr>
                    <w:t>无需进行环境影响评价</w:t>
                  </w:r>
                </w:p>
              </w:tc>
            </w:tr>
          </w:tbl>
          <w:p w14:paraId="0D1B3EFC">
            <w:pPr>
              <w:widowControl w:val="0"/>
              <w:topLinePunct/>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2.1.2 项目基本情况</w:t>
            </w:r>
          </w:p>
          <w:p w14:paraId="21F89020">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项目名称：</w:t>
            </w:r>
            <w:r>
              <w:rPr>
                <w:rFonts w:hint="eastAsia" w:ascii="Times New Roman" w:hAnsi="Times New Roman" w:eastAsia="宋体" w:cs="Times New Roman"/>
                <w:color w:val="000000" w:themeColor="text1"/>
                <w:szCs w:val="24"/>
                <w14:textFill>
                  <w14:solidFill>
                    <w14:schemeClr w14:val="tx1"/>
                  </w14:solidFill>
                </w14:textFill>
              </w:rPr>
              <w:t>3#车间扩建提升改造项目</w:t>
            </w:r>
          </w:p>
          <w:p w14:paraId="4530A4DA">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建设单位：福建中能电气有限公司</w:t>
            </w:r>
          </w:p>
          <w:p w14:paraId="6EA9C93E">
            <w:pPr>
              <w:spacing w:after="0" w:line="360" w:lineRule="auto"/>
              <w:ind w:firstLine="480" w:firstLineChars="200"/>
              <w:rPr>
                <w:color w:val="000000" w:themeColor="text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建设地点：福清融侨经济技术开发区</w:t>
            </w:r>
            <w:r>
              <w:rPr>
                <w:rFonts w:hint="eastAsia" w:cs="Calibri"/>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福建中能电气有限公司3#车间</w:t>
            </w:r>
            <w:r>
              <w:rPr>
                <w:rFonts w:hint="eastAsia" w:cs="Calibri"/>
                <w:color w:val="000000" w:themeColor="text1"/>
                <w14:textFill>
                  <w14:solidFill>
                    <w14:schemeClr w14:val="tx1"/>
                  </w14:solidFill>
                </w14:textFill>
              </w:rPr>
              <w:t>)</w:t>
            </w:r>
          </w:p>
          <w:p w14:paraId="63211CBD">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项目性质：扩建</w:t>
            </w:r>
          </w:p>
          <w:p w14:paraId="74310172">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总投资：</w:t>
            </w:r>
            <w:r>
              <w:rPr>
                <w:rFonts w:hint="eastAsia" w:ascii="Times New Roman" w:hAnsi="Times New Roman" w:eastAsia="宋体" w:cs="Times New Roman"/>
                <w:color w:val="000000" w:themeColor="text1"/>
                <w:szCs w:val="24"/>
                <w14:textFill>
                  <w14:solidFill>
                    <w14:schemeClr w14:val="tx1"/>
                  </w14:solidFill>
                </w14:textFill>
              </w:rPr>
              <w:t>450</w:t>
            </w:r>
            <w:r>
              <w:rPr>
                <w:rFonts w:ascii="Times New Roman" w:hAnsi="Times New Roman" w:eastAsia="宋体" w:cs="Times New Roman"/>
                <w:color w:val="000000" w:themeColor="text1"/>
                <w:szCs w:val="24"/>
                <w14:textFill>
                  <w14:solidFill>
                    <w14:schemeClr w14:val="tx1"/>
                  </w14:solidFill>
                </w14:textFill>
              </w:rPr>
              <w:t>万元，其中环保投资</w:t>
            </w:r>
            <w:r>
              <w:rPr>
                <w:rFonts w:hint="eastAsia" w:ascii="Times New Roman" w:hAnsi="Times New Roman" w:eastAsia="宋体" w:cs="Times New Roman"/>
                <w:color w:val="000000" w:themeColor="text1"/>
                <w:szCs w:val="24"/>
                <w14:textFill>
                  <w14:solidFill>
                    <w14:schemeClr w14:val="tx1"/>
                  </w14:solidFill>
                </w14:textFill>
              </w:rPr>
              <w:t>10</w:t>
            </w:r>
            <w:r>
              <w:rPr>
                <w:rFonts w:ascii="Times New Roman" w:hAnsi="Times New Roman" w:eastAsia="宋体" w:cs="Times New Roman"/>
                <w:color w:val="000000" w:themeColor="text1"/>
                <w:szCs w:val="24"/>
                <w14:textFill>
                  <w14:solidFill>
                    <w14:schemeClr w14:val="tx1"/>
                  </w14:solidFill>
                </w14:textFill>
              </w:rPr>
              <w:t>万元</w:t>
            </w:r>
          </w:p>
          <w:p w14:paraId="3BB8270C">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生产规模：</w:t>
            </w:r>
            <w:r>
              <w:rPr>
                <w:rFonts w:hint="eastAsia" w:ascii="Times New Roman" w:hAnsi="Times New Roman" w:eastAsia="宋体" w:cs="Times New Roman"/>
                <w:color w:val="000000" w:themeColor="text1"/>
                <w:spacing w:val="-2"/>
                <w14:textFill>
                  <w14:solidFill>
                    <w14:schemeClr w14:val="tx1"/>
                  </w14:solidFill>
                </w14:textFill>
              </w:rPr>
              <w:t>新增喷砂处理各类智能配电设备和新能源产品储充外壳15万件/年，新增新能源储充产品2500台/年</w:t>
            </w:r>
          </w:p>
          <w:p w14:paraId="4DD4AA7C">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劳动定员：从原有员工人员中调配，无新增人员。</w:t>
            </w:r>
          </w:p>
          <w:p w14:paraId="380ECBBC">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工作制度：</w:t>
            </w:r>
            <w:r>
              <w:rPr>
                <w:rFonts w:hint="eastAsia" w:ascii="Times New Roman" w:hAnsi="Times New Roman" w:eastAsia="宋体" w:cs="Times New Roman"/>
                <w:color w:val="000000" w:themeColor="text1"/>
                <w:szCs w:val="24"/>
                <w14:textFill>
                  <w14:solidFill>
                    <w14:schemeClr w14:val="tx1"/>
                  </w14:solidFill>
                </w14:textFill>
              </w:rPr>
              <w:t>喷砂工序</w:t>
            </w:r>
            <w:r>
              <w:rPr>
                <w:rFonts w:ascii="Times New Roman" w:hAnsi="Times New Roman" w:eastAsia="宋体" w:cs="Times New Roman"/>
                <w:color w:val="000000" w:themeColor="text1"/>
                <w:szCs w:val="24"/>
                <w14:textFill>
                  <w14:solidFill>
                    <w14:schemeClr w14:val="tx1"/>
                  </w14:solidFill>
                </w14:textFill>
              </w:rPr>
              <w:t>年工作</w:t>
            </w:r>
            <w:r>
              <w:rPr>
                <w:rFonts w:hint="eastAsia" w:ascii="Times New Roman" w:hAnsi="Times New Roman" w:eastAsia="宋体" w:cs="Times New Roman"/>
                <w:color w:val="000000" w:themeColor="text1"/>
                <w:szCs w:val="24"/>
                <w14:textFill>
                  <w14:solidFill>
                    <w14:schemeClr w14:val="tx1"/>
                  </w14:solidFill>
                </w14:textFill>
              </w:rPr>
              <w:t>310</w:t>
            </w:r>
            <w:r>
              <w:rPr>
                <w:rFonts w:ascii="Times New Roman" w:hAnsi="Times New Roman" w:eastAsia="宋体" w:cs="Times New Roman"/>
                <w:color w:val="000000" w:themeColor="text1"/>
                <w:szCs w:val="24"/>
                <w14:textFill>
                  <w14:solidFill>
                    <w14:schemeClr w14:val="tx1"/>
                  </w14:solidFill>
                </w14:textFill>
              </w:rPr>
              <w:t>天，日生产8h，白天单班制。</w:t>
            </w:r>
            <w:r>
              <w:rPr>
                <w:rFonts w:hint="eastAsia" w:ascii="Times New Roman" w:hAnsi="Times New Roman" w:eastAsia="宋体" w:cs="Times New Roman"/>
                <w:color w:val="000000" w:themeColor="text1"/>
                <w:szCs w:val="24"/>
                <w14:textFill>
                  <w14:solidFill>
                    <w14:schemeClr w14:val="tx1"/>
                  </w14:solidFill>
                </w14:textFill>
              </w:rPr>
              <w:t>新能源储充产品生产线</w:t>
            </w:r>
            <w:r>
              <w:rPr>
                <w:rFonts w:ascii="Times New Roman" w:hAnsi="Times New Roman" w:eastAsia="宋体" w:cs="Times New Roman"/>
                <w:color w:val="000000" w:themeColor="text1"/>
                <w:szCs w:val="24"/>
                <w14:textFill>
                  <w14:solidFill>
                    <w14:schemeClr w14:val="tx1"/>
                  </w14:solidFill>
                </w14:textFill>
              </w:rPr>
              <w:t>年工作</w:t>
            </w:r>
            <w:r>
              <w:rPr>
                <w:rFonts w:hint="eastAsia" w:ascii="Times New Roman" w:hAnsi="Times New Roman" w:eastAsia="宋体" w:cs="Times New Roman"/>
                <w:color w:val="000000" w:themeColor="text1"/>
                <w:szCs w:val="24"/>
                <w14:textFill>
                  <w14:solidFill>
                    <w14:schemeClr w14:val="tx1"/>
                  </w14:solidFill>
                </w14:textFill>
              </w:rPr>
              <w:t>250</w:t>
            </w:r>
            <w:r>
              <w:rPr>
                <w:rFonts w:ascii="Times New Roman" w:hAnsi="Times New Roman" w:eastAsia="宋体" w:cs="Times New Roman"/>
                <w:color w:val="000000" w:themeColor="text1"/>
                <w:szCs w:val="24"/>
                <w14:textFill>
                  <w14:solidFill>
                    <w14:schemeClr w14:val="tx1"/>
                  </w14:solidFill>
                </w14:textFill>
              </w:rPr>
              <w:t>天，日生产8h，白天单班制。</w:t>
            </w:r>
          </w:p>
          <w:p w14:paraId="4F6B5E97">
            <w:pPr>
              <w:widowControl w:val="0"/>
              <w:topLinePunct/>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2.1.3 项目建设内容及组成</w:t>
            </w:r>
          </w:p>
          <w:p w14:paraId="78A9708A">
            <w:pPr>
              <w:pStyle w:val="14"/>
              <w:widowControl w:val="0"/>
              <w:topLinePunct/>
              <w:spacing w:after="0"/>
              <w:ind w:firstLine="48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本项目组成及主要建设内容见表2.1-</w:t>
            </w:r>
            <w:r>
              <w:rPr>
                <w:rFonts w:hint="eastAsia" w:ascii="Times New Roman" w:hAnsi="Times New Roman" w:eastAsia="宋体" w:cs="Times New Roman"/>
                <w:color w:val="000000" w:themeColor="text1"/>
                <w:szCs w:val="24"/>
                <w14:textFill>
                  <w14:solidFill>
                    <w14:schemeClr w14:val="tx1"/>
                  </w14:solidFill>
                </w14:textFill>
              </w:rPr>
              <w:t>2</w:t>
            </w:r>
            <w:r>
              <w:rPr>
                <w:rFonts w:ascii="Times New Roman" w:hAnsi="Times New Roman" w:eastAsia="宋体" w:cs="Times New Roman"/>
                <w:color w:val="000000" w:themeColor="text1"/>
                <w:szCs w:val="24"/>
                <w14:textFill>
                  <w14:solidFill>
                    <w14:schemeClr w14:val="tx1"/>
                  </w14:solidFill>
                </w14:textFill>
              </w:rPr>
              <w:t>。</w:t>
            </w:r>
          </w:p>
          <w:p w14:paraId="2E07F573">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表2.1-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项目组成与工程建设内容</w:t>
            </w:r>
          </w:p>
          <w:tbl>
            <w:tblPr>
              <w:tblStyle w:val="226"/>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68"/>
              <w:gridCol w:w="636"/>
              <w:gridCol w:w="1841"/>
              <w:gridCol w:w="1413"/>
              <w:gridCol w:w="1540"/>
              <w:gridCol w:w="2093"/>
            </w:tblGrid>
            <w:tr w14:paraId="6FCE9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4" w:type="dxa"/>
                  <w:gridSpan w:val="2"/>
                  <w:vAlign w:val="center"/>
                </w:tcPr>
                <w:p w14:paraId="0BF6F20D">
                  <w:pPr>
                    <w:pStyle w:val="221"/>
                    <w:rPr>
                      <w:color w:val="000000" w:themeColor="text1"/>
                      <w14:textFill>
                        <w14:solidFill>
                          <w14:schemeClr w14:val="tx1"/>
                        </w14:solidFill>
                      </w14:textFill>
                    </w:rPr>
                  </w:pPr>
                  <w:r>
                    <w:rPr>
                      <w:color w:val="000000" w:themeColor="text1"/>
                      <w14:textFill>
                        <w14:solidFill>
                          <w14:schemeClr w14:val="tx1"/>
                        </w14:solidFill>
                      </w14:textFill>
                    </w:rPr>
                    <w:t>主要项目名称</w:t>
                  </w:r>
                </w:p>
              </w:tc>
              <w:tc>
                <w:tcPr>
                  <w:tcW w:w="2477" w:type="dxa"/>
                  <w:gridSpan w:val="2"/>
                  <w:vAlign w:val="center"/>
                </w:tcPr>
                <w:p w14:paraId="2B1EE732">
                  <w:pPr>
                    <w:pStyle w:val="221"/>
                    <w:rPr>
                      <w:color w:val="000000" w:themeColor="text1"/>
                      <w14:textFill>
                        <w14:solidFill>
                          <w14:schemeClr w14:val="tx1"/>
                        </w14:solidFill>
                      </w14:textFill>
                    </w:rPr>
                  </w:pPr>
                  <w:r>
                    <w:rPr>
                      <w:color w:val="000000" w:themeColor="text1"/>
                      <w14:textFill>
                        <w14:solidFill>
                          <w14:schemeClr w14:val="tx1"/>
                        </w14:solidFill>
                      </w14:textFill>
                    </w:rPr>
                    <w:t>现有</w:t>
                  </w:r>
                  <w:r>
                    <w:rPr>
                      <w:rFonts w:hint="eastAsia"/>
                      <w:color w:val="000000" w:themeColor="text1"/>
                      <w14:textFill>
                        <w14:solidFill>
                          <w14:schemeClr w14:val="tx1"/>
                        </w14:solidFill>
                      </w14:textFill>
                    </w:rPr>
                    <w:t>已建</w:t>
                  </w:r>
                  <w:r>
                    <w:rPr>
                      <w:color w:val="000000" w:themeColor="text1"/>
                      <w14:textFill>
                        <w14:solidFill>
                          <w14:schemeClr w14:val="tx1"/>
                        </w14:solidFill>
                      </w14:textFill>
                    </w:rPr>
                    <w:t>工程</w:t>
                  </w:r>
                </w:p>
              </w:tc>
              <w:tc>
                <w:tcPr>
                  <w:tcW w:w="1413" w:type="dxa"/>
                  <w:vAlign w:val="center"/>
                </w:tcPr>
                <w:p w14:paraId="4BA14871">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已批</w:t>
                  </w:r>
                </w:p>
                <w:p w14:paraId="52D55510">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未建</w:t>
                  </w:r>
                  <w:r>
                    <w:rPr>
                      <w:color w:val="000000" w:themeColor="text1"/>
                      <w14:textFill>
                        <w14:solidFill>
                          <w14:schemeClr w14:val="tx1"/>
                        </w14:solidFill>
                      </w14:textFill>
                    </w:rPr>
                    <w:t>工程</w:t>
                  </w:r>
                </w:p>
              </w:tc>
              <w:tc>
                <w:tcPr>
                  <w:tcW w:w="1540" w:type="dxa"/>
                  <w:vAlign w:val="center"/>
                </w:tcPr>
                <w:p w14:paraId="3EC76A18">
                  <w:pPr>
                    <w:pStyle w:val="221"/>
                    <w:rPr>
                      <w:color w:val="000000" w:themeColor="text1"/>
                      <w14:textFill>
                        <w14:solidFill>
                          <w14:schemeClr w14:val="tx1"/>
                        </w14:solidFill>
                      </w14:textFill>
                    </w:rPr>
                  </w:pPr>
                  <w:r>
                    <w:rPr>
                      <w:color w:val="000000" w:themeColor="text1"/>
                      <w14:textFill>
                        <w14:solidFill>
                          <w14:schemeClr w14:val="tx1"/>
                        </w14:solidFill>
                      </w14:textFill>
                    </w:rPr>
                    <w:t>本</w:t>
                  </w:r>
                  <w:r>
                    <w:rPr>
                      <w:rFonts w:hint="eastAsia"/>
                      <w:color w:val="000000" w:themeColor="text1"/>
                      <w14:textFill>
                        <w14:solidFill>
                          <w14:schemeClr w14:val="tx1"/>
                        </w14:solidFill>
                      </w14:textFill>
                    </w:rPr>
                    <w:t>次工程</w:t>
                  </w:r>
                </w:p>
              </w:tc>
              <w:tc>
                <w:tcPr>
                  <w:tcW w:w="2093" w:type="dxa"/>
                  <w:vAlign w:val="center"/>
                </w:tcPr>
                <w:p w14:paraId="04DBE212">
                  <w:pPr>
                    <w:pStyle w:val="221"/>
                    <w:rPr>
                      <w:color w:val="000000" w:themeColor="text1"/>
                      <w14:textFill>
                        <w14:solidFill>
                          <w14:schemeClr w14:val="tx1"/>
                        </w14:solidFill>
                      </w14:textFill>
                    </w:rPr>
                  </w:pPr>
                  <w:r>
                    <w:rPr>
                      <w:color w:val="000000" w:themeColor="text1"/>
                      <w14:textFill>
                        <w14:solidFill>
                          <w14:schemeClr w14:val="tx1"/>
                        </w14:solidFill>
                      </w14:textFill>
                    </w:rPr>
                    <w:t>扩建后全厂</w:t>
                  </w:r>
                  <w:r>
                    <w:rPr>
                      <w:rFonts w:hint="eastAsia"/>
                      <w:color w:val="000000" w:themeColor="text1"/>
                      <w14:textFill>
                        <w14:solidFill>
                          <w14:schemeClr w14:val="tx1"/>
                        </w14:solidFill>
                      </w14:textFill>
                    </w:rPr>
                    <w:t>工程</w:t>
                  </w:r>
                </w:p>
              </w:tc>
            </w:tr>
            <w:tr w14:paraId="1D19C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14:paraId="04E7FC79">
                  <w:pPr>
                    <w:pStyle w:val="221"/>
                    <w:rPr>
                      <w:color w:val="000000" w:themeColor="text1"/>
                      <w14:textFill>
                        <w14:solidFill>
                          <w14:schemeClr w14:val="tx1"/>
                        </w14:solidFill>
                      </w14:textFill>
                    </w:rPr>
                  </w:pPr>
                  <w:r>
                    <w:rPr>
                      <w:color w:val="000000" w:themeColor="text1"/>
                      <w14:textFill>
                        <w14:solidFill>
                          <w14:schemeClr w14:val="tx1"/>
                        </w14:solidFill>
                      </w14:textFill>
                    </w:rPr>
                    <w:t>主体工程</w:t>
                  </w:r>
                </w:p>
              </w:tc>
              <w:tc>
                <w:tcPr>
                  <w:tcW w:w="668" w:type="dxa"/>
                  <w:vAlign w:val="center"/>
                </w:tcPr>
                <w:p w14:paraId="45DE6210">
                  <w:pPr>
                    <w:pStyle w:val="221"/>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8号楼（1#车间）</w:t>
                  </w:r>
                </w:p>
              </w:tc>
              <w:tc>
                <w:tcPr>
                  <w:tcW w:w="2477" w:type="dxa"/>
                  <w:gridSpan w:val="2"/>
                  <w:vAlign w:val="center"/>
                </w:tcPr>
                <w:p w14:paraId="078745C8">
                  <w:pPr>
                    <w:pStyle w:val="221"/>
                    <w:rPr>
                      <w:color w:val="000000" w:themeColor="text1"/>
                      <w14:textFill>
                        <w14:solidFill>
                          <w14:schemeClr w14:val="tx1"/>
                        </w14:solidFill>
                      </w14:textFill>
                    </w:rPr>
                  </w:pPr>
                  <w:r>
                    <w:rPr>
                      <w:color w:val="000000" w:themeColor="text1"/>
                      <w14:textFill>
                        <w14:solidFill>
                          <w14:schemeClr w14:val="tx1"/>
                        </w14:solidFill>
                      </w14:textFill>
                    </w:rPr>
                    <w:t>项目名称：</w:t>
                  </w:r>
                  <w:r>
                    <w:rPr>
                      <w:rFonts w:hint="eastAsia"/>
                      <w:color w:val="000000" w:themeColor="text1"/>
                      <w14:textFill>
                        <w14:solidFill>
                          <w14:schemeClr w14:val="tx1"/>
                        </w14:solidFill>
                      </w14:textFill>
                    </w:rPr>
                    <w:t>中压预制式电缆附件车间扩建项目，</w:t>
                  </w:r>
                  <w:r>
                    <w:rPr>
                      <w:color w:val="000000" w:themeColor="text1"/>
                      <w14:textFill>
                        <w14:solidFill>
                          <w14:schemeClr w14:val="tx1"/>
                        </w14:solidFill>
                      </w14:textFill>
                    </w:rPr>
                    <w:t>年产中压预制式电缆附件</w:t>
                  </w:r>
                  <w:r>
                    <w:rPr>
                      <w:rFonts w:hint="eastAsia"/>
                      <w:color w:val="000000" w:themeColor="text1"/>
                      <w14:textFill>
                        <w14:solidFill>
                          <w14:schemeClr w14:val="tx1"/>
                        </w14:solidFill>
                      </w14:textFill>
                    </w:rPr>
                    <w:t>210</w:t>
                  </w:r>
                  <w:r>
                    <w:rPr>
                      <w:color w:val="000000" w:themeColor="text1"/>
                      <w14:textFill>
                        <w14:solidFill>
                          <w14:schemeClr w14:val="tx1"/>
                        </w14:solidFill>
                      </w14:textFill>
                    </w:rPr>
                    <w:t>万只生产线</w:t>
                  </w:r>
                  <w:r>
                    <w:rPr>
                      <w:rFonts w:hint="eastAsia"/>
                      <w:color w:val="000000" w:themeColor="text1"/>
                      <w14:textFill>
                        <w14:solidFill>
                          <w14:schemeClr w14:val="tx1"/>
                        </w14:solidFill>
                      </w14:textFill>
                    </w:rPr>
                    <w:t>及其原料仓库、产品仓库、检验区等，</w:t>
                  </w:r>
                  <w:r>
                    <w:rPr>
                      <w:color w:val="000000" w:themeColor="text1"/>
                      <w14:textFill>
                        <w14:solidFill>
                          <w14:schemeClr w14:val="tx1"/>
                        </w14:solidFill>
                      </w14:textFill>
                    </w:rPr>
                    <w:t>建筑面积</w:t>
                  </w:r>
                  <w:r>
                    <w:rPr>
                      <w:rFonts w:hint="eastAsia"/>
                      <w:color w:val="000000" w:themeColor="text1"/>
                      <w14:textFill>
                        <w14:solidFill>
                          <w14:schemeClr w14:val="tx1"/>
                        </w14:solidFill>
                      </w14:textFill>
                    </w:rPr>
                    <w:t>7870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项目名称：中能电气(福淸）有限公司充电桩研发制造项目（扩建）</w:t>
                  </w:r>
                  <w:r>
                    <w:rPr>
                      <w:rFonts w:hint="eastAsia"/>
                      <w:color w:val="000000" w:themeColor="text1"/>
                      <w14:textFill>
                        <w14:solidFill>
                          <w14:schemeClr w14:val="tx1"/>
                        </w14:solidFill>
                      </w14:textFill>
                    </w:rPr>
                    <w:t>，年产各类型交、直流充电桩11900套生产线，</w:t>
                  </w:r>
                  <w:r>
                    <w:rPr>
                      <w:color w:val="000000" w:themeColor="text1"/>
                      <w14:textFill>
                        <w14:solidFill>
                          <w14:schemeClr w14:val="tx1"/>
                        </w14:solidFill>
                      </w14:textFill>
                    </w:rPr>
                    <w:t>建筑面积</w:t>
                  </w:r>
                  <w:r>
                    <w:rPr>
                      <w:rFonts w:hint="eastAsia"/>
                      <w:color w:val="000000" w:themeColor="text1"/>
                      <w14:textFill>
                        <w14:solidFill>
                          <w14:schemeClr w14:val="tx1"/>
                        </w14:solidFill>
                      </w14:textFill>
                    </w:rPr>
                    <w:t>4000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p>
              </w:tc>
              <w:tc>
                <w:tcPr>
                  <w:tcW w:w="1413" w:type="dxa"/>
                  <w:vAlign w:val="center"/>
                </w:tcPr>
                <w:p w14:paraId="2D23F4FE">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40" w:type="dxa"/>
                  <w:vAlign w:val="center"/>
                </w:tcPr>
                <w:p w14:paraId="753161B7">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无改动内容</w:t>
                  </w:r>
                </w:p>
              </w:tc>
              <w:tc>
                <w:tcPr>
                  <w:tcW w:w="2093" w:type="dxa"/>
                  <w:vAlign w:val="center"/>
                </w:tcPr>
                <w:p w14:paraId="5A395DA6">
                  <w:pPr>
                    <w:pStyle w:val="221"/>
                    <w:rPr>
                      <w:color w:val="000000" w:themeColor="text1"/>
                      <w14:textFill>
                        <w14:solidFill>
                          <w14:schemeClr w14:val="tx1"/>
                        </w14:solidFill>
                      </w14:textFill>
                    </w:rPr>
                  </w:pPr>
                  <w:r>
                    <w:rPr>
                      <w:color w:val="000000" w:themeColor="text1"/>
                      <w14:textFill>
                        <w14:solidFill>
                          <w14:schemeClr w14:val="tx1"/>
                        </w14:solidFill>
                      </w14:textFill>
                    </w:rPr>
                    <w:t>年产中压预制式电缆附件</w:t>
                  </w:r>
                  <w:r>
                    <w:rPr>
                      <w:rFonts w:hint="eastAsia"/>
                      <w:color w:val="000000" w:themeColor="text1"/>
                      <w14:textFill>
                        <w14:solidFill>
                          <w14:schemeClr w14:val="tx1"/>
                        </w14:solidFill>
                      </w14:textFill>
                    </w:rPr>
                    <w:t>210</w:t>
                  </w:r>
                  <w:r>
                    <w:rPr>
                      <w:color w:val="000000" w:themeColor="text1"/>
                      <w14:textFill>
                        <w14:solidFill>
                          <w14:schemeClr w14:val="tx1"/>
                        </w14:solidFill>
                      </w14:textFill>
                    </w:rPr>
                    <w:t>万只生产线</w:t>
                  </w:r>
                  <w:r>
                    <w:rPr>
                      <w:rFonts w:hint="eastAsia"/>
                      <w:color w:val="000000" w:themeColor="text1"/>
                      <w14:textFill>
                        <w14:solidFill>
                          <w14:schemeClr w14:val="tx1"/>
                        </w14:solidFill>
                      </w14:textFill>
                    </w:rPr>
                    <w:t>及其原料仓库、产品仓库、检验区等，</w:t>
                  </w:r>
                  <w:r>
                    <w:rPr>
                      <w:color w:val="000000" w:themeColor="text1"/>
                      <w14:textFill>
                        <w14:solidFill>
                          <w14:schemeClr w14:val="tx1"/>
                        </w14:solidFill>
                      </w14:textFill>
                    </w:rPr>
                    <w:t>建筑面积11870m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；年产各类型交、直流充电桩11900套生产线，</w:t>
                  </w:r>
                  <w:r>
                    <w:rPr>
                      <w:color w:val="000000" w:themeColor="text1"/>
                      <w14:textFill>
                        <w14:solidFill>
                          <w14:schemeClr w14:val="tx1"/>
                        </w14:solidFill>
                      </w14:textFill>
                    </w:rPr>
                    <w:t>建筑面积</w:t>
                  </w:r>
                  <w:r>
                    <w:rPr>
                      <w:rFonts w:hint="eastAsia"/>
                      <w:color w:val="000000" w:themeColor="text1"/>
                      <w14:textFill>
                        <w14:solidFill>
                          <w14:schemeClr w14:val="tx1"/>
                        </w14:solidFill>
                      </w14:textFill>
                    </w:rPr>
                    <w:t>4000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p>
              </w:tc>
            </w:tr>
            <w:tr w14:paraId="511E2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2E11B137">
                  <w:pPr>
                    <w:pStyle w:val="221"/>
                    <w:rPr>
                      <w:color w:val="000000" w:themeColor="text1"/>
                      <w14:textFill>
                        <w14:solidFill>
                          <w14:schemeClr w14:val="tx1"/>
                        </w14:solidFill>
                      </w14:textFill>
                    </w:rPr>
                  </w:pPr>
                </w:p>
              </w:tc>
              <w:tc>
                <w:tcPr>
                  <w:tcW w:w="668" w:type="dxa"/>
                  <w:vAlign w:val="center"/>
                </w:tcPr>
                <w:p w14:paraId="7F672929">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p w14:paraId="3F886C36">
                  <w:pPr>
                    <w:pStyle w:val="221"/>
                    <w:rPr>
                      <w:color w:val="000000" w:themeColor="text1"/>
                      <w14:textFill>
                        <w14:solidFill>
                          <w14:schemeClr w14:val="tx1"/>
                        </w14:solidFill>
                      </w14:textFill>
                    </w:rPr>
                  </w:pPr>
                  <w:r>
                    <w:rPr>
                      <w:color w:val="000000" w:themeColor="text1"/>
                      <w:szCs w:val="21"/>
                      <w14:textFill>
                        <w14:solidFill>
                          <w14:schemeClr w14:val="tx1"/>
                        </w14:solidFill>
                      </w14:textFill>
                    </w:rPr>
                    <w:t>车间</w:t>
                  </w:r>
                </w:p>
              </w:tc>
              <w:tc>
                <w:tcPr>
                  <w:tcW w:w="2477" w:type="dxa"/>
                  <w:gridSpan w:val="2"/>
                  <w:vAlign w:val="center"/>
                </w:tcPr>
                <w:p w14:paraId="38B3617C">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车间北侧（A区）空置，建筑面积约5700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；全厂原料仓库，位于车间南侧（B</w:t>
                  </w:r>
                  <w:r>
                    <w:rPr>
                      <w:color w:val="000000" w:themeColor="text1"/>
                      <w14:textFill>
                        <w14:solidFill>
                          <w14:schemeClr w14:val="tx1"/>
                        </w14:solidFill>
                      </w14:textFill>
                    </w:rPr>
                    <w:t>区</w:t>
                  </w:r>
                  <w:r>
                    <w:rPr>
                      <w:rFonts w:hint="eastAsia"/>
                      <w:color w:val="000000" w:themeColor="text1"/>
                      <w14:textFill>
                        <w14:solidFill>
                          <w14:schemeClr w14:val="tx1"/>
                        </w14:solidFill>
                      </w14:textFill>
                    </w:rPr>
                    <w:t>），建筑面积约13500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；东侧部分车间（C</w:t>
                  </w:r>
                  <w:r>
                    <w:rPr>
                      <w:color w:val="000000" w:themeColor="text1"/>
                      <w14:textFill>
                        <w14:solidFill>
                          <w14:schemeClr w14:val="tx1"/>
                        </w14:solidFill>
                      </w14:textFill>
                    </w:rPr>
                    <w:t>区</w:t>
                  </w:r>
                  <w:r>
                    <w:rPr>
                      <w:rFonts w:hint="eastAsia"/>
                      <w:color w:val="000000" w:themeColor="text1"/>
                      <w14:textFill>
                        <w14:solidFill>
                          <w14:schemeClr w14:val="tx1"/>
                        </w14:solidFill>
                      </w14:textFill>
                    </w:rPr>
                    <w:t>）租赁给福清诺利金属制品有限公司用于生产配电箱金属构件，该企业仅组装，不涉及生产废气、废水，建筑面积约6250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，不在本次评价范围内</w:t>
                  </w:r>
                </w:p>
              </w:tc>
              <w:tc>
                <w:tcPr>
                  <w:tcW w:w="1413" w:type="dxa"/>
                  <w:vAlign w:val="center"/>
                </w:tcPr>
                <w:p w14:paraId="024BD054">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40" w:type="dxa"/>
                  <w:vAlign w:val="center"/>
                </w:tcPr>
                <w:p w14:paraId="33B02DAC">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无改动内容</w:t>
                  </w:r>
                </w:p>
              </w:tc>
              <w:tc>
                <w:tcPr>
                  <w:tcW w:w="2093" w:type="dxa"/>
                  <w:vAlign w:val="center"/>
                </w:tcPr>
                <w:p w14:paraId="5FBF2BA8">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车间北侧（A区）空置，建筑面积约5700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；全厂原料仓库，位于车间南侧（B</w:t>
                  </w:r>
                  <w:r>
                    <w:rPr>
                      <w:color w:val="000000" w:themeColor="text1"/>
                      <w14:textFill>
                        <w14:solidFill>
                          <w14:schemeClr w14:val="tx1"/>
                        </w14:solidFill>
                      </w14:textFill>
                    </w:rPr>
                    <w:t>区</w:t>
                  </w:r>
                  <w:r>
                    <w:rPr>
                      <w:rFonts w:hint="eastAsia"/>
                      <w:color w:val="000000" w:themeColor="text1"/>
                      <w14:textFill>
                        <w14:solidFill>
                          <w14:schemeClr w14:val="tx1"/>
                        </w14:solidFill>
                      </w14:textFill>
                    </w:rPr>
                    <w:t>），建筑面积约13500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；东侧部分车间（C</w:t>
                  </w:r>
                  <w:r>
                    <w:rPr>
                      <w:color w:val="000000" w:themeColor="text1"/>
                      <w14:textFill>
                        <w14:solidFill>
                          <w14:schemeClr w14:val="tx1"/>
                        </w14:solidFill>
                      </w14:textFill>
                    </w:rPr>
                    <w:t>区</w:t>
                  </w:r>
                  <w:r>
                    <w:rPr>
                      <w:rFonts w:hint="eastAsia"/>
                      <w:color w:val="000000" w:themeColor="text1"/>
                      <w14:textFill>
                        <w14:solidFill>
                          <w14:schemeClr w14:val="tx1"/>
                        </w14:solidFill>
                      </w14:textFill>
                    </w:rPr>
                    <w:t>）租赁给福清诺利金属制品有限公司用于生产配电箱金属构件，建筑面积约6250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p>
              </w:tc>
            </w:tr>
            <w:tr w14:paraId="7824E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70170847">
                  <w:pPr>
                    <w:pStyle w:val="221"/>
                    <w:rPr>
                      <w:color w:val="000000" w:themeColor="text1"/>
                      <w14:textFill>
                        <w14:solidFill>
                          <w14:schemeClr w14:val="tx1"/>
                        </w14:solidFill>
                      </w14:textFill>
                    </w:rPr>
                  </w:pPr>
                </w:p>
              </w:tc>
              <w:tc>
                <w:tcPr>
                  <w:tcW w:w="668" w:type="dxa"/>
                  <w:vAlign w:val="center"/>
                </w:tcPr>
                <w:p w14:paraId="4BBF5595">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p w14:paraId="65B26289">
                  <w:pPr>
                    <w:pStyle w:val="221"/>
                    <w:rPr>
                      <w:color w:val="000000" w:themeColor="text1"/>
                      <w14:textFill>
                        <w14:solidFill>
                          <w14:schemeClr w14:val="tx1"/>
                        </w14:solidFill>
                      </w14:textFill>
                    </w:rPr>
                  </w:pPr>
                  <w:r>
                    <w:rPr>
                      <w:color w:val="000000" w:themeColor="text1"/>
                      <w:szCs w:val="21"/>
                      <w14:textFill>
                        <w14:solidFill>
                          <w14:schemeClr w14:val="tx1"/>
                        </w14:solidFill>
                      </w14:textFill>
                    </w:rPr>
                    <w:t>车间</w:t>
                  </w:r>
                </w:p>
              </w:tc>
              <w:tc>
                <w:tcPr>
                  <w:tcW w:w="2477" w:type="dxa"/>
                  <w:gridSpan w:val="2"/>
                  <w:vAlign w:val="center"/>
                </w:tcPr>
                <w:p w14:paraId="208CD95E">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在车间中部及西部设置生产各类智能配电设备和新能源产品储充外壳15万件/年的钣金区，建筑面积约6600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；在车间东部设置全厂统一焊接区，建筑面积约2000m</w:t>
                  </w:r>
                  <w:r>
                    <w:rPr>
                      <w:rFonts w:hint="eastAsia"/>
                      <w:color w:val="000000" w:themeColor="text1"/>
                      <w:vertAlign w:val="superscript"/>
                      <w14:textFill>
                        <w14:solidFill>
                          <w14:schemeClr w14:val="tx1"/>
                        </w14:solidFill>
                      </w14:textFill>
                    </w:rPr>
                    <w:t>2</w:t>
                  </w:r>
                </w:p>
              </w:tc>
              <w:tc>
                <w:tcPr>
                  <w:tcW w:w="1413" w:type="dxa"/>
                  <w:vAlign w:val="center"/>
                </w:tcPr>
                <w:p w14:paraId="683238F0">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喷漆生产线建设及生产设备提升改造项目，新增喷粉、烤粉、喷漆和烤漆流水线1、喷粉烤粉流水线2、喷漆和烤漆流水线3等，对现有产品（各类智能配电设备和新能源产品储充外壳15万件/年）进行喷漆、喷粉等处理，位于车间北部，建筑面积约2400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p>
              </w:tc>
              <w:tc>
                <w:tcPr>
                  <w:tcW w:w="1540" w:type="dxa"/>
                  <w:vAlign w:val="center"/>
                </w:tcPr>
                <w:p w14:paraId="436AE0DC">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①对已批未建的喷漆项目进行改建，在喷漆前增加喷砂工序，新增1条喷砂流水线；</w:t>
                  </w:r>
                </w:p>
                <w:p w14:paraId="0017C19C">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②调整喷漆项目的设备布局，在3#车间北侧扩建，即3#车间扩建B区，新增厂房建筑面积992.2平方米，用于建设喷漆生产线的污水处理设施和环保设备间；</w:t>
                  </w:r>
                </w:p>
                <w:p w14:paraId="7E8F6296">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③在车间东南角新增建设新能源储充产品生产线，年产2500台，建筑面积约700m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56FFBCDE">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④在3#车间与4#车间之间扩建厂房，即3#车间扩建A区，新增厂房建筑面积2566.4平方米，将3#车间与4#车间连通，方便车间之间物流运送</w:t>
                  </w:r>
                </w:p>
              </w:tc>
              <w:tc>
                <w:tcPr>
                  <w:tcW w:w="2093" w:type="dxa"/>
                  <w:vAlign w:val="center"/>
                </w:tcPr>
                <w:p w14:paraId="3FC2B7B1">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①喷砂、喷漆处理各类智能配电设备和新能源产品储充外壳的产品15万件/年，位于车间北侧，建筑面积约3392m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w:t>
                  </w:r>
                </w:p>
                <w:p w14:paraId="5A4ACEDC">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②设置生产各类智能配电设备和新能源产品储充外壳15万件/年的钣金区，位于车间中部及西部，建筑面积约6600</w:t>
                  </w:r>
                  <w:r>
                    <w:rPr>
                      <w:rFonts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w:t>
                  </w:r>
                </w:p>
                <w:p w14:paraId="765D9AF9">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③新能源储充产品2500台/年生产线，位于车间东南角，建筑面积约700m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w:t>
                  </w:r>
                </w:p>
                <w:p w14:paraId="3D0D5F6A">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④设置全厂统一焊接区，位于车间东部，建筑面积约2000m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p>
              </w:tc>
            </w:tr>
            <w:tr w14:paraId="3F701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7E6FB444">
                  <w:pPr>
                    <w:pStyle w:val="221"/>
                    <w:rPr>
                      <w:color w:val="000000" w:themeColor="text1"/>
                      <w14:textFill>
                        <w14:solidFill>
                          <w14:schemeClr w14:val="tx1"/>
                        </w14:solidFill>
                      </w14:textFill>
                    </w:rPr>
                  </w:pPr>
                </w:p>
              </w:tc>
              <w:tc>
                <w:tcPr>
                  <w:tcW w:w="668" w:type="dxa"/>
                  <w:vAlign w:val="center"/>
                </w:tcPr>
                <w:p w14:paraId="5FF71A42">
                  <w:pPr>
                    <w:pStyle w:val="221"/>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p w14:paraId="3722A22A">
                  <w:pPr>
                    <w:pStyle w:val="221"/>
                    <w:rPr>
                      <w:color w:val="000000" w:themeColor="text1"/>
                      <w14:textFill>
                        <w14:solidFill>
                          <w14:schemeClr w14:val="tx1"/>
                        </w14:solidFill>
                      </w14:textFill>
                    </w:rPr>
                  </w:pPr>
                  <w:r>
                    <w:rPr>
                      <w:color w:val="000000" w:themeColor="text1"/>
                      <w:szCs w:val="21"/>
                      <w14:textFill>
                        <w14:solidFill>
                          <w14:schemeClr w14:val="tx1"/>
                        </w14:solidFill>
                      </w14:textFill>
                    </w:rPr>
                    <w:t>车间</w:t>
                  </w:r>
                </w:p>
              </w:tc>
              <w:tc>
                <w:tcPr>
                  <w:tcW w:w="2477" w:type="dxa"/>
                  <w:gridSpan w:val="2"/>
                  <w:vAlign w:val="center"/>
                </w:tcPr>
                <w:p w14:paraId="41D17B6B">
                  <w:pPr>
                    <w:pStyle w:val="221"/>
                    <w:rPr>
                      <w:color w:val="000000" w:themeColor="text1"/>
                      <w14:textFill>
                        <w14:solidFill>
                          <w14:schemeClr w14:val="tx1"/>
                        </w14:solidFill>
                      </w14:textFill>
                    </w:rPr>
                  </w:pPr>
                  <w:r>
                    <w:rPr>
                      <w:color w:val="000000" w:themeColor="text1"/>
                      <w:szCs w:val="21"/>
                      <w14:textFill>
                        <w14:solidFill>
                          <w14:schemeClr w14:val="tx1"/>
                        </w14:solidFill>
                      </w14:textFill>
                    </w:rPr>
                    <w:t>项目名称：中压预制式电缆附件及组合设备、特种纤维增强聚酯绝缘材料及制品、智能化免维护型环网设备生产扩建项目，</w:t>
                  </w:r>
                  <w:r>
                    <w:rPr>
                      <w:rFonts w:hint="eastAsia"/>
                      <w:color w:val="000000" w:themeColor="text1"/>
                      <w14:textFill>
                        <w14:solidFill>
                          <w14:schemeClr w14:val="tx1"/>
                        </w14:solidFill>
                      </w14:textFill>
                    </w:rPr>
                    <w:t>年产智能化免维护型环网设备（C-GIS充气柜）2万台套生产线，位于车间南侧，建筑面积约4080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p>
              </w:tc>
              <w:tc>
                <w:tcPr>
                  <w:tcW w:w="1413" w:type="dxa"/>
                  <w:vAlign w:val="center"/>
                </w:tcPr>
                <w:p w14:paraId="10710AF1">
                  <w:pPr>
                    <w:pStyle w:val="221"/>
                    <w:rPr>
                      <w:color w:val="000000" w:themeColor="text1"/>
                      <w:vertAlign w:val="superscript"/>
                      <w14:textFill>
                        <w14:solidFill>
                          <w14:schemeClr w14:val="tx1"/>
                        </w14:solidFill>
                      </w14:textFill>
                    </w:rPr>
                  </w:pPr>
                  <w:r>
                    <w:rPr>
                      <w:color w:val="000000" w:themeColor="text1"/>
                      <w:szCs w:val="21"/>
                      <w14:textFill>
                        <w14:solidFill>
                          <w14:schemeClr w14:val="tx1"/>
                        </w14:solidFill>
                      </w14:textFill>
                    </w:rPr>
                    <w:t>项目名称：福建中能电气有限公司一二次融合智能配电项目，</w:t>
                  </w:r>
                  <w:r>
                    <w:rPr>
                      <w:rFonts w:hint="eastAsia"/>
                      <w:color w:val="000000" w:themeColor="text1"/>
                      <w14:textFill>
                        <w14:solidFill>
                          <w14:schemeClr w14:val="tx1"/>
                        </w14:solidFill>
                      </w14:textFill>
                    </w:rPr>
                    <w:t>年产一二次融合成套配电开关设备2万台、边缘计算智能终端7万套、智能传感器5万套生产线，拟建于车间北侧，建筑面积3750m</w:t>
                  </w:r>
                  <w:r>
                    <w:rPr>
                      <w:rFonts w:hint="eastAsia"/>
                      <w:color w:val="000000" w:themeColor="text1"/>
                      <w:vertAlign w:val="superscript"/>
                      <w14:textFill>
                        <w14:solidFill>
                          <w14:schemeClr w14:val="tx1"/>
                        </w14:solidFill>
                      </w14:textFill>
                    </w:rPr>
                    <w:t>2</w:t>
                  </w:r>
                </w:p>
              </w:tc>
              <w:tc>
                <w:tcPr>
                  <w:tcW w:w="1540" w:type="dxa"/>
                  <w:vAlign w:val="center"/>
                </w:tcPr>
                <w:p w14:paraId="659DF6AB">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无改动内容</w:t>
                  </w:r>
                </w:p>
              </w:tc>
              <w:tc>
                <w:tcPr>
                  <w:tcW w:w="2093" w:type="dxa"/>
                  <w:vAlign w:val="center"/>
                </w:tcPr>
                <w:p w14:paraId="242CEF82">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年产智能化免维护型环网设备（C-GIS充气柜）2万台套生产线</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位于车间南侧，建筑面积约4080</w:t>
                  </w:r>
                  <w:r>
                    <w:rPr>
                      <w:rFonts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；年产一二次融合成套配电开关设备2万台、边缘计算智能终端7万套、智能传感器5万套生产线，建于车间北侧，建筑面积3750</w:t>
                  </w:r>
                  <w:r>
                    <w:rPr>
                      <w:rFonts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p>
              </w:tc>
            </w:tr>
            <w:tr w14:paraId="3EE16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7261CE0C">
                  <w:pPr>
                    <w:pStyle w:val="221"/>
                    <w:rPr>
                      <w:color w:val="000000" w:themeColor="text1"/>
                      <w14:textFill>
                        <w14:solidFill>
                          <w14:schemeClr w14:val="tx1"/>
                        </w14:solidFill>
                      </w14:textFill>
                    </w:rPr>
                  </w:pPr>
                </w:p>
              </w:tc>
              <w:tc>
                <w:tcPr>
                  <w:tcW w:w="668" w:type="dxa"/>
                  <w:vAlign w:val="center"/>
                </w:tcPr>
                <w:p w14:paraId="3841BCB8">
                  <w:pPr>
                    <w:pStyle w:val="2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w:t>
                  </w:r>
                </w:p>
                <w:p w14:paraId="5333CE5D">
                  <w:pPr>
                    <w:pStyle w:val="221"/>
                    <w:rPr>
                      <w:color w:val="000000" w:themeColor="text1"/>
                      <w14:textFill>
                        <w14:solidFill>
                          <w14:schemeClr w14:val="tx1"/>
                        </w14:solidFill>
                      </w14:textFill>
                    </w:rPr>
                  </w:pPr>
                  <w:r>
                    <w:rPr>
                      <w:color w:val="000000" w:themeColor="text1"/>
                      <w:szCs w:val="21"/>
                      <w14:textFill>
                        <w14:solidFill>
                          <w14:schemeClr w14:val="tx1"/>
                        </w14:solidFill>
                      </w14:textFill>
                    </w:rPr>
                    <w:t>车间</w:t>
                  </w:r>
                </w:p>
              </w:tc>
              <w:tc>
                <w:tcPr>
                  <w:tcW w:w="2477" w:type="dxa"/>
                  <w:gridSpan w:val="2"/>
                  <w:vAlign w:val="center"/>
                </w:tcPr>
                <w:p w14:paraId="75AB768A">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租赁给福建齐齐机电科技有限公司生产</w:t>
                  </w:r>
                  <w:r>
                    <w:rPr>
                      <w:color w:val="000000" w:themeColor="text1"/>
                      <w14:textFill>
                        <w14:solidFill>
                          <w14:schemeClr w14:val="tx1"/>
                        </w14:solidFill>
                      </w14:textFill>
                    </w:rPr>
                    <w:t>机电设备、机械设备</w:t>
                  </w:r>
                  <w:r>
                    <w:rPr>
                      <w:rFonts w:hint="eastAsia"/>
                      <w:color w:val="000000" w:themeColor="text1"/>
                      <w14:textFill>
                        <w14:solidFill>
                          <w14:schemeClr w14:val="tx1"/>
                        </w14:solidFill>
                      </w14:textFill>
                    </w:rPr>
                    <w:t>，该企业仅组装，不涉及生产废气、废水，不在本次评价范围内</w:t>
                  </w:r>
                </w:p>
              </w:tc>
              <w:tc>
                <w:tcPr>
                  <w:tcW w:w="1413" w:type="dxa"/>
                  <w:vAlign w:val="center"/>
                </w:tcPr>
                <w:p w14:paraId="490401E5">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40" w:type="dxa"/>
                  <w:vAlign w:val="center"/>
                </w:tcPr>
                <w:p w14:paraId="5FFADAC0">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无改动内容</w:t>
                  </w:r>
                </w:p>
              </w:tc>
              <w:tc>
                <w:tcPr>
                  <w:tcW w:w="2093" w:type="dxa"/>
                  <w:vAlign w:val="center"/>
                </w:tcPr>
                <w:p w14:paraId="6F879EAA">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租赁给</w:t>
                  </w:r>
                  <w:r>
                    <w:rPr>
                      <w:rFonts w:hint="eastAsia" w:ascii="Times New Roman" w:hAnsi="Times New Roman" w:eastAsia="宋体" w:cs="Times New Roman"/>
                      <w:color w:val="000000" w:themeColor="text1"/>
                      <w:sz w:val="21"/>
                      <w:szCs w:val="21"/>
                      <w14:textFill>
                        <w14:solidFill>
                          <w14:schemeClr w14:val="tx1"/>
                        </w14:solidFill>
                      </w14:textFill>
                    </w:rPr>
                    <w:t>福建齐齐机电科技有限公司生产</w:t>
                  </w:r>
                  <w:r>
                    <w:rPr>
                      <w:rFonts w:ascii="Times New Roman" w:hAnsi="Times New Roman" w:eastAsia="宋体" w:cs="Times New Roman"/>
                      <w:color w:val="000000" w:themeColor="text1"/>
                      <w:sz w:val="21"/>
                      <w:szCs w:val="21"/>
                      <w14:textFill>
                        <w14:solidFill>
                          <w14:schemeClr w14:val="tx1"/>
                        </w14:solidFill>
                      </w14:textFill>
                    </w:rPr>
                    <w:t>机电设</w:t>
                  </w:r>
                  <w:r>
                    <w:rPr>
                      <w:rFonts w:ascii="Times New Roman" w:hAnsi="Times New Roman" w:eastAsia="宋体" w:cs="Times New Roman"/>
                      <w:color w:val="000000" w:themeColor="text1"/>
                      <w:sz w:val="21"/>
                      <w:szCs w:val="24"/>
                      <w14:textFill>
                        <w14:solidFill>
                          <w14:schemeClr w14:val="tx1"/>
                        </w14:solidFill>
                      </w14:textFill>
                      <w14:ligatures w14:val="standardContextual"/>
                    </w:rPr>
                    <w:t>备、机械设备</w:t>
                  </w:r>
                  <w:r>
                    <w:rPr>
                      <w:rFonts w:hint="eastAsia" w:ascii="Times New Roman" w:hAnsi="Times New Roman" w:eastAsia="宋体" w:cs="Times New Roman"/>
                      <w:color w:val="000000" w:themeColor="text1"/>
                      <w:sz w:val="21"/>
                      <w:szCs w:val="24"/>
                      <w14:textFill>
                        <w14:solidFill>
                          <w14:schemeClr w14:val="tx1"/>
                        </w14:solidFill>
                      </w14:textFill>
                      <w14:ligatures w14:val="standardContextual"/>
                    </w:rPr>
                    <w:t>，该企业仅组装，不涉及生产废气、废水，</w:t>
                  </w:r>
                  <w:r>
                    <w:rPr>
                      <w:rFonts w:hint="eastAsia" w:ascii="Times New Roman" w:hAnsi="Times New Roman" w:eastAsia="宋体" w:cs="Times New Roman"/>
                      <w:color w:val="000000" w:themeColor="text1"/>
                      <w:sz w:val="21"/>
                      <w:szCs w:val="21"/>
                      <w14:textFill>
                        <w14:solidFill>
                          <w14:schemeClr w14:val="tx1"/>
                        </w14:solidFill>
                      </w14:textFill>
                    </w:rPr>
                    <w:t>不在本次评价范围内</w:t>
                  </w:r>
                </w:p>
              </w:tc>
            </w:tr>
            <w:tr w14:paraId="583CC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19AEA6E1">
                  <w:pPr>
                    <w:pStyle w:val="221"/>
                    <w:rPr>
                      <w:color w:val="000000" w:themeColor="text1"/>
                      <w14:textFill>
                        <w14:solidFill>
                          <w14:schemeClr w14:val="tx1"/>
                        </w14:solidFill>
                      </w14:textFill>
                    </w:rPr>
                  </w:pPr>
                </w:p>
              </w:tc>
              <w:tc>
                <w:tcPr>
                  <w:tcW w:w="668" w:type="dxa"/>
                  <w:vAlign w:val="center"/>
                </w:tcPr>
                <w:p w14:paraId="7D66109A">
                  <w:pPr>
                    <w:pStyle w:val="2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p w14:paraId="63A52A89">
                  <w:pPr>
                    <w:pStyle w:val="2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车间</w:t>
                  </w:r>
                </w:p>
              </w:tc>
              <w:tc>
                <w:tcPr>
                  <w:tcW w:w="2477" w:type="dxa"/>
                  <w:gridSpan w:val="2"/>
                  <w:vAlign w:val="center"/>
                </w:tcPr>
                <w:p w14:paraId="11BF84AB">
                  <w:pPr>
                    <w:pStyle w:val="221"/>
                    <w:rPr>
                      <w:color w:val="000000" w:themeColor="text1"/>
                      <w14:textFill>
                        <w14:solidFill>
                          <w14:schemeClr w14:val="tx1"/>
                        </w14:solidFill>
                      </w14:textFill>
                    </w:rPr>
                  </w:pPr>
                  <w:r>
                    <w:rPr>
                      <w:color w:val="000000" w:themeColor="text1"/>
                      <w:szCs w:val="21"/>
                      <w14:textFill>
                        <w14:solidFill>
                          <w14:schemeClr w14:val="tx1"/>
                        </w14:solidFill>
                      </w14:textFill>
                    </w:rPr>
                    <w:t>项目名称：中压预制式电缆附件及组合设备、特种纤维增强聚酯绝缘材料及制品、智能化免维护型环网设备生产扩建项目，</w:t>
                  </w:r>
                  <w:r>
                    <w:rPr>
                      <w:rFonts w:hint="eastAsia"/>
                      <w:color w:val="000000" w:themeColor="text1"/>
                      <w14:textFill>
                        <w14:solidFill>
                          <w14:schemeClr w14:val="tx1"/>
                        </w14:solidFill>
                      </w14:textFill>
                    </w:rPr>
                    <w:t>年产电缆分支箱3000台；</w:t>
                  </w:r>
                  <w:r>
                    <w:rPr>
                      <w:color w:val="000000" w:themeColor="text1"/>
                      <w:szCs w:val="21"/>
                      <w14:textFill>
                        <w14:solidFill>
                          <w14:schemeClr w14:val="tx1"/>
                        </w14:solidFill>
                      </w14:textFill>
                    </w:rPr>
                    <w:t>项目名称：中能电气(福淸）有限公司地铁系统用智能化低压开关柜项目（扩建），</w:t>
                  </w:r>
                  <w:r>
                    <w:rPr>
                      <w:rFonts w:hint="eastAsia"/>
                      <w:color w:val="000000" w:themeColor="text1"/>
                      <w14:textFill>
                        <w14:solidFill>
                          <w14:schemeClr w14:val="tx1"/>
                        </w14:solidFill>
                      </w14:textFill>
                    </w:rPr>
                    <w:t>年产地铁系统用智能低压开关柜5000台生产线，位于车间西侧，建筑面积约9500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；年产900台箱式变电箱生产线，建于车间东侧，建筑面积约4370</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p>
              </w:tc>
              <w:tc>
                <w:tcPr>
                  <w:tcW w:w="1413" w:type="dxa"/>
                  <w:vAlign w:val="center"/>
                </w:tcPr>
                <w:p w14:paraId="1C909E58">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40" w:type="dxa"/>
                  <w:vAlign w:val="center"/>
                </w:tcPr>
                <w:p w14:paraId="4A02A259">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无改动内容</w:t>
                  </w:r>
                </w:p>
              </w:tc>
              <w:tc>
                <w:tcPr>
                  <w:tcW w:w="2093" w:type="dxa"/>
                  <w:vAlign w:val="center"/>
                </w:tcPr>
                <w:p w14:paraId="44289907">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年产电缆分支箱3000台、年产地铁系统用智能低压开关柜5000台生产线，位于车间西侧，建筑面积约9500</w:t>
                  </w:r>
                  <w:r>
                    <w:rPr>
                      <w:rFonts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；年产900台箱式变电箱生产线，建于车间东侧，建筑面积约4370</w:t>
                  </w:r>
                  <w:r>
                    <w:rPr>
                      <w:rFonts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p>
              </w:tc>
            </w:tr>
            <w:tr w14:paraId="5B928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75B78ED3">
                  <w:pPr>
                    <w:pStyle w:val="221"/>
                    <w:rPr>
                      <w:color w:val="000000" w:themeColor="text1"/>
                      <w14:textFill>
                        <w14:solidFill>
                          <w14:schemeClr w14:val="tx1"/>
                        </w14:solidFill>
                      </w14:textFill>
                    </w:rPr>
                  </w:pPr>
                </w:p>
              </w:tc>
              <w:tc>
                <w:tcPr>
                  <w:tcW w:w="668" w:type="dxa"/>
                  <w:vAlign w:val="center"/>
                </w:tcPr>
                <w:p w14:paraId="697B2180">
                  <w:pPr>
                    <w:pStyle w:val="2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钣金</w:t>
                  </w:r>
                </w:p>
                <w:p w14:paraId="1994AD0A">
                  <w:pPr>
                    <w:pStyle w:val="2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车间</w:t>
                  </w:r>
                </w:p>
              </w:tc>
              <w:tc>
                <w:tcPr>
                  <w:tcW w:w="2477" w:type="dxa"/>
                  <w:gridSpan w:val="2"/>
                  <w:vAlign w:val="center"/>
                </w:tcPr>
                <w:p w14:paraId="5C9FA5CD">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厂内其余产品钣金工序的集中生产车间</w:t>
                  </w:r>
                </w:p>
              </w:tc>
              <w:tc>
                <w:tcPr>
                  <w:tcW w:w="1413" w:type="dxa"/>
                  <w:vAlign w:val="center"/>
                </w:tcPr>
                <w:p w14:paraId="4A198BA9">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40" w:type="dxa"/>
                  <w:vAlign w:val="center"/>
                </w:tcPr>
                <w:p w14:paraId="519D6278">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无改动内容</w:t>
                  </w:r>
                </w:p>
              </w:tc>
              <w:tc>
                <w:tcPr>
                  <w:tcW w:w="2093" w:type="dxa"/>
                  <w:vAlign w:val="center"/>
                </w:tcPr>
                <w:p w14:paraId="071A5225">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厂内其余产品钣金工序的集中生产车间</w:t>
                  </w:r>
                </w:p>
              </w:tc>
            </w:tr>
            <w:tr w14:paraId="262B9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1B2C9035">
                  <w:pPr>
                    <w:pStyle w:val="221"/>
                    <w:rPr>
                      <w:color w:val="000000" w:themeColor="text1"/>
                      <w14:textFill>
                        <w14:solidFill>
                          <w14:schemeClr w14:val="tx1"/>
                        </w14:solidFill>
                      </w14:textFill>
                    </w:rPr>
                  </w:pPr>
                </w:p>
              </w:tc>
              <w:tc>
                <w:tcPr>
                  <w:tcW w:w="668" w:type="dxa"/>
                  <w:vAlign w:val="center"/>
                </w:tcPr>
                <w:p w14:paraId="4B65DEB4">
                  <w:pPr>
                    <w:pStyle w:val="221"/>
                    <w:rPr>
                      <w:color w:val="000000" w:themeColor="text1"/>
                      <w14:textFill>
                        <w14:solidFill>
                          <w14:schemeClr w14:val="tx1"/>
                        </w14:solidFill>
                      </w14:textFill>
                    </w:rPr>
                  </w:pPr>
                  <w:r>
                    <w:rPr>
                      <w:color w:val="000000" w:themeColor="text1"/>
                      <w14:textFill>
                        <w14:solidFill>
                          <w14:schemeClr w14:val="tx1"/>
                        </w14:solidFill>
                      </w14:textFill>
                    </w:rPr>
                    <w:t>供电</w:t>
                  </w:r>
                </w:p>
              </w:tc>
              <w:tc>
                <w:tcPr>
                  <w:tcW w:w="3890" w:type="dxa"/>
                  <w:gridSpan w:val="3"/>
                  <w:vAlign w:val="center"/>
                </w:tcPr>
                <w:p w14:paraId="41E8A413">
                  <w:pPr>
                    <w:pStyle w:val="221"/>
                    <w:rPr>
                      <w:color w:val="000000" w:themeColor="text1"/>
                      <w14:textFill>
                        <w14:solidFill>
                          <w14:schemeClr w14:val="tx1"/>
                        </w14:solidFill>
                      </w14:textFill>
                    </w:rPr>
                  </w:pPr>
                  <w:r>
                    <w:rPr>
                      <w:color w:val="000000" w:themeColor="text1"/>
                      <w14:textFill>
                        <w14:solidFill>
                          <w14:schemeClr w14:val="tx1"/>
                        </w14:solidFill>
                      </w14:textFill>
                    </w:rPr>
                    <w:t>由市政电力系统提供</w:t>
                  </w:r>
                </w:p>
              </w:tc>
              <w:tc>
                <w:tcPr>
                  <w:tcW w:w="1540" w:type="dxa"/>
                  <w:vAlign w:val="center"/>
                </w:tcPr>
                <w:p w14:paraId="2D40A117">
                  <w:pPr>
                    <w:pStyle w:val="221"/>
                    <w:rPr>
                      <w:color w:val="000000" w:themeColor="text1"/>
                      <w14:textFill>
                        <w14:solidFill>
                          <w14:schemeClr w14:val="tx1"/>
                        </w14:solidFill>
                      </w14:textFill>
                    </w:rPr>
                  </w:pPr>
                  <w:r>
                    <w:rPr>
                      <w:color w:val="000000" w:themeColor="text1"/>
                      <w14:textFill>
                        <w14:solidFill>
                          <w14:schemeClr w14:val="tx1"/>
                        </w14:solidFill>
                      </w14:textFill>
                    </w:rPr>
                    <w:t>由市政电力系统提供</w:t>
                  </w:r>
                </w:p>
              </w:tc>
              <w:tc>
                <w:tcPr>
                  <w:tcW w:w="2093" w:type="dxa"/>
                  <w:vAlign w:val="center"/>
                </w:tcPr>
                <w:p w14:paraId="0C605E24">
                  <w:pPr>
                    <w:pStyle w:val="221"/>
                    <w:rPr>
                      <w:color w:val="000000" w:themeColor="text1"/>
                      <w14:textFill>
                        <w14:solidFill>
                          <w14:schemeClr w14:val="tx1"/>
                        </w14:solidFill>
                      </w14:textFill>
                    </w:rPr>
                  </w:pPr>
                  <w:r>
                    <w:rPr>
                      <w:color w:val="000000" w:themeColor="text1"/>
                      <w14:textFill>
                        <w14:solidFill>
                          <w14:schemeClr w14:val="tx1"/>
                        </w14:solidFill>
                      </w14:textFill>
                    </w:rPr>
                    <w:t>由市政电力系统提供</w:t>
                  </w:r>
                </w:p>
              </w:tc>
            </w:tr>
            <w:tr w14:paraId="3E791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51C5485D">
                  <w:pPr>
                    <w:pStyle w:val="221"/>
                    <w:rPr>
                      <w:color w:val="000000" w:themeColor="text1"/>
                      <w14:textFill>
                        <w14:solidFill>
                          <w14:schemeClr w14:val="tx1"/>
                        </w14:solidFill>
                      </w14:textFill>
                    </w:rPr>
                  </w:pPr>
                </w:p>
              </w:tc>
              <w:tc>
                <w:tcPr>
                  <w:tcW w:w="668" w:type="dxa"/>
                  <w:vAlign w:val="center"/>
                </w:tcPr>
                <w:p w14:paraId="5F2D86E7">
                  <w:pPr>
                    <w:pStyle w:val="221"/>
                    <w:rPr>
                      <w:color w:val="000000" w:themeColor="text1"/>
                      <w14:textFill>
                        <w14:solidFill>
                          <w14:schemeClr w14:val="tx1"/>
                        </w14:solidFill>
                      </w14:textFill>
                    </w:rPr>
                  </w:pPr>
                  <w:r>
                    <w:rPr>
                      <w:color w:val="000000" w:themeColor="text1"/>
                      <w14:textFill>
                        <w14:solidFill>
                          <w14:schemeClr w14:val="tx1"/>
                        </w14:solidFill>
                      </w14:textFill>
                    </w:rPr>
                    <w:t>给水</w:t>
                  </w:r>
                </w:p>
              </w:tc>
              <w:tc>
                <w:tcPr>
                  <w:tcW w:w="3890" w:type="dxa"/>
                  <w:gridSpan w:val="3"/>
                  <w:vAlign w:val="center"/>
                </w:tcPr>
                <w:p w14:paraId="55A0DB09">
                  <w:pPr>
                    <w:pStyle w:val="221"/>
                    <w:rPr>
                      <w:color w:val="000000" w:themeColor="text1"/>
                      <w14:textFill>
                        <w14:solidFill>
                          <w14:schemeClr w14:val="tx1"/>
                        </w14:solidFill>
                      </w14:textFill>
                    </w:rPr>
                  </w:pPr>
                  <w:r>
                    <w:rPr>
                      <w:color w:val="000000" w:themeColor="text1"/>
                      <w14:textFill>
                        <w14:solidFill>
                          <w14:schemeClr w14:val="tx1"/>
                        </w14:solidFill>
                      </w14:textFill>
                    </w:rPr>
                    <w:t>由市政供水系统提供</w:t>
                  </w:r>
                </w:p>
              </w:tc>
              <w:tc>
                <w:tcPr>
                  <w:tcW w:w="1540" w:type="dxa"/>
                  <w:vAlign w:val="center"/>
                </w:tcPr>
                <w:p w14:paraId="47161C11">
                  <w:pPr>
                    <w:pStyle w:val="221"/>
                    <w:rPr>
                      <w:color w:val="000000" w:themeColor="text1"/>
                      <w14:textFill>
                        <w14:solidFill>
                          <w14:schemeClr w14:val="tx1"/>
                        </w14:solidFill>
                      </w14:textFill>
                    </w:rPr>
                  </w:pPr>
                  <w:r>
                    <w:rPr>
                      <w:color w:val="000000" w:themeColor="text1"/>
                      <w14:textFill>
                        <w14:solidFill>
                          <w14:schemeClr w14:val="tx1"/>
                        </w14:solidFill>
                      </w14:textFill>
                    </w:rPr>
                    <w:t>由市政供水系统提供</w:t>
                  </w:r>
                </w:p>
              </w:tc>
              <w:tc>
                <w:tcPr>
                  <w:tcW w:w="2093" w:type="dxa"/>
                  <w:vAlign w:val="center"/>
                </w:tcPr>
                <w:p w14:paraId="1CFE3ED9">
                  <w:pPr>
                    <w:pStyle w:val="221"/>
                    <w:rPr>
                      <w:color w:val="000000" w:themeColor="text1"/>
                      <w14:textFill>
                        <w14:solidFill>
                          <w14:schemeClr w14:val="tx1"/>
                        </w14:solidFill>
                      </w14:textFill>
                    </w:rPr>
                  </w:pPr>
                  <w:r>
                    <w:rPr>
                      <w:color w:val="000000" w:themeColor="text1"/>
                      <w14:textFill>
                        <w14:solidFill>
                          <w14:schemeClr w14:val="tx1"/>
                        </w14:solidFill>
                      </w14:textFill>
                    </w:rPr>
                    <w:t>由市政供水系统提供</w:t>
                  </w:r>
                </w:p>
              </w:tc>
            </w:tr>
            <w:tr w14:paraId="661AD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35558C65">
                  <w:pPr>
                    <w:pStyle w:val="221"/>
                    <w:rPr>
                      <w:color w:val="000000" w:themeColor="text1"/>
                      <w14:textFill>
                        <w14:solidFill>
                          <w14:schemeClr w14:val="tx1"/>
                        </w14:solidFill>
                      </w14:textFill>
                    </w:rPr>
                  </w:pPr>
                </w:p>
              </w:tc>
              <w:tc>
                <w:tcPr>
                  <w:tcW w:w="668" w:type="dxa"/>
                  <w:vAlign w:val="center"/>
                </w:tcPr>
                <w:p w14:paraId="45B9C8D4">
                  <w:pPr>
                    <w:pStyle w:val="221"/>
                    <w:rPr>
                      <w:color w:val="000000" w:themeColor="text1"/>
                      <w14:textFill>
                        <w14:solidFill>
                          <w14:schemeClr w14:val="tx1"/>
                        </w14:solidFill>
                      </w14:textFill>
                    </w:rPr>
                  </w:pPr>
                  <w:r>
                    <w:rPr>
                      <w:color w:val="000000" w:themeColor="text1"/>
                      <w14:textFill>
                        <w14:solidFill>
                          <w14:schemeClr w14:val="tx1"/>
                        </w14:solidFill>
                      </w14:textFill>
                    </w:rPr>
                    <w:t>排水</w:t>
                  </w:r>
                </w:p>
              </w:tc>
              <w:tc>
                <w:tcPr>
                  <w:tcW w:w="2477" w:type="dxa"/>
                  <w:gridSpan w:val="2"/>
                  <w:vAlign w:val="center"/>
                </w:tcPr>
                <w:p w14:paraId="69BCBAFA">
                  <w:pPr>
                    <w:pStyle w:val="221"/>
                    <w:rPr>
                      <w:color w:val="000000" w:themeColor="text1"/>
                      <w14:textFill>
                        <w14:solidFill>
                          <w14:schemeClr w14:val="tx1"/>
                        </w14:solidFill>
                      </w14:textFill>
                    </w:rPr>
                  </w:pPr>
                  <w:r>
                    <w:rPr>
                      <w:color w:val="000000" w:themeColor="text1"/>
                      <w:spacing w:val="7"/>
                      <w:szCs w:val="21"/>
                      <w14:textFill>
                        <w14:solidFill>
                          <w14:schemeClr w14:val="tx1"/>
                        </w14:solidFill>
                      </w14:textFill>
                    </w:rPr>
                    <w:t>雨污分</w:t>
                  </w:r>
                  <w:r>
                    <w:rPr>
                      <w:color w:val="000000" w:themeColor="text1"/>
                      <w:spacing w:val="8"/>
                      <w:szCs w:val="21"/>
                      <w14:textFill>
                        <w14:solidFill>
                          <w14:schemeClr w14:val="tx1"/>
                        </w14:solidFill>
                      </w14:textFill>
                    </w:rPr>
                    <w:t>流，生活污水经化粪池处理设施处理后进入</w:t>
                  </w:r>
                  <w:r>
                    <w:rPr>
                      <w:color w:val="000000" w:themeColor="text1"/>
                      <w:spacing w:val="7"/>
                      <w:szCs w:val="21"/>
                      <w14:textFill>
                        <w14:solidFill>
                          <w14:schemeClr w14:val="tx1"/>
                        </w14:solidFill>
                      </w14:textFill>
                    </w:rPr>
                    <w:t>福清市融元污水处</w:t>
                  </w:r>
                  <w:r>
                    <w:rPr>
                      <w:color w:val="000000" w:themeColor="text1"/>
                      <w:spacing w:val="4"/>
                      <w:szCs w:val="21"/>
                      <w14:textFill>
                        <w14:solidFill>
                          <w14:schemeClr w14:val="tx1"/>
                        </w14:solidFill>
                      </w14:textFill>
                    </w:rPr>
                    <w:t>理厂</w:t>
                  </w:r>
                  <w:r>
                    <w:rPr>
                      <w:rFonts w:hint="eastAsia"/>
                      <w:color w:val="000000" w:themeColor="text1"/>
                      <w:spacing w:val="4"/>
                      <w:szCs w:val="21"/>
                      <w14:textFill>
                        <w14:solidFill>
                          <w14:schemeClr w14:val="tx1"/>
                        </w14:solidFill>
                      </w14:textFill>
                    </w:rPr>
                    <w:t>；全厂无生产废水外排</w:t>
                  </w:r>
                </w:p>
              </w:tc>
              <w:tc>
                <w:tcPr>
                  <w:tcW w:w="1413" w:type="dxa"/>
                  <w:vAlign w:val="center"/>
                </w:tcPr>
                <w:p w14:paraId="3396EBA9">
                  <w:pPr>
                    <w:pStyle w:val="221"/>
                    <w:rPr>
                      <w:color w:val="000000" w:themeColor="text1"/>
                      <w:spacing w:val="7"/>
                      <w:szCs w:val="21"/>
                      <w14:textFill>
                        <w14:solidFill>
                          <w14:schemeClr w14:val="tx1"/>
                        </w14:solidFill>
                      </w14:textFill>
                    </w:rPr>
                  </w:pPr>
                  <w:r>
                    <w:rPr>
                      <w:rFonts w:hint="eastAsia"/>
                      <w:color w:val="000000" w:themeColor="text1"/>
                      <w:spacing w:val="7"/>
                      <w:szCs w:val="21"/>
                      <w14:textFill>
                        <w14:solidFill>
                          <w14:schemeClr w14:val="tx1"/>
                        </w14:solidFill>
                      </w14:textFill>
                    </w:rPr>
                    <w:t>依托现有，无生产废水外排</w:t>
                  </w:r>
                </w:p>
              </w:tc>
              <w:tc>
                <w:tcPr>
                  <w:tcW w:w="1540" w:type="dxa"/>
                  <w:vAlign w:val="center"/>
                </w:tcPr>
                <w:p w14:paraId="6A15E47C">
                  <w:pPr>
                    <w:pStyle w:val="221"/>
                    <w:rPr>
                      <w:color w:val="000000" w:themeColor="text1"/>
                      <w14:textFill>
                        <w14:solidFill>
                          <w14:schemeClr w14:val="tx1"/>
                        </w14:solidFill>
                      </w14:textFill>
                    </w:rPr>
                  </w:pPr>
                  <w:r>
                    <w:rPr>
                      <w:rFonts w:hint="eastAsia"/>
                      <w:color w:val="000000" w:themeColor="text1"/>
                      <w:spacing w:val="7"/>
                      <w:szCs w:val="21"/>
                      <w14:textFill>
                        <w14:solidFill>
                          <w14:schemeClr w14:val="tx1"/>
                        </w14:solidFill>
                      </w14:textFill>
                    </w:rPr>
                    <w:t>项目无新增生产废水和生活污水</w:t>
                  </w:r>
                </w:p>
              </w:tc>
              <w:tc>
                <w:tcPr>
                  <w:tcW w:w="2093" w:type="dxa"/>
                  <w:vAlign w:val="center"/>
                </w:tcPr>
                <w:p w14:paraId="094CC89C">
                  <w:pPr>
                    <w:pStyle w:val="221"/>
                    <w:rPr>
                      <w:color w:val="000000" w:themeColor="text1"/>
                      <w14:textFill>
                        <w14:solidFill>
                          <w14:schemeClr w14:val="tx1"/>
                        </w14:solidFill>
                      </w14:textFill>
                    </w:rPr>
                  </w:pPr>
                  <w:r>
                    <w:rPr>
                      <w:color w:val="000000" w:themeColor="text1"/>
                      <w:spacing w:val="7"/>
                      <w:szCs w:val="21"/>
                      <w14:textFill>
                        <w14:solidFill>
                          <w14:schemeClr w14:val="tx1"/>
                        </w14:solidFill>
                      </w14:textFill>
                    </w:rPr>
                    <w:t>雨污分流，生活污水经化粪池处理设施处理后进入福清市融元污水处理厂</w:t>
                  </w:r>
                  <w:r>
                    <w:rPr>
                      <w:rFonts w:hint="eastAsia"/>
                      <w:color w:val="000000" w:themeColor="text1"/>
                      <w:spacing w:val="7"/>
                      <w:szCs w:val="21"/>
                      <w14:textFill>
                        <w14:solidFill>
                          <w14:schemeClr w14:val="tx1"/>
                        </w14:solidFill>
                      </w14:textFill>
                    </w:rPr>
                    <w:t>；</w:t>
                  </w:r>
                  <w:r>
                    <w:rPr>
                      <w:color w:val="000000" w:themeColor="text1"/>
                      <w:spacing w:val="7"/>
                      <w:szCs w:val="21"/>
                      <w14:textFill>
                        <w14:solidFill>
                          <w14:schemeClr w14:val="tx1"/>
                        </w14:solidFill>
                      </w14:textFill>
                    </w:rPr>
                    <w:t>全厂无生产废水</w:t>
                  </w:r>
                  <w:r>
                    <w:rPr>
                      <w:rFonts w:hint="eastAsia"/>
                      <w:color w:val="000000" w:themeColor="text1"/>
                      <w:spacing w:val="7"/>
                      <w:szCs w:val="21"/>
                      <w14:textFill>
                        <w14:solidFill>
                          <w14:schemeClr w14:val="tx1"/>
                        </w14:solidFill>
                      </w14:textFill>
                    </w:rPr>
                    <w:t>外排</w:t>
                  </w:r>
                </w:p>
              </w:tc>
            </w:tr>
            <w:tr w14:paraId="44686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Align w:val="center"/>
                </w:tcPr>
                <w:p w14:paraId="56D944BC">
                  <w:pPr>
                    <w:pStyle w:val="221"/>
                    <w:rPr>
                      <w:color w:val="000000" w:themeColor="text1"/>
                      <w14:textFill>
                        <w14:solidFill>
                          <w14:schemeClr w14:val="tx1"/>
                        </w14:solidFill>
                      </w14:textFill>
                    </w:rPr>
                  </w:pPr>
                  <w:r>
                    <w:rPr>
                      <w:color w:val="000000" w:themeColor="text1"/>
                      <w14:textFill>
                        <w14:solidFill>
                          <w14:schemeClr w14:val="tx1"/>
                        </w14:solidFill>
                      </w14:textFill>
                    </w:rPr>
                    <w:t>辅助工程</w:t>
                  </w:r>
                </w:p>
              </w:tc>
              <w:tc>
                <w:tcPr>
                  <w:tcW w:w="668" w:type="dxa"/>
                  <w:vAlign w:val="center"/>
                </w:tcPr>
                <w:p w14:paraId="180D3431">
                  <w:pPr>
                    <w:pStyle w:val="221"/>
                    <w:rPr>
                      <w:color w:val="000000" w:themeColor="text1"/>
                      <w14:textFill>
                        <w14:solidFill>
                          <w14:schemeClr w14:val="tx1"/>
                        </w14:solidFill>
                      </w14:textFill>
                    </w:rPr>
                  </w:pPr>
                  <w:r>
                    <w:rPr>
                      <w:rFonts w:hint="eastAsia"/>
                      <w:color w:val="000000" w:themeColor="text1"/>
                      <w:spacing w:val="5"/>
                      <w14:textFill>
                        <w14:solidFill>
                          <w14:schemeClr w14:val="tx1"/>
                        </w14:solidFill>
                      </w14:textFill>
                    </w:rPr>
                    <w:t>行政楼</w:t>
                  </w:r>
                </w:p>
              </w:tc>
              <w:tc>
                <w:tcPr>
                  <w:tcW w:w="2477" w:type="dxa"/>
                  <w:gridSpan w:val="2"/>
                  <w:vAlign w:val="center"/>
                </w:tcPr>
                <w:p w14:paraId="7C0647F7">
                  <w:pPr>
                    <w:pStyle w:val="221"/>
                    <w:rPr>
                      <w:color w:val="000000" w:themeColor="text1"/>
                      <w:spacing w:val="7"/>
                      <w14:textFill>
                        <w14:solidFill>
                          <w14:schemeClr w14:val="tx1"/>
                        </w14:solidFill>
                      </w14:textFill>
                    </w:rPr>
                  </w:pPr>
                  <w:r>
                    <w:rPr>
                      <w:rFonts w:hint="eastAsia"/>
                      <w:color w:val="000000" w:themeColor="text1"/>
                      <w:spacing w:val="7"/>
                      <w14:textFill>
                        <w14:solidFill>
                          <w14:schemeClr w14:val="tx1"/>
                        </w14:solidFill>
                      </w14:textFill>
                    </w:rPr>
                    <w:t>1座，位于厂区西北侧，建筑面积11878m</w:t>
                  </w:r>
                  <w:r>
                    <w:rPr>
                      <w:rFonts w:hint="eastAsia"/>
                      <w:color w:val="000000" w:themeColor="text1"/>
                      <w:spacing w:val="7"/>
                      <w:vertAlign w:val="superscript"/>
                      <w14:textFill>
                        <w14:solidFill>
                          <w14:schemeClr w14:val="tx1"/>
                        </w14:solidFill>
                      </w14:textFill>
                    </w:rPr>
                    <w:t>2</w:t>
                  </w:r>
                  <w:r>
                    <w:rPr>
                      <w:color w:val="000000" w:themeColor="text1"/>
                      <w:spacing w:val="7"/>
                      <w14:textFill>
                        <w14:solidFill>
                          <w14:schemeClr w14:val="tx1"/>
                        </w14:solidFill>
                      </w14:textFill>
                    </w:rPr>
                    <w:t xml:space="preserve"> </w:t>
                  </w:r>
                </w:p>
              </w:tc>
              <w:tc>
                <w:tcPr>
                  <w:tcW w:w="1413" w:type="dxa"/>
                  <w:vAlign w:val="center"/>
                </w:tcPr>
                <w:p w14:paraId="641F8D2B">
                  <w:pPr>
                    <w:pStyle w:val="221"/>
                    <w:rPr>
                      <w:color w:val="000000" w:themeColor="text1"/>
                      <w:spacing w:val="7"/>
                      <w14:textFill>
                        <w14:solidFill>
                          <w14:schemeClr w14:val="tx1"/>
                        </w14:solidFill>
                      </w14:textFill>
                    </w:rPr>
                  </w:pPr>
                  <w:r>
                    <w:rPr>
                      <w:rFonts w:hint="eastAsia"/>
                      <w:color w:val="000000" w:themeColor="text1"/>
                      <w:spacing w:val="7"/>
                      <w14:textFill>
                        <w14:solidFill>
                          <w14:schemeClr w14:val="tx1"/>
                        </w14:solidFill>
                      </w14:textFill>
                    </w:rPr>
                    <w:t>依托现有</w:t>
                  </w:r>
                </w:p>
              </w:tc>
              <w:tc>
                <w:tcPr>
                  <w:tcW w:w="1540" w:type="dxa"/>
                  <w:vAlign w:val="center"/>
                </w:tcPr>
                <w:p w14:paraId="39EE3AB9">
                  <w:pPr>
                    <w:pStyle w:val="221"/>
                    <w:rPr>
                      <w:color w:val="000000" w:themeColor="text1"/>
                      <w14:textFill>
                        <w14:solidFill>
                          <w14:schemeClr w14:val="tx1"/>
                        </w14:solidFill>
                      </w14:textFill>
                    </w:rPr>
                  </w:pPr>
                  <w:r>
                    <w:rPr>
                      <w:rFonts w:hint="eastAsia"/>
                      <w:color w:val="000000" w:themeColor="text1"/>
                      <w:spacing w:val="7"/>
                      <w14:textFill>
                        <w14:solidFill>
                          <w14:schemeClr w14:val="tx1"/>
                        </w14:solidFill>
                      </w14:textFill>
                    </w:rPr>
                    <w:t>依托现有</w:t>
                  </w:r>
                </w:p>
              </w:tc>
              <w:tc>
                <w:tcPr>
                  <w:tcW w:w="2093" w:type="dxa"/>
                  <w:vAlign w:val="center"/>
                </w:tcPr>
                <w:p w14:paraId="2EFA3432">
                  <w:pPr>
                    <w:pStyle w:val="221"/>
                    <w:rPr>
                      <w:color w:val="000000" w:themeColor="text1"/>
                      <w:spacing w:val="7"/>
                      <w14:textFill>
                        <w14:solidFill>
                          <w14:schemeClr w14:val="tx1"/>
                        </w14:solidFill>
                      </w14:textFill>
                    </w:rPr>
                  </w:pPr>
                  <w:r>
                    <w:rPr>
                      <w:rFonts w:hint="eastAsia"/>
                      <w:color w:val="000000" w:themeColor="text1"/>
                      <w:spacing w:val="7"/>
                      <w14:textFill>
                        <w14:solidFill>
                          <w14:schemeClr w14:val="tx1"/>
                        </w14:solidFill>
                      </w14:textFill>
                    </w:rPr>
                    <w:t>1</w:t>
                  </w:r>
                  <w:r>
                    <w:rPr>
                      <w:color w:val="000000" w:themeColor="text1"/>
                      <w:spacing w:val="7"/>
                      <w14:textFill>
                        <w14:solidFill>
                          <w14:schemeClr w14:val="tx1"/>
                        </w14:solidFill>
                      </w14:textFill>
                    </w:rPr>
                    <w:t>座，</w:t>
                  </w:r>
                  <w:r>
                    <w:rPr>
                      <w:rFonts w:hint="eastAsia"/>
                      <w:color w:val="000000" w:themeColor="text1"/>
                      <w:spacing w:val="7"/>
                      <w14:textFill>
                        <w14:solidFill>
                          <w14:schemeClr w14:val="tx1"/>
                        </w14:solidFill>
                      </w14:textFill>
                    </w:rPr>
                    <w:t>位于厂区西北侧，建筑面积11878</w:t>
                  </w:r>
                  <w:r>
                    <w:rPr>
                      <w:color w:val="000000" w:themeColor="text1"/>
                      <w:spacing w:val="7"/>
                      <w14:textFill>
                        <w14:solidFill>
                          <w14:schemeClr w14:val="tx1"/>
                        </w14:solidFill>
                      </w14:textFill>
                    </w:rPr>
                    <w:t>m</w:t>
                  </w:r>
                  <w:r>
                    <w:rPr>
                      <w:rFonts w:hint="eastAsia"/>
                      <w:color w:val="000000" w:themeColor="text1"/>
                      <w:spacing w:val="7"/>
                      <w:vertAlign w:val="superscript"/>
                      <w14:textFill>
                        <w14:solidFill>
                          <w14:schemeClr w14:val="tx1"/>
                        </w14:solidFill>
                      </w14:textFill>
                    </w:rPr>
                    <w:t>2</w:t>
                  </w:r>
                </w:p>
              </w:tc>
            </w:tr>
            <w:tr w14:paraId="31039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14:paraId="460FE950">
                  <w:pPr>
                    <w:pStyle w:val="221"/>
                    <w:rPr>
                      <w:color w:val="000000" w:themeColor="text1"/>
                      <w14:textFill>
                        <w14:solidFill>
                          <w14:schemeClr w14:val="tx1"/>
                        </w14:solidFill>
                      </w14:textFill>
                    </w:rPr>
                  </w:pPr>
                  <w:r>
                    <w:rPr>
                      <w:color w:val="000000" w:themeColor="text1"/>
                      <w14:textFill>
                        <w14:solidFill>
                          <w14:schemeClr w14:val="tx1"/>
                        </w14:solidFill>
                      </w14:textFill>
                    </w:rPr>
                    <w:t>环保工程</w:t>
                  </w:r>
                </w:p>
              </w:tc>
              <w:tc>
                <w:tcPr>
                  <w:tcW w:w="668" w:type="dxa"/>
                  <w:vAlign w:val="center"/>
                </w:tcPr>
                <w:p w14:paraId="5E4651BE">
                  <w:pPr>
                    <w:pStyle w:val="221"/>
                    <w:rPr>
                      <w:color w:val="000000" w:themeColor="text1"/>
                      <w14:textFill>
                        <w14:solidFill>
                          <w14:schemeClr w14:val="tx1"/>
                        </w14:solidFill>
                      </w14:textFill>
                    </w:rPr>
                  </w:pPr>
                  <w:r>
                    <w:rPr>
                      <w:color w:val="000000" w:themeColor="text1"/>
                      <w14:textFill>
                        <w14:solidFill>
                          <w14:schemeClr w14:val="tx1"/>
                        </w14:solidFill>
                      </w14:textFill>
                    </w:rPr>
                    <w:t>废水工程</w:t>
                  </w:r>
                </w:p>
              </w:tc>
              <w:tc>
                <w:tcPr>
                  <w:tcW w:w="2477" w:type="dxa"/>
                  <w:gridSpan w:val="2"/>
                  <w:vAlign w:val="center"/>
                </w:tcPr>
                <w:p w14:paraId="69C10229">
                  <w:pPr>
                    <w:pStyle w:val="221"/>
                    <w:rPr>
                      <w:color w:val="000000" w:themeColor="text1"/>
                      <w14:textFill>
                        <w14:solidFill>
                          <w14:schemeClr w14:val="tx1"/>
                        </w14:solidFill>
                      </w14:textFill>
                    </w:rPr>
                  </w:pPr>
                  <w:r>
                    <w:rPr>
                      <w:color w:val="000000" w:themeColor="text1"/>
                      <w14:textFill>
                        <w14:solidFill>
                          <w14:schemeClr w14:val="tx1"/>
                        </w14:solidFill>
                      </w14:textFill>
                    </w:rPr>
                    <w:t>生活污水经化粪池处理设施处理后进入福清市融元污水处理厂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全厂无生产废水</w:t>
                  </w:r>
                  <w:r>
                    <w:rPr>
                      <w:rFonts w:hint="eastAsia"/>
                      <w:color w:val="000000" w:themeColor="text1"/>
                      <w14:textFill>
                        <w14:solidFill>
                          <w14:schemeClr w14:val="tx1"/>
                        </w14:solidFill>
                      </w14:textFill>
                    </w:rPr>
                    <w:t>外排</w:t>
                  </w:r>
                </w:p>
              </w:tc>
              <w:tc>
                <w:tcPr>
                  <w:tcW w:w="1413" w:type="dxa"/>
                  <w:vAlign w:val="center"/>
                </w:tcPr>
                <w:p w14:paraId="19070BEF">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喷漆项目生产废水经拟建的1套“pH 调节+混凝絮凝沉淀处理”后回用于生产，定期补充新鲜水，不外排（定期更换的高浓度废液属于危险废物，委托有资质的单位定期处置）</w:t>
                  </w:r>
                </w:p>
              </w:tc>
              <w:tc>
                <w:tcPr>
                  <w:tcW w:w="1540" w:type="dxa"/>
                  <w:vAlign w:val="center"/>
                </w:tcPr>
                <w:p w14:paraId="1A30999E">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项目无新增生产废水和生活污水</w:t>
                  </w:r>
                </w:p>
              </w:tc>
              <w:tc>
                <w:tcPr>
                  <w:tcW w:w="2093" w:type="dxa"/>
                  <w:vAlign w:val="center"/>
                </w:tcPr>
                <w:p w14:paraId="643B1ACD">
                  <w:pPr>
                    <w:pStyle w:val="221"/>
                    <w:rPr>
                      <w:color w:val="000000" w:themeColor="text1"/>
                      <w14:textFill>
                        <w14:solidFill>
                          <w14:schemeClr w14:val="tx1"/>
                        </w14:solidFill>
                      </w14:textFill>
                    </w:rPr>
                  </w:pPr>
                  <w:r>
                    <w:rPr>
                      <w:color w:val="000000" w:themeColor="text1"/>
                      <w14:textFill>
                        <w14:solidFill>
                          <w14:schemeClr w14:val="tx1"/>
                        </w14:solidFill>
                      </w14:textFill>
                    </w:rPr>
                    <w:t>生活污水经化粪池处理设施处理后进入福清市融元污水处理厂</w:t>
                  </w:r>
                  <w:r>
                    <w:rPr>
                      <w:rFonts w:hint="eastAsia"/>
                      <w:color w:val="000000" w:themeColor="text1"/>
                      <w14:textFill>
                        <w14:solidFill>
                          <w14:schemeClr w14:val="tx1"/>
                        </w14:solidFill>
                      </w14:textFill>
                    </w:rPr>
                    <w:t>；电缆附件生产线</w:t>
                  </w:r>
                  <w:r>
                    <w:rPr>
                      <w:color w:val="000000" w:themeColor="text1"/>
                      <w14:textFill>
                        <w14:solidFill>
                          <w14:schemeClr w14:val="tx1"/>
                        </w14:solidFill>
                      </w14:textFill>
                    </w:rPr>
                    <w:t>清洗废水经自建污水处理站处理后回用于清洗工序和冷却塔冷却用水，不外排</w:t>
                  </w:r>
                  <w:r>
                    <w:rPr>
                      <w:rFonts w:hint="eastAsia"/>
                      <w:color w:val="000000" w:themeColor="text1"/>
                      <w14:textFill>
                        <w14:solidFill>
                          <w14:schemeClr w14:val="tx1"/>
                        </w14:solidFill>
                      </w14:textFill>
                    </w:rPr>
                    <w:t>；喷漆项目生产废水经拟建的1套“pH 调节+混凝絮凝沉淀处理”后回用于生产，定期补充新鲜水，不外排</w:t>
                  </w:r>
                </w:p>
              </w:tc>
            </w:tr>
            <w:tr w14:paraId="7E3D6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2DCDAAC1">
                  <w:pPr>
                    <w:pStyle w:val="221"/>
                    <w:rPr>
                      <w:color w:val="000000" w:themeColor="text1"/>
                      <w14:textFill>
                        <w14:solidFill>
                          <w14:schemeClr w14:val="tx1"/>
                        </w14:solidFill>
                      </w14:textFill>
                    </w:rPr>
                  </w:pPr>
                </w:p>
              </w:tc>
              <w:tc>
                <w:tcPr>
                  <w:tcW w:w="668" w:type="dxa"/>
                  <w:vMerge w:val="restart"/>
                  <w:vAlign w:val="center"/>
                </w:tcPr>
                <w:p w14:paraId="061DABDD">
                  <w:pPr>
                    <w:pStyle w:val="221"/>
                    <w:rPr>
                      <w:color w:val="000000" w:themeColor="text1"/>
                      <w14:textFill>
                        <w14:solidFill>
                          <w14:schemeClr w14:val="tx1"/>
                        </w14:solidFill>
                      </w14:textFill>
                    </w:rPr>
                  </w:pPr>
                  <w:r>
                    <w:rPr>
                      <w:color w:val="000000" w:themeColor="text1"/>
                      <w14:textFill>
                        <w14:solidFill>
                          <w14:schemeClr w14:val="tx1"/>
                        </w14:solidFill>
                      </w14:textFill>
                    </w:rPr>
                    <w:t>废气工程</w:t>
                  </w:r>
                </w:p>
              </w:tc>
              <w:tc>
                <w:tcPr>
                  <w:tcW w:w="636" w:type="dxa"/>
                  <w:vAlign w:val="center"/>
                </w:tcPr>
                <w:p w14:paraId="766A3B59">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8号楼（1#车间）</w:t>
                  </w:r>
                </w:p>
              </w:tc>
              <w:tc>
                <w:tcPr>
                  <w:tcW w:w="1841" w:type="dxa"/>
                  <w:vAlign w:val="center"/>
                </w:tcPr>
                <w:p w14:paraId="66117AF8">
                  <w:pPr>
                    <w:pStyle w:val="221"/>
                    <w:rPr>
                      <w:color w:val="000000" w:themeColor="text1"/>
                      <w14:textFill>
                        <w14:solidFill>
                          <w14:schemeClr w14:val="tx1"/>
                        </w14:solidFill>
                      </w14:textFill>
                    </w:rPr>
                  </w:pPr>
                  <w:r>
                    <w:rPr>
                      <w:color w:val="000000" w:themeColor="text1"/>
                      <w14:textFill>
                        <w14:solidFill>
                          <w14:schemeClr w14:val="tx1"/>
                        </w14:solidFill>
                      </w14:textFill>
                    </w:rPr>
                    <w:t>修边打磨废气收集</w:t>
                  </w:r>
                  <w:r>
                    <w:rPr>
                      <w:rFonts w:hint="eastAsia"/>
                      <w:color w:val="000000" w:themeColor="text1"/>
                      <w14:textFill>
                        <w14:solidFill>
                          <w14:schemeClr w14:val="tx1"/>
                        </w14:solidFill>
                      </w14:textFill>
                    </w:rPr>
                    <w:t>后</w:t>
                  </w:r>
                  <w:r>
                    <w:rPr>
                      <w:color w:val="000000" w:themeColor="text1"/>
                      <w14:textFill>
                        <w14:solidFill>
                          <w14:schemeClr w14:val="tx1"/>
                        </w14:solidFill>
                      </w14:textFill>
                    </w:rPr>
                    <w:t>经自带单机布袋收尘处理后车间内无组织排放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成型</w:t>
                  </w:r>
                  <w:r>
                    <w:rPr>
                      <w:rFonts w:hint="eastAsia"/>
                      <w:color w:val="000000" w:themeColor="text1"/>
                      <w14:textFill>
                        <w14:solidFill>
                          <w14:schemeClr w14:val="tx1"/>
                        </w14:solidFill>
                      </w14:textFill>
                    </w:rPr>
                    <w:t>废气经</w:t>
                  </w:r>
                  <w:r>
                    <w:rPr>
                      <w:color w:val="000000" w:themeColor="text1"/>
                      <w14:textFill>
                        <w14:solidFill>
                          <w14:schemeClr w14:val="tx1"/>
                        </w14:solidFill>
                      </w14:textFill>
                    </w:rPr>
                    <w:t>车间负压收集+二级活性炭吸附后通过1根15m高排气筒（DA00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涂刷、固化、脱模剂等有机废气</w:t>
                  </w:r>
                  <w:r>
                    <w:rPr>
                      <w:rFonts w:hint="eastAsia"/>
                      <w:color w:val="000000" w:themeColor="text1"/>
                      <w14:textFill>
                        <w14:solidFill>
                          <w14:schemeClr w14:val="tx1"/>
                        </w14:solidFill>
                      </w14:textFill>
                    </w:rPr>
                    <w:t>经</w:t>
                  </w:r>
                  <w:r>
                    <w:rPr>
                      <w:color w:val="000000" w:themeColor="text1"/>
                      <w14:textFill>
                        <w14:solidFill>
                          <w14:schemeClr w14:val="tx1"/>
                        </w14:solidFill>
                      </w14:textFill>
                    </w:rPr>
                    <w:t>车间负压收集+二级活性炭吸附后通过1根15m高排气筒（DA00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）排放</w:t>
                  </w:r>
                </w:p>
              </w:tc>
              <w:tc>
                <w:tcPr>
                  <w:tcW w:w="1413" w:type="dxa"/>
                  <w:vAlign w:val="center"/>
                </w:tcPr>
                <w:p w14:paraId="56603C00">
                  <w:pPr>
                    <w:pStyle w:val="221"/>
                    <w:rPr>
                      <w:color w:val="000000" w:themeColor="text1"/>
                      <w:szCs w:val="21"/>
                      <w14:textFill>
                        <w14:solidFill>
                          <w14:schemeClr w14:val="tx1"/>
                        </w14:solidFill>
                      </w14:textFill>
                      <w14:ligatures w14:val="none"/>
                    </w:rPr>
                  </w:pPr>
                  <w:r>
                    <w:rPr>
                      <w:rFonts w:hint="eastAsia"/>
                      <w:color w:val="000000" w:themeColor="text1"/>
                      <w:szCs w:val="21"/>
                      <w14:textFill>
                        <w14:solidFill>
                          <w14:schemeClr w14:val="tx1"/>
                        </w14:solidFill>
                      </w14:textFill>
                      <w14:ligatures w14:val="none"/>
                    </w:rPr>
                    <w:t>/</w:t>
                  </w:r>
                </w:p>
              </w:tc>
              <w:tc>
                <w:tcPr>
                  <w:tcW w:w="1540" w:type="dxa"/>
                  <w:vAlign w:val="center"/>
                </w:tcPr>
                <w:p w14:paraId="449CBEA6">
                  <w:pPr>
                    <w:pStyle w:val="22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无改动内容</w:t>
                  </w:r>
                </w:p>
              </w:tc>
              <w:tc>
                <w:tcPr>
                  <w:tcW w:w="2093" w:type="dxa"/>
                  <w:vAlign w:val="center"/>
                </w:tcPr>
                <w:p w14:paraId="2B980F7C">
                  <w:pPr>
                    <w:pStyle w:val="221"/>
                    <w:rPr>
                      <w:color w:val="000000" w:themeColor="text1"/>
                      <w14:textFill>
                        <w14:solidFill>
                          <w14:schemeClr w14:val="tx1"/>
                        </w14:solidFill>
                      </w14:textFill>
                      <w14:ligatures w14:val="none"/>
                    </w:rPr>
                  </w:pPr>
                  <w:r>
                    <w:rPr>
                      <w:color w:val="000000" w:themeColor="text1"/>
                      <w14:textFill>
                        <w14:solidFill>
                          <w14:schemeClr w14:val="tx1"/>
                        </w14:solidFill>
                      </w14:textFill>
                    </w:rPr>
                    <w:t>修边打磨废气收集</w:t>
                  </w:r>
                  <w:r>
                    <w:rPr>
                      <w:rFonts w:hint="eastAsia"/>
                      <w:color w:val="000000" w:themeColor="text1"/>
                      <w14:textFill>
                        <w14:solidFill>
                          <w14:schemeClr w14:val="tx1"/>
                        </w14:solidFill>
                      </w14:textFill>
                    </w:rPr>
                    <w:t>后</w:t>
                  </w:r>
                  <w:r>
                    <w:rPr>
                      <w:color w:val="000000" w:themeColor="text1"/>
                      <w14:textFill>
                        <w14:solidFill>
                          <w14:schemeClr w14:val="tx1"/>
                        </w14:solidFill>
                      </w14:textFill>
                    </w:rPr>
                    <w:t>经自带单机布袋收尘处理后车间内无组织排放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成型</w:t>
                  </w:r>
                  <w:r>
                    <w:rPr>
                      <w:rFonts w:hint="eastAsia"/>
                      <w:color w:val="000000" w:themeColor="text1"/>
                      <w14:textFill>
                        <w14:solidFill>
                          <w14:schemeClr w14:val="tx1"/>
                        </w14:solidFill>
                      </w14:textFill>
                    </w:rPr>
                    <w:t>废气经</w:t>
                  </w:r>
                  <w:r>
                    <w:rPr>
                      <w:color w:val="000000" w:themeColor="text1"/>
                      <w14:textFill>
                        <w14:solidFill>
                          <w14:schemeClr w14:val="tx1"/>
                        </w14:solidFill>
                      </w14:textFill>
                    </w:rPr>
                    <w:t>车间负压收集+二级活性炭吸附后通过1根15m高排气筒（DA00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涂刷、固化、脱模剂等有机废气</w:t>
                  </w:r>
                  <w:r>
                    <w:rPr>
                      <w:rFonts w:hint="eastAsia"/>
                      <w:color w:val="000000" w:themeColor="text1"/>
                      <w14:textFill>
                        <w14:solidFill>
                          <w14:schemeClr w14:val="tx1"/>
                        </w14:solidFill>
                      </w14:textFill>
                    </w:rPr>
                    <w:t>经</w:t>
                  </w:r>
                  <w:r>
                    <w:rPr>
                      <w:color w:val="000000" w:themeColor="text1"/>
                      <w14:textFill>
                        <w14:solidFill>
                          <w14:schemeClr w14:val="tx1"/>
                        </w14:solidFill>
                      </w14:textFill>
                    </w:rPr>
                    <w:t>车间负压收集+二级活性炭吸附后通过1根15m高排气筒（DA00</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）排放</w:t>
                  </w:r>
                </w:p>
              </w:tc>
            </w:tr>
            <w:tr w14:paraId="65958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6E71F0A9">
                  <w:pPr>
                    <w:pStyle w:val="221"/>
                    <w:rPr>
                      <w:color w:val="000000" w:themeColor="text1"/>
                      <w14:textFill>
                        <w14:solidFill>
                          <w14:schemeClr w14:val="tx1"/>
                        </w14:solidFill>
                      </w14:textFill>
                    </w:rPr>
                  </w:pPr>
                </w:p>
              </w:tc>
              <w:tc>
                <w:tcPr>
                  <w:tcW w:w="668" w:type="dxa"/>
                  <w:vMerge w:val="continue"/>
                  <w:vAlign w:val="center"/>
                </w:tcPr>
                <w:p w14:paraId="5EEC44E1">
                  <w:pPr>
                    <w:pStyle w:val="221"/>
                    <w:rPr>
                      <w:color w:val="000000" w:themeColor="text1"/>
                      <w14:textFill>
                        <w14:solidFill>
                          <w14:schemeClr w14:val="tx1"/>
                        </w14:solidFill>
                      </w14:textFill>
                    </w:rPr>
                  </w:pPr>
                </w:p>
              </w:tc>
              <w:tc>
                <w:tcPr>
                  <w:tcW w:w="636" w:type="dxa"/>
                  <w:vAlign w:val="center"/>
                </w:tcPr>
                <w:p w14:paraId="6D09ACFD">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#车间</w:t>
                  </w:r>
                </w:p>
              </w:tc>
              <w:tc>
                <w:tcPr>
                  <w:tcW w:w="1841" w:type="dxa"/>
                  <w:vAlign w:val="center"/>
                </w:tcPr>
                <w:p w14:paraId="3B330F24">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无废气产生</w:t>
                  </w:r>
                </w:p>
              </w:tc>
              <w:tc>
                <w:tcPr>
                  <w:tcW w:w="1413" w:type="dxa"/>
                  <w:vAlign w:val="center"/>
                </w:tcPr>
                <w:p w14:paraId="55A96482">
                  <w:pPr>
                    <w:pStyle w:val="221"/>
                    <w:rPr>
                      <w:color w:val="000000" w:themeColor="text1"/>
                      <w:szCs w:val="21"/>
                      <w14:textFill>
                        <w14:solidFill>
                          <w14:schemeClr w14:val="tx1"/>
                        </w14:solidFill>
                      </w14:textFill>
                      <w14:ligatures w14:val="none"/>
                    </w:rPr>
                  </w:pPr>
                  <w:r>
                    <w:rPr>
                      <w:rFonts w:hint="eastAsia"/>
                      <w:color w:val="000000" w:themeColor="text1"/>
                      <w:szCs w:val="21"/>
                      <w14:textFill>
                        <w14:solidFill>
                          <w14:schemeClr w14:val="tx1"/>
                        </w14:solidFill>
                      </w14:textFill>
                      <w14:ligatures w14:val="none"/>
                    </w:rPr>
                    <w:t>/</w:t>
                  </w:r>
                </w:p>
              </w:tc>
              <w:tc>
                <w:tcPr>
                  <w:tcW w:w="1540" w:type="dxa"/>
                  <w:vAlign w:val="center"/>
                </w:tcPr>
                <w:p w14:paraId="6E2CFDB7">
                  <w:pPr>
                    <w:pStyle w:val="221"/>
                    <w:rPr>
                      <w:color w:val="000000" w:themeColor="text1"/>
                      <w:szCs w:val="21"/>
                      <w14:textFill>
                        <w14:solidFill>
                          <w14:schemeClr w14:val="tx1"/>
                        </w14:solidFill>
                      </w14:textFill>
                      <w14:ligatures w14:val="none"/>
                    </w:rPr>
                  </w:pPr>
                  <w:r>
                    <w:rPr>
                      <w:rFonts w:hint="eastAsia"/>
                      <w:color w:val="000000" w:themeColor="text1"/>
                      <w:szCs w:val="21"/>
                      <w14:textFill>
                        <w14:solidFill>
                          <w14:schemeClr w14:val="tx1"/>
                        </w14:solidFill>
                      </w14:textFill>
                      <w14:ligatures w14:val="none"/>
                    </w:rPr>
                    <w:t>无改动内容</w:t>
                  </w:r>
                </w:p>
              </w:tc>
              <w:tc>
                <w:tcPr>
                  <w:tcW w:w="2093" w:type="dxa"/>
                  <w:vAlign w:val="center"/>
                </w:tcPr>
                <w:p w14:paraId="1A00EA1F">
                  <w:pPr>
                    <w:pStyle w:val="221"/>
                    <w:rPr>
                      <w:color w:val="000000" w:themeColor="text1"/>
                      <w14:textFill>
                        <w14:solidFill>
                          <w14:schemeClr w14:val="tx1"/>
                        </w14:solidFill>
                      </w14:textFill>
                    </w:rPr>
                  </w:pPr>
                  <w:r>
                    <w:rPr>
                      <w:color w:val="000000" w:themeColor="text1"/>
                      <w14:textFill>
                        <w14:solidFill>
                          <w14:schemeClr w14:val="tx1"/>
                        </w14:solidFill>
                      </w14:textFill>
                    </w:rPr>
                    <w:t>无废气产生</w:t>
                  </w:r>
                </w:p>
              </w:tc>
            </w:tr>
            <w:tr w14:paraId="7235B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1759E1A1">
                  <w:pPr>
                    <w:pStyle w:val="221"/>
                    <w:rPr>
                      <w:color w:val="000000" w:themeColor="text1"/>
                      <w14:textFill>
                        <w14:solidFill>
                          <w14:schemeClr w14:val="tx1"/>
                        </w14:solidFill>
                      </w14:textFill>
                    </w:rPr>
                  </w:pPr>
                </w:p>
              </w:tc>
              <w:tc>
                <w:tcPr>
                  <w:tcW w:w="668" w:type="dxa"/>
                  <w:vMerge w:val="continue"/>
                  <w:vAlign w:val="center"/>
                </w:tcPr>
                <w:p w14:paraId="19A51A81">
                  <w:pPr>
                    <w:pStyle w:val="221"/>
                    <w:rPr>
                      <w:color w:val="000000" w:themeColor="text1"/>
                      <w14:textFill>
                        <w14:solidFill>
                          <w14:schemeClr w14:val="tx1"/>
                        </w14:solidFill>
                      </w14:textFill>
                    </w:rPr>
                  </w:pPr>
                </w:p>
              </w:tc>
              <w:tc>
                <w:tcPr>
                  <w:tcW w:w="636" w:type="dxa"/>
                  <w:vAlign w:val="center"/>
                </w:tcPr>
                <w:p w14:paraId="5BFE4733">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3#车间</w:t>
                  </w:r>
                </w:p>
              </w:tc>
              <w:tc>
                <w:tcPr>
                  <w:tcW w:w="1841" w:type="dxa"/>
                  <w:vAlign w:val="center"/>
                </w:tcPr>
                <w:p w14:paraId="372876CB">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全厂统一</w:t>
                  </w:r>
                  <w:r>
                    <w:rPr>
                      <w:color w:val="000000" w:themeColor="text1"/>
                      <w14:textFill>
                        <w14:solidFill>
                          <w14:schemeClr w14:val="tx1"/>
                        </w14:solidFill>
                      </w14:textFill>
                    </w:rPr>
                    <w:t>焊接</w:t>
                  </w:r>
                  <w:r>
                    <w:rPr>
                      <w:rFonts w:hint="eastAsia"/>
                      <w:color w:val="000000" w:themeColor="text1"/>
                      <w14:textFill>
                        <w14:solidFill>
                          <w14:schemeClr w14:val="tx1"/>
                        </w14:solidFill>
                      </w14:textFill>
                    </w:rPr>
                    <w:t>区</w:t>
                  </w:r>
                  <w:r>
                    <w:rPr>
                      <w:color w:val="000000" w:themeColor="text1"/>
                      <w14:textFill>
                        <w14:solidFill>
                          <w14:schemeClr w14:val="tx1"/>
                        </w14:solidFill>
                      </w14:textFill>
                    </w:rPr>
                    <w:t>产生的焊接烟尘收集后经</w:t>
                  </w:r>
                  <w:r>
                    <w:rPr>
                      <w:rFonts w:hint="eastAsia"/>
                      <w:color w:val="000000" w:themeColor="text1"/>
                      <w14:textFill>
                        <w14:solidFill>
                          <w14:schemeClr w14:val="tx1"/>
                        </w14:solidFill>
                      </w14:textFill>
                    </w:rPr>
                    <w:t>移动式焊烟处理器处理后无组织排放</w:t>
                  </w:r>
                </w:p>
              </w:tc>
              <w:tc>
                <w:tcPr>
                  <w:tcW w:w="1413" w:type="dxa"/>
                  <w:vAlign w:val="center"/>
                </w:tcPr>
                <w:p w14:paraId="10DACAB3">
                  <w:pPr>
                    <w:pStyle w:val="221"/>
                    <w:rPr>
                      <w:color w:val="000000" w:themeColor="text1"/>
                      <w:szCs w:val="21"/>
                      <w14:textFill>
                        <w14:solidFill>
                          <w14:schemeClr w14:val="tx1"/>
                        </w14:solidFill>
                      </w14:textFill>
                      <w14:ligatures w14:val="none"/>
                    </w:rPr>
                  </w:pPr>
                  <w:r>
                    <w:rPr>
                      <w:rFonts w:hint="eastAsia"/>
                      <w:color w:val="000000" w:themeColor="text1"/>
                      <w:szCs w:val="21"/>
                      <w14:textFill>
                        <w14:solidFill>
                          <w14:schemeClr w14:val="tx1"/>
                        </w14:solidFill>
                      </w14:textFill>
                      <w14:ligatures w14:val="none"/>
                    </w:rPr>
                    <w:t>喷漆项目废气：</w:t>
                  </w:r>
                </w:p>
                <w:p w14:paraId="75C5C182">
                  <w:pPr>
                    <w:pStyle w:val="221"/>
                  </w:pPr>
                  <w:r>
                    <w:rPr>
                      <w:rFonts w:hint="eastAsia"/>
                    </w:rPr>
                    <w:t>①项目喷粉、烤粉、喷漆和烤漆流水线1上人工喷粉台喷粉经设备自带的TA007滤芯滤筒回收装置和二级粉尘回收装置处理后由1根15m高的DA003排气筒排放；</w:t>
                  </w:r>
                </w:p>
                <w:p w14:paraId="090118BF">
                  <w:pPr>
                    <w:pStyle w:val="221"/>
                  </w:pPr>
                  <w:r>
                    <w:rPr>
                      <w:rFonts w:hint="eastAsia"/>
                    </w:rPr>
                    <w:t>②喷粉烤粉流水线2上人工喷粉台喷粉经设备自带的TA008滤芯滤筒回收装置和二级粉尘回收装置处理后由1根15m高的DA004排气筒排放；</w:t>
                  </w:r>
                </w:p>
                <w:p w14:paraId="05A1F1CC">
                  <w:pPr>
                    <w:pStyle w:val="221"/>
                  </w:pPr>
                  <w:r>
                    <w:rPr>
                      <w:rFonts w:hint="eastAsia"/>
                    </w:rPr>
                    <w:t>③项目喷粉、烤粉、喷漆和烤漆流水线1上的调漆废气经集气罩收集、喷漆废气经水帘台水幕除漆雾后经集气管道集气收集、烤漆和烤粉废气混合燃液化石油气烟气，各股废气统一通过1套TA009二级活性炭吸附装置处理后由15m高的DA005排气筒统一排放；</w:t>
                  </w:r>
                </w:p>
                <w:p w14:paraId="48BC0523">
                  <w:pPr>
                    <w:pStyle w:val="221"/>
                  </w:pPr>
                  <w:r>
                    <w:rPr>
                      <w:rFonts w:hint="eastAsia"/>
                    </w:rPr>
                    <w:t>④项目喷粉烤粉流水线2上的烤粉废气混合燃液化石油气烟气和喷漆和烤漆流水线3上的调漆废气经集气罩收集、喷漆废气经水帘台水幕除漆雾后经集气管道集气收集、烤漆废气混合燃液化石油气烟气经集气罩收集各股废气统一通过1套TA010二级活性炭吸附装置处理后由15m高的DA006排气筒统一排放</w:t>
                  </w:r>
                </w:p>
              </w:tc>
              <w:tc>
                <w:tcPr>
                  <w:tcW w:w="1540" w:type="dxa"/>
                  <w:vAlign w:val="center"/>
                </w:tcPr>
                <w:p w14:paraId="27F13D39">
                  <w:pPr>
                    <w:pStyle w:val="221"/>
                    <w:rPr>
                      <w:color w:val="000000" w:themeColor="text1"/>
                      <w:szCs w:val="21"/>
                      <w14:textFill>
                        <w14:solidFill>
                          <w14:schemeClr w14:val="tx1"/>
                        </w14:solidFill>
                      </w14:textFill>
                      <w14:ligatures w14:val="none"/>
                    </w:rPr>
                  </w:pPr>
                  <w:r>
                    <w:rPr>
                      <w:rFonts w:hint="eastAsia"/>
                      <w:color w:val="000000" w:themeColor="text1"/>
                      <w:szCs w:val="21"/>
                      <w14:textFill>
                        <w14:solidFill>
                          <w14:schemeClr w14:val="tx1"/>
                        </w14:solidFill>
                      </w14:textFill>
                      <w14:ligatures w14:val="none"/>
                    </w:rPr>
                    <w:t>喷砂工序新增一套滤筒除尘器，喷砂粉尘经处理后通过DA007排气筒排放</w:t>
                  </w:r>
                </w:p>
              </w:tc>
              <w:tc>
                <w:tcPr>
                  <w:tcW w:w="2093" w:type="dxa"/>
                  <w:vAlign w:val="center"/>
                </w:tcPr>
                <w:p w14:paraId="2B90CEF7">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（1）全厂统一</w:t>
                  </w:r>
                  <w:r>
                    <w:rPr>
                      <w:color w:val="000000" w:themeColor="text1"/>
                      <w14:textFill>
                        <w14:solidFill>
                          <w14:schemeClr w14:val="tx1"/>
                        </w14:solidFill>
                      </w14:textFill>
                    </w:rPr>
                    <w:t>焊接</w:t>
                  </w:r>
                  <w:r>
                    <w:rPr>
                      <w:rFonts w:hint="eastAsia"/>
                      <w:color w:val="000000" w:themeColor="text1"/>
                      <w14:textFill>
                        <w14:solidFill>
                          <w14:schemeClr w14:val="tx1"/>
                        </w14:solidFill>
                      </w14:textFill>
                    </w:rPr>
                    <w:t>区</w:t>
                  </w:r>
                  <w:r>
                    <w:rPr>
                      <w:color w:val="000000" w:themeColor="text1"/>
                      <w14:textFill>
                        <w14:solidFill>
                          <w14:schemeClr w14:val="tx1"/>
                        </w14:solidFill>
                      </w14:textFill>
                    </w:rPr>
                    <w:t>产生的焊接烟尘收集后经</w:t>
                  </w:r>
                  <w:r>
                    <w:rPr>
                      <w:rFonts w:hint="eastAsia"/>
                      <w:color w:val="000000" w:themeColor="text1"/>
                      <w14:textFill>
                        <w14:solidFill>
                          <w14:schemeClr w14:val="tx1"/>
                        </w14:solidFill>
                      </w14:textFill>
                    </w:rPr>
                    <w:t>移动式焊烟处理器处理后无组织排放；</w:t>
                  </w:r>
                </w:p>
                <w:p w14:paraId="1F51547F">
                  <w:pPr>
                    <w:pStyle w:val="221"/>
                  </w:pPr>
                  <w:r>
                    <w:rPr>
                      <w:rFonts w:hint="eastAsia"/>
                    </w:rPr>
                    <w:t>（2）喷漆项目产生的废气：</w:t>
                  </w:r>
                </w:p>
                <w:p w14:paraId="5FF37D19">
                  <w:pPr>
                    <w:pStyle w:val="221"/>
                  </w:pPr>
                  <w:r>
                    <w:rPr>
                      <w:rFonts w:hint="eastAsia"/>
                    </w:rPr>
                    <w:t>①项目喷粉、烤粉、喷漆和烤漆流水线1上人工喷粉台喷粉经设备自带的TA007滤芯滤筒回收装置和二级粉尘回收装置处理后由1根15m高的DA003排气筒排放；</w:t>
                  </w:r>
                </w:p>
                <w:p w14:paraId="42CD6590">
                  <w:pPr>
                    <w:pStyle w:val="221"/>
                  </w:pPr>
                  <w:r>
                    <w:rPr>
                      <w:rFonts w:hint="eastAsia"/>
                    </w:rPr>
                    <w:t>②喷粉烤粉流水线2上人工喷粉台喷粉经设备自带的TA008滤芯滤筒回收装置和二级粉尘回收装置处理后由1根15m高的DA004排气筒排放；</w:t>
                  </w:r>
                </w:p>
                <w:p w14:paraId="135AE65F">
                  <w:pPr>
                    <w:pStyle w:val="221"/>
                  </w:pPr>
                  <w:r>
                    <w:rPr>
                      <w:rFonts w:hint="eastAsia" w:ascii="宋体" w:hAnsi="宋体" w:cs="宋体"/>
                    </w:rPr>
                    <w:t>③</w:t>
                  </w:r>
                  <w:r>
                    <w:rPr>
                      <w:rFonts w:hint="eastAsia"/>
                    </w:rPr>
                    <w:t>项目喷粉、烤粉、喷漆和烤漆流水线1上的调漆废气经集气罩收集、喷漆废气经水帘台水幕除漆雾后经集气管道集气收集、烤漆和烤粉废气混合燃液化石油气烟气，各股废气统一通过1套TA009二级活性炭吸附装置处理后由15m高的DA005排气筒统一排放；</w:t>
                  </w:r>
                </w:p>
                <w:p w14:paraId="12760713">
                  <w:pPr>
                    <w:pStyle w:val="221"/>
                  </w:pPr>
                  <w:r>
                    <w:rPr>
                      <w:rFonts w:hint="eastAsia"/>
                    </w:rPr>
                    <w:t>④项目喷粉烤粉流水线2上的烤粉废气混合燃液化石油气烟气和喷漆和烤漆流水线3上的调漆废气经集气罩收集、喷漆废气经水帘台水幕除漆雾后经集气管道集气收集、烤漆废气混合燃液化石油气烟气经集气罩收集各股废气统一通过1套TA010二级活性炭吸附装置处理后由15m高的DA006排气筒统一排放；</w:t>
                  </w:r>
                </w:p>
                <w:p w14:paraId="1511DBE7">
                  <w:pPr>
                    <w:pStyle w:val="221"/>
                  </w:pPr>
                  <w:r>
                    <w:rPr>
                      <w:rFonts w:hint="eastAsia"/>
                    </w:rPr>
                    <w:t>（3）喷砂工序新增一套滤筒除尘器，喷砂粉尘经处理后通过DA007排气筒</w:t>
                  </w:r>
                  <w:r>
                    <w:t>排放</w:t>
                  </w:r>
                </w:p>
              </w:tc>
            </w:tr>
            <w:tr w14:paraId="6D343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378CFA67">
                  <w:pPr>
                    <w:pStyle w:val="221"/>
                    <w:rPr>
                      <w:color w:val="000000" w:themeColor="text1"/>
                      <w14:textFill>
                        <w14:solidFill>
                          <w14:schemeClr w14:val="tx1"/>
                        </w14:solidFill>
                      </w14:textFill>
                    </w:rPr>
                  </w:pPr>
                </w:p>
              </w:tc>
              <w:tc>
                <w:tcPr>
                  <w:tcW w:w="668" w:type="dxa"/>
                  <w:vMerge w:val="continue"/>
                  <w:vAlign w:val="center"/>
                </w:tcPr>
                <w:p w14:paraId="65581F6D">
                  <w:pPr>
                    <w:pStyle w:val="221"/>
                    <w:rPr>
                      <w:color w:val="000000" w:themeColor="text1"/>
                      <w14:textFill>
                        <w14:solidFill>
                          <w14:schemeClr w14:val="tx1"/>
                        </w14:solidFill>
                      </w14:textFill>
                    </w:rPr>
                  </w:pPr>
                </w:p>
              </w:tc>
              <w:tc>
                <w:tcPr>
                  <w:tcW w:w="636" w:type="dxa"/>
                  <w:vAlign w:val="center"/>
                </w:tcPr>
                <w:p w14:paraId="010DEE06">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4#车间</w:t>
                  </w:r>
                </w:p>
              </w:tc>
              <w:tc>
                <w:tcPr>
                  <w:tcW w:w="1841" w:type="dxa"/>
                  <w:vAlign w:val="center"/>
                </w:tcPr>
                <w:p w14:paraId="2D0ECF45">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年产智能化免维护型环网设备（C-GIS充气柜）2万台套生产线仅组装，无废气</w:t>
                  </w:r>
                </w:p>
                <w:p w14:paraId="385AB272">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产生</w:t>
                  </w:r>
                </w:p>
              </w:tc>
              <w:tc>
                <w:tcPr>
                  <w:tcW w:w="1413" w:type="dxa"/>
                  <w:vAlign w:val="center"/>
                </w:tcPr>
                <w:p w14:paraId="091DE3A7">
                  <w:pPr>
                    <w:pStyle w:val="221"/>
                    <w:rPr>
                      <w:color w:val="000000" w:themeColor="text1"/>
                      <w:szCs w:val="21"/>
                      <w14:textFill>
                        <w14:solidFill>
                          <w14:schemeClr w14:val="tx1"/>
                        </w14:solidFill>
                      </w14:textFill>
                      <w14:ligatures w14:val="none"/>
                    </w:rPr>
                  </w:pPr>
                  <w:r>
                    <w:rPr>
                      <w:color w:val="000000" w:themeColor="text1"/>
                      <w:szCs w:val="21"/>
                      <w14:textFill>
                        <w14:solidFill>
                          <w14:schemeClr w14:val="tx1"/>
                        </w14:solidFill>
                      </w14:textFill>
                    </w:rPr>
                    <w:t>年产一二次融合成套配电开关设备2万台、边缘计算智能终端7万套、智能传感器5万套生产线产生焊接烟尘收集后经焊烟除尘器处理后通过 15m 排气筒排放（DA00</w:t>
                  </w: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w:t>
                  </w:r>
                </w:p>
              </w:tc>
              <w:tc>
                <w:tcPr>
                  <w:tcW w:w="1540" w:type="dxa"/>
                  <w:vAlign w:val="center"/>
                </w:tcPr>
                <w:p w14:paraId="54C2BDDB">
                  <w:pPr>
                    <w:pStyle w:val="221"/>
                    <w:rPr>
                      <w:color w:val="000000" w:themeColor="text1"/>
                      <w:szCs w:val="21"/>
                      <w14:textFill>
                        <w14:solidFill>
                          <w14:schemeClr w14:val="tx1"/>
                        </w14:solidFill>
                      </w14:textFill>
                      <w14:ligatures w14:val="none"/>
                    </w:rPr>
                  </w:pPr>
                  <w:r>
                    <w:rPr>
                      <w:rFonts w:hint="eastAsia"/>
                      <w:color w:val="000000" w:themeColor="text1"/>
                      <w:szCs w:val="21"/>
                      <w14:textFill>
                        <w14:solidFill>
                          <w14:schemeClr w14:val="tx1"/>
                        </w14:solidFill>
                      </w14:textFill>
                      <w14:ligatures w14:val="none"/>
                    </w:rPr>
                    <w:t>无改动内容</w:t>
                  </w:r>
                </w:p>
              </w:tc>
              <w:tc>
                <w:tcPr>
                  <w:tcW w:w="2093" w:type="dxa"/>
                  <w:vAlign w:val="center"/>
                </w:tcPr>
                <w:p w14:paraId="22EB5C6F">
                  <w:pPr>
                    <w:pStyle w:val="221"/>
                    <w:rPr>
                      <w:color w:val="000000" w:themeColor="text1"/>
                      <w14:textFill>
                        <w14:solidFill>
                          <w14:schemeClr w14:val="tx1"/>
                        </w14:solidFill>
                      </w14:textFill>
                    </w:rPr>
                  </w:pPr>
                  <w:r>
                    <w:rPr>
                      <w:color w:val="000000" w:themeColor="text1"/>
                      <w14:textFill>
                        <w14:solidFill>
                          <w14:schemeClr w14:val="tx1"/>
                        </w14:solidFill>
                      </w14:textFill>
                    </w:rPr>
                    <w:t>年产一二次融合成套配电开关设备2万台、边缘计算智能终端7万套、智能传感器5万套生产线产生焊接烟尘收集后经焊烟除尘器处理后通过 15m 排气筒排放（DA00</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p>
              </w:tc>
            </w:tr>
            <w:tr w14:paraId="424B7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4B3E5E99">
                  <w:pPr>
                    <w:pStyle w:val="221"/>
                    <w:rPr>
                      <w:color w:val="000000" w:themeColor="text1"/>
                      <w14:textFill>
                        <w14:solidFill>
                          <w14:schemeClr w14:val="tx1"/>
                        </w14:solidFill>
                      </w14:textFill>
                    </w:rPr>
                  </w:pPr>
                </w:p>
              </w:tc>
              <w:tc>
                <w:tcPr>
                  <w:tcW w:w="668" w:type="dxa"/>
                  <w:vMerge w:val="continue"/>
                  <w:vAlign w:val="center"/>
                </w:tcPr>
                <w:p w14:paraId="0D218614">
                  <w:pPr>
                    <w:pStyle w:val="221"/>
                    <w:rPr>
                      <w:color w:val="000000" w:themeColor="text1"/>
                      <w14:textFill>
                        <w14:solidFill>
                          <w14:schemeClr w14:val="tx1"/>
                        </w14:solidFill>
                      </w14:textFill>
                    </w:rPr>
                  </w:pPr>
                </w:p>
              </w:tc>
              <w:tc>
                <w:tcPr>
                  <w:tcW w:w="636" w:type="dxa"/>
                  <w:vAlign w:val="center"/>
                </w:tcPr>
                <w:p w14:paraId="23B40E49">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6#车间</w:t>
                  </w:r>
                </w:p>
              </w:tc>
              <w:tc>
                <w:tcPr>
                  <w:tcW w:w="1841" w:type="dxa"/>
                  <w:vAlign w:val="center"/>
                </w:tcPr>
                <w:p w14:paraId="068BBD2C">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仅组装，无废气</w:t>
                  </w:r>
                </w:p>
                <w:p w14:paraId="594C5043">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产生</w:t>
                  </w:r>
                </w:p>
              </w:tc>
              <w:tc>
                <w:tcPr>
                  <w:tcW w:w="1413" w:type="dxa"/>
                  <w:vAlign w:val="center"/>
                </w:tcPr>
                <w:p w14:paraId="5ED07DFA">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540" w:type="dxa"/>
                  <w:vAlign w:val="center"/>
                </w:tcPr>
                <w:p w14:paraId="69F727C2">
                  <w:pPr>
                    <w:pStyle w:val="221"/>
                    <w:rPr>
                      <w:color w:val="000000" w:themeColor="text1"/>
                      <w:szCs w:val="21"/>
                      <w14:textFill>
                        <w14:solidFill>
                          <w14:schemeClr w14:val="tx1"/>
                        </w14:solidFill>
                      </w14:textFill>
                      <w14:ligatures w14:val="none"/>
                    </w:rPr>
                  </w:pPr>
                  <w:r>
                    <w:rPr>
                      <w:rFonts w:hint="eastAsia"/>
                      <w:color w:val="000000" w:themeColor="text1"/>
                      <w:szCs w:val="21"/>
                      <w14:textFill>
                        <w14:solidFill>
                          <w14:schemeClr w14:val="tx1"/>
                        </w14:solidFill>
                      </w14:textFill>
                      <w14:ligatures w14:val="none"/>
                    </w:rPr>
                    <w:t>无改动内容</w:t>
                  </w:r>
                </w:p>
              </w:tc>
              <w:tc>
                <w:tcPr>
                  <w:tcW w:w="2093" w:type="dxa"/>
                  <w:vAlign w:val="center"/>
                </w:tcPr>
                <w:p w14:paraId="2E88901F">
                  <w:pPr>
                    <w:pStyle w:val="221"/>
                    <w:rPr>
                      <w:color w:val="000000" w:themeColor="text1"/>
                      <w14:textFill>
                        <w14:solidFill>
                          <w14:schemeClr w14:val="tx1"/>
                        </w14:solidFill>
                      </w14:textFill>
                    </w:rPr>
                  </w:pPr>
                  <w:r>
                    <w:rPr>
                      <w:color w:val="000000" w:themeColor="text1"/>
                      <w:szCs w:val="21"/>
                      <w14:textFill>
                        <w14:solidFill>
                          <w14:schemeClr w14:val="tx1"/>
                        </w14:solidFill>
                      </w14:textFill>
                      <w14:ligatures w14:val="none"/>
                    </w:rPr>
                    <w:t>无废气产生</w:t>
                  </w:r>
                </w:p>
              </w:tc>
            </w:tr>
            <w:tr w14:paraId="27F44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2F4E2B8A">
                  <w:pPr>
                    <w:pStyle w:val="221"/>
                    <w:rPr>
                      <w:color w:val="000000" w:themeColor="text1"/>
                      <w14:textFill>
                        <w14:solidFill>
                          <w14:schemeClr w14:val="tx1"/>
                        </w14:solidFill>
                      </w14:textFill>
                    </w:rPr>
                  </w:pPr>
                </w:p>
              </w:tc>
              <w:tc>
                <w:tcPr>
                  <w:tcW w:w="668" w:type="dxa"/>
                  <w:vMerge w:val="continue"/>
                  <w:vAlign w:val="center"/>
                </w:tcPr>
                <w:p w14:paraId="0BCA85A4">
                  <w:pPr>
                    <w:pStyle w:val="221"/>
                    <w:rPr>
                      <w:color w:val="000000" w:themeColor="text1"/>
                      <w14:textFill>
                        <w14:solidFill>
                          <w14:schemeClr w14:val="tx1"/>
                        </w14:solidFill>
                      </w14:textFill>
                    </w:rPr>
                  </w:pPr>
                </w:p>
              </w:tc>
              <w:tc>
                <w:tcPr>
                  <w:tcW w:w="636" w:type="dxa"/>
                  <w:vAlign w:val="center"/>
                </w:tcPr>
                <w:p w14:paraId="3E297E9B">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钣金车间</w:t>
                  </w:r>
                </w:p>
              </w:tc>
              <w:tc>
                <w:tcPr>
                  <w:tcW w:w="1841" w:type="dxa"/>
                  <w:vAlign w:val="center"/>
                </w:tcPr>
                <w:p w14:paraId="45CEBDAD">
                  <w:pPr>
                    <w:pStyle w:val="221"/>
                    <w:rPr>
                      <w:color w:val="000000" w:themeColor="text1"/>
                      <w14:textFill>
                        <w14:solidFill>
                          <w14:schemeClr w14:val="tx1"/>
                        </w14:solidFill>
                      </w14:textFill>
                    </w:rPr>
                  </w:pPr>
                  <w:r>
                    <w:rPr>
                      <w:color w:val="000000" w:themeColor="text1"/>
                      <w14:textFill>
                        <w14:solidFill>
                          <w14:schemeClr w14:val="tx1"/>
                        </w14:solidFill>
                      </w14:textFill>
                    </w:rPr>
                    <w:t>加工过程产生的金属粉尘均呈无组织排放</w:t>
                  </w:r>
                </w:p>
              </w:tc>
              <w:tc>
                <w:tcPr>
                  <w:tcW w:w="1413" w:type="dxa"/>
                  <w:vAlign w:val="center"/>
                </w:tcPr>
                <w:p w14:paraId="0FC0414C">
                  <w:pPr>
                    <w:spacing w:after="0" w:line="240" w:lineRule="auto"/>
                    <w:jc w:val="center"/>
                    <w:rPr>
                      <w:rFonts w:ascii="Times New Roman" w:hAnsi="Times New Roman" w:eastAsia="宋体" w:cs="Times New Roman"/>
                      <w:color w:val="000000" w:themeColor="text1"/>
                      <w:sz w:val="21"/>
                      <w:szCs w:val="24"/>
                      <w14:textFill>
                        <w14:solidFill>
                          <w14:schemeClr w14:val="tx1"/>
                        </w14:solidFill>
                      </w14:textFill>
                      <w14:ligatures w14:val="standardContextual"/>
                    </w:rPr>
                  </w:pPr>
                  <w:r>
                    <w:rPr>
                      <w:rFonts w:ascii="Times New Roman" w:hAnsi="Times New Roman" w:eastAsia="宋体" w:cs="Times New Roman"/>
                      <w:color w:val="000000" w:themeColor="text1"/>
                      <w:sz w:val="21"/>
                      <w:szCs w:val="24"/>
                      <w14:textFill>
                        <w14:solidFill>
                          <w14:schemeClr w14:val="tx1"/>
                        </w14:solidFill>
                      </w14:textFill>
                      <w14:ligatures w14:val="standardContextual"/>
                    </w:rPr>
                    <w:t>加工过程产生的金属粉尘均呈无组织排放</w:t>
                  </w:r>
                </w:p>
              </w:tc>
              <w:tc>
                <w:tcPr>
                  <w:tcW w:w="1540" w:type="dxa"/>
                  <w:vAlign w:val="center"/>
                </w:tcPr>
                <w:p w14:paraId="6EDA6499">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无改动内容</w:t>
                  </w:r>
                </w:p>
              </w:tc>
              <w:tc>
                <w:tcPr>
                  <w:tcW w:w="2093" w:type="dxa"/>
                  <w:vAlign w:val="center"/>
                </w:tcPr>
                <w:p w14:paraId="5C0CAEE9">
                  <w:pPr>
                    <w:pStyle w:val="221"/>
                    <w:rPr>
                      <w:color w:val="000000" w:themeColor="text1"/>
                      <w14:textFill>
                        <w14:solidFill>
                          <w14:schemeClr w14:val="tx1"/>
                        </w14:solidFill>
                      </w14:textFill>
                    </w:rPr>
                  </w:pPr>
                  <w:r>
                    <w:rPr>
                      <w:color w:val="000000" w:themeColor="text1"/>
                      <w14:textFill>
                        <w14:solidFill>
                          <w14:schemeClr w14:val="tx1"/>
                        </w14:solidFill>
                      </w14:textFill>
                    </w:rPr>
                    <w:t>加工过程产生的金属粉尘均呈无组织排放</w:t>
                  </w:r>
                </w:p>
              </w:tc>
            </w:tr>
            <w:tr w14:paraId="55E8D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6657C1A8">
                  <w:pPr>
                    <w:pStyle w:val="221"/>
                    <w:rPr>
                      <w:color w:val="000000" w:themeColor="text1"/>
                      <w14:textFill>
                        <w14:solidFill>
                          <w14:schemeClr w14:val="tx1"/>
                        </w14:solidFill>
                      </w14:textFill>
                    </w:rPr>
                  </w:pPr>
                </w:p>
              </w:tc>
              <w:tc>
                <w:tcPr>
                  <w:tcW w:w="668" w:type="dxa"/>
                  <w:vAlign w:val="center"/>
                </w:tcPr>
                <w:p w14:paraId="38B74DE0">
                  <w:pPr>
                    <w:pStyle w:val="221"/>
                    <w:rPr>
                      <w:color w:val="000000" w:themeColor="text1"/>
                      <w14:textFill>
                        <w14:solidFill>
                          <w14:schemeClr w14:val="tx1"/>
                        </w14:solidFill>
                      </w14:textFill>
                    </w:rPr>
                  </w:pPr>
                  <w:r>
                    <w:rPr>
                      <w:color w:val="000000" w:themeColor="text1"/>
                      <w14:textFill>
                        <w14:solidFill>
                          <w14:schemeClr w14:val="tx1"/>
                        </w14:solidFill>
                      </w14:textFill>
                    </w:rPr>
                    <w:t>噪声工程</w:t>
                  </w:r>
                </w:p>
              </w:tc>
              <w:tc>
                <w:tcPr>
                  <w:tcW w:w="7523" w:type="dxa"/>
                  <w:gridSpan w:val="5"/>
                  <w:vAlign w:val="center"/>
                </w:tcPr>
                <w:p w14:paraId="3BA1DCEB">
                  <w:pPr>
                    <w:pStyle w:val="221"/>
                    <w:rPr>
                      <w:color w:val="000000" w:themeColor="text1"/>
                      <w14:textFill>
                        <w14:solidFill>
                          <w14:schemeClr w14:val="tx1"/>
                        </w14:solidFill>
                      </w14:textFill>
                    </w:rPr>
                  </w:pPr>
                  <w:r>
                    <w:rPr>
                      <w:color w:val="000000" w:themeColor="text1"/>
                      <w14:textFill>
                        <w14:solidFill>
                          <w14:schemeClr w14:val="tx1"/>
                        </w14:solidFill>
                      </w14:textFill>
                    </w:rPr>
                    <w:t>采取基础减振、厂房隔声等降噪措施</w:t>
                  </w:r>
                </w:p>
              </w:tc>
            </w:tr>
            <w:tr w14:paraId="0419C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7E75D82D">
                  <w:pPr>
                    <w:pStyle w:val="221"/>
                    <w:rPr>
                      <w:color w:val="000000" w:themeColor="text1"/>
                      <w14:textFill>
                        <w14:solidFill>
                          <w14:schemeClr w14:val="tx1"/>
                        </w14:solidFill>
                      </w14:textFill>
                    </w:rPr>
                  </w:pPr>
                </w:p>
              </w:tc>
              <w:tc>
                <w:tcPr>
                  <w:tcW w:w="668" w:type="dxa"/>
                  <w:vMerge w:val="restart"/>
                  <w:vAlign w:val="center"/>
                </w:tcPr>
                <w:p w14:paraId="1A6A974D">
                  <w:pPr>
                    <w:pStyle w:val="221"/>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2477" w:type="dxa"/>
                  <w:gridSpan w:val="2"/>
                  <w:vAlign w:val="center"/>
                </w:tcPr>
                <w:p w14:paraId="53B9C6BE">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在9号楼西南角设置一般固废暂存区，建筑面积100m</w:t>
                  </w:r>
                  <w:r>
                    <w:rPr>
                      <w:rFonts w:hint="eastAsia"/>
                      <w:color w:val="000000" w:themeColor="text1"/>
                      <w:vertAlign w:val="superscript"/>
                      <w14:textFill>
                        <w14:solidFill>
                          <w14:schemeClr w14:val="tx1"/>
                        </w14:solidFill>
                      </w14:textFill>
                    </w:rPr>
                    <w:t>2</w:t>
                  </w:r>
                </w:p>
              </w:tc>
              <w:tc>
                <w:tcPr>
                  <w:tcW w:w="1413" w:type="dxa"/>
                  <w:vAlign w:val="center"/>
                </w:tcPr>
                <w:p w14:paraId="2A027160">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依托现有</w:t>
                  </w:r>
                </w:p>
              </w:tc>
              <w:tc>
                <w:tcPr>
                  <w:tcW w:w="1540" w:type="dxa"/>
                  <w:vAlign w:val="center"/>
                </w:tcPr>
                <w:p w14:paraId="6887E691">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依托现有</w:t>
                  </w:r>
                </w:p>
              </w:tc>
              <w:tc>
                <w:tcPr>
                  <w:tcW w:w="2093" w:type="dxa"/>
                  <w:vAlign w:val="center"/>
                </w:tcPr>
                <w:p w14:paraId="247F0315">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9号楼西南角设置一般固废暂存区，建筑面积100m</w:t>
                  </w:r>
                  <w:r>
                    <w:rPr>
                      <w:rFonts w:hint="eastAsia"/>
                      <w:color w:val="000000" w:themeColor="text1"/>
                      <w:vertAlign w:val="superscript"/>
                      <w14:textFill>
                        <w14:solidFill>
                          <w14:schemeClr w14:val="tx1"/>
                        </w14:solidFill>
                      </w14:textFill>
                    </w:rPr>
                    <w:t>2</w:t>
                  </w:r>
                </w:p>
              </w:tc>
            </w:tr>
            <w:tr w14:paraId="42BEE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1341E8F0">
                  <w:pPr>
                    <w:pStyle w:val="221"/>
                    <w:rPr>
                      <w:color w:val="000000" w:themeColor="text1"/>
                      <w14:textFill>
                        <w14:solidFill>
                          <w14:schemeClr w14:val="tx1"/>
                        </w14:solidFill>
                      </w14:textFill>
                    </w:rPr>
                  </w:pPr>
                </w:p>
              </w:tc>
              <w:tc>
                <w:tcPr>
                  <w:tcW w:w="668" w:type="dxa"/>
                  <w:vMerge w:val="continue"/>
                  <w:vAlign w:val="center"/>
                </w:tcPr>
                <w:p w14:paraId="2DE520AF">
                  <w:pPr>
                    <w:pStyle w:val="221"/>
                    <w:rPr>
                      <w:color w:val="000000" w:themeColor="text1"/>
                      <w14:textFill>
                        <w14:solidFill>
                          <w14:schemeClr w14:val="tx1"/>
                        </w14:solidFill>
                      </w14:textFill>
                    </w:rPr>
                  </w:pPr>
                </w:p>
              </w:tc>
              <w:tc>
                <w:tcPr>
                  <w:tcW w:w="2477" w:type="dxa"/>
                  <w:gridSpan w:val="2"/>
                  <w:vAlign w:val="center"/>
                </w:tcPr>
                <w:p w14:paraId="2A54EF57">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在厂区北部设置危险废物暂存间一座，建筑面积30m</w:t>
                  </w:r>
                  <w:r>
                    <w:rPr>
                      <w:rFonts w:hint="eastAsia"/>
                      <w:color w:val="000000" w:themeColor="text1"/>
                      <w:vertAlign w:val="superscript"/>
                      <w14:textFill>
                        <w14:solidFill>
                          <w14:schemeClr w14:val="tx1"/>
                        </w14:solidFill>
                      </w14:textFill>
                    </w:rPr>
                    <w:t>2</w:t>
                  </w:r>
                </w:p>
              </w:tc>
              <w:tc>
                <w:tcPr>
                  <w:tcW w:w="1413" w:type="dxa"/>
                  <w:vAlign w:val="center"/>
                </w:tcPr>
                <w:p w14:paraId="0A7D5758">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依托现有</w:t>
                  </w:r>
                </w:p>
              </w:tc>
              <w:tc>
                <w:tcPr>
                  <w:tcW w:w="1540" w:type="dxa"/>
                  <w:vAlign w:val="center"/>
                </w:tcPr>
                <w:p w14:paraId="59FDB29C">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依托现有</w:t>
                  </w:r>
                </w:p>
              </w:tc>
              <w:tc>
                <w:tcPr>
                  <w:tcW w:w="2093" w:type="dxa"/>
                  <w:vAlign w:val="center"/>
                </w:tcPr>
                <w:p w14:paraId="1338718A">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在厂区北部设置危险废物暂存间一座，建筑面积30m</w:t>
                  </w:r>
                  <w:r>
                    <w:rPr>
                      <w:rFonts w:hint="eastAsia"/>
                      <w:color w:val="000000" w:themeColor="text1"/>
                      <w:vertAlign w:val="superscript"/>
                      <w14:textFill>
                        <w14:solidFill>
                          <w14:schemeClr w14:val="tx1"/>
                        </w14:solidFill>
                      </w14:textFill>
                    </w:rPr>
                    <w:t>2</w:t>
                  </w:r>
                </w:p>
              </w:tc>
            </w:tr>
          </w:tbl>
          <w:p w14:paraId="57C640C7">
            <w:pPr>
              <w:widowControl w:val="0"/>
              <w:topLinePunct/>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2.1.4 主要产品及产能</w:t>
            </w:r>
          </w:p>
          <w:p w14:paraId="03747668">
            <w:pPr>
              <w:pStyle w:val="14"/>
              <w:widowControl w:val="0"/>
              <w:topLinePunct/>
              <w:spacing w:after="0"/>
              <w:ind w:firstLine="48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本项目产品方案见表2.1-</w:t>
            </w:r>
            <w:r>
              <w:rPr>
                <w:rFonts w:hint="eastAsia" w:ascii="Times New Roman" w:hAnsi="Times New Roman" w:eastAsia="宋体" w:cs="Times New Roman"/>
                <w:color w:val="000000" w:themeColor="text1"/>
                <w:szCs w:val="24"/>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 xml:space="preserve">。 </w:t>
            </w:r>
          </w:p>
          <w:p w14:paraId="3BB6104E">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表2.1-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本次扩建项目产品方案</w:t>
            </w:r>
          </w:p>
          <w:tbl>
            <w:tblPr>
              <w:tblStyle w:val="226"/>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1560"/>
              <w:gridCol w:w="1560"/>
              <w:gridCol w:w="1558"/>
              <w:gridCol w:w="2122"/>
            </w:tblGrid>
            <w:tr w14:paraId="68F05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Align w:val="center"/>
                </w:tcPr>
                <w:p w14:paraId="74DCE3AB">
                  <w:pPr>
                    <w:pStyle w:val="119"/>
                    <w:widowControl w:val="0"/>
                    <w:topLinePunct/>
                    <w:spacing w:after="0" w:line="240" w:lineRule="auto"/>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产品名称</w:t>
                  </w:r>
                </w:p>
              </w:tc>
              <w:tc>
                <w:tcPr>
                  <w:tcW w:w="1560" w:type="dxa"/>
                  <w:vAlign w:val="center"/>
                </w:tcPr>
                <w:p w14:paraId="09E09EFF">
                  <w:pPr>
                    <w:pStyle w:val="119"/>
                    <w:widowControl w:val="0"/>
                    <w:topLinePunct/>
                    <w:spacing w:after="0" w:line="240" w:lineRule="auto"/>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扩建前规模</w:t>
                  </w:r>
                </w:p>
              </w:tc>
              <w:tc>
                <w:tcPr>
                  <w:tcW w:w="1560" w:type="dxa"/>
                  <w:vAlign w:val="center"/>
                </w:tcPr>
                <w:p w14:paraId="5D7E916A">
                  <w:pPr>
                    <w:pStyle w:val="119"/>
                    <w:widowControl w:val="0"/>
                    <w:topLinePunct/>
                    <w:spacing w:after="0" w:line="240" w:lineRule="auto"/>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本次扩建规模</w:t>
                  </w:r>
                </w:p>
              </w:tc>
              <w:tc>
                <w:tcPr>
                  <w:tcW w:w="1558" w:type="dxa"/>
                  <w:vAlign w:val="center"/>
                </w:tcPr>
                <w:p w14:paraId="4DDB1E57">
                  <w:pPr>
                    <w:pStyle w:val="119"/>
                    <w:widowControl w:val="0"/>
                    <w:topLinePunct/>
                    <w:spacing w:after="0" w:line="240" w:lineRule="auto"/>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扩建后全厂生产规模</w:t>
                  </w:r>
                </w:p>
              </w:tc>
              <w:tc>
                <w:tcPr>
                  <w:tcW w:w="2122" w:type="dxa"/>
                  <w:vAlign w:val="center"/>
                </w:tcPr>
                <w:p w14:paraId="6B969708">
                  <w:pPr>
                    <w:pStyle w:val="119"/>
                    <w:widowControl w:val="0"/>
                    <w:topLinePunct/>
                    <w:spacing w:after="0" w:line="240" w:lineRule="auto"/>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备注</w:t>
                  </w:r>
                </w:p>
              </w:tc>
            </w:tr>
            <w:tr w14:paraId="1A69F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Align w:val="center"/>
                </w:tcPr>
                <w:p w14:paraId="604B14B9">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喷砂、喷漆处理各类智能配电设备和新能源产品储充外壳</w:t>
                  </w:r>
                </w:p>
              </w:tc>
              <w:tc>
                <w:tcPr>
                  <w:tcW w:w="1560" w:type="dxa"/>
                  <w:vAlign w:val="center"/>
                </w:tcPr>
                <w:p w14:paraId="5C22AD1E">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15</w:t>
                  </w:r>
                  <w:r>
                    <w:rPr>
                      <w:rFonts w:ascii="Times New Roman" w:hAnsi="Times New Roman" w:eastAsia="宋体" w:cs="Times New Roman"/>
                      <w:color w:val="000000" w:themeColor="text1"/>
                      <w:sz w:val="21"/>
                      <w:szCs w:val="21"/>
                      <w14:textFill>
                        <w14:solidFill>
                          <w14:schemeClr w14:val="tx1"/>
                        </w14:solidFill>
                      </w14:textFill>
                    </w:rPr>
                    <w:t>万</w:t>
                  </w:r>
                  <w:r>
                    <w:rPr>
                      <w:rFonts w:hint="eastAsia" w:ascii="Times New Roman" w:hAnsi="Times New Roman" w:eastAsia="宋体" w:cs="Times New Roman"/>
                      <w:color w:val="000000" w:themeColor="text1"/>
                      <w:sz w:val="21"/>
                      <w:szCs w:val="21"/>
                      <w14:textFill>
                        <w14:solidFill>
                          <w14:schemeClr w14:val="tx1"/>
                        </w14:solidFill>
                      </w14:textFill>
                    </w:rPr>
                    <w:t>件/</w:t>
                  </w:r>
                  <w:r>
                    <w:rPr>
                      <w:rFonts w:ascii="Times New Roman" w:hAnsi="Times New Roman" w:eastAsia="宋体" w:cs="Times New Roman"/>
                      <w:color w:val="000000" w:themeColor="text1"/>
                      <w:sz w:val="21"/>
                      <w:szCs w:val="21"/>
                      <w14:textFill>
                        <w14:solidFill>
                          <w14:schemeClr w14:val="tx1"/>
                        </w14:solidFill>
                      </w14:textFill>
                    </w:rPr>
                    <w:t>年</w:t>
                  </w:r>
                </w:p>
              </w:tc>
              <w:tc>
                <w:tcPr>
                  <w:tcW w:w="1560" w:type="dxa"/>
                  <w:vAlign w:val="center"/>
                </w:tcPr>
                <w:p w14:paraId="42A9C6C0">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w:t>
                  </w:r>
                </w:p>
              </w:tc>
              <w:tc>
                <w:tcPr>
                  <w:tcW w:w="1558" w:type="dxa"/>
                  <w:vAlign w:val="center"/>
                </w:tcPr>
                <w:p w14:paraId="06B208A8">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15</w:t>
                  </w:r>
                  <w:r>
                    <w:rPr>
                      <w:rFonts w:ascii="Times New Roman" w:hAnsi="Times New Roman" w:eastAsia="宋体" w:cs="Times New Roman"/>
                      <w:color w:val="000000" w:themeColor="text1"/>
                      <w:sz w:val="21"/>
                      <w:szCs w:val="21"/>
                      <w14:textFill>
                        <w14:solidFill>
                          <w14:schemeClr w14:val="tx1"/>
                        </w14:solidFill>
                      </w14:textFill>
                    </w:rPr>
                    <w:t>万</w:t>
                  </w:r>
                  <w:r>
                    <w:rPr>
                      <w:rFonts w:hint="eastAsia" w:ascii="Times New Roman" w:hAnsi="Times New Roman" w:eastAsia="宋体" w:cs="Times New Roman"/>
                      <w:color w:val="000000" w:themeColor="text1"/>
                      <w:sz w:val="21"/>
                      <w:szCs w:val="21"/>
                      <w14:textFill>
                        <w14:solidFill>
                          <w14:schemeClr w14:val="tx1"/>
                        </w14:solidFill>
                      </w14:textFill>
                    </w:rPr>
                    <w:t>件/</w:t>
                  </w:r>
                  <w:r>
                    <w:rPr>
                      <w:rFonts w:ascii="Times New Roman" w:hAnsi="Times New Roman" w:eastAsia="宋体" w:cs="Times New Roman"/>
                      <w:color w:val="000000" w:themeColor="text1"/>
                      <w:sz w:val="21"/>
                      <w:szCs w:val="21"/>
                      <w14:textFill>
                        <w14:solidFill>
                          <w14:schemeClr w14:val="tx1"/>
                        </w14:solidFill>
                      </w14:textFill>
                    </w:rPr>
                    <w:t>年</w:t>
                  </w:r>
                </w:p>
              </w:tc>
              <w:tc>
                <w:tcPr>
                  <w:tcW w:w="2122" w:type="dxa"/>
                  <w:vAlign w:val="center"/>
                </w:tcPr>
                <w:p w14:paraId="0DA17CC5">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本项目仅在喷漆前端新增喷砂处理工序</w:t>
                  </w:r>
                </w:p>
              </w:tc>
            </w:tr>
            <w:tr w14:paraId="364A9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vAlign w:val="center"/>
                </w:tcPr>
                <w:p w14:paraId="0886439B">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新能源储充产品</w:t>
                  </w:r>
                </w:p>
              </w:tc>
              <w:tc>
                <w:tcPr>
                  <w:tcW w:w="1560" w:type="dxa"/>
                  <w:vAlign w:val="center"/>
                </w:tcPr>
                <w:p w14:paraId="78F94245">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w:t>
                  </w:r>
                </w:p>
              </w:tc>
              <w:tc>
                <w:tcPr>
                  <w:tcW w:w="1560" w:type="dxa"/>
                  <w:vAlign w:val="center"/>
                </w:tcPr>
                <w:p w14:paraId="14826DC7">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2500台/年</w:t>
                  </w:r>
                </w:p>
              </w:tc>
              <w:tc>
                <w:tcPr>
                  <w:tcW w:w="1558" w:type="dxa"/>
                  <w:vAlign w:val="center"/>
                </w:tcPr>
                <w:p w14:paraId="7F74971C">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2500</w:t>
                  </w:r>
                  <w:r>
                    <w:rPr>
                      <w:rFonts w:ascii="Times New Roman" w:hAnsi="Times New Roman" w:eastAsia="宋体" w:cs="Times New Roman"/>
                      <w:color w:val="000000" w:themeColor="text1"/>
                      <w:sz w:val="21"/>
                      <w:szCs w:val="21"/>
                      <w14:textFill>
                        <w14:solidFill>
                          <w14:schemeClr w14:val="tx1"/>
                        </w14:solidFill>
                      </w14:textFill>
                    </w:rPr>
                    <w:t>台</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年</w:t>
                  </w:r>
                </w:p>
              </w:tc>
              <w:tc>
                <w:tcPr>
                  <w:tcW w:w="2122" w:type="dxa"/>
                  <w:vAlign w:val="center"/>
                </w:tcPr>
                <w:p w14:paraId="27AA3394">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bl>
          <w:p w14:paraId="7A8F1843">
            <w:pPr>
              <w:widowControl w:val="0"/>
              <w:topLinePunct/>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2.1.</w:t>
            </w:r>
            <w:r>
              <w:rPr>
                <w:rFonts w:hint="eastAsia" w:ascii="Times New Roman" w:hAnsi="Times New Roman" w:eastAsia="宋体" w:cs="Times New Roman"/>
                <w:b/>
                <w:bCs/>
                <w:color w:val="000000" w:themeColor="text1"/>
                <w:szCs w:val="24"/>
                <w14:textFill>
                  <w14:solidFill>
                    <w14:schemeClr w14:val="tx1"/>
                  </w14:solidFill>
                </w14:textFill>
              </w:rPr>
              <w:t>5</w:t>
            </w:r>
            <w:r>
              <w:rPr>
                <w:rFonts w:ascii="Times New Roman" w:hAnsi="Times New Roman" w:eastAsia="宋体" w:cs="Times New Roman"/>
                <w:b/>
                <w:bCs/>
                <w:color w:val="000000" w:themeColor="text1"/>
                <w:szCs w:val="24"/>
                <w14:textFill>
                  <w14:solidFill>
                    <w14:schemeClr w14:val="tx1"/>
                  </w14:solidFill>
                </w14:textFill>
              </w:rPr>
              <w:t>主要原辅材料及燃料种类和用量</w:t>
            </w:r>
          </w:p>
          <w:p w14:paraId="09A86D8B">
            <w:pPr>
              <w:pStyle w:val="14"/>
              <w:widowControl w:val="0"/>
              <w:topLinePunct/>
              <w:spacing w:after="0"/>
              <w:ind w:firstLine="48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本次扩建项目主要原辅材料及能源消耗情况见表2.1-</w:t>
            </w:r>
            <w:r>
              <w:rPr>
                <w:rFonts w:hint="eastAsia" w:ascii="Times New Roman" w:hAnsi="Times New Roman" w:eastAsia="宋体" w:cs="Times New Roman"/>
                <w:color w:val="000000" w:themeColor="text1"/>
                <w:szCs w:val="24"/>
                <w14:textFill>
                  <w14:solidFill>
                    <w14:schemeClr w14:val="tx1"/>
                  </w14:solidFill>
                </w14:textFill>
              </w:rPr>
              <w:t>4</w:t>
            </w:r>
            <w:r>
              <w:rPr>
                <w:rFonts w:ascii="Times New Roman" w:hAnsi="Times New Roman" w:eastAsia="宋体" w:cs="Times New Roman"/>
                <w:color w:val="000000" w:themeColor="text1"/>
                <w:szCs w:val="24"/>
                <w14:textFill>
                  <w14:solidFill>
                    <w14:schemeClr w14:val="tx1"/>
                  </w14:solidFill>
                </w14:textFill>
              </w:rPr>
              <w:t>。</w:t>
            </w:r>
          </w:p>
          <w:p w14:paraId="55780249">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表2.1-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本次扩建项目主要原辅材料及能源消耗情况</w:t>
            </w:r>
          </w:p>
          <w:tbl>
            <w:tblPr>
              <w:tblStyle w:val="226"/>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156"/>
              <w:gridCol w:w="2175"/>
              <w:gridCol w:w="1737"/>
              <w:gridCol w:w="2468"/>
            </w:tblGrid>
            <w:tr w14:paraId="5F28C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Align w:val="center"/>
                </w:tcPr>
                <w:p w14:paraId="676A12E7">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类别</w:t>
                  </w:r>
                </w:p>
              </w:tc>
              <w:tc>
                <w:tcPr>
                  <w:tcW w:w="1156" w:type="dxa"/>
                  <w:vAlign w:val="center"/>
                </w:tcPr>
                <w:p w14:paraId="586D934F">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产品</w:t>
                  </w:r>
                </w:p>
                <w:p w14:paraId="41F5FEEB">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名称</w:t>
                  </w:r>
                </w:p>
              </w:tc>
              <w:tc>
                <w:tcPr>
                  <w:tcW w:w="2175" w:type="dxa"/>
                  <w:vAlign w:val="center"/>
                </w:tcPr>
                <w:p w14:paraId="5AA58C1B">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原料名称</w:t>
                  </w:r>
                </w:p>
              </w:tc>
              <w:tc>
                <w:tcPr>
                  <w:tcW w:w="1737" w:type="dxa"/>
                  <w:vAlign w:val="center"/>
                </w:tcPr>
                <w:p w14:paraId="2F93E11E">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年使用量t/a</w:t>
                  </w:r>
                </w:p>
              </w:tc>
              <w:tc>
                <w:tcPr>
                  <w:tcW w:w="2468" w:type="dxa"/>
                  <w:vAlign w:val="center"/>
                </w:tcPr>
                <w:p w14:paraId="042F92AB">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来源</w:t>
                  </w:r>
                </w:p>
              </w:tc>
            </w:tr>
            <w:tr w14:paraId="40E98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restart"/>
                  <w:vAlign w:val="center"/>
                </w:tcPr>
                <w:p w14:paraId="1330099E">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原辅料</w:t>
                  </w:r>
                </w:p>
              </w:tc>
              <w:tc>
                <w:tcPr>
                  <w:tcW w:w="1156" w:type="dxa"/>
                  <w:vMerge w:val="restart"/>
                  <w:vAlign w:val="center"/>
                </w:tcPr>
                <w:p w14:paraId="2992B14E">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喷砂处理工序</w:t>
                  </w:r>
                </w:p>
              </w:tc>
              <w:tc>
                <w:tcPr>
                  <w:tcW w:w="2175" w:type="dxa"/>
                  <w:vAlign w:val="center"/>
                </w:tcPr>
                <w:p w14:paraId="6CEDC5F7">
                  <w:pPr>
                    <w:widowControl w:val="0"/>
                    <w:topLinePunct/>
                    <w:spacing w:after="0" w:line="240" w:lineRule="auto"/>
                    <w:jc w:val="center"/>
                    <w:rPr>
                      <w:rFonts w:ascii="Times New Roman" w:hAnsi="Times New Roman" w:eastAsia="宋体" w:cs="Times New Roman"/>
                      <w:color w:val="000000" w:themeColor="text1"/>
                      <w:sz w:val="21"/>
                      <w:szCs w:val="21"/>
                      <w:lang w:bidi="ar"/>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各类智能配电设备和新能源产品储充外壳</w:t>
                  </w:r>
                </w:p>
              </w:tc>
              <w:tc>
                <w:tcPr>
                  <w:tcW w:w="1737" w:type="dxa"/>
                  <w:vAlign w:val="center"/>
                </w:tcPr>
                <w:p w14:paraId="120EDA89">
                  <w:pPr>
                    <w:pStyle w:val="172"/>
                    <w:widowControl w:val="0"/>
                    <w:topLinePunct/>
                    <w:spacing w:after="0" w:line="240" w:lineRule="auto"/>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15万件/a</w:t>
                  </w:r>
                </w:p>
              </w:tc>
              <w:tc>
                <w:tcPr>
                  <w:tcW w:w="2468" w:type="dxa"/>
                  <w:vAlign w:val="center"/>
                </w:tcPr>
                <w:p w14:paraId="45416885">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本厂现有工程生产</w:t>
                  </w:r>
                </w:p>
              </w:tc>
            </w:tr>
            <w:tr w14:paraId="01607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vAlign w:val="center"/>
                </w:tcPr>
                <w:p w14:paraId="525A0CB3">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1156" w:type="dxa"/>
                  <w:vMerge w:val="continue"/>
                  <w:vAlign w:val="center"/>
                </w:tcPr>
                <w:p w14:paraId="40A479BF">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2175" w:type="dxa"/>
                  <w:vAlign w:val="center"/>
                </w:tcPr>
                <w:p w14:paraId="5E41D94F">
                  <w:pPr>
                    <w:widowControl w:val="0"/>
                    <w:topLinePunct/>
                    <w:spacing w:after="0" w:line="240" w:lineRule="auto"/>
                    <w:jc w:val="center"/>
                    <w:rPr>
                      <w:rFonts w:ascii="Times New Roman" w:hAnsi="Times New Roman" w:eastAsia="宋体" w:cs="Times New Roman"/>
                      <w:color w:val="000000" w:themeColor="text1"/>
                      <w:sz w:val="21"/>
                      <w:szCs w:val="21"/>
                      <w:lang w:bidi="ar"/>
                      <w14:textFill>
                        <w14:solidFill>
                          <w14:schemeClr w14:val="tx1"/>
                        </w14:solidFill>
                      </w14:textFill>
                    </w:rPr>
                  </w:pPr>
                  <w:r>
                    <w:rPr>
                      <w:rFonts w:hint="eastAsia" w:ascii="Times New Roman" w:hAnsi="Times New Roman" w:eastAsia="宋体" w:cs="Times New Roman"/>
                      <w:color w:val="000000" w:themeColor="text1"/>
                      <w:sz w:val="21"/>
                      <w:szCs w:val="21"/>
                      <w:lang w:bidi="ar"/>
                      <w14:textFill>
                        <w14:solidFill>
                          <w14:schemeClr w14:val="tx1"/>
                        </w14:solidFill>
                      </w14:textFill>
                    </w:rPr>
                    <w:t>钢丸</w:t>
                  </w:r>
                </w:p>
              </w:tc>
              <w:tc>
                <w:tcPr>
                  <w:tcW w:w="1737" w:type="dxa"/>
                  <w:vAlign w:val="center"/>
                </w:tcPr>
                <w:p w14:paraId="0913A4EB">
                  <w:pPr>
                    <w:pStyle w:val="172"/>
                    <w:widowControl w:val="0"/>
                    <w:topLinePunct/>
                    <w:spacing w:after="0" w:line="240" w:lineRule="auto"/>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10</w:t>
                  </w:r>
                </w:p>
              </w:tc>
              <w:tc>
                <w:tcPr>
                  <w:tcW w:w="2468" w:type="dxa"/>
                  <w:vAlign w:val="center"/>
                </w:tcPr>
                <w:p w14:paraId="33155CA2">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外购</w:t>
                  </w:r>
                </w:p>
              </w:tc>
            </w:tr>
            <w:tr w14:paraId="46912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vAlign w:val="center"/>
                </w:tcPr>
                <w:p w14:paraId="56077097">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1156" w:type="dxa"/>
                  <w:vAlign w:val="center"/>
                </w:tcPr>
                <w:p w14:paraId="65E1F4CD">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新能源储充产品</w:t>
                  </w:r>
                </w:p>
              </w:tc>
              <w:tc>
                <w:tcPr>
                  <w:tcW w:w="6380" w:type="dxa"/>
                  <w:gridSpan w:val="3"/>
                  <w:vAlign w:val="center"/>
                </w:tcPr>
                <w:p w14:paraId="2B7D9F6D">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采购成品配件，种类较多，具体清单见附件</w:t>
                  </w:r>
                  <w:r>
                    <w:rPr>
                      <w:rFonts w:hint="eastAsia" w:ascii="Times New Roman" w:hAnsi="Times New Roman" w:eastAsia="宋体" w:cs="Times New Roman"/>
                      <w:color w:val="000000" w:themeColor="text1"/>
                      <w:sz w:val="21"/>
                      <w:szCs w:val="21"/>
                      <w14:textFill>
                        <w14:solidFill>
                          <w14:schemeClr w14:val="tx1"/>
                        </w14:solidFill>
                      </w14:textFill>
                    </w:rPr>
                    <w:t>12</w:t>
                  </w:r>
                </w:p>
              </w:tc>
            </w:tr>
            <w:tr w14:paraId="482CE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restart"/>
                  <w:vAlign w:val="center"/>
                </w:tcPr>
                <w:p w14:paraId="6079D08A">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资源、能源</w:t>
                  </w:r>
                </w:p>
              </w:tc>
              <w:tc>
                <w:tcPr>
                  <w:tcW w:w="3331" w:type="dxa"/>
                  <w:gridSpan w:val="2"/>
                  <w:vAlign w:val="center"/>
                </w:tcPr>
                <w:p w14:paraId="568ADCC0">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水</w:t>
                  </w:r>
                </w:p>
              </w:tc>
              <w:tc>
                <w:tcPr>
                  <w:tcW w:w="1737" w:type="dxa"/>
                  <w:vAlign w:val="center"/>
                </w:tcPr>
                <w:p w14:paraId="4C25C128">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w:t>
                  </w:r>
                  <w:r>
                    <w:rPr>
                      <w:rFonts w:ascii="Times New Roman" w:hAnsi="Times New Roman" w:eastAsia="宋体" w:cs="Times New Roman"/>
                      <w:color w:val="000000" w:themeColor="text1"/>
                      <w:sz w:val="21"/>
                      <w:szCs w:val="21"/>
                      <w14:textFill>
                        <w14:solidFill>
                          <w14:schemeClr w14:val="tx1"/>
                        </w14:solidFill>
                      </w14:textFill>
                    </w:rPr>
                    <w:t>t/a</w:t>
                  </w:r>
                </w:p>
              </w:tc>
              <w:tc>
                <w:tcPr>
                  <w:tcW w:w="2468" w:type="dxa"/>
                  <w:vAlign w:val="center"/>
                </w:tcPr>
                <w:p w14:paraId="56C16BE7">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14:paraId="6FD0B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1" w:type="dxa"/>
                  <w:vMerge w:val="continue"/>
                  <w:vAlign w:val="center"/>
                </w:tcPr>
                <w:p w14:paraId="528E9E91">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3331" w:type="dxa"/>
                  <w:gridSpan w:val="2"/>
                  <w:vAlign w:val="center"/>
                </w:tcPr>
                <w:p w14:paraId="247B027E">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电（万kwh）</w:t>
                  </w:r>
                </w:p>
              </w:tc>
              <w:tc>
                <w:tcPr>
                  <w:tcW w:w="1737" w:type="dxa"/>
                  <w:vAlign w:val="center"/>
                </w:tcPr>
                <w:p w14:paraId="69405E7C">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w:t>
                  </w:r>
                  <w:r>
                    <w:rPr>
                      <w:rFonts w:ascii="Times New Roman" w:hAnsi="Times New Roman" w:eastAsia="宋体" w:cs="Times New Roman"/>
                      <w:color w:val="000000" w:themeColor="text1"/>
                      <w:sz w:val="21"/>
                      <w:szCs w:val="21"/>
                      <w14:textFill>
                        <w14:solidFill>
                          <w14:schemeClr w14:val="tx1"/>
                        </w14:solidFill>
                      </w14:textFill>
                    </w:rPr>
                    <w:t>万kW·h/a</w:t>
                  </w:r>
                </w:p>
              </w:tc>
              <w:tc>
                <w:tcPr>
                  <w:tcW w:w="2468" w:type="dxa"/>
                  <w:vAlign w:val="center"/>
                </w:tcPr>
                <w:p w14:paraId="4CE8BB4E">
                  <w:pPr>
                    <w:pStyle w:val="156"/>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市政电网</w:t>
                  </w:r>
                </w:p>
              </w:tc>
            </w:tr>
          </w:tbl>
          <w:p w14:paraId="30854B00">
            <w:pPr>
              <w:spacing w:after="0" w:line="360" w:lineRule="auto"/>
              <w:ind w:firstLine="480" w:firstLineChars="200"/>
              <w:jc w:val="both"/>
              <w:rPr>
                <w:rFonts w:ascii="Times New Roman" w:hAnsi="Times New Roman" w:eastAsia="宋体" w:cs="Times New Roman"/>
                <w:color w:val="000000" w:themeColor="text1"/>
                <w:szCs w:val="24"/>
                <w:lang w:bidi="ar"/>
                <w14:textFill>
                  <w14:solidFill>
                    <w14:schemeClr w14:val="tx1"/>
                  </w14:solidFill>
                </w14:textFill>
              </w:rPr>
            </w:pPr>
          </w:p>
          <w:p w14:paraId="6A25497A">
            <w:pPr>
              <w:spacing w:after="0" w:line="360" w:lineRule="auto"/>
              <w:ind w:firstLine="480" w:firstLineChars="200"/>
              <w:jc w:val="both"/>
              <w:rPr>
                <w:rFonts w:ascii="Times New Roman" w:hAnsi="Times New Roman" w:eastAsia="宋体" w:cs="Times New Roman"/>
                <w:color w:val="000000" w:themeColor="text1"/>
                <w:szCs w:val="24"/>
                <w:lang w:bidi="ar"/>
                <w14:textFill>
                  <w14:solidFill>
                    <w14:schemeClr w14:val="tx1"/>
                  </w14:solidFill>
                </w14:textFill>
              </w:rPr>
            </w:pPr>
          </w:p>
          <w:p w14:paraId="6D87311C">
            <w:pPr>
              <w:widowControl w:val="0"/>
              <w:topLinePunct/>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2.1.7 主要生产单元及主要生产设备</w:t>
            </w:r>
          </w:p>
          <w:p w14:paraId="24933F9A">
            <w:pPr>
              <w:pStyle w:val="14"/>
              <w:widowControl w:val="0"/>
              <w:topLinePunct/>
              <w:spacing w:after="0"/>
              <w:ind w:firstLine="48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本次扩建项目主要生产设备见表2.1-</w:t>
            </w:r>
            <w:r>
              <w:rPr>
                <w:rFonts w:hint="eastAsia" w:ascii="Times New Roman" w:hAnsi="Times New Roman" w:eastAsia="宋体" w:cs="Times New Roman"/>
                <w:color w:val="000000" w:themeColor="text1"/>
                <w:szCs w:val="24"/>
                <w14:textFill>
                  <w14:solidFill>
                    <w14:schemeClr w14:val="tx1"/>
                  </w14:solidFill>
                </w14:textFill>
              </w:rPr>
              <w:t>5</w:t>
            </w:r>
            <w:r>
              <w:rPr>
                <w:rFonts w:ascii="Times New Roman" w:hAnsi="Times New Roman" w:eastAsia="宋体" w:cs="Times New Roman"/>
                <w:color w:val="000000" w:themeColor="text1"/>
                <w:szCs w:val="24"/>
                <w14:textFill>
                  <w14:solidFill>
                    <w14:schemeClr w14:val="tx1"/>
                  </w14:solidFill>
                </w14:textFill>
              </w:rPr>
              <w:t>。</w:t>
            </w:r>
          </w:p>
          <w:p w14:paraId="5E7F4CB8">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表2.1-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本次扩建项目主要生产设备清单</w:t>
            </w:r>
          </w:p>
          <w:tbl>
            <w:tblPr>
              <w:tblStyle w:val="226"/>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99"/>
              <w:gridCol w:w="2408"/>
              <w:gridCol w:w="2368"/>
              <w:gridCol w:w="1243"/>
            </w:tblGrid>
            <w:tr w14:paraId="3E565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Align w:val="center"/>
                </w:tcPr>
                <w:p w14:paraId="6E469801">
                  <w:pPr>
                    <w:pStyle w:val="221"/>
                  </w:pPr>
                  <w:r>
                    <w:t>类别</w:t>
                  </w:r>
                </w:p>
              </w:tc>
              <w:tc>
                <w:tcPr>
                  <w:tcW w:w="1299" w:type="dxa"/>
                  <w:vAlign w:val="center"/>
                </w:tcPr>
                <w:p w14:paraId="57D2C67C">
                  <w:pPr>
                    <w:pStyle w:val="221"/>
                  </w:pPr>
                  <w:r>
                    <w:t>序号</w:t>
                  </w:r>
                </w:p>
              </w:tc>
              <w:tc>
                <w:tcPr>
                  <w:tcW w:w="2408" w:type="dxa"/>
                  <w:vAlign w:val="center"/>
                </w:tcPr>
                <w:p w14:paraId="044A5376">
                  <w:pPr>
                    <w:pStyle w:val="221"/>
                  </w:pPr>
                  <w:r>
                    <w:t>设备名称</w:t>
                  </w:r>
                </w:p>
              </w:tc>
              <w:tc>
                <w:tcPr>
                  <w:tcW w:w="2368" w:type="dxa"/>
                  <w:vAlign w:val="center"/>
                </w:tcPr>
                <w:p w14:paraId="58EED847">
                  <w:pPr>
                    <w:pStyle w:val="221"/>
                  </w:pPr>
                  <w:r>
                    <w:t>设备型号/参数</w:t>
                  </w:r>
                </w:p>
              </w:tc>
              <w:tc>
                <w:tcPr>
                  <w:tcW w:w="1243" w:type="dxa"/>
                  <w:vAlign w:val="center"/>
                </w:tcPr>
                <w:p w14:paraId="7BE0442B">
                  <w:pPr>
                    <w:pStyle w:val="221"/>
                  </w:pPr>
                  <w:r>
                    <w:t>（台/套）</w:t>
                  </w:r>
                </w:p>
              </w:tc>
            </w:tr>
            <w:tr w14:paraId="7A802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restart"/>
                  <w:vAlign w:val="center"/>
                </w:tcPr>
                <w:p w14:paraId="65396115">
                  <w:pPr>
                    <w:pStyle w:val="221"/>
                  </w:pPr>
                  <w:r>
                    <w:rPr>
                      <w:rFonts w:hint="eastAsia"/>
                    </w:rPr>
                    <w:t>喷砂处理工序</w:t>
                  </w:r>
                </w:p>
              </w:tc>
              <w:tc>
                <w:tcPr>
                  <w:tcW w:w="7318" w:type="dxa"/>
                  <w:gridSpan w:val="4"/>
                  <w:vAlign w:val="center"/>
                </w:tcPr>
                <w:p w14:paraId="030EEC8B">
                  <w:pPr>
                    <w:pStyle w:val="221"/>
                  </w:pPr>
                  <w:r>
                    <w:rPr>
                      <w:rFonts w:hint="eastAsia"/>
                    </w:rPr>
                    <w:t>喷砂房L8500×W5000×H6000（mm）1套，包含以下设备</w:t>
                  </w:r>
                </w:p>
              </w:tc>
            </w:tr>
            <w:tr w14:paraId="71C36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41C7584D">
                  <w:pPr>
                    <w:pStyle w:val="221"/>
                    <w:rPr>
                      <w:rStyle w:val="64"/>
                      <w:rFonts w:hint="default" w:ascii="Times New Roman" w:hAnsi="Times New Roman" w:cs="Times New Roman"/>
                      <w:spacing w:val="0"/>
                      <w:sz w:val="21"/>
                      <w:szCs w:val="24"/>
                    </w:rPr>
                  </w:pPr>
                </w:p>
              </w:tc>
              <w:tc>
                <w:tcPr>
                  <w:tcW w:w="1299" w:type="dxa"/>
                  <w:vAlign w:val="center"/>
                </w:tcPr>
                <w:p w14:paraId="509CD86B">
                  <w:pPr>
                    <w:pStyle w:val="221"/>
                    <w:rPr>
                      <w:rStyle w:val="64"/>
                      <w:rFonts w:hint="default" w:ascii="Times New Roman" w:hAnsi="Times New Roman" w:cs="Times New Roman"/>
                      <w:spacing w:val="0"/>
                      <w:sz w:val="21"/>
                      <w:szCs w:val="24"/>
                    </w:rPr>
                  </w:pPr>
                  <w:r>
                    <w:rPr>
                      <w:rStyle w:val="64"/>
                      <w:rFonts w:hint="default" w:ascii="Times New Roman" w:hAnsi="Times New Roman" w:cs="Times New Roman"/>
                      <w:spacing w:val="0"/>
                      <w:sz w:val="21"/>
                      <w:szCs w:val="24"/>
                    </w:rPr>
                    <w:t>1</w:t>
                  </w:r>
                </w:p>
              </w:tc>
              <w:tc>
                <w:tcPr>
                  <w:tcW w:w="2408" w:type="dxa"/>
                  <w:vAlign w:val="center"/>
                </w:tcPr>
                <w:p w14:paraId="6A34FCAA">
                  <w:pPr>
                    <w:pStyle w:val="221"/>
                    <w:rPr>
                      <w:rStyle w:val="64"/>
                      <w:rFonts w:hint="default" w:ascii="Times New Roman" w:hAnsi="Times New Roman" w:cs="Times New Roman"/>
                      <w:spacing w:val="0"/>
                      <w:sz w:val="21"/>
                      <w:szCs w:val="24"/>
                    </w:rPr>
                  </w:pPr>
                  <w:r>
                    <w:rPr>
                      <w:rFonts w:hint="eastAsia"/>
                    </w:rPr>
                    <w:t>丸尘分离器</w:t>
                  </w:r>
                </w:p>
              </w:tc>
              <w:tc>
                <w:tcPr>
                  <w:tcW w:w="2368" w:type="dxa"/>
                  <w:vAlign w:val="center"/>
                </w:tcPr>
                <w:p w14:paraId="79C2C48F">
                  <w:pPr>
                    <w:pStyle w:val="221"/>
                  </w:pPr>
                  <w:r>
                    <w:rPr>
                      <w:rFonts w:hint="eastAsia"/>
                    </w:rPr>
                    <w:t>650*1000</w:t>
                  </w:r>
                </w:p>
              </w:tc>
              <w:tc>
                <w:tcPr>
                  <w:tcW w:w="1243" w:type="dxa"/>
                  <w:vAlign w:val="center"/>
                </w:tcPr>
                <w:p w14:paraId="4CF9DE50">
                  <w:pPr>
                    <w:pStyle w:val="221"/>
                  </w:pPr>
                  <w:r>
                    <w:rPr>
                      <w:rFonts w:hint="eastAsia"/>
                    </w:rPr>
                    <w:t>1套</w:t>
                  </w:r>
                </w:p>
              </w:tc>
            </w:tr>
            <w:tr w14:paraId="2C586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4179275D">
                  <w:pPr>
                    <w:pStyle w:val="221"/>
                    <w:rPr>
                      <w:rStyle w:val="64"/>
                      <w:rFonts w:hint="default" w:ascii="Times New Roman" w:hAnsi="Times New Roman" w:cs="Times New Roman"/>
                      <w:spacing w:val="0"/>
                      <w:sz w:val="21"/>
                      <w:szCs w:val="24"/>
                    </w:rPr>
                  </w:pPr>
                </w:p>
              </w:tc>
              <w:tc>
                <w:tcPr>
                  <w:tcW w:w="1299" w:type="dxa"/>
                  <w:vAlign w:val="center"/>
                </w:tcPr>
                <w:p w14:paraId="5E370B3C">
                  <w:pPr>
                    <w:pStyle w:val="221"/>
                    <w:rPr>
                      <w:rStyle w:val="64"/>
                      <w:rFonts w:hint="default" w:ascii="Times New Roman" w:hAnsi="Times New Roman" w:cs="Times New Roman"/>
                      <w:spacing w:val="0"/>
                      <w:sz w:val="21"/>
                      <w:szCs w:val="24"/>
                    </w:rPr>
                  </w:pPr>
                  <w:r>
                    <w:rPr>
                      <w:rStyle w:val="64"/>
                      <w:rFonts w:hint="default" w:ascii="Times New Roman" w:hAnsi="Times New Roman" w:cs="Times New Roman"/>
                      <w:spacing w:val="0"/>
                      <w:sz w:val="21"/>
                      <w:szCs w:val="24"/>
                    </w:rPr>
                    <w:t>2</w:t>
                  </w:r>
                </w:p>
              </w:tc>
              <w:tc>
                <w:tcPr>
                  <w:tcW w:w="2408" w:type="dxa"/>
                  <w:vAlign w:val="center"/>
                </w:tcPr>
                <w:p w14:paraId="458084BD">
                  <w:pPr>
                    <w:pStyle w:val="221"/>
                    <w:rPr>
                      <w:rStyle w:val="64"/>
                      <w:rFonts w:hint="default" w:ascii="Times New Roman" w:hAnsi="Times New Roman" w:cs="Times New Roman"/>
                      <w:spacing w:val="0"/>
                      <w:sz w:val="21"/>
                      <w:szCs w:val="24"/>
                    </w:rPr>
                  </w:pPr>
                  <w:r>
                    <w:rPr>
                      <w:rFonts w:hint="eastAsia"/>
                    </w:rPr>
                    <w:t>砂库</w:t>
                  </w:r>
                </w:p>
              </w:tc>
              <w:tc>
                <w:tcPr>
                  <w:tcW w:w="2368" w:type="dxa"/>
                  <w:vAlign w:val="center"/>
                </w:tcPr>
                <w:p w14:paraId="70C7F1D8">
                  <w:pPr>
                    <w:pStyle w:val="221"/>
                  </w:pPr>
                  <w:r>
                    <w:rPr>
                      <w:rFonts w:hint="eastAsia"/>
                    </w:rPr>
                    <w:t>1400*1400*1700</w:t>
                  </w:r>
                </w:p>
              </w:tc>
              <w:tc>
                <w:tcPr>
                  <w:tcW w:w="1243" w:type="dxa"/>
                  <w:vAlign w:val="center"/>
                </w:tcPr>
                <w:p w14:paraId="358972B0">
                  <w:pPr>
                    <w:pStyle w:val="221"/>
                  </w:pPr>
                  <w:r>
                    <w:rPr>
                      <w:rFonts w:hint="eastAsia"/>
                    </w:rPr>
                    <w:t>1套</w:t>
                  </w:r>
                </w:p>
              </w:tc>
            </w:tr>
            <w:tr w14:paraId="15169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372BC6E5">
                  <w:pPr>
                    <w:pStyle w:val="221"/>
                    <w:rPr>
                      <w:rStyle w:val="64"/>
                      <w:rFonts w:hint="default" w:ascii="Times New Roman" w:hAnsi="Times New Roman" w:cs="Times New Roman"/>
                      <w:spacing w:val="0"/>
                      <w:sz w:val="21"/>
                      <w:szCs w:val="24"/>
                    </w:rPr>
                  </w:pPr>
                </w:p>
              </w:tc>
              <w:tc>
                <w:tcPr>
                  <w:tcW w:w="1299" w:type="dxa"/>
                  <w:vAlign w:val="center"/>
                </w:tcPr>
                <w:p w14:paraId="5FA137FE">
                  <w:pPr>
                    <w:pStyle w:val="221"/>
                    <w:rPr>
                      <w:rStyle w:val="64"/>
                      <w:rFonts w:hint="default" w:ascii="Times New Roman" w:hAnsi="Times New Roman" w:cs="Times New Roman"/>
                      <w:spacing w:val="0"/>
                      <w:sz w:val="21"/>
                      <w:szCs w:val="24"/>
                    </w:rPr>
                  </w:pPr>
                  <w:r>
                    <w:rPr>
                      <w:rStyle w:val="64"/>
                      <w:rFonts w:hint="default" w:ascii="Times New Roman" w:hAnsi="Times New Roman" w:cs="Times New Roman"/>
                      <w:spacing w:val="0"/>
                      <w:sz w:val="21"/>
                      <w:szCs w:val="24"/>
                    </w:rPr>
                    <w:t>3</w:t>
                  </w:r>
                </w:p>
              </w:tc>
              <w:tc>
                <w:tcPr>
                  <w:tcW w:w="2408" w:type="dxa"/>
                  <w:vAlign w:val="center"/>
                </w:tcPr>
                <w:p w14:paraId="6C634756">
                  <w:pPr>
                    <w:pStyle w:val="221"/>
                    <w:rPr>
                      <w:rStyle w:val="64"/>
                      <w:rFonts w:hint="default" w:ascii="Times New Roman" w:hAnsi="Times New Roman" w:cs="Times New Roman"/>
                      <w:spacing w:val="0"/>
                      <w:sz w:val="21"/>
                      <w:szCs w:val="24"/>
                    </w:rPr>
                  </w:pPr>
                  <w:r>
                    <w:rPr>
                      <w:rFonts w:hint="eastAsia"/>
                    </w:rPr>
                    <w:t>皮带输送机</w:t>
                  </w:r>
                </w:p>
              </w:tc>
              <w:tc>
                <w:tcPr>
                  <w:tcW w:w="2368" w:type="dxa"/>
                  <w:vAlign w:val="center"/>
                </w:tcPr>
                <w:p w14:paraId="3358550A">
                  <w:pPr>
                    <w:pStyle w:val="221"/>
                  </w:pPr>
                  <w:r>
                    <w:rPr>
                      <w:rFonts w:hint="eastAsia"/>
                    </w:rPr>
                    <w:t>8200*800*1000mm</w:t>
                  </w:r>
                </w:p>
              </w:tc>
              <w:tc>
                <w:tcPr>
                  <w:tcW w:w="1243" w:type="dxa"/>
                  <w:vAlign w:val="center"/>
                </w:tcPr>
                <w:p w14:paraId="65559078">
                  <w:pPr>
                    <w:pStyle w:val="221"/>
                  </w:pPr>
                  <w:r>
                    <w:rPr>
                      <w:rFonts w:hint="eastAsia"/>
                    </w:rPr>
                    <w:t>3套</w:t>
                  </w:r>
                </w:p>
              </w:tc>
            </w:tr>
            <w:tr w14:paraId="2DA57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0890BDD7">
                  <w:pPr>
                    <w:pStyle w:val="221"/>
                    <w:rPr>
                      <w:rStyle w:val="64"/>
                      <w:rFonts w:hint="default" w:ascii="Times New Roman" w:hAnsi="Times New Roman" w:cs="Times New Roman"/>
                      <w:spacing w:val="0"/>
                      <w:sz w:val="21"/>
                      <w:szCs w:val="24"/>
                    </w:rPr>
                  </w:pPr>
                </w:p>
              </w:tc>
              <w:tc>
                <w:tcPr>
                  <w:tcW w:w="1299" w:type="dxa"/>
                  <w:vAlign w:val="center"/>
                </w:tcPr>
                <w:p w14:paraId="49207A35">
                  <w:pPr>
                    <w:pStyle w:val="221"/>
                    <w:rPr>
                      <w:rStyle w:val="64"/>
                      <w:rFonts w:hint="default" w:ascii="Times New Roman" w:hAnsi="Times New Roman" w:cs="Times New Roman"/>
                      <w:spacing w:val="0"/>
                      <w:sz w:val="21"/>
                      <w:szCs w:val="24"/>
                    </w:rPr>
                  </w:pPr>
                  <w:r>
                    <w:rPr>
                      <w:rStyle w:val="64"/>
                      <w:rFonts w:hint="default" w:ascii="Times New Roman" w:hAnsi="Times New Roman" w:cs="Times New Roman"/>
                      <w:spacing w:val="0"/>
                      <w:sz w:val="21"/>
                      <w:szCs w:val="24"/>
                    </w:rPr>
                    <w:t>4</w:t>
                  </w:r>
                </w:p>
              </w:tc>
              <w:tc>
                <w:tcPr>
                  <w:tcW w:w="2408" w:type="dxa"/>
                  <w:vAlign w:val="center"/>
                </w:tcPr>
                <w:p w14:paraId="41B91DD0">
                  <w:pPr>
                    <w:pStyle w:val="221"/>
                    <w:rPr>
                      <w:rStyle w:val="64"/>
                      <w:rFonts w:hint="default" w:ascii="Times New Roman" w:hAnsi="Times New Roman" w:cs="Times New Roman"/>
                      <w:spacing w:val="0"/>
                      <w:sz w:val="21"/>
                      <w:szCs w:val="24"/>
                    </w:rPr>
                  </w:pPr>
                  <w:r>
                    <w:rPr>
                      <w:rFonts w:hint="eastAsia"/>
                    </w:rPr>
                    <w:t>提升机</w:t>
                  </w:r>
                </w:p>
              </w:tc>
              <w:tc>
                <w:tcPr>
                  <w:tcW w:w="2368" w:type="dxa"/>
                  <w:vAlign w:val="center"/>
                </w:tcPr>
                <w:p w14:paraId="0CD7D68E">
                  <w:pPr>
                    <w:pStyle w:val="221"/>
                  </w:pPr>
                  <w:r>
                    <w:rPr>
                      <w:rFonts w:hint="eastAsia"/>
                    </w:rPr>
                    <w:t>7500*650*300</w:t>
                  </w:r>
                </w:p>
              </w:tc>
              <w:tc>
                <w:tcPr>
                  <w:tcW w:w="1243" w:type="dxa"/>
                  <w:vAlign w:val="center"/>
                </w:tcPr>
                <w:p w14:paraId="297A2A90">
                  <w:pPr>
                    <w:pStyle w:val="221"/>
                  </w:pPr>
                  <w:r>
                    <w:rPr>
                      <w:rFonts w:hint="eastAsia"/>
                    </w:rPr>
                    <w:t>1套</w:t>
                  </w:r>
                </w:p>
              </w:tc>
            </w:tr>
            <w:tr w14:paraId="3DE94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005A11F9">
                  <w:pPr>
                    <w:pStyle w:val="221"/>
                    <w:rPr>
                      <w:rStyle w:val="64"/>
                      <w:rFonts w:hint="default" w:ascii="Times New Roman" w:hAnsi="Times New Roman" w:cs="Times New Roman"/>
                      <w:spacing w:val="0"/>
                      <w:sz w:val="21"/>
                      <w:szCs w:val="24"/>
                    </w:rPr>
                  </w:pPr>
                </w:p>
              </w:tc>
              <w:tc>
                <w:tcPr>
                  <w:tcW w:w="1299" w:type="dxa"/>
                  <w:vAlign w:val="center"/>
                </w:tcPr>
                <w:p w14:paraId="257306C0">
                  <w:pPr>
                    <w:pStyle w:val="221"/>
                    <w:rPr>
                      <w:rStyle w:val="64"/>
                      <w:rFonts w:hint="default" w:ascii="Times New Roman" w:hAnsi="Times New Roman" w:cs="Times New Roman"/>
                      <w:spacing w:val="0"/>
                      <w:sz w:val="21"/>
                      <w:szCs w:val="24"/>
                    </w:rPr>
                  </w:pPr>
                  <w:r>
                    <w:rPr>
                      <w:rStyle w:val="64"/>
                      <w:rFonts w:hint="default" w:ascii="Times New Roman" w:hAnsi="Times New Roman" w:cs="Times New Roman"/>
                      <w:spacing w:val="0"/>
                      <w:sz w:val="21"/>
                      <w:szCs w:val="24"/>
                    </w:rPr>
                    <w:t>5</w:t>
                  </w:r>
                </w:p>
              </w:tc>
              <w:tc>
                <w:tcPr>
                  <w:tcW w:w="2408" w:type="dxa"/>
                  <w:vAlign w:val="center"/>
                </w:tcPr>
                <w:p w14:paraId="7D2B3BD4">
                  <w:pPr>
                    <w:pStyle w:val="221"/>
                    <w:rPr>
                      <w:rStyle w:val="64"/>
                      <w:rFonts w:hint="default" w:ascii="Times New Roman" w:hAnsi="Times New Roman" w:cs="Times New Roman"/>
                      <w:spacing w:val="0"/>
                      <w:sz w:val="21"/>
                      <w:szCs w:val="24"/>
                    </w:rPr>
                  </w:pPr>
                  <w:r>
                    <w:rPr>
                      <w:rFonts w:hint="eastAsia"/>
                    </w:rPr>
                    <w:t>风机</w:t>
                  </w:r>
                </w:p>
              </w:tc>
              <w:tc>
                <w:tcPr>
                  <w:tcW w:w="2368" w:type="dxa"/>
                  <w:vAlign w:val="center"/>
                </w:tcPr>
                <w:p w14:paraId="07A3E4B6">
                  <w:pPr>
                    <w:pStyle w:val="221"/>
                  </w:pPr>
                  <w:r>
                    <w:rPr>
                      <w:rFonts w:hint="eastAsia"/>
                    </w:rPr>
                    <w:t>37kw10C</w:t>
                  </w:r>
                </w:p>
              </w:tc>
              <w:tc>
                <w:tcPr>
                  <w:tcW w:w="1243" w:type="dxa"/>
                  <w:vAlign w:val="center"/>
                </w:tcPr>
                <w:p w14:paraId="427ABD11">
                  <w:pPr>
                    <w:pStyle w:val="221"/>
                  </w:pPr>
                  <w:r>
                    <w:rPr>
                      <w:rFonts w:hint="eastAsia"/>
                    </w:rPr>
                    <w:t>1台</w:t>
                  </w:r>
                </w:p>
              </w:tc>
            </w:tr>
            <w:tr w14:paraId="346ED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2644E0A7">
                  <w:pPr>
                    <w:pStyle w:val="221"/>
                    <w:rPr>
                      <w:rStyle w:val="64"/>
                      <w:rFonts w:hint="default" w:ascii="Times New Roman" w:hAnsi="Times New Roman" w:cs="Times New Roman"/>
                      <w:spacing w:val="0"/>
                      <w:sz w:val="21"/>
                      <w:szCs w:val="24"/>
                    </w:rPr>
                  </w:pPr>
                </w:p>
              </w:tc>
              <w:tc>
                <w:tcPr>
                  <w:tcW w:w="1299" w:type="dxa"/>
                  <w:vAlign w:val="center"/>
                </w:tcPr>
                <w:p w14:paraId="265BFBE8">
                  <w:pPr>
                    <w:pStyle w:val="221"/>
                    <w:rPr>
                      <w:rStyle w:val="64"/>
                      <w:rFonts w:hint="default" w:ascii="Times New Roman" w:hAnsi="Times New Roman" w:cs="Times New Roman"/>
                      <w:spacing w:val="0"/>
                      <w:sz w:val="21"/>
                      <w:szCs w:val="24"/>
                    </w:rPr>
                  </w:pPr>
                  <w:r>
                    <w:rPr>
                      <w:rStyle w:val="64"/>
                      <w:rFonts w:hint="default" w:ascii="Times New Roman" w:hAnsi="Times New Roman" w:cs="Times New Roman"/>
                      <w:spacing w:val="0"/>
                      <w:sz w:val="21"/>
                      <w:szCs w:val="24"/>
                    </w:rPr>
                    <w:t>6</w:t>
                  </w:r>
                </w:p>
              </w:tc>
              <w:tc>
                <w:tcPr>
                  <w:tcW w:w="2408" w:type="dxa"/>
                  <w:vAlign w:val="center"/>
                </w:tcPr>
                <w:p w14:paraId="3D39F4F3">
                  <w:pPr>
                    <w:pStyle w:val="221"/>
                    <w:rPr>
                      <w:rStyle w:val="64"/>
                      <w:rFonts w:hint="default" w:ascii="Times New Roman" w:hAnsi="Times New Roman" w:cs="Times New Roman"/>
                      <w:spacing w:val="0"/>
                      <w:sz w:val="21"/>
                      <w:szCs w:val="24"/>
                    </w:rPr>
                  </w:pPr>
                  <w:r>
                    <w:rPr>
                      <w:rFonts w:hint="eastAsia"/>
                    </w:rPr>
                    <w:t>滤筒除尘器</w:t>
                  </w:r>
                </w:p>
              </w:tc>
              <w:tc>
                <w:tcPr>
                  <w:tcW w:w="2368" w:type="dxa"/>
                  <w:vAlign w:val="center"/>
                </w:tcPr>
                <w:p w14:paraId="6E81757A">
                  <w:pPr>
                    <w:pStyle w:val="221"/>
                  </w:pPr>
                  <w:r>
                    <w:rPr>
                      <w:rFonts w:hint="eastAsia"/>
                    </w:rPr>
                    <w:t>1850*2800*2910</w:t>
                  </w:r>
                </w:p>
              </w:tc>
              <w:tc>
                <w:tcPr>
                  <w:tcW w:w="1243" w:type="dxa"/>
                  <w:vAlign w:val="center"/>
                </w:tcPr>
                <w:p w14:paraId="42EC61B1">
                  <w:pPr>
                    <w:pStyle w:val="221"/>
                  </w:pPr>
                  <w:r>
                    <w:rPr>
                      <w:rFonts w:hint="eastAsia"/>
                    </w:rPr>
                    <w:t>1套</w:t>
                  </w:r>
                </w:p>
              </w:tc>
            </w:tr>
            <w:tr w14:paraId="1ACA6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57164F23">
                  <w:pPr>
                    <w:pStyle w:val="221"/>
                    <w:rPr>
                      <w:rStyle w:val="64"/>
                      <w:rFonts w:hint="default" w:ascii="Times New Roman" w:hAnsi="Times New Roman" w:cs="Times New Roman"/>
                      <w:spacing w:val="0"/>
                      <w:sz w:val="21"/>
                      <w:szCs w:val="24"/>
                    </w:rPr>
                  </w:pPr>
                </w:p>
              </w:tc>
              <w:tc>
                <w:tcPr>
                  <w:tcW w:w="1299" w:type="dxa"/>
                  <w:vAlign w:val="center"/>
                </w:tcPr>
                <w:p w14:paraId="208493B2">
                  <w:pPr>
                    <w:pStyle w:val="221"/>
                    <w:rPr>
                      <w:rStyle w:val="64"/>
                      <w:rFonts w:hint="default" w:ascii="Times New Roman" w:hAnsi="Times New Roman" w:cs="Times New Roman"/>
                      <w:spacing w:val="0"/>
                      <w:sz w:val="21"/>
                      <w:szCs w:val="24"/>
                    </w:rPr>
                  </w:pPr>
                  <w:r>
                    <w:rPr>
                      <w:rStyle w:val="64"/>
                      <w:rFonts w:hint="default" w:ascii="Times New Roman" w:hAnsi="Times New Roman" w:cs="Times New Roman"/>
                      <w:spacing w:val="0"/>
                      <w:sz w:val="21"/>
                      <w:szCs w:val="24"/>
                    </w:rPr>
                    <w:t>7</w:t>
                  </w:r>
                </w:p>
              </w:tc>
              <w:tc>
                <w:tcPr>
                  <w:tcW w:w="2408" w:type="dxa"/>
                  <w:vAlign w:val="center"/>
                </w:tcPr>
                <w:p w14:paraId="2AB5B94E">
                  <w:pPr>
                    <w:pStyle w:val="221"/>
                    <w:rPr>
                      <w:rStyle w:val="64"/>
                      <w:rFonts w:hint="default" w:ascii="Times New Roman" w:hAnsi="Times New Roman" w:cs="Times New Roman"/>
                      <w:spacing w:val="0"/>
                      <w:sz w:val="21"/>
                      <w:szCs w:val="24"/>
                    </w:rPr>
                  </w:pPr>
                  <w:r>
                    <w:rPr>
                      <w:rFonts w:hint="eastAsia"/>
                    </w:rPr>
                    <w:t>喷砂机</w:t>
                  </w:r>
                </w:p>
              </w:tc>
              <w:tc>
                <w:tcPr>
                  <w:tcW w:w="2368" w:type="dxa"/>
                  <w:vAlign w:val="center"/>
                </w:tcPr>
                <w:p w14:paraId="7BE595B8">
                  <w:pPr>
                    <w:pStyle w:val="221"/>
                  </w:pPr>
                  <w:r>
                    <w:rPr>
                      <w:rFonts w:hint="eastAsia"/>
                    </w:rPr>
                    <w:t>Ф900mm1m³</w:t>
                  </w:r>
                </w:p>
              </w:tc>
              <w:tc>
                <w:tcPr>
                  <w:tcW w:w="1243" w:type="dxa"/>
                  <w:vAlign w:val="center"/>
                </w:tcPr>
                <w:p w14:paraId="0228C1DE">
                  <w:pPr>
                    <w:pStyle w:val="221"/>
                  </w:pPr>
                  <w:r>
                    <w:rPr>
                      <w:rFonts w:hint="eastAsia"/>
                    </w:rPr>
                    <w:t>1套</w:t>
                  </w:r>
                </w:p>
              </w:tc>
            </w:tr>
            <w:tr w14:paraId="3D796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61D3965A">
                  <w:pPr>
                    <w:pStyle w:val="221"/>
                    <w:rPr>
                      <w:rStyle w:val="64"/>
                      <w:rFonts w:hint="default" w:ascii="Times New Roman" w:hAnsi="Times New Roman" w:cs="Times New Roman"/>
                      <w:spacing w:val="0"/>
                      <w:sz w:val="21"/>
                      <w:szCs w:val="24"/>
                    </w:rPr>
                  </w:pPr>
                </w:p>
              </w:tc>
              <w:tc>
                <w:tcPr>
                  <w:tcW w:w="1299" w:type="dxa"/>
                  <w:vAlign w:val="center"/>
                </w:tcPr>
                <w:p w14:paraId="247D5D77">
                  <w:pPr>
                    <w:pStyle w:val="221"/>
                    <w:rPr>
                      <w:rStyle w:val="64"/>
                      <w:rFonts w:hint="default" w:ascii="Times New Roman" w:hAnsi="Times New Roman" w:cs="Times New Roman"/>
                      <w:spacing w:val="0"/>
                      <w:sz w:val="21"/>
                      <w:szCs w:val="24"/>
                    </w:rPr>
                  </w:pPr>
                  <w:r>
                    <w:rPr>
                      <w:rStyle w:val="64"/>
                      <w:rFonts w:hint="default" w:ascii="Times New Roman" w:hAnsi="Times New Roman" w:cs="Times New Roman"/>
                      <w:spacing w:val="0"/>
                      <w:sz w:val="21"/>
                      <w:szCs w:val="24"/>
                    </w:rPr>
                    <w:t>8</w:t>
                  </w:r>
                </w:p>
              </w:tc>
              <w:tc>
                <w:tcPr>
                  <w:tcW w:w="2408" w:type="dxa"/>
                  <w:vAlign w:val="center"/>
                </w:tcPr>
                <w:p w14:paraId="1838E218">
                  <w:pPr>
                    <w:pStyle w:val="221"/>
                    <w:rPr>
                      <w:rStyle w:val="64"/>
                      <w:rFonts w:hint="default" w:ascii="Times New Roman" w:hAnsi="Times New Roman" w:cs="Times New Roman"/>
                      <w:spacing w:val="0"/>
                      <w:sz w:val="21"/>
                      <w:szCs w:val="24"/>
                    </w:rPr>
                  </w:pPr>
                  <w:r>
                    <w:rPr>
                      <w:rFonts w:hint="eastAsia"/>
                    </w:rPr>
                    <w:t>喷砂管</w:t>
                  </w:r>
                </w:p>
              </w:tc>
              <w:tc>
                <w:tcPr>
                  <w:tcW w:w="2368" w:type="dxa"/>
                  <w:vAlign w:val="center"/>
                </w:tcPr>
                <w:p w14:paraId="05E088FA">
                  <w:pPr>
                    <w:pStyle w:val="221"/>
                  </w:pPr>
                  <w:r>
                    <w:rPr>
                      <w:rFonts w:hint="eastAsia"/>
                    </w:rPr>
                    <w:t>Ф42mm*9m</w:t>
                  </w:r>
                </w:p>
              </w:tc>
              <w:tc>
                <w:tcPr>
                  <w:tcW w:w="1243" w:type="dxa"/>
                  <w:vAlign w:val="center"/>
                </w:tcPr>
                <w:p w14:paraId="2238DFDE">
                  <w:pPr>
                    <w:pStyle w:val="221"/>
                  </w:pPr>
                  <w:r>
                    <w:rPr>
                      <w:rFonts w:hint="eastAsia"/>
                    </w:rPr>
                    <w:t>2根</w:t>
                  </w:r>
                </w:p>
              </w:tc>
            </w:tr>
            <w:tr w14:paraId="3BF5C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4A9BCF95">
                  <w:pPr>
                    <w:pStyle w:val="221"/>
                    <w:rPr>
                      <w:rStyle w:val="64"/>
                      <w:rFonts w:hint="default" w:ascii="Times New Roman" w:hAnsi="Times New Roman" w:cs="Times New Roman"/>
                      <w:spacing w:val="0"/>
                      <w:sz w:val="21"/>
                      <w:szCs w:val="24"/>
                    </w:rPr>
                  </w:pPr>
                </w:p>
              </w:tc>
              <w:tc>
                <w:tcPr>
                  <w:tcW w:w="1299" w:type="dxa"/>
                  <w:vAlign w:val="center"/>
                </w:tcPr>
                <w:p w14:paraId="23D124C6">
                  <w:pPr>
                    <w:pStyle w:val="221"/>
                    <w:rPr>
                      <w:rStyle w:val="64"/>
                      <w:rFonts w:hint="default" w:ascii="Times New Roman" w:hAnsi="Times New Roman" w:cs="Times New Roman"/>
                      <w:spacing w:val="0"/>
                      <w:sz w:val="21"/>
                      <w:szCs w:val="24"/>
                    </w:rPr>
                  </w:pPr>
                  <w:r>
                    <w:rPr>
                      <w:rStyle w:val="64"/>
                      <w:rFonts w:hint="default" w:ascii="Times New Roman" w:hAnsi="Times New Roman" w:cs="Times New Roman"/>
                      <w:spacing w:val="0"/>
                      <w:sz w:val="21"/>
                      <w:szCs w:val="24"/>
                    </w:rPr>
                    <w:t>9</w:t>
                  </w:r>
                </w:p>
              </w:tc>
              <w:tc>
                <w:tcPr>
                  <w:tcW w:w="2408" w:type="dxa"/>
                  <w:vAlign w:val="center"/>
                </w:tcPr>
                <w:p w14:paraId="2BE4DDE3">
                  <w:pPr>
                    <w:pStyle w:val="221"/>
                    <w:rPr>
                      <w:rStyle w:val="64"/>
                      <w:rFonts w:hint="default" w:ascii="Times New Roman" w:hAnsi="Times New Roman" w:cs="Times New Roman"/>
                      <w:spacing w:val="0"/>
                      <w:sz w:val="21"/>
                      <w:szCs w:val="24"/>
                    </w:rPr>
                  </w:pPr>
                  <w:r>
                    <w:rPr>
                      <w:rFonts w:hint="eastAsia"/>
                    </w:rPr>
                    <w:t>台车</w:t>
                  </w:r>
                </w:p>
              </w:tc>
              <w:tc>
                <w:tcPr>
                  <w:tcW w:w="2368" w:type="dxa"/>
                  <w:vAlign w:val="center"/>
                </w:tcPr>
                <w:p w14:paraId="5BA5140D">
                  <w:pPr>
                    <w:pStyle w:val="221"/>
                  </w:pPr>
                  <w:r>
                    <w:rPr>
                      <w:rFonts w:hint="eastAsia"/>
                    </w:rPr>
                    <w:t>3000*5000*385</w:t>
                  </w:r>
                </w:p>
              </w:tc>
              <w:tc>
                <w:tcPr>
                  <w:tcW w:w="1243" w:type="dxa"/>
                  <w:vAlign w:val="center"/>
                </w:tcPr>
                <w:p w14:paraId="2D189695">
                  <w:pPr>
                    <w:pStyle w:val="221"/>
                  </w:pPr>
                  <w:r>
                    <w:rPr>
                      <w:rFonts w:hint="eastAsia"/>
                    </w:rPr>
                    <w:t>1套</w:t>
                  </w:r>
                </w:p>
              </w:tc>
            </w:tr>
            <w:tr w14:paraId="4C8DF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5FD3B3C6">
                  <w:pPr>
                    <w:pStyle w:val="221"/>
                    <w:rPr>
                      <w:rStyle w:val="64"/>
                      <w:rFonts w:hint="default" w:ascii="Times New Roman" w:hAnsi="Times New Roman" w:cs="Times New Roman"/>
                      <w:spacing w:val="0"/>
                      <w:sz w:val="21"/>
                      <w:szCs w:val="24"/>
                    </w:rPr>
                  </w:pPr>
                </w:p>
              </w:tc>
              <w:tc>
                <w:tcPr>
                  <w:tcW w:w="1299" w:type="dxa"/>
                  <w:vAlign w:val="center"/>
                </w:tcPr>
                <w:p w14:paraId="4BF99C4A">
                  <w:pPr>
                    <w:pStyle w:val="221"/>
                    <w:rPr>
                      <w:rStyle w:val="64"/>
                      <w:rFonts w:hint="default" w:ascii="Times New Roman" w:hAnsi="Times New Roman" w:cs="Times New Roman"/>
                      <w:spacing w:val="0"/>
                      <w:sz w:val="21"/>
                      <w:szCs w:val="24"/>
                    </w:rPr>
                  </w:pPr>
                  <w:r>
                    <w:rPr>
                      <w:rStyle w:val="64"/>
                      <w:rFonts w:hint="default" w:ascii="Times New Roman" w:hAnsi="Times New Roman" w:cs="Times New Roman"/>
                      <w:spacing w:val="0"/>
                      <w:sz w:val="21"/>
                      <w:szCs w:val="24"/>
                    </w:rPr>
                    <w:t>10</w:t>
                  </w:r>
                </w:p>
              </w:tc>
              <w:tc>
                <w:tcPr>
                  <w:tcW w:w="2408" w:type="dxa"/>
                  <w:vAlign w:val="center"/>
                </w:tcPr>
                <w:p w14:paraId="0477EAD0">
                  <w:pPr>
                    <w:pStyle w:val="221"/>
                    <w:rPr>
                      <w:rStyle w:val="64"/>
                      <w:rFonts w:hint="default" w:ascii="Times New Roman" w:hAnsi="Times New Roman" w:cs="Times New Roman"/>
                      <w:spacing w:val="0"/>
                      <w:sz w:val="21"/>
                      <w:szCs w:val="24"/>
                    </w:rPr>
                  </w:pPr>
                  <w:r>
                    <w:rPr>
                      <w:rFonts w:hint="eastAsia"/>
                    </w:rPr>
                    <w:t>电控柜及电缆</w:t>
                  </w:r>
                </w:p>
              </w:tc>
              <w:tc>
                <w:tcPr>
                  <w:tcW w:w="2368" w:type="dxa"/>
                  <w:vAlign w:val="center"/>
                </w:tcPr>
                <w:p w14:paraId="2BB51407">
                  <w:pPr>
                    <w:pStyle w:val="221"/>
                  </w:pPr>
                  <w:r>
                    <w:rPr>
                      <w:rFonts w:hint="eastAsia"/>
                    </w:rPr>
                    <w:t>/</w:t>
                  </w:r>
                </w:p>
              </w:tc>
              <w:tc>
                <w:tcPr>
                  <w:tcW w:w="1243" w:type="dxa"/>
                  <w:vAlign w:val="center"/>
                </w:tcPr>
                <w:p w14:paraId="23CEB6F8">
                  <w:pPr>
                    <w:pStyle w:val="221"/>
                  </w:pPr>
                  <w:r>
                    <w:rPr>
                      <w:rFonts w:hint="eastAsia"/>
                    </w:rPr>
                    <w:t>1套</w:t>
                  </w:r>
                </w:p>
              </w:tc>
            </w:tr>
            <w:tr w14:paraId="39EE7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restart"/>
                  <w:vAlign w:val="center"/>
                </w:tcPr>
                <w:p w14:paraId="55623054">
                  <w:pPr>
                    <w:pStyle w:val="221"/>
                    <w:rPr>
                      <w:rStyle w:val="64"/>
                      <w:rFonts w:hint="default" w:ascii="Times New Roman" w:hAnsi="Times New Roman" w:cs="Times New Roman"/>
                      <w:spacing w:val="0"/>
                      <w:sz w:val="21"/>
                      <w:szCs w:val="24"/>
                    </w:rPr>
                  </w:pPr>
                  <w:r>
                    <w:rPr>
                      <w:rFonts w:hint="eastAsia"/>
                    </w:rPr>
                    <w:t>新能源储充产品</w:t>
                  </w:r>
                </w:p>
              </w:tc>
              <w:tc>
                <w:tcPr>
                  <w:tcW w:w="7318" w:type="dxa"/>
                  <w:gridSpan w:val="4"/>
                  <w:vAlign w:val="center"/>
                </w:tcPr>
                <w:p w14:paraId="07CD0638">
                  <w:pPr>
                    <w:pStyle w:val="221"/>
                  </w:pPr>
                  <w:r>
                    <w:rPr>
                      <w:rFonts w:hint="eastAsia"/>
                    </w:rPr>
                    <w:t>仅进行组装，无专用生产设备，产品检验设备如下</w:t>
                  </w:r>
                </w:p>
              </w:tc>
            </w:tr>
            <w:tr w14:paraId="23182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6EE9E17A">
                  <w:pPr>
                    <w:pStyle w:val="221"/>
                    <w:rPr>
                      <w:rStyle w:val="64"/>
                      <w:rFonts w:hint="default" w:ascii="Times New Roman" w:hAnsi="Times New Roman" w:cs="Times New Roman"/>
                      <w:spacing w:val="0"/>
                      <w:sz w:val="21"/>
                      <w:szCs w:val="24"/>
                    </w:rPr>
                  </w:pPr>
                </w:p>
              </w:tc>
              <w:tc>
                <w:tcPr>
                  <w:tcW w:w="1299" w:type="dxa"/>
                  <w:vAlign w:val="center"/>
                </w:tcPr>
                <w:p w14:paraId="7EB2F47A">
                  <w:pPr>
                    <w:pStyle w:val="221"/>
                    <w:rPr>
                      <w:rStyle w:val="64"/>
                      <w:rFonts w:hint="default" w:ascii="Times New Roman" w:hAnsi="Times New Roman" w:cs="Times New Roman"/>
                      <w:spacing w:val="0"/>
                      <w:sz w:val="21"/>
                      <w:szCs w:val="24"/>
                    </w:rPr>
                  </w:pPr>
                  <w:r>
                    <w:rPr>
                      <w:rFonts w:hint="eastAsia"/>
                      <w:color w:val="000000"/>
                    </w:rPr>
                    <w:t>1</w:t>
                  </w:r>
                </w:p>
              </w:tc>
              <w:tc>
                <w:tcPr>
                  <w:tcW w:w="2408" w:type="dxa"/>
                  <w:vAlign w:val="center"/>
                </w:tcPr>
                <w:p w14:paraId="6C231EDA">
                  <w:pPr>
                    <w:pStyle w:val="221"/>
                    <w:rPr>
                      <w:rStyle w:val="64"/>
                      <w:rFonts w:hint="default" w:ascii="Times New Roman" w:hAnsi="Times New Roman" w:cs="Times New Roman"/>
                      <w:spacing w:val="0"/>
                      <w:sz w:val="21"/>
                      <w:szCs w:val="24"/>
                    </w:rPr>
                  </w:pPr>
                  <w:r>
                    <w:rPr>
                      <w:rFonts w:hint="eastAsia"/>
                      <w:color w:val="000000"/>
                    </w:rPr>
                    <w:t>电子负载</w:t>
                  </w:r>
                </w:p>
              </w:tc>
              <w:tc>
                <w:tcPr>
                  <w:tcW w:w="2368" w:type="dxa"/>
                  <w:vAlign w:val="center"/>
                </w:tcPr>
                <w:p w14:paraId="042AC9EC">
                  <w:pPr>
                    <w:pStyle w:val="221"/>
                  </w:pPr>
                  <w:r>
                    <w:rPr>
                      <w:rFonts w:hint="eastAsia"/>
                      <w:color w:val="000000"/>
                    </w:rPr>
                    <w:t>DC750V，120kW</w:t>
                  </w:r>
                </w:p>
              </w:tc>
              <w:tc>
                <w:tcPr>
                  <w:tcW w:w="1243" w:type="dxa"/>
                  <w:vAlign w:val="center"/>
                </w:tcPr>
                <w:p w14:paraId="6E0F3D21">
                  <w:pPr>
                    <w:pStyle w:val="221"/>
                  </w:pPr>
                  <w:r>
                    <w:rPr>
                      <w:rFonts w:hint="eastAsia"/>
                      <w:color w:val="000000"/>
                    </w:rPr>
                    <w:t>1</w:t>
                  </w:r>
                </w:p>
              </w:tc>
            </w:tr>
            <w:tr w14:paraId="1F465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5ACD132F">
                  <w:pPr>
                    <w:pStyle w:val="221"/>
                    <w:rPr>
                      <w:rStyle w:val="64"/>
                      <w:rFonts w:hint="default" w:ascii="Times New Roman" w:hAnsi="Times New Roman" w:cs="Times New Roman"/>
                      <w:spacing w:val="0"/>
                      <w:sz w:val="21"/>
                      <w:szCs w:val="24"/>
                    </w:rPr>
                  </w:pPr>
                </w:p>
              </w:tc>
              <w:tc>
                <w:tcPr>
                  <w:tcW w:w="1299" w:type="dxa"/>
                  <w:vAlign w:val="center"/>
                </w:tcPr>
                <w:p w14:paraId="3EABC736">
                  <w:pPr>
                    <w:pStyle w:val="221"/>
                    <w:rPr>
                      <w:rStyle w:val="64"/>
                      <w:rFonts w:hint="default" w:ascii="Times New Roman" w:hAnsi="Times New Roman" w:cs="Times New Roman"/>
                      <w:spacing w:val="0"/>
                      <w:sz w:val="21"/>
                      <w:szCs w:val="24"/>
                    </w:rPr>
                  </w:pPr>
                  <w:r>
                    <w:rPr>
                      <w:rFonts w:hint="eastAsia"/>
                      <w:color w:val="000000"/>
                    </w:rPr>
                    <w:t>2</w:t>
                  </w:r>
                </w:p>
              </w:tc>
              <w:tc>
                <w:tcPr>
                  <w:tcW w:w="2408" w:type="dxa"/>
                  <w:vAlign w:val="center"/>
                </w:tcPr>
                <w:p w14:paraId="2C68DA25">
                  <w:pPr>
                    <w:pStyle w:val="221"/>
                    <w:rPr>
                      <w:rStyle w:val="64"/>
                      <w:rFonts w:hint="default" w:ascii="Times New Roman" w:hAnsi="Times New Roman" w:cs="Times New Roman"/>
                      <w:spacing w:val="0"/>
                      <w:sz w:val="21"/>
                      <w:szCs w:val="24"/>
                    </w:rPr>
                  </w:pPr>
                  <w:r>
                    <w:rPr>
                      <w:rFonts w:hint="eastAsia"/>
                      <w:color w:val="000000"/>
                    </w:rPr>
                    <w:t>直流可调电源</w:t>
                  </w:r>
                </w:p>
              </w:tc>
              <w:tc>
                <w:tcPr>
                  <w:tcW w:w="2368" w:type="dxa"/>
                  <w:vAlign w:val="center"/>
                </w:tcPr>
                <w:p w14:paraId="3884B518">
                  <w:pPr>
                    <w:pStyle w:val="221"/>
                  </w:pPr>
                  <w:r>
                    <w:rPr>
                      <w:rFonts w:hint="eastAsia"/>
                      <w:color w:val="000000"/>
                    </w:rPr>
                    <w:t>HY3005F-2</w:t>
                  </w:r>
                </w:p>
              </w:tc>
              <w:tc>
                <w:tcPr>
                  <w:tcW w:w="1243" w:type="dxa"/>
                  <w:vAlign w:val="center"/>
                </w:tcPr>
                <w:p w14:paraId="45A4D404">
                  <w:pPr>
                    <w:pStyle w:val="221"/>
                  </w:pPr>
                  <w:r>
                    <w:rPr>
                      <w:rFonts w:hint="eastAsia"/>
                      <w:color w:val="000000"/>
                    </w:rPr>
                    <w:t>1</w:t>
                  </w:r>
                </w:p>
              </w:tc>
            </w:tr>
            <w:tr w14:paraId="0D6B2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743144FC">
                  <w:pPr>
                    <w:pStyle w:val="221"/>
                    <w:rPr>
                      <w:rStyle w:val="64"/>
                      <w:rFonts w:hint="default" w:ascii="Times New Roman" w:hAnsi="Times New Roman" w:cs="Times New Roman"/>
                      <w:spacing w:val="0"/>
                      <w:sz w:val="21"/>
                      <w:szCs w:val="24"/>
                    </w:rPr>
                  </w:pPr>
                </w:p>
              </w:tc>
              <w:tc>
                <w:tcPr>
                  <w:tcW w:w="1299" w:type="dxa"/>
                  <w:vAlign w:val="center"/>
                </w:tcPr>
                <w:p w14:paraId="0B85C5C8">
                  <w:pPr>
                    <w:pStyle w:val="221"/>
                    <w:rPr>
                      <w:rStyle w:val="64"/>
                      <w:rFonts w:hint="default" w:ascii="Times New Roman" w:hAnsi="Times New Roman" w:cs="Times New Roman"/>
                      <w:spacing w:val="0"/>
                      <w:sz w:val="21"/>
                      <w:szCs w:val="24"/>
                    </w:rPr>
                  </w:pPr>
                  <w:r>
                    <w:rPr>
                      <w:rFonts w:hint="eastAsia"/>
                      <w:color w:val="000000"/>
                    </w:rPr>
                    <w:t>3</w:t>
                  </w:r>
                </w:p>
              </w:tc>
              <w:tc>
                <w:tcPr>
                  <w:tcW w:w="2408" w:type="dxa"/>
                  <w:vAlign w:val="center"/>
                </w:tcPr>
                <w:p w14:paraId="4A0D5D04">
                  <w:pPr>
                    <w:pStyle w:val="221"/>
                    <w:rPr>
                      <w:rStyle w:val="64"/>
                      <w:rFonts w:hint="default" w:ascii="Times New Roman" w:hAnsi="Times New Roman" w:cs="Times New Roman"/>
                      <w:spacing w:val="0"/>
                      <w:sz w:val="21"/>
                      <w:szCs w:val="24"/>
                    </w:rPr>
                  </w:pPr>
                  <w:r>
                    <w:rPr>
                      <w:rFonts w:hint="eastAsia"/>
                      <w:color w:val="000000"/>
                    </w:rPr>
                    <w:t>万用表</w:t>
                  </w:r>
                </w:p>
              </w:tc>
              <w:tc>
                <w:tcPr>
                  <w:tcW w:w="2368" w:type="dxa"/>
                  <w:vAlign w:val="center"/>
                </w:tcPr>
                <w:p w14:paraId="12FF579B">
                  <w:pPr>
                    <w:pStyle w:val="221"/>
                  </w:pPr>
                  <w:r>
                    <w:rPr>
                      <w:rFonts w:hint="eastAsia"/>
                      <w:color w:val="000000"/>
                    </w:rPr>
                    <w:t>DEM21</w:t>
                  </w:r>
                </w:p>
              </w:tc>
              <w:tc>
                <w:tcPr>
                  <w:tcW w:w="1243" w:type="dxa"/>
                  <w:vAlign w:val="center"/>
                </w:tcPr>
                <w:p w14:paraId="00E7D6FC">
                  <w:pPr>
                    <w:pStyle w:val="221"/>
                  </w:pPr>
                  <w:r>
                    <w:rPr>
                      <w:rFonts w:hint="eastAsia"/>
                      <w:color w:val="000000"/>
                    </w:rPr>
                    <w:t>2</w:t>
                  </w:r>
                </w:p>
              </w:tc>
            </w:tr>
            <w:tr w14:paraId="71F90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5C431590">
                  <w:pPr>
                    <w:pStyle w:val="221"/>
                    <w:rPr>
                      <w:rStyle w:val="64"/>
                      <w:rFonts w:hint="default" w:ascii="Times New Roman" w:hAnsi="Times New Roman" w:cs="Times New Roman"/>
                      <w:spacing w:val="0"/>
                      <w:sz w:val="21"/>
                      <w:szCs w:val="24"/>
                    </w:rPr>
                  </w:pPr>
                </w:p>
              </w:tc>
              <w:tc>
                <w:tcPr>
                  <w:tcW w:w="1299" w:type="dxa"/>
                  <w:vAlign w:val="center"/>
                </w:tcPr>
                <w:p w14:paraId="4312574B">
                  <w:pPr>
                    <w:pStyle w:val="221"/>
                    <w:rPr>
                      <w:rStyle w:val="64"/>
                      <w:rFonts w:hint="default" w:ascii="Times New Roman" w:hAnsi="Times New Roman" w:cs="Times New Roman"/>
                      <w:spacing w:val="0"/>
                      <w:sz w:val="21"/>
                      <w:szCs w:val="24"/>
                    </w:rPr>
                  </w:pPr>
                  <w:r>
                    <w:rPr>
                      <w:rFonts w:hint="eastAsia"/>
                      <w:color w:val="000000"/>
                    </w:rPr>
                    <w:t>4</w:t>
                  </w:r>
                </w:p>
              </w:tc>
              <w:tc>
                <w:tcPr>
                  <w:tcW w:w="2408" w:type="dxa"/>
                  <w:vAlign w:val="center"/>
                </w:tcPr>
                <w:p w14:paraId="7FF49936">
                  <w:pPr>
                    <w:pStyle w:val="221"/>
                    <w:rPr>
                      <w:rStyle w:val="64"/>
                      <w:rFonts w:hint="default" w:ascii="Times New Roman" w:hAnsi="Times New Roman" w:cs="Times New Roman"/>
                      <w:spacing w:val="0"/>
                      <w:sz w:val="21"/>
                      <w:szCs w:val="24"/>
                    </w:rPr>
                  </w:pPr>
                  <w:r>
                    <w:rPr>
                      <w:rFonts w:hint="eastAsia"/>
                      <w:color w:val="000000"/>
                    </w:rPr>
                    <w:t>直流可调电源</w:t>
                  </w:r>
                </w:p>
              </w:tc>
              <w:tc>
                <w:tcPr>
                  <w:tcW w:w="2368" w:type="dxa"/>
                  <w:vAlign w:val="center"/>
                </w:tcPr>
                <w:p w14:paraId="29026C06">
                  <w:pPr>
                    <w:pStyle w:val="221"/>
                  </w:pPr>
                  <w:r>
                    <w:rPr>
                      <w:rFonts w:hint="eastAsia"/>
                      <w:color w:val="000000"/>
                    </w:rPr>
                    <w:t>0-24V</w:t>
                  </w:r>
                </w:p>
              </w:tc>
              <w:tc>
                <w:tcPr>
                  <w:tcW w:w="1243" w:type="dxa"/>
                  <w:vAlign w:val="center"/>
                </w:tcPr>
                <w:p w14:paraId="698CD65D">
                  <w:pPr>
                    <w:pStyle w:val="221"/>
                  </w:pPr>
                  <w:r>
                    <w:rPr>
                      <w:rFonts w:hint="eastAsia"/>
                      <w:color w:val="000000"/>
                    </w:rPr>
                    <w:t>1</w:t>
                  </w:r>
                </w:p>
              </w:tc>
            </w:tr>
            <w:tr w14:paraId="55567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99" w:type="dxa"/>
                  <w:vMerge w:val="continue"/>
                  <w:vAlign w:val="center"/>
                </w:tcPr>
                <w:p w14:paraId="0FEBF367">
                  <w:pPr>
                    <w:pStyle w:val="221"/>
                    <w:rPr>
                      <w:rStyle w:val="64"/>
                      <w:rFonts w:hint="default" w:ascii="Times New Roman" w:hAnsi="Times New Roman" w:cs="Times New Roman"/>
                      <w:spacing w:val="0"/>
                      <w:sz w:val="21"/>
                      <w:szCs w:val="24"/>
                    </w:rPr>
                  </w:pPr>
                </w:p>
              </w:tc>
              <w:tc>
                <w:tcPr>
                  <w:tcW w:w="1299" w:type="dxa"/>
                  <w:vAlign w:val="center"/>
                </w:tcPr>
                <w:p w14:paraId="23D9DDB8">
                  <w:pPr>
                    <w:pStyle w:val="221"/>
                    <w:rPr>
                      <w:rStyle w:val="64"/>
                      <w:rFonts w:hint="default" w:ascii="Times New Roman" w:hAnsi="Times New Roman" w:cs="Times New Roman"/>
                      <w:spacing w:val="0"/>
                      <w:sz w:val="21"/>
                      <w:szCs w:val="24"/>
                    </w:rPr>
                  </w:pPr>
                  <w:r>
                    <w:rPr>
                      <w:rFonts w:hint="eastAsia"/>
                      <w:color w:val="000000"/>
                    </w:rPr>
                    <w:t>5</w:t>
                  </w:r>
                </w:p>
              </w:tc>
              <w:tc>
                <w:tcPr>
                  <w:tcW w:w="2408" w:type="dxa"/>
                  <w:vAlign w:val="center"/>
                </w:tcPr>
                <w:p w14:paraId="7349C5D5">
                  <w:pPr>
                    <w:pStyle w:val="221"/>
                    <w:rPr>
                      <w:rStyle w:val="64"/>
                      <w:rFonts w:hint="default" w:ascii="Times New Roman" w:hAnsi="Times New Roman" w:cs="Times New Roman"/>
                      <w:spacing w:val="0"/>
                      <w:sz w:val="21"/>
                      <w:szCs w:val="24"/>
                    </w:rPr>
                  </w:pPr>
                  <w:r>
                    <w:rPr>
                      <w:rFonts w:hint="eastAsia"/>
                      <w:color w:val="000000"/>
                    </w:rPr>
                    <w:t>DC转AC逆变器</w:t>
                  </w:r>
                </w:p>
              </w:tc>
              <w:tc>
                <w:tcPr>
                  <w:tcW w:w="2368" w:type="dxa"/>
                  <w:vAlign w:val="center"/>
                </w:tcPr>
                <w:p w14:paraId="77149F30">
                  <w:pPr>
                    <w:pStyle w:val="221"/>
                  </w:pPr>
                  <w:r>
                    <w:rPr>
                      <w:rFonts w:hint="eastAsia"/>
                      <w:color w:val="000000"/>
                    </w:rPr>
                    <w:t>HIP-1000</w:t>
                  </w:r>
                </w:p>
              </w:tc>
              <w:tc>
                <w:tcPr>
                  <w:tcW w:w="1243" w:type="dxa"/>
                  <w:vAlign w:val="center"/>
                </w:tcPr>
                <w:p w14:paraId="5328D5B7">
                  <w:pPr>
                    <w:pStyle w:val="221"/>
                  </w:pPr>
                  <w:r>
                    <w:rPr>
                      <w:rFonts w:hint="eastAsia"/>
                      <w:color w:val="000000"/>
                    </w:rPr>
                    <w:t>1</w:t>
                  </w:r>
                </w:p>
              </w:tc>
            </w:tr>
            <w:tr w14:paraId="3598D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49EC996F">
                  <w:pPr>
                    <w:pStyle w:val="221"/>
                    <w:rPr>
                      <w:rStyle w:val="64"/>
                      <w:rFonts w:hint="default" w:ascii="Times New Roman" w:hAnsi="Times New Roman" w:cs="Times New Roman"/>
                      <w:spacing w:val="0"/>
                      <w:sz w:val="21"/>
                      <w:szCs w:val="24"/>
                    </w:rPr>
                  </w:pPr>
                </w:p>
              </w:tc>
              <w:tc>
                <w:tcPr>
                  <w:tcW w:w="1299" w:type="dxa"/>
                  <w:vAlign w:val="center"/>
                </w:tcPr>
                <w:p w14:paraId="7399A548">
                  <w:pPr>
                    <w:pStyle w:val="221"/>
                    <w:rPr>
                      <w:rStyle w:val="64"/>
                      <w:rFonts w:hint="default" w:ascii="Times New Roman" w:hAnsi="Times New Roman" w:cs="Times New Roman"/>
                      <w:spacing w:val="0"/>
                      <w:sz w:val="21"/>
                      <w:szCs w:val="24"/>
                    </w:rPr>
                  </w:pPr>
                  <w:r>
                    <w:rPr>
                      <w:rFonts w:hint="eastAsia"/>
                      <w:color w:val="000000"/>
                    </w:rPr>
                    <w:t>6</w:t>
                  </w:r>
                </w:p>
              </w:tc>
              <w:tc>
                <w:tcPr>
                  <w:tcW w:w="2408" w:type="dxa"/>
                  <w:vAlign w:val="center"/>
                </w:tcPr>
                <w:p w14:paraId="0F1CB2D9">
                  <w:pPr>
                    <w:pStyle w:val="221"/>
                    <w:rPr>
                      <w:rStyle w:val="64"/>
                      <w:rFonts w:hint="default" w:ascii="Times New Roman" w:hAnsi="Times New Roman" w:cs="Times New Roman"/>
                      <w:spacing w:val="0"/>
                      <w:sz w:val="21"/>
                      <w:szCs w:val="24"/>
                    </w:rPr>
                  </w:pPr>
                  <w:r>
                    <w:rPr>
                      <w:rFonts w:hint="eastAsia"/>
                      <w:color w:val="000000"/>
                    </w:rPr>
                    <w:t>CAN分析仪</w:t>
                  </w:r>
                </w:p>
              </w:tc>
              <w:tc>
                <w:tcPr>
                  <w:tcW w:w="2368" w:type="dxa"/>
                  <w:vAlign w:val="center"/>
                </w:tcPr>
                <w:p w14:paraId="508725CA">
                  <w:pPr>
                    <w:pStyle w:val="221"/>
                  </w:pPr>
                  <w:r>
                    <w:rPr>
                      <w:rFonts w:hint="eastAsia"/>
                      <w:color w:val="000000"/>
                    </w:rPr>
                    <w:t>创芯</w:t>
                  </w:r>
                </w:p>
              </w:tc>
              <w:tc>
                <w:tcPr>
                  <w:tcW w:w="1243" w:type="dxa"/>
                  <w:vAlign w:val="center"/>
                </w:tcPr>
                <w:p w14:paraId="24BDE1E9">
                  <w:pPr>
                    <w:pStyle w:val="221"/>
                  </w:pPr>
                  <w:r>
                    <w:rPr>
                      <w:rFonts w:hint="eastAsia"/>
                      <w:color w:val="000000"/>
                    </w:rPr>
                    <w:t>2</w:t>
                  </w:r>
                </w:p>
              </w:tc>
            </w:tr>
            <w:tr w14:paraId="38DB8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75783D3F">
                  <w:pPr>
                    <w:pStyle w:val="221"/>
                    <w:rPr>
                      <w:rStyle w:val="64"/>
                      <w:rFonts w:hint="default" w:ascii="Times New Roman" w:hAnsi="Times New Roman" w:cs="Times New Roman"/>
                      <w:spacing w:val="0"/>
                      <w:sz w:val="21"/>
                      <w:szCs w:val="24"/>
                    </w:rPr>
                  </w:pPr>
                </w:p>
              </w:tc>
              <w:tc>
                <w:tcPr>
                  <w:tcW w:w="1299" w:type="dxa"/>
                  <w:vAlign w:val="center"/>
                </w:tcPr>
                <w:p w14:paraId="0CA36D6A">
                  <w:pPr>
                    <w:pStyle w:val="221"/>
                    <w:rPr>
                      <w:rStyle w:val="64"/>
                      <w:rFonts w:hint="default" w:ascii="Times New Roman" w:hAnsi="Times New Roman" w:cs="Times New Roman"/>
                      <w:spacing w:val="0"/>
                      <w:sz w:val="21"/>
                      <w:szCs w:val="24"/>
                    </w:rPr>
                  </w:pPr>
                  <w:r>
                    <w:rPr>
                      <w:rFonts w:hint="eastAsia"/>
                      <w:color w:val="000000"/>
                    </w:rPr>
                    <w:t>7</w:t>
                  </w:r>
                </w:p>
              </w:tc>
              <w:tc>
                <w:tcPr>
                  <w:tcW w:w="2408" w:type="dxa"/>
                  <w:vAlign w:val="center"/>
                </w:tcPr>
                <w:p w14:paraId="224433AE">
                  <w:pPr>
                    <w:pStyle w:val="221"/>
                    <w:rPr>
                      <w:rStyle w:val="64"/>
                      <w:rFonts w:hint="default" w:ascii="Times New Roman" w:hAnsi="Times New Roman" w:cs="Times New Roman"/>
                      <w:spacing w:val="0"/>
                      <w:sz w:val="21"/>
                      <w:szCs w:val="24"/>
                    </w:rPr>
                  </w:pPr>
                  <w:r>
                    <w:rPr>
                      <w:rFonts w:hint="eastAsia"/>
                      <w:color w:val="000000"/>
                    </w:rPr>
                    <w:t>CAN分析仪</w:t>
                  </w:r>
                </w:p>
              </w:tc>
              <w:tc>
                <w:tcPr>
                  <w:tcW w:w="2368" w:type="dxa"/>
                  <w:vAlign w:val="center"/>
                </w:tcPr>
                <w:p w14:paraId="77C48299">
                  <w:pPr>
                    <w:pStyle w:val="221"/>
                  </w:pPr>
                  <w:r>
                    <w:rPr>
                      <w:rFonts w:hint="eastAsia"/>
                      <w:color w:val="000000"/>
                    </w:rPr>
                    <w:t>六叶树</w:t>
                  </w:r>
                </w:p>
              </w:tc>
              <w:tc>
                <w:tcPr>
                  <w:tcW w:w="1243" w:type="dxa"/>
                  <w:vAlign w:val="center"/>
                </w:tcPr>
                <w:p w14:paraId="47E98479">
                  <w:pPr>
                    <w:pStyle w:val="221"/>
                  </w:pPr>
                  <w:r>
                    <w:rPr>
                      <w:rFonts w:hint="eastAsia"/>
                      <w:color w:val="000000"/>
                    </w:rPr>
                    <w:t>6</w:t>
                  </w:r>
                </w:p>
              </w:tc>
            </w:tr>
            <w:tr w14:paraId="3B827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45ED07D8">
                  <w:pPr>
                    <w:pStyle w:val="221"/>
                    <w:rPr>
                      <w:rStyle w:val="64"/>
                      <w:rFonts w:hint="default" w:ascii="Times New Roman" w:hAnsi="Times New Roman" w:cs="Times New Roman"/>
                      <w:spacing w:val="0"/>
                      <w:sz w:val="21"/>
                      <w:szCs w:val="24"/>
                    </w:rPr>
                  </w:pPr>
                </w:p>
              </w:tc>
              <w:tc>
                <w:tcPr>
                  <w:tcW w:w="1299" w:type="dxa"/>
                  <w:vAlign w:val="center"/>
                </w:tcPr>
                <w:p w14:paraId="68841438">
                  <w:pPr>
                    <w:pStyle w:val="221"/>
                    <w:rPr>
                      <w:rStyle w:val="64"/>
                      <w:rFonts w:hint="default" w:ascii="Times New Roman" w:hAnsi="Times New Roman" w:cs="Times New Roman"/>
                      <w:spacing w:val="0"/>
                      <w:sz w:val="21"/>
                      <w:szCs w:val="24"/>
                    </w:rPr>
                  </w:pPr>
                  <w:r>
                    <w:rPr>
                      <w:rFonts w:hint="eastAsia"/>
                      <w:color w:val="000000"/>
                    </w:rPr>
                    <w:t>8</w:t>
                  </w:r>
                </w:p>
              </w:tc>
              <w:tc>
                <w:tcPr>
                  <w:tcW w:w="2408" w:type="dxa"/>
                  <w:vAlign w:val="center"/>
                </w:tcPr>
                <w:p w14:paraId="7D3CFF3E">
                  <w:pPr>
                    <w:pStyle w:val="221"/>
                    <w:rPr>
                      <w:rStyle w:val="64"/>
                      <w:rFonts w:hint="default" w:ascii="Times New Roman" w:hAnsi="Times New Roman" w:cs="Times New Roman"/>
                      <w:spacing w:val="0"/>
                      <w:sz w:val="21"/>
                      <w:szCs w:val="24"/>
                    </w:rPr>
                  </w:pPr>
                  <w:r>
                    <w:rPr>
                      <w:rFonts w:hint="eastAsia"/>
                      <w:color w:val="000000"/>
                    </w:rPr>
                    <w:t>4G路由器</w:t>
                  </w:r>
                </w:p>
              </w:tc>
              <w:tc>
                <w:tcPr>
                  <w:tcW w:w="2368" w:type="dxa"/>
                  <w:vAlign w:val="center"/>
                </w:tcPr>
                <w:p w14:paraId="41946792">
                  <w:pPr>
                    <w:pStyle w:val="221"/>
                  </w:pPr>
                  <w:r>
                    <w:rPr>
                      <w:rFonts w:hint="eastAsia"/>
                      <w:color w:val="000000"/>
                    </w:rPr>
                    <w:t>H808</w:t>
                  </w:r>
                </w:p>
              </w:tc>
              <w:tc>
                <w:tcPr>
                  <w:tcW w:w="1243" w:type="dxa"/>
                  <w:vAlign w:val="center"/>
                </w:tcPr>
                <w:p w14:paraId="11791B64">
                  <w:pPr>
                    <w:pStyle w:val="221"/>
                  </w:pPr>
                  <w:r>
                    <w:rPr>
                      <w:rFonts w:hint="eastAsia"/>
                      <w:color w:val="000000"/>
                    </w:rPr>
                    <w:t>1</w:t>
                  </w:r>
                </w:p>
              </w:tc>
            </w:tr>
            <w:tr w14:paraId="66E1A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39CBF418">
                  <w:pPr>
                    <w:pStyle w:val="221"/>
                    <w:rPr>
                      <w:rStyle w:val="64"/>
                      <w:rFonts w:hint="default" w:ascii="Times New Roman" w:hAnsi="Times New Roman" w:cs="Times New Roman"/>
                      <w:spacing w:val="0"/>
                      <w:sz w:val="21"/>
                      <w:szCs w:val="24"/>
                    </w:rPr>
                  </w:pPr>
                </w:p>
              </w:tc>
              <w:tc>
                <w:tcPr>
                  <w:tcW w:w="1299" w:type="dxa"/>
                  <w:vAlign w:val="center"/>
                </w:tcPr>
                <w:p w14:paraId="5AFBE581">
                  <w:pPr>
                    <w:pStyle w:val="221"/>
                    <w:rPr>
                      <w:rStyle w:val="64"/>
                      <w:rFonts w:hint="default" w:ascii="Times New Roman" w:hAnsi="Times New Roman" w:cs="Times New Roman"/>
                      <w:spacing w:val="0"/>
                      <w:sz w:val="21"/>
                      <w:szCs w:val="24"/>
                    </w:rPr>
                  </w:pPr>
                  <w:r>
                    <w:rPr>
                      <w:rFonts w:hint="eastAsia"/>
                      <w:color w:val="000000"/>
                    </w:rPr>
                    <w:t>9</w:t>
                  </w:r>
                </w:p>
              </w:tc>
              <w:tc>
                <w:tcPr>
                  <w:tcW w:w="2408" w:type="dxa"/>
                  <w:vAlign w:val="center"/>
                </w:tcPr>
                <w:p w14:paraId="68ABB80E">
                  <w:pPr>
                    <w:pStyle w:val="221"/>
                    <w:rPr>
                      <w:rStyle w:val="64"/>
                      <w:rFonts w:hint="default" w:ascii="Times New Roman" w:hAnsi="Times New Roman" w:cs="Times New Roman"/>
                      <w:spacing w:val="0"/>
                      <w:sz w:val="21"/>
                      <w:szCs w:val="24"/>
                    </w:rPr>
                  </w:pPr>
                  <w:r>
                    <w:rPr>
                      <w:rFonts w:hint="eastAsia"/>
                      <w:color w:val="000000"/>
                    </w:rPr>
                    <w:t>CAN转网口</w:t>
                  </w:r>
                </w:p>
              </w:tc>
              <w:tc>
                <w:tcPr>
                  <w:tcW w:w="2368" w:type="dxa"/>
                  <w:vAlign w:val="center"/>
                </w:tcPr>
                <w:p w14:paraId="29B84803">
                  <w:pPr>
                    <w:pStyle w:val="221"/>
                  </w:pPr>
                  <w:r>
                    <w:rPr>
                      <w:rFonts w:hint="eastAsia"/>
                    </w:rPr>
                    <w:t>/</w:t>
                  </w:r>
                </w:p>
              </w:tc>
              <w:tc>
                <w:tcPr>
                  <w:tcW w:w="1243" w:type="dxa"/>
                  <w:vAlign w:val="center"/>
                </w:tcPr>
                <w:p w14:paraId="00F052D1">
                  <w:pPr>
                    <w:pStyle w:val="221"/>
                  </w:pPr>
                  <w:r>
                    <w:rPr>
                      <w:rFonts w:hint="eastAsia"/>
                      <w:color w:val="000000"/>
                    </w:rPr>
                    <w:t>5</w:t>
                  </w:r>
                </w:p>
              </w:tc>
            </w:tr>
            <w:tr w14:paraId="227D0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48A428B0">
                  <w:pPr>
                    <w:pStyle w:val="221"/>
                    <w:rPr>
                      <w:rStyle w:val="64"/>
                      <w:rFonts w:hint="default" w:ascii="Times New Roman" w:hAnsi="Times New Roman" w:cs="Times New Roman"/>
                      <w:spacing w:val="0"/>
                      <w:sz w:val="21"/>
                      <w:szCs w:val="24"/>
                    </w:rPr>
                  </w:pPr>
                </w:p>
              </w:tc>
              <w:tc>
                <w:tcPr>
                  <w:tcW w:w="1299" w:type="dxa"/>
                  <w:vAlign w:val="center"/>
                </w:tcPr>
                <w:p w14:paraId="634A1EA6">
                  <w:pPr>
                    <w:pStyle w:val="221"/>
                    <w:rPr>
                      <w:rStyle w:val="64"/>
                      <w:rFonts w:hint="default" w:ascii="Times New Roman" w:hAnsi="Times New Roman" w:cs="Times New Roman"/>
                      <w:spacing w:val="0"/>
                      <w:sz w:val="21"/>
                      <w:szCs w:val="24"/>
                    </w:rPr>
                  </w:pPr>
                  <w:r>
                    <w:rPr>
                      <w:rFonts w:hint="eastAsia"/>
                      <w:color w:val="000000"/>
                    </w:rPr>
                    <w:t>10</w:t>
                  </w:r>
                </w:p>
              </w:tc>
              <w:tc>
                <w:tcPr>
                  <w:tcW w:w="2408" w:type="dxa"/>
                  <w:vAlign w:val="center"/>
                </w:tcPr>
                <w:p w14:paraId="4C94EB5D">
                  <w:pPr>
                    <w:pStyle w:val="221"/>
                    <w:rPr>
                      <w:rStyle w:val="64"/>
                      <w:rFonts w:hint="default" w:ascii="Times New Roman" w:hAnsi="Times New Roman" w:cs="Times New Roman"/>
                      <w:spacing w:val="0"/>
                      <w:sz w:val="21"/>
                      <w:szCs w:val="24"/>
                    </w:rPr>
                  </w:pPr>
                  <w:r>
                    <w:rPr>
                      <w:rFonts w:hint="eastAsia"/>
                      <w:color w:val="000000"/>
                    </w:rPr>
                    <w:t>测温仪</w:t>
                  </w:r>
                </w:p>
              </w:tc>
              <w:tc>
                <w:tcPr>
                  <w:tcW w:w="2368" w:type="dxa"/>
                  <w:vAlign w:val="center"/>
                </w:tcPr>
                <w:p w14:paraId="32B20230">
                  <w:pPr>
                    <w:pStyle w:val="221"/>
                  </w:pPr>
                  <w:r>
                    <w:rPr>
                      <w:rFonts w:hint="eastAsia"/>
                    </w:rPr>
                    <w:t>/</w:t>
                  </w:r>
                </w:p>
              </w:tc>
              <w:tc>
                <w:tcPr>
                  <w:tcW w:w="1243" w:type="dxa"/>
                  <w:vAlign w:val="center"/>
                </w:tcPr>
                <w:p w14:paraId="2EA28711">
                  <w:pPr>
                    <w:pStyle w:val="221"/>
                  </w:pPr>
                  <w:r>
                    <w:rPr>
                      <w:rFonts w:hint="eastAsia"/>
                      <w:color w:val="000000"/>
                    </w:rPr>
                    <w:t>1</w:t>
                  </w:r>
                </w:p>
              </w:tc>
            </w:tr>
            <w:tr w14:paraId="50250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3FE899C7">
                  <w:pPr>
                    <w:pStyle w:val="221"/>
                    <w:rPr>
                      <w:rStyle w:val="64"/>
                      <w:rFonts w:hint="default" w:ascii="Times New Roman" w:hAnsi="Times New Roman" w:cs="Times New Roman"/>
                      <w:spacing w:val="0"/>
                      <w:sz w:val="21"/>
                      <w:szCs w:val="24"/>
                    </w:rPr>
                  </w:pPr>
                </w:p>
              </w:tc>
              <w:tc>
                <w:tcPr>
                  <w:tcW w:w="1299" w:type="dxa"/>
                  <w:vAlign w:val="center"/>
                </w:tcPr>
                <w:p w14:paraId="41D694AC">
                  <w:pPr>
                    <w:pStyle w:val="221"/>
                    <w:rPr>
                      <w:rStyle w:val="64"/>
                      <w:rFonts w:hint="default" w:ascii="Times New Roman" w:hAnsi="Times New Roman" w:cs="Times New Roman"/>
                      <w:spacing w:val="0"/>
                      <w:sz w:val="21"/>
                      <w:szCs w:val="24"/>
                    </w:rPr>
                  </w:pPr>
                  <w:r>
                    <w:rPr>
                      <w:rFonts w:hint="eastAsia"/>
                      <w:color w:val="000000"/>
                    </w:rPr>
                    <w:t>11</w:t>
                  </w:r>
                </w:p>
              </w:tc>
              <w:tc>
                <w:tcPr>
                  <w:tcW w:w="2408" w:type="dxa"/>
                  <w:vAlign w:val="center"/>
                </w:tcPr>
                <w:p w14:paraId="321970C9">
                  <w:pPr>
                    <w:pStyle w:val="221"/>
                    <w:rPr>
                      <w:rStyle w:val="64"/>
                      <w:rFonts w:hint="default" w:ascii="Times New Roman" w:hAnsi="Times New Roman" w:cs="Times New Roman"/>
                      <w:spacing w:val="0"/>
                      <w:sz w:val="21"/>
                      <w:szCs w:val="24"/>
                    </w:rPr>
                  </w:pPr>
                  <w:r>
                    <w:rPr>
                      <w:rFonts w:hint="eastAsia"/>
                      <w:color w:val="000000"/>
                    </w:rPr>
                    <w:t>取电器</w:t>
                  </w:r>
                </w:p>
              </w:tc>
              <w:tc>
                <w:tcPr>
                  <w:tcW w:w="2368" w:type="dxa"/>
                  <w:vAlign w:val="center"/>
                </w:tcPr>
                <w:p w14:paraId="51550DA7">
                  <w:pPr>
                    <w:pStyle w:val="221"/>
                  </w:pPr>
                  <w:r>
                    <w:rPr>
                      <w:rFonts w:hint="eastAsia"/>
                      <w:color w:val="000000"/>
                    </w:rPr>
                    <w:t>780V转220V</w:t>
                  </w:r>
                </w:p>
              </w:tc>
              <w:tc>
                <w:tcPr>
                  <w:tcW w:w="1243" w:type="dxa"/>
                  <w:vAlign w:val="center"/>
                </w:tcPr>
                <w:p w14:paraId="3267A17D">
                  <w:pPr>
                    <w:pStyle w:val="221"/>
                  </w:pPr>
                  <w:r>
                    <w:rPr>
                      <w:rFonts w:hint="eastAsia"/>
                      <w:color w:val="000000"/>
                    </w:rPr>
                    <w:t>2</w:t>
                  </w:r>
                </w:p>
              </w:tc>
            </w:tr>
            <w:tr w14:paraId="225A7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12BFE19F">
                  <w:pPr>
                    <w:pStyle w:val="221"/>
                    <w:rPr>
                      <w:rStyle w:val="64"/>
                      <w:rFonts w:hint="default" w:ascii="Times New Roman" w:hAnsi="Times New Roman" w:cs="Times New Roman"/>
                      <w:spacing w:val="0"/>
                      <w:sz w:val="21"/>
                      <w:szCs w:val="24"/>
                    </w:rPr>
                  </w:pPr>
                </w:p>
              </w:tc>
              <w:tc>
                <w:tcPr>
                  <w:tcW w:w="1299" w:type="dxa"/>
                  <w:vAlign w:val="center"/>
                </w:tcPr>
                <w:p w14:paraId="316DF48C">
                  <w:pPr>
                    <w:pStyle w:val="221"/>
                    <w:rPr>
                      <w:rStyle w:val="64"/>
                      <w:rFonts w:hint="default" w:ascii="Times New Roman" w:hAnsi="Times New Roman" w:cs="Times New Roman"/>
                      <w:spacing w:val="0"/>
                      <w:sz w:val="21"/>
                      <w:szCs w:val="24"/>
                    </w:rPr>
                  </w:pPr>
                  <w:r>
                    <w:rPr>
                      <w:rFonts w:hint="eastAsia"/>
                      <w:color w:val="000000"/>
                    </w:rPr>
                    <w:t>12</w:t>
                  </w:r>
                </w:p>
              </w:tc>
              <w:tc>
                <w:tcPr>
                  <w:tcW w:w="2408" w:type="dxa"/>
                  <w:vAlign w:val="center"/>
                </w:tcPr>
                <w:p w14:paraId="7503B5B0">
                  <w:pPr>
                    <w:pStyle w:val="221"/>
                    <w:rPr>
                      <w:rStyle w:val="64"/>
                      <w:rFonts w:hint="default" w:ascii="Times New Roman" w:hAnsi="Times New Roman" w:cs="Times New Roman"/>
                      <w:spacing w:val="0"/>
                      <w:sz w:val="21"/>
                      <w:szCs w:val="24"/>
                    </w:rPr>
                  </w:pPr>
                  <w:r>
                    <w:rPr>
                      <w:rStyle w:val="65"/>
                      <w:color w:val="auto"/>
                      <w:szCs w:val="24"/>
                      <w:vertAlign w:val="baseline"/>
                    </w:rPr>
                    <w:t>USB</w:t>
                  </w:r>
                  <w:r>
                    <w:rPr>
                      <w:rStyle w:val="79"/>
                      <w:color w:val="auto"/>
                      <w:sz w:val="21"/>
                      <w:szCs w:val="24"/>
                    </w:rPr>
                    <w:t>转</w:t>
                  </w:r>
                  <w:r>
                    <w:rPr>
                      <w:rStyle w:val="65"/>
                      <w:color w:val="auto"/>
                      <w:szCs w:val="24"/>
                      <w:vertAlign w:val="baseline"/>
                    </w:rPr>
                    <w:t>485</w:t>
                  </w:r>
                </w:p>
              </w:tc>
              <w:tc>
                <w:tcPr>
                  <w:tcW w:w="2368" w:type="dxa"/>
                  <w:vAlign w:val="center"/>
                </w:tcPr>
                <w:p w14:paraId="48088A10">
                  <w:pPr>
                    <w:pStyle w:val="221"/>
                  </w:pPr>
                  <w:r>
                    <w:rPr>
                      <w:rFonts w:hint="eastAsia"/>
                    </w:rPr>
                    <w:t>/</w:t>
                  </w:r>
                </w:p>
              </w:tc>
              <w:tc>
                <w:tcPr>
                  <w:tcW w:w="1243" w:type="dxa"/>
                  <w:vAlign w:val="center"/>
                </w:tcPr>
                <w:p w14:paraId="45C6607A">
                  <w:pPr>
                    <w:pStyle w:val="221"/>
                  </w:pPr>
                  <w:r>
                    <w:rPr>
                      <w:rFonts w:hint="eastAsia"/>
                      <w:color w:val="000000"/>
                    </w:rPr>
                    <w:t>7</w:t>
                  </w:r>
                </w:p>
              </w:tc>
            </w:tr>
            <w:tr w14:paraId="67508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676CAA95">
                  <w:pPr>
                    <w:pStyle w:val="221"/>
                    <w:rPr>
                      <w:rStyle w:val="64"/>
                      <w:rFonts w:hint="default" w:ascii="Times New Roman" w:hAnsi="Times New Roman" w:cs="Times New Roman"/>
                      <w:spacing w:val="0"/>
                      <w:sz w:val="21"/>
                      <w:szCs w:val="24"/>
                    </w:rPr>
                  </w:pPr>
                </w:p>
              </w:tc>
              <w:tc>
                <w:tcPr>
                  <w:tcW w:w="1299" w:type="dxa"/>
                  <w:vAlign w:val="center"/>
                </w:tcPr>
                <w:p w14:paraId="00E6FB7F">
                  <w:pPr>
                    <w:pStyle w:val="221"/>
                    <w:rPr>
                      <w:rStyle w:val="64"/>
                      <w:rFonts w:hint="default" w:ascii="Times New Roman" w:hAnsi="Times New Roman" w:cs="Times New Roman"/>
                      <w:spacing w:val="0"/>
                      <w:sz w:val="21"/>
                      <w:szCs w:val="24"/>
                    </w:rPr>
                  </w:pPr>
                  <w:r>
                    <w:rPr>
                      <w:rFonts w:hint="eastAsia"/>
                      <w:color w:val="000000"/>
                    </w:rPr>
                    <w:t>13</w:t>
                  </w:r>
                </w:p>
              </w:tc>
              <w:tc>
                <w:tcPr>
                  <w:tcW w:w="2408" w:type="dxa"/>
                  <w:vAlign w:val="center"/>
                </w:tcPr>
                <w:p w14:paraId="52E99CD5">
                  <w:pPr>
                    <w:pStyle w:val="221"/>
                    <w:rPr>
                      <w:rStyle w:val="64"/>
                      <w:rFonts w:hint="default" w:ascii="Times New Roman" w:hAnsi="Times New Roman" w:cs="Times New Roman"/>
                      <w:spacing w:val="0"/>
                      <w:sz w:val="21"/>
                      <w:szCs w:val="24"/>
                    </w:rPr>
                  </w:pPr>
                  <w:r>
                    <w:rPr>
                      <w:rFonts w:hint="eastAsia"/>
                    </w:rPr>
                    <w:t>ST-LINK V2</w:t>
                  </w:r>
                </w:p>
              </w:tc>
              <w:tc>
                <w:tcPr>
                  <w:tcW w:w="2368" w:type="dxa"/>
                  <w:vAlign w:val="center"/>
                </w:tcPr>
                <w:p w14:paraId="69594653">
                  <w:pPr>
                    <w:pStyle w:val="221"/>
                  </w:pPr>
                  <w:r>
                    <w:rPr>
                      <w:rFonts w:hint="eastAsia"/>
                    </w:rPr>
                    <w:t>/</w:t>
                  </w:r>
                </w:p>
              </w:tc>
              <w:tc>
                <w:tcPr>
                  <w:tcW w:w="1243" w:type="dxa"/>
                  <w:vAlign w:val="center"/>
                </w:tcPr>
                <w:p w14:paraId="7E6CB852">
                  <w:pPr>
                    <w:pStyle w:val="221"/>
                  </w:pPr>
                  <w:r>
                    <w:rPr>
                      <w:rFonts w:hint="eastAsia"/>
                      <w:color w:val="000000"/>
                    </w:rPr>
                    <w:t>2</w:t>
                  </w:r>
                </w:p>
              </w:tc>
            </w:tr>
            <w:tr w14:paraId="3F678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4E7141F1">
                  <w:pPr>
                    <w:pStyle w:val="221"/>
                    <w:rPr>
                      <w:rStyle w:val="64"/>
                      <w:rFonts w:hint="default" w:ascii="Times New Roman" w:hAnsi="Times New Roman" w:cs="Times New Roman"/>
                      <w:spacing w:val="0"/>
                      <w:sz w:val="21"/>
                      <w:szCs w:val="24"/>
                    </w:rPr>
                  </w:pPr>
                </w:p>
              </w:tc>
              <w:tc>
                <w:tcPr>
                  <w:tcW w:w="1299" w:type="dxa"/>
                  <w:vAlign w:val="center"/>
                </w:tcPr>
                <w:p w14:paraId="1CB57590">
                  <w:pPr>
                    <w:pStyle w:val="221"/>
                    <w:rPr>
                      <w:rStyle w:val="64"/>
                      <w:rFonts w:hint="default" w:ascii="Times New Roman" w:hAnsi="Times New Roman" w:cs="Times New Roman"/>
                      <w:spacing w:val="0"/>
                      <w:sz w:val="21"/>
                      <w:szCs w:val="24"/>
                    </w:rPr>
                  </w:pPr>
                  <w:r>
                    <w:rPr>
                      <w:rFonts w:hint="eastAsia"/>
                      <w:color w:val="000000"/>
                    </w:rPr>
                    <w:t>14</w:t>
                  </w:r>
                </w:p>
              </w:tc>
              <w:tc>
                <w:tcPr>
                  <w:tcW w:w="2408" w:type="dxa"/>
                  <w:vAlign w:val="center"/>
                </w:tcPr>
                <w:p w14:paraId="18F6B98C">
                  <w:pPr>
                    <w:pStyle w:val="221"/>
                    <w:rPr>
                      <w:rStyle w:val="64"/>
                      <w:rFonts w:hint="default" w:ascii="Times New Roman" w:hAnsi="Times New Roman" w:cs="Times New Roman"/>
                      <w:spacing w:val="0"/>
                      <w:sz w:val="21"/>
                      <w:szCs w:val="24"/>
                    </w:rPr>
                  </w:pPr>
                  <w:r>
                    <w:rPr>
                      <w:rStyle w:val="65"/>
                      <w:color w:val="auto"/>
                      <w:szCs w:val="24"/>
                      <w:vertAlign w:val="baseline"/>
                    </w:rPr>
                    <w:t>USB</w:t>
                  </w:r>
                  <w:r>
                    <w:rPr>
                      <w:rStyle w:val="79"/>
                      <w:color w:val="auto"/>
                      <w:sz w:val="21"/>
                      <w:szCs w:val="24"/>
                    </w:rPr>
                    <w:t>转</w:t>
                  </w:r>
                  <w:r>
                    <w:rPr>
                      <w:rStyle w:val="65"/>
                      <w:color w:val="auto"/>
                      <w:szCs w:val="24"/>
                      <w:vertAlign w:val="baseline"/>
                    </w:rPr>
                    <w:t xml:space="preserve">232 </w:t>
                  </w:r>
                </w:p>
              </w:tc>
              <w:tc>
                <w:tcPr>
                  <w:tcW w:w="2368" w:type="dxa"/>
                  <w:vAlign w:val="center"/>
                </w:tcPr>
                <w:p w14:paraId="4A755191">
                  <w:pPr>
                    <w:pStyle w:val="221"/>
                  </w:pPr>
                  <w:r>
                    <w:rPr>
                      <w:rFonts w:hint="eastAsia"/>
                    </w:rPr>
                    <w:t>/</w:t>
                  </w:r>
                </w:p>
              </w:tc>
              <w:tc>
                <w:tcPr>
                  <w:tcW w:w="1243" w:type="dxa"/>
                  <w:vAlign w:val="center"/>
                </w:tcPr>
                <w:p w14:paraId="2F64CF2B">
                  <w:pPr>
                    <w:pStyle w:val="221"/>
                  </w:pPr>
                  <w:r>
                    <w:rPr>
                      <w:rFonts w:hint="eastAsia"/>
                      <w:color w:val="000000"/>
                    </w:rPr>
                    <w:t>7</w:t>
                  </w:r>
                </w:p>
              </w:tc>
            </w:tr>
            <w:tr w14:paraId="44051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2828B92E">
                  <w:pPr>
                    <w:pStyle w:val="221"/>
                    <w:rPr>
                      <w:rStyle w:val="64"/>
                      <w:rFonts w:hint="default" w:ascii="Times New Roman" w:hAnsi="Times New Roman" w:cs="Times New Roman"/>
                      <w:spacing w:val="0"/>
                      <w:sz w:val="21"/>
                      <w:szCs w:val="24"/>
                    </w:rPr>
                  </w:pPr>
                </w:p>
              </w:tc>
              <w:tc>
                <w:tcPr>
                  <w:tcW w:w="1299" w:type="dxa"/>
                  <w:vAlign w:val="center"/>
                </w:tcPr>
                <w:p w14:paraId="344B57DA">
                  <w:pPr>
                    <w:pStyle w:val="221"/>
                    <w:rPr>
                      <w:rStyle w:val="64"/>
                      <w:rFonts w:hint="default" w:ascii="Times New Roman" w:hAnsi="Times New Roman" w:cs="Times New Roman"/>
                      <w:spacing w:val="0"/>
                      <w:sz w:val="21"/>
                      <w:szCs w:val="24"/>
                    </w:rPr>
                  </w:pPr>
                  <w:r>
                    <w:rPr>
                      <w:rFonts w:hint="eastAsia"/>
                      <w:color w:val="000000"/>
                    </w:rPr>
                    <w:t>15</w:t>
                  </w:r>
                </w:p>
              </w:tc>
              <w:tc>
                <w:tcPr>
                  <w:tcW w:w="2408" w:type="dxa"/>
                  <w:vAlign w:val="center"/>
                </w:tcPr>
                <w:p w14:paraId="3EA93F25">
                  <w:pPr>
                    <w:pStyle w:val="221"/>
                    <w:rPr>
                      <w:rStyle w:val="64"/>
                      <w:rFonts w:hint="default" w:ascii="Times New Roman" w:hAnsi="Times New Roman" w:cs="Times New Roman"/>
                      <w:spacing w:val="0"/>
                      <w:sz w:val="21"/>
                      <w:szCs w:val="24"/>
                    </w:rPr>
                  </w:pPr>
                  <w:r>
                    <w:rPr>
                      <w:rFonts w:hint="eastAsia"/>
                      <w:color w:val="000000"/>
                    </w:rPr>
                    <w:t>充放电平台</w:t>
                  </w:r>
                </w:p>
              </w:tc>
              <w:tc>
                <w:tcPr>
                  <w:tcW w:w="2368" w:type="dxa"/>
                  <w:vAlign w:val="center"/>
                </w:tcPr>
                <w:p w14:paraId="70E46353">
                  <w:pPr>
                    <w:pStyle w:val="221"/>
                  </w:pPr>
                  <w:r>
                    <w:rPr>
                      <w:rFonts w:hint="eastAsia"/>
                    </w:rPr>
                    <w:t>/</w:t>
                  </w:r>
                </w:p>
              </w:tc>
              <w:tc>
                <w:tcPr>
                  <w:tcW w:w="1243" w:type="dxa"/>
                  <w:vAlign w:val="center"/>
                </w:tcPr>
                <w:p w14:paraId="70CC3845">
                  <w:pPr>
                    <w:pStyle w:val="221"/>
                  </w:pPr>
                  <w:r>
                    <w:rPr>
                      <w:rFonts w:hint="eastAsia"/>
                      <w:color w:val="000000"/>
                    </w:rPr>
                    <w:t>1</w:t>
                  </w:r>
                </w:p>
              </w:tc>
            </w:tr>
            <w:tr w14:paraId="652E4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3BA232AC">
                  <w:pPr>
                    <w:pStyle w:val="221"/>
                    <w:rPr>
                      <w:rStyle w:val="64"/>
                      <w:rFonts w:hint="default" w:ascii="Times New Roman" w:hAnsi="Times New Roman" w:cs="Times New Roman"/>
                      <w:spacing w:val="0"/>
                      <w:sz w:val="21"/>
                      <w:szCs w:val="24"/>
                    </w:rPr>
                  </w:pPr>
                </w:p>
              </w:tc>
              <w:tc>
                <w:tcPr>
                  <w:tcW w:w="1299" w:type="dxa"/>
                  <w:vAlign w:val="center"/>
                </w:tcPr>
                <w:p w14:paraId="2E8CF0F5">
                  <w:pPr>
                    <w:pStyle w:val="221"/>
                    <w:rPr>
                      <w:rStyle w:val="64"/>
                      <w:rFonts w:hint="default" w:ascii="Times New Roman" w:hAnsi="Times New Roman" w:cs="Times New Roman"/>
                      <w:spacing w:val="0"/>
                      <w:sz w:val="21"/>
                      <w:szCs w:val="24"/>
                    </w:rPr>
                  </w:pPr>
                  <w:r>
                    <w:rPr>
                      <w:rFonts w:hint="eastAsia"/>
                      <w:color w:val="000000"/>
                    </w:rPr>
                    <w:t>16</w:t>
                  </w:r>
                </w:p>
              </w:tc>
              <w:tc>
                <w:tcPr>
                  <w:tcW w:w="2408" w:type="dxa"/>
                  <w:vAlign w:val="center"/>
                </w:tcPr>
                <w:p w14:paraId="189B580F">
                  <w:pPr>
                    <w:pStyle w:val="221"/>
                    <w:rPr>
                      <w:rStyle w:val="64"/>
                      <w:rFonts w:hint="default" w:ascii="Times New Roman" w:hAnsi="Times New Roman" w:cs="Times New Roman"/>
                      <w:spacing w:val="0"/>
                      <w:sz w:val="21"/>
                      <w:szCs w:val="24"/>
                    </w:rPr>
                  </w:pPr>
                  <w:r>
                    <w:rPr>
                      <w:rFonts w:hint="eastAsia"/>
                      <w:color w:val="000000"/>
                    </w:rPr>
                    <w:t>U盘</w:t>
                  </w:r>
                </w:p>
              </w:tc>
              <w:tc>
                <w:tcPr>
                  <w:tcW w:w="2368" w:type="dxa"/>
                  <w:vAlign w:val="center"/>
                </w:tcPr>
                <w:p w14:paraId="0E79DE4D">
                  <w:pPr>
                    <w:pStyle w:val="221"/>
                  </w:pPr>
                  <w:r>
                    <w:rPr>
                      <w:rFonts w:hint="eastAsia"/>
                      <w:color w:val="000000"/>
                    </w:rPr>
                    <w:t>CZ73</w:t>
                  </w:r>
                </w:p>
              </w:tc>
              <w:tc>
                <w:tcPr>
                  <w:tcW w:w="1243" w:type="dxa"/>
                  <w:vAlign w:val="center"/>
                </w:tcPr>
                <w:p w14:paraId="5F06703E">
                  <w:pPr>
                    <w:pStyle w:val="221"/>
                  </w:pPr>
                  <w:r>
                    <w:rPr>
                      <w:rFonts w:hint="eastAsia"/>
                      <w:color w:val="000000"/>
                    </w:rPr>
                    <w:t>5</w:t>
                  </w:r>
                </w:p>
              </w:tc>
            </w:tr>
            <w:tr w14:paraId="3B003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3F362F94">
                  <w:pPr>
                    <w:pStyle w:val="221"/>
                    <w:rPr>
                      <w:rStyle w:val="64"/>
                      <w:rFonts w:hint="default" w:ascii="Times New Roman" w:hAnsi="Times New Roman" w:cs="Times New Roman"/>
                      <w:spacing w:val="0"/>
                      <w:sz w:val="21"/>
                      <w:szCs w:val="24"/>
                    </w:rPr>
                  </w:pPr>
                </w:p>
              </w:tc>
              <w:tc>
                <w:tcPr>
                  <w:tcW w:w="1299" w:type="dxa"/>
                  <w:vAlign w:val="center"/>
                </w:tcPr>
                <w:p w14:paraId="5E53DA76">
                  <w:pPr>
                    <w:pStyle w:val="221"/>
                    <w:rPr>
                      <w:rStyle w:val="64"/>
                      <w:rFonts w:hint="default" w:ascii="Times New Roman" w:hAnsi="Times New Roman" w:cs="Times New Roman"/>
                      <w:spacing w:val="0"/>
                      <w:sz w:val="21"/>
                      <w:szCs w:val="24"/>
                    </w:rPr>
                  </w:pPr>
                  <w:r>
                    <w:rPr>
                      <w:rFonts w:hint="eastAsia"/>
                      <w:color w:val="000000"/>
                    </w:rPr>
                    <w:t>17</w:t>
                  </w:r>
                </w:p>
              </w:tc>
              <w:tc>
                <w:tcPr>
                  <w:tcW w:w="2408" w:type="dxa"/>
                  <w:vAlign w:val="center"/>
                </w:tcPr>
                <w:p w14:paraId="07961113">
                  <w:pPr>
                    <w:pStyle w:val="221"/>
                    <w:rPr>
                      <w:rStyle w:val="64"/>
                      <w:rFonts w:hint="default" w:ascii="Times New Roman" w:hAnsi="Times New Roman" w:cs="Times New Roman"/>
                      <w:spacing w:val="0"/>
                      <w:sz w:val="21"/>
                      <w:szCs w:val="24"/>
                    </w:rPr>
                  </w:pPr>
                  <w:r>
                    <w:rPr>
                      <w:rFonts w:hint="eastAsia"/>
                      <w:color w:val="000000"/>
                    </w:rPr>
                    <w:t>抽水泵</w:t>
                  </w:r>
                </w:p>
              </w:tc>
              <w:tc>
                <w:tcPr>
                  <w:tcW w:w="2368" w:type="dxa"/>
                  <w:vAlign w:val="center"/>
                </w:tcPr>
                <w:p w14:paraId="2C71E587">
                  <w:pPr>
                    <w:pStyle w:val="221"/>
                  </w:pPr>
                  <w:r>
                    <w:rPr>
                      <w:rFonts w:hint="eastAsia"/>
                      <w:color w:val="000000"/>
                    </w:rPr>
                    <w:t>CMS2-6</w:t>
                  </w:r>
                </w:p>
              </w:tc>
              <w:tc>
                <w:tcPr>
                  <w:tcW w:w="1243" w:type="dxa"/>
                  <w:vAlign w:val="center"/>
                </w:tcPr>
                <w:p w14:paraId="7A2C52DE">
                  <w:pPr>
                    <w:pStyle w:val="221"/>
                  </w:pPr>
                  <w:r>
                    <w:rPr>
                      <w:rFonts w:hint="eastAsia"/>
                      <w:color w:val="000000"/>
                    </w:rPr>
                    <w:t>1</w:t>
                  </w:r>
                </w:p>
              </w:tc>
            </w:tr>
            <w:tr w14:paraId="23432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05847D9C">
                  <w:pPr>
                    <w:pStyle w:val="221"/>
                    <w:rPr>
                      <w:rStyle w:val="64"/>
                      <w:rFonts w:hint="default" w:ascii="Times New Roman" w:hAnsi="Times New Roman" w:cs="Times New Roman"/>
                      <w:spacing w:val="0"/>
                      <w:sz w:val="21"/>
                      <w:szCs w:val="24"/>
                    </w:rPr>
                  </w:pPr>
                </w:p>
              </w:tc>
              <w:tc>
                <w:tcPr>
                  <w:tcW w:w="1299" w:type="dxa"/>
                  <w:vAlign w:val="center"/>
                </w:tcPr>
                <w:p w14:paraId="74B57F4F">
                  <w:pPr>
                    <w:pStyle w:val="221"/>
                    <w:rPr>
                      <w:rStyle w:val="64"/>
                      <w:rFonts w:hint="default" w:ascii="Times New Roman" w:hAnsi="Times New Roman" w:cs="Times New Roman"/>
                      <w:spacing w:val="0"/>
                      <w:sz w:val="21"/>
                      <w:szCs w:val="24"/>
                    </w:rPr>
                  </w:pPr>
                  <w:r>
                    <w:rPr>
                      <w:rFonts w:hint="eastAsia"/>
                      <w:color w:val="000000"/>
                    </w:rPr>
                    <w:t>18</w:t>
                  </w:r>
                </w:p>
              </w:tc>
              <w:tc>
                <w:tcPr>
                  <w:tcW w:w="2408" w:type="dxa"/>
                  <w:vAlign w:val="center"/>
                </w:tcPr>
                <w:p w14:paraId="23DAE88B">
                  <w:pPr>
                    <w:pStyle w:val="221"/>
                    <w:rPr>
                      <w:rStyle w:val="64"/>
                      <w:rFonts w:hint="default" w:ascii="Times New Roman" w:hAnsi="Times New Roman" w:cs="Times New Roman"/>
                      <w:spacing w:val="0"/>
                      <w:sz w:val="21"/>
                      <w:szCs w:val="24"/>
                    </w:rPr>
                  </w:pPr>
                  <w:r>
                    <w:rPr>
                      <w:rFonts w:hint="eastAsia"/>
                      <w:color w:val="000000"/>
                    </w:rPr>
                    <w:t>真空泵</w:t>
                  </w:r>
                </w:p>
              </w:tc>
              <w:tc>
                <w:tcPr>
                  <w:tcW w:w="2368" w:type="dxa"/>
                  <w:vAlign w:val="center"/>
                </w:tcPr>
                <w:p w14:paraId="40AA6F5D">
                  <w:pPr>
                    <w:pStyle w:val="221"/>
                  </w:pPr>
                  <w:r>
                    <w:rPr>
                      <w:rFonts w:hint="eastAsia"/>
                    </w:rPr>
                    <w:t>/</w:t>
                  </w:r>
                </w:p>
              </w:tc>
              <w:tc>
                <w:tcPr>
                  <w:tcW w:w="1243" w:type="dxa"/>
                  <w:vAlign w:val="center"/>
                </w:tcPr>
                <w:p w14:paraId="17E5EA00">
                  <w:pPr>
                    <w:pStyle w:val="221"/>
                  </w:pPr>
                  <w:r>
                    <w:rPr>
                      <w:rFonts w:hint="eastAsia"/>
                      <w:color w:val="000000"/>
                    </w:rPr>
                    <w:t>1</w:t>
                  </w:r>
                </w:p>
              </w:tc>
            </w:tr>
            <w:tr w14:paraId="394E8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5D42E0DC">
                  <w:pPr>
                    <w:pStyle w:val="221"/>
                    <w:rPr>
                      <w:rStyle w:val="64"/>
                      <w:rFonts w:hint="default" w:ascii="Times New Roman" w:hAnsi="Times New Roman" w:cs="Times New Roman"/>
                      <w:spacing w:val="0"/>
                      <w:sz w:val="21"/>
                      <w:szCs w:val="24"/>
                    </w:rPr>
                  </w:pPr>
                </w:p>
              </w:tc>
              <w:tc>
                <w:tcPr>
                  <w:tcW w:w="1299" w:type="dxa"/>
                  <w:vAlign w:val="center"/>
                </w:tcPr>
                <w:p w14:paraId="11CFDB2F">
                  <w:pPr>
                    <w:pStyle w:val="221"/>
                    <w:rPr>
                      <w:rStyle w:val="64"/>
                      <w:rFonts w:hint="default" w:ascii="Times New Roman" w:hAnsi="Times New Roman" w:cs="Times New Roman"/>
                      <w:spacing w:val="0"/>
                      <w:sz w:val="21"/>
                      <w:szCs w:val="24"/>
                    </w:rPr>
                  </w:pPr>
                  <w:r>
                    <w:rPr>
                      <w:rFonts w:hint="eastAsia"/>
                      <w:color w:val="000000"/>
                    </w:rPr>
                    <w:t>19</w:t>
                  </w:r>
                </w:p>
              </w:tc>
              <w:tc>
                <w:tcPr>
                  <w:tcW w:w="2408" w:type="dxa"/>
                  <w:vAlign w:val="center"/>
                </w:tcPr>
                <w:p w14:paraId="5B151FC3">
                  <w:pPr>
                    <w:pStyle w:val="221"/>
                    <w:rPr>
                      <w:rStyle w:val="64"/>
                      <w:rFonts w:hint="default" w:ascii="Times New Roman" w:hAnsi="Times New Roman" w:cs="Times New Roman"/>
                      <w:spacing w:val="0"/>
                      <w:sz w:val="21"/>
                      <w:szCs w:val="24"/>
                    </w:rPr>
                  </w:pPr>
                  <w:r>
                    <w:rPr>
                      <w:rFonts w:hint="eastAsia"/>
                      <w:color w:val="000000"/>
                    </w:rPr>
                    <w:t>耐压测试仪</w:t>
                  </w:r>
                </w:p>
              </w:tc>
              <w:tc>
                <w:tcPr>
                  <w:tcW w:w="2368" w:type="dxa"/>
                  <w:vAlign w:val="center"/>
                </w:tcPr>
                <w:p w14:paraId="2E67CA9D">
                  <w:pPr>
                    <w:pStyle w:val="221"/>
                  </w:pPr>
                  <w:r>
                    <w:rPr>
                      <w:rFonts w:hint="eastAsia"/>
                      <w:color w:val="000000"/>
                    </w:rPr>
                    <w:t>YD2673A</w:t>
                  </w:r>
                </w:p>
              </w:tc>
              <w:tc>
                <w:tcPr>
                  <w:tcW w:w="1243" w:type="dxa"/>
                  <w:vAlign w:val="center"/>
                </w:tcPr>
                <w:p w14:paraId="0A498A0C">
                  <w:pPr>
                    <w:pStyle w:val="221"/>
                  </w:pPr>
                  <w:r>
                    <w:rPr>
                      <w:rFonts w:hint="eastAsia"/>
                      <w:color w:val="000000"/>
                    </w:rPr>
                    <w:t>1</w:t>
                  </w:r>
                </w:p>
              </w:tc>
            </w:tr>
            <w:tr w14:paraId="11924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9" w:type="dxa"/>
                  <w:vMerge w:val="continue"/>
                  <w:vAlign w:val="center"/>
                </w:tcPr>
                <w:p w14:paraId="4F58B677">
                  <w:pPr>
                    <w:pStyle w:val="221"/>
                    <w:rPr>
                      <w:rStyle w:val="64"/>
                      <w:rFonts w:hint="default" w:ascii="Times New Roman" w:hAnsi="Times New Roman" w:cs="Times New Roman"/>
                      <w:spacing w:val="0"/>
                      <w:sz w:val="21"/>
                      <w:szCs w:val="24"/>
                    </w:rPr>
                  </w:pPr>
                </w:p>
              </w:tc>
              <w:tc>
                <w:tcPr>
                  <w:tcW w:w="1299" w:type="dxa"/>
                  <w:vAlign w:val="center"/>
                </w:tcPr>
                <w:p w14:paraId="607ACDE1">
                  <w:pPr>
                    <w:pStyle w:val="221"/>
                    <w:rPr>
                      <w:color w:val="000000"/>
                    </w:rPr>
                  </w:pPr>
                  <w:r>
                    <w:rPr>
                      <w:rFonts w:hint="eastAsia"/>
                      <w:color w:val="000000"/>
                    </w:rPr>
                    <w:t>20</w:t>
                  </w:r>
                </w:p>
              </w:tc>
              <w:tc>
                <w:tcPr>
                  <w:tcW w:w="2408" w:type="dxa"/>
                  <w:vAlign w:val="center"/>
                </w:tcPr>
                <w:p w14:paraId="621C75B3">
                  <w:pPr>
                    <w:pStyle w:val="221"/>
                    <w:rPr>
                      <w:rStyle w:val="64"/>
                      <w:rFonts w:hint="default" w:ascii="Times New Roman" w:hAnsi="Times New Roman" w:cs="Times New Roman"/>
                      <w:spacing w:val="0"/>
                      <w:sz w:val="21"/>
                      <w:szCs w:val="24"/>
                    </w:rPr>
                  </w:pPr>
                  <w:r>
                    <w:rPr>
                      <w:rFonts w:hint="eastAsia"/>
                      <w:color w:val="000000"/>
                    </w:rPr>
                    <w:t>安全警示带</w:t>
                  </w:r>
                </w:p>
              </w:tc>
              <w:tc>
                <w:tcPr>
                  <w:tcW w:w="2368" w:type="dxa"/>
                  <w:vAlign w:val="center"/>
                </w:tcPr>
                <w:p w14:paraId="11BD7FCD">
                  <w:pPr>
                    <w:pStyle w:val="221"/>
                  </w:pPr>
                  <w:r>
                    <w:rPr>
                      <w:rFonts w:hint="eastAsia"/>
                    </w:rPr>
                    <w:t>/</w:t>
                  </w:r>
                </w:p>
              </w:tc>
              <w:tc>
                <w:tcPr>
                  <w:tcW w:w="1243" w:type="dxa"/>
                  <w:vAlign w:val="center"/>
                </w:tcPr>
                <w:p w14:paraId="2DDAE761">
                  <w:pPr>
                    <w:pStyle w:val="221"/>
                  </w:pPr>
                  <w:r>
                    <w:rPr>
                      <w:rFonts w:hint="eastAsia"/>
                      <w:color w:val="000000"/>
                    </w:rPr>
                    <w:t>2</w:t>
                  </w:r>
                </w:p>
              </w:tc>
            </w:tr>
          </w:tbl>
          <w:p w14:paraId="1945EC37">
            <w:pPr>
              <w:widowControl w:val="0"/>
              <w:topLinePunct/>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2.1.</w:t>
            </w:r>
            <w:r>
              <w:rPr>
                <w:rFonts w:hint="eastAsia" w:ascii="Times New Roman" w:hAnsi="Times New Roman" w:eastAsia="宋体" w:cs="Times New Roman"/>
                <w:b/>
                <w:bCs/>
                <w:color w:val="000000" w:themeColor="text1"/>
                <w:szCs w:val="24"/>
                <w14:textFill>
                  <w14:solidFill>
                    <w14:schemeClr w14:val="tx1"/>
                  </w14:solidFill>
                </w14:textFill>
              </w:rPr>
              <w:t>7</w:t>
            </w:r>
            <w:r>
              <w:rPr>
                <w:rFonts w:ascii="Times New Roman" w:hAnsi="Times New Roman" w:eastAsia="宋体" w:cs="Times New Roman"/>
                <w:b/>
                <w:bCs/>
                <w:color w:val="000000" w:themeColor="text1"/>
                <w:szCs w:val="24"/>
                <w14:textFill>
                  <w14:solidFill>
                    <w14:schemeClr w14:val="tx1"/>
                  </w14:solidFill>
                </w14:textFill>
              </w:rPr>
              <w:t xml:space="preserve"> 本项目平面布置</w:t>
            </w:r>
          </w:p>
          <w:p w14:paraId="71C2E760">
            <w:pPr>
              <w:pStyle w:val="14"/>
              <w:widowControl w:val="0"/>
              <w:topLinePunct/>
              <w:spacing w:after="0"/>
              <w:ind w:firstLine="48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根据项目平面布置图可知，</w:t>
            </w:r>
            <w:r>
              <w:rPr>
                <w:rFonts w:hint="eastAsia" w:ascii="Times New Roman" w:hAnsi="Times New Roman" w:eastAsia="宋体" w:cs="Times New Roman"/>
                <w:color w:val="000000" w:themeColor="text1"/>
                <w:szCs w:val="24"/>
                <w14:textFill>
                  <w14:solidFill>
                    <w14:schemeClr w14:val="tx1"/>
                  </w14:solidFill>
                </w14:textFill>
              </w:rPr>
              <w:t>项目车间平面布置根据生产工艺流程布置，各功能分区明确，各生产区相对独立，互不干扰，工艺流程顺畅，项目生产区相对独立，有利于生产布置；项目车间平面布置图详附图4，布局已尽量远离敏感点。</w:t>
            </w:r>
          </w:p>
          <w:p w14:paraId="2672A6BB">
            <w:pPr>
              <w:pStyle w:val="14"/>
              <w:widowControl w:val="0"/>
              <w:topLinePunct/>
              <w:spacing w:after="0"/>
              <w:ind w:firstLine="48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综上所述，项目厂区各功能区分区明确，工艺流程布置顺畅可行，总平面图布置基本合理可行。</w:t>
            </w:r>
          </w:p>
          <w:p w14:paraId="6FBDDC85">
            <w:pPr>
              <w:widowControl w:val="0"/>
              <w:topLinePunct/>
              <w:spacing w:after="0" w:line="360" w:lineRule="auto"/>
              <w:jc w:val="both"/>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2.1.8 本次扩建项目水平衡分析</w:t>
            </w:r>
          </w:p>
          <w:p w14:paraId="778CA9A3">
            <w:pPr>
              <w:widowControl w:val="0"/>
              <w:topLinePunct/>
              <w:spacing w:after="0" w:line="360" w:lineRule="auto"/>
              <w:ind w:firstLine="480" w:firstLineChars="200"/>
              <w:jc w:val="both"/>
              <w:rPr>
                <w:b/>
                <w:color w:val="000000" w:themeColor="text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本项目</w:t>
            </w:r>
            <w:r>
              <w:rPr>
                <w:rFonts w:hint="eastAsia" w:ascii="Times New Roman" w:hAnsi="Times New Roman" w:eastAsia="宋体" w:cs="Times New Roman"/>
                <w:color w:val="000000" w:themeColor="text1"/>
                <w:szCs w:val="24"/>
                <w14:textFill>
                  <w14:solidFill>
                    <w14:schemeClr w14:val="tx1"/>
                  </w14:solidFill>
                </w14:textFill>
              </w:rPr>
              <w:t>无生产用水及排水</w:t>
            </w:r>
            <w:r>
              <w:rPr>
                <w:rFonts w:ascii="Times New Roman" w:hAnsi="Times New Roman" w:eastAsia="宋体" w:cs="Times New Roman"/>
                <w:color w:val="000000" w:themeColor="text1"/>
                <w:szCs w:val="24"/>
                <w14:textFill>
                  <w14:solidFill>
                    <w14:schemeClr w14:val="tx1"/>
                  </w14:solidFill>
                </w14:textFill>
              </w:rPr>
              <w:t>，员工均从现有人员中调配，无新增人员。因此无新增员工生活用水量。</w:t>
            </w:r>
          </w:p>
        </w:tc>
      </w:tr>
      <w:tr w14:paraId="15DBB0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5790F8E0">
            <w:pPr>
              <w:pStyle w:val="29"/>
              <w:widowControl w:val="0"/>
              <w:topLinePunct/>
              <w:adjustRightInd w:val="0"/>
              <w:snapToGrid w:val="0"/>
              <w:spacing w:before="0" w:beforeAutospacing="0" w:after="0" w:afterAutospacing="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工艺流程和产排污环节</w:t>
            </w:r>
          </w:p>
        </w:tc>
        <w:tc>
          <w:tcPr>
            <w:tcW w:w="8833" w:type="dxa"/>
          </w:tcPr>
          <w:p w14:paraId="0F0B4B44">
            <w:pPr>
              <w:widowControl w:val="0"/>
              <w:topLinePunct/>
              <w:spacing w:after="0" w:line="360" w:lineRule="auto"/>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2.2 工艺流程和产排污环节</w:t>
            </w:r>
          </w:p>
          <w:p w14:paraId="371DCE26">
            <w:pPr>
              <w:widowControl w:val="0"/>
              <w:topLinePunct/>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2.2.1本次扩建项目工艺流程</w:t>
            </w:r>
          </w:p>
          <w:p w14:paraId="30349068">
            <w:pPr>
              <w:pStyle w:val="225"/>
              <w:ind w:firstLine="480"/>
            </w:pPr>
            <w:r>
              <w:rPr>
                <w:rFonts w:hint="eastAsia"/>
              </w:rPr>
              <w:t>（1）新能源储充产品</w:t>
            </w:r>
          </w:p>
          <w:p w14:paraId="0E0B0731">
            <w:pPr>
              <w:pStyle w:val="224"/>
            </w:pPr>
            <w:r>
              <w:object>
                <v:shape id="_x0000_i1025" o:spt="75" type="#_x0000_t75" style="height:169.55pt;width:317.9pt;" o:ole="t" filled="f" o:preferrelative="t" stroked="f" coordsize="21600,21600">
                  <v:path/>
                  <v:fill on="f" focussize="0,0"/>
                  <v:stroke on="f" joinstyle="miter"/>
                  <v:imagedata r:id="rId16" o:title=""/>
                  <o:lock v:ext="edit" aspectratio="t"/>
                  <w10:wrap type="none"/>
                  <w10:anchorlock/>
                </v:shape>
                <o:OLEObject Type="Embed" ProgID="PowerPoint.Show.12" ShapeID="_x0000_i1025" DrawAspect="Content" ObjectID="_1468075725" r:id="rId15">
                  <o:LockedField>false</o:LockedField>
                </o:OLEObject>
              </w:object>
            </w:r>
          </w:p>
          <w:p w14:paraId="4DBB2142">
            <w:pPr>
              <w:pStyle w:val="224"/>
            </w:pPr>
            <w:r>
              <w:rPr>
                <w:rFonts w:hint="eastAsia"/>
              </w:rPr>
              <w:t>图2.2-1  新能源储充产品生产工艺流程图</w:t>
            </w:r>
          </w:p>
          <w:p w14:paraId="5042EEE1">
            <w:pPr>
              <w:pStyle w:val="225"/>
              <w:ind w:firstLine="480"/>
              <w:rPr>
                <w:color w:val="000000" w:themeColor="text1"/>
                <w14:textFill>
                  <w14:solidFill>
                    <w14:schemeClr w14:val="tx1"/>
                  </w14:solidFill>
                </w14:textFill>
              </w:rPr>
            </w:pPr>
            <w:r>
              <w:rPr>
                <w:rFonts w:hint="eastAsia"/>
              </w:rPr>
              <w:t>新能源储充产品均采购成品配件进行人工组装，无焊接、切割等工序，组装完成后进行检验入库，组装过程不产生废气、废水，主要污染物废包装袋和不合格品。</w:t>
            </w:r>
          </w:p>
          <w:p w14:paraId="006F62BE">
            <w:pPr>
              <w:pStyle w:val="14"/>
              <w:widowControl w:val="0"/>
              <w:topLinePunct/>
              <w:spacing w:after="0"/>
              <w:ind w:left="480" w:firstLine="0" w:firstLineChars="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2</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喷砂工序工艺流程</w:t>
            </w:r>
            <w:r>
              <w:rPr>
                <w:rFonts w:ascii="Times New Roman" w:hAnsi="Times New Roman" w:eastAsia="宋体" w:cs="Times New Roman"/>
                <w:color w:val="000000" w:themeColor="text1"/>
                <w:szCs w:val="24"/>
                <w14:textFill>
                  <w14:solidFill>
                    <w14:schemeClr w14:val="tx1"/>
                  </w14:solidFill>
                </w14:textFill>
              </w:rPr>
              <w:t>。</w:t>
            </w:r>
          </w:p>
          <w:p w14:paraId="4F360ED3">
            <w:pPr>
              <w:pStyle w:val="224"/>
            </w:pPr>
            <w:r>
              <w:object>
                <v:shape id="_x0000_i1026" o:spt="75" type="#_x0000_t75" style="height:565.55pt;width:424.45pt;" o:ole="t" filled="f" o:preferrelative="t" stroked="f" coordsize="21600,21600">
                  <v:path/>
                  <v:fill on="f" focussize="0,0"/>
                  <v:stroke on="f" joinstyle="miter"/>
                  <v:imagedata r:id="rId18" o:title=""/>
                  <o:lock v:ext="edit" aspectratio="t"/>
                  <w10:wrap type="none"/>
                  <w10:anchorlock/>
                </v:shape>
                <o:OLEObject Type="Embed" ProgID="PowerPoint.Show.12" ShapeID="_x0000_i1026" DrawAspect="Content" ObjectID="_1468075726" r:id="rId17">
                  <o:LockedField>false</o:LockedField>
                </o:OLEObject>
              </w:object>
            </w:r>
          </w:p>
          <w:p w14:paraId="7E935742">
            <w:pPr>
              <w:pStyle w:val="224"/>
            </w:pPr>
            <w:r>
              <w:rPr>
                <w:rFonts w:hint="eastAsia"/>
              </w:rPr>
              <w:t>图2.2-2  新增</w:t>
            </w:r>
            <w:r>
              <w:t>喷砂工序</w:t>
            </w:r>
            <w:r>
              <w:rPr>
                <w:rFonts w:hint="eastAsia"/>
              </w:rPr>
              <w:t>工艺流程图</w:t>
            </w:r>
          </w:p>
          <w:p w14:paraId="3CA76852">
            <w:pPr>
              <w:pStyle w:val="225"/>
              <w:ind w:firstLine="480"/>
            </w:pPr>
            <w:r>
              <w:rPr>
                <w:rFonts w:hint="eastAsia"/>
                <w:lang w:val="en-US"/>
              </w:rPr>
              <w:t>本项目是对</w:t>
            </w:r>
            <w:r>
              <w:rPr>
                <w:rFonts w:hint="eastAsia"/>
              </w:rPr>
              <w:t>现有</w:t>
            </w:r>
            <w:r>
              <w:rPr>
                <w:rFonts w:hint="eastAsia"/>
                <w:lang w:val="en-US"/>
              </w:rPr>
              <w:t>的喷漆项目进行改建，</w:t>
            </w:r>
            <w:r>
              <w:rPr>
                <w:rFonts w:hint="eastAsia"/>
              </w:rPr>
              <w:t>仅</w:t>
            </w:r>
            <w:r>
              <w:rPr>
                <w:rFonts w:hint="eastAsia"/>
                <w:lang w:val="en-US"/>
              </w:rPr>
              <w:t>在喷漆前增加喷砂工序，</w:t>
            </w:r>
            <w:r>
              <w:rPr>
                <w:rFonts w:hint="eastAsia"/>
              </w:rPr>
              <w:t>现有喷漆工序不变动。喷砂是一种机械表面冷处理工艺，利用高速运动的弹丸流连续冲击工件表面以去除工件表面的铁锈、氧化皮、污物等，使工件表面呈现金属本色，消除工件内部应力，提高工件抗疲劳性能，增加工件喷漆时的漆膜附着力，并最终达到提高工件表面及内在质量的目的。</w:t>
            </w:r>
          </w:p>
          <w:p w14:paraId="5280B803">
            <w:pPr>
              <w:pStyle w:val="225"/>
              <w:ind w:firstLine="480"/>
            </w:pPr>
            <w:r>
              <w:rPr>
                <w:rFonts w:hint="eastAsia"/>
              </w:rPr>
              <w:t>本项目喷砂房为轻钢结构房体，包括喷砂系统、砂料回收系统、除尘系统、照明系统、电控系统。</w:t>
            </w:r>
          </w:p>
          <w:p w14:paraId="3B0811EC">
            <w:pPr>
              <w:pStyle w:val="225"/>
              <w:ind w:firstLine="480"/>
            </w:pPr>
            <w:r>
              <w:rPr>
                <w:rFonts w:hint="eastAsia"/>
              </w:rPr>
              <w:t>喷砂系统：砂料储存在设备喷砂罐内，当进行喷砂作业时，工作人员把喷砂枪拉倒需要处理的工件位置，喷砂罐上的组合阀运行，将喷砂罐上的封砂托顶起、喷砂罐充压，与此同时喷砂罐下面的砂阀打开、助推阀打开；由于喷砂罐内已经充压，强行将砂料从砂阀的进砂口压出到出砂口，通过助推气流，将砂阀出砂口的砂料加速；加速后的砂料气流混合流通过喷砂管至高速喷砂枪，在高速喷砂枪内，进一步将砂料加速，之后被加速的砂料以很高的速度喷射到被处理工件的表面实现喷砂作业的表面清理目的。项目喷砂房自带砂料回收系统(丸砂分离器)，并设置除尘系统。</w:t>
            </w:r>
          </w:p>
          <w:p w14:paraId="43C934B5">
            <w:pPr>
              <w:pStyle w:val="225"/>
              <w:ind w:firstLine="480"/>
            </w:pPr>
            <w:r>
              <w:rPr>
                <w:rFonts w:hint="eastAsia"/>
              </w:rPr>
              <w:t>砂料回收系统(丸砂分离器)：喷砂作业时，砂料、部分金属粉尘落到地面，喷砂房内清砂车将地面砂料及粉尘等物质收集投入收料舱，通过螺旋输送机及斗式提升机进入丸砂分离器，丸砂分离器将砂料(钢丸)、粉尘及金属渣分开，有用的钢丸进入设备砂罐内继续循环使用，金属粉尘则随气流进入滤筒除尘系统处理。</w:t>
            </w:r>
          </w:p>
          <w:p w14:paraId="7D63FD49">
            <w:pPr>
              <w:pStyle w:val="225"/>
              <w:ind w:firstLine="480"/>
            </w:pPr>
            <w:r>
              <w:rPr>
                <w:rFonts w:hint="eastAsia"/>
              </w:rPr>
              <w:t>除尘系统：喷砂房粉尘分为两部分，一部分粉尘随砂料回收系统收集后并入</w:t>
            </w:r>
            <w:r>
              <w:rPr>
                <w:rFonts w:hint="eastAsia"/>
                <w:lang w:val="en-US"/>
              </w:rPr>
              <w:t>滤筒</w:t>
            </w:r>
            <w:r>
              <w:rPr>
                <w:rFonts w:hint="eastAsia"/>
              </w:rPr>
              <w:t>除尘器集气干管，另一部分粉尘经喷砂房内抽尘口收集进入</w:t>
            </w:r>
            <w:r>
              <w:rPr>
                <w:rFonts w:hint="eastAsia"/>
                <w:lang w:val="en-US"/>
              </w:rPr>
              <w:t>滤筒</w:t>
            </w:r>
            <w:r>
              <w:rPr>
                <w:rFonts w:hint="eastAsia"/>
              </w:rPr>
              <w:t>除尘器集气干管，两部分粉尘一同经</w:t>
            </w:r>
            <w:r>
              <w:rPr>
                <w:rFonts w:hint="eastAsia"/>
                <w:lang w:val="en-US"/>
              </w:rPr>
              <w:t>滤筒</w:t>
            </w:r>
            <w:r>
              <w:rPr>
                <w:rFonts w:hint="eastAsia"/>
              </w:rPr>
              <w:t>除尘器过滤净化，最终经相应排气简排放，收集的粉尘定期清理。喷砂房进气口设有除湿系统、粗效过滤器及匀流板，喷砂作业时喷出的砂料不会通过进气口飞溅到房体外面，匀流板可将从进气口进入的空气分配到房体的整个横截面，形成自上而下的气流，使房体的横截面的流速均匀，保证喷砂房的清晰度。</w:t>
            </w:r>
          </w:p>
          <w:p w14:paraId="0D539274">
            <w:pPr>
              <w:pStyle w:val="225"/>
              <w:ind w:firstLine="480"/>
            </w:pPr>
            <w:r>
              <w:rPr>
                <w:rFonts w:hint="eastAsia"/>
              </w:rPr>
              <w:t>喷砂过程主要污染物包括金属粉尘、废钢丸、废</w:t>
            </w:r>
            <w:r>
              <w:rPr>
                <w:rFonts w:hint="eastAsia"/>
                <w:lang w:val="en-US"/>
              </w:rPr>
              <w:t>滤筒、收集的金属粉尘</w:t>
            </w:r>
            <w:r>
              <w:rPr>
                <w:rFonts w:hint="eastAsia"/>
              </w:rPr>
              <w:t>及机械噪声。</w:t>
            </w:r>
          </w:p>
          <w:p w14:paraId="6C554023">
            <w:pPr>
              <w:widowControl w:val="0"/>
              <w:topLinePunct/>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2.2.2产污环节</w:t>
            </w:r>
          </w:p>
          <w:p w14:paraId="5E5C34FA">
            <w:pPr>
              <w:widowControl w:val="0"/>
              <w:topLinePunct/>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本次扩建项目产污环节见表2.2-1。</w:t>
            </w:r>
          </w:p>
          <w:p w14:paraId="47253645">
            <w:pPr>
              <w:pStyle w:val="222"/>
              <w:spacing w:before="120"/>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表2.2-1 本次扩建项目产污环节一览表</w:t>
            </w:r>
          </w:p>
          <w:tbl>
            <w:tblPr>
              <w:tblStyle w:val="168"/>
              <w:tblW w:w="861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
              <w:gridCol w:w="737"/>
              <w:gridCol w:w="2412"/>
              <w:gridCol w:w="2408"/>
              <w:gridCol w:w="2550"/>
            </w:tblGrid>
            <w:tr w14:paraId="56E48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4" w:type="dxa"/>
                  <w:gridSpan w:val="2"/>
                  <w:vAlign w:val="center"/>
                </w:tcPr>
                <w:p w14:paraId="4E7E6C09">
                  <w:pPr>
                    <w:pStyle w:val="221"/>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2412" w:type="dxa"/>
                  <w:vAlign w:val="center"/>
                </w:tcPr>
                <w:p w14:paraId="7F44C59B">
                  <w:pPr>
                    <w:pStyle w:val="221"/>
                    <w:rPr>
                      <w:color w:val="000000" w:themeColor="text1"/>
                      <w14:textFill>
                        <w14:solidFill>
                          <w14:schemeClr w14:val="tx1"/>
                        </w14:solidFill>
                      </w14:textFill>
                    </w:rPr>
                  </w:pPr>
                  <w:r>
                    <w:rPr>
                      <w:color w:val="000000" w:themeColor="text1"/>
                      <w14:textFill>
                        <w14:solidFill>
                          <w14:schemeClr w14:val="tx1"/>
                        </w14:solidFill>
                      </w14:textFill>
                    </w:rPr>
                    <w:t>产污环节</w:t>
                  </w:r>
                </w:p>
              </w:tc>
              <w:tc>
                <w:tcPr>
                  <w:tcW w:w="2408" w:type="dxa"/>
                  <w:vAlign w:val="center"/>
                </w:tcPr>
                <w:p w14:paraId="6D2AF7F3">
                  <w:pPr>
                    <w:pStyle w:val="221"/>
                    <w:rPr>
                      <w:color w:val="000000" w:themeColor="text1"/>
                      <w14:textFill>
                        <w14:solidFill>
                          <w14:schemeClr w14:val="tx1"/>
                        </w14:solidFill>
                      </w14:textFill>
                    </w:rPr>
                  </w:pPr>
                  <w:r>
                    <w:rPr>
                      <w:color w:val="000000" w:themeColor="text1"/>
                      <w14:textFill>
                        <w14:solidFill>
                          <w14:schemeClr w14:val="tx1"/>
                        </w14:solidFill>
                      </w14:textFill>
                    </w:rPr>
                    <w:t>主要污染物</w:t>
                  </w:r>
                </w:p>
              </w:tc>
              <w:tc>
                <w:tcPr>
                  <w:tcW w:w="2550" w:type="dxa"/>
                  <w:vAlign w:val="center"/>
                </w:tcPr>
                <w:p w14:paraId="6F34EDC8">
                  <w:pPr>
                    <w:pStyle w:val="221"/>
                    <w:rPr>
                      <w:color w:val="000000" w:themeColor="text1"/>
                      <w14:textFill>
                        <w14:solidFill>
                          <w14:schemeClr w14:val="tx1"/>
                        </w14:solidFill>
                      </w14:textFill>
                    </w:rPr>
                  </w:pPr>
                  <w:r>
                    <w:rPr>
                      <w:color w:val="000000" w:themeColor="text1"/>
                      <w14:textFill>
                        <w14:solidFill>
                          <w14:schemeClr w14:val="tx1"/>
                        </w14:solidFill>
                      </w14:textFill>
                    </w:rPr>
                    <w:t>治理措施及排放去向</w:t>
                  </w:r>
                </w:p>
              </w:tc>
            </w:tr>
            <w:tr w14:paraId="7F51A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4" w:type="dxa"/>
                  <w:gridSpan w:val="2"/>
                  <w:vAlign w:val="center"/>
                </w:tcPr>
                <w:p w14:paraId="6470F982">
                  <w:pPr>
                    <w:pStyle w:val="221"/>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2412" w:type="dxa"/>
                  <w:vAlign w:val="center"/>
                </w:tcPr>
                <w:p w14:paraId="7821B073">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喷砂废气</w:t>
                  </w:r>
                </w:p>
              </w:tc>
              <w:tc>
                <w:tcPr>
                  <w:tcW w:w="2408" w:type="dxa"/>
                  <w:vAlign w:val="center"/>
                </w:tcPr>
                <w:p w14:paraId="559366F9">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2550" w:type="dxa"/>
                  <w:vAlign w:val="center"/>
                </w:tcPr>
                <w:p w14:paraId="0E402FA3">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滤筒除尘器处理后通过15米高排气筒排放</w:t>
                  </w:r>
                </w:p>
              </w:tc>
            </w:tr>
            <w:tr w14:paraId="76399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dxa"/>
                  <w:vMerge w:val="restart"/>
                  <w:textDirection w:val="tbRlV"/>
                  <w:vAlign w:val="center"/>
                </w:tcPr>
                <w:p w14:paraId="025328DF">
                  <w:pPr>
                    <w:pStyle w:val="221"/>
                    <w:rPr>
                      <w:color w:val="000000" w:themeColor="text1"/>
                      <w14:textFill>
                        <w14:solidFill>
                          <w14:schemeClr w14:val="tx1"/>
                        </w14:solidFill>
                      </w14:textFill>
                    </w:rPr>
                  </w:pPr>
                  <w:r>
                    <w:rPr>
                      <w:color w:val="000000" w:themeColor="text1"/>
                      <w14:textFill>
                        <w14:solidFill>
                          <w14:schemeClr w14:val="tx1"/>
                        </w14:solidFill>
                      </w14:textFill>
                    </w:rPr>
                    <w:t>固废</w:t>
                  </w:r>
                </w:p>
              </w:tc>
              <w:tc>
                <w:tcPr>
                  <w:tcW w:w="737" w:type="dxa"/>
                  <w:vMerge w:val="restart"/>
                  <w:vAlign w:val="center"/>
                </w:tcPr>
                <w:p w14:paraId="365D1ED5">
                  <w:pPr>
                    <w:pStyle w:val="221"/>
                    <w:rPr>
                      <w:color w:val="000000" w:themeColor="text1"/>
                      <w14:textFill>
                        <w14:solidFill>
                          <w14:schemeClr w14:val="tx1"/>
                        </w14:solidFill>
                      </w14:textFill>
                    </w:rPr>
                  </w:pPr>
                  <w:r>
                    <w:rPr>
                      <w:color w:val="000000" w:themeColor="text1"/>
                      <w14:textFill>
                        <w14:solidFill>
                          <w14:schemeClr w14:val="tx1"/>
                        </w14:solidFill>
                      </w14:textFill>
                    </w:rPr>
                    <w:t>一般工业固废</w:t>
                  </w:r>
                </w:p>
              </w:tc>
              <w:tc>
                <w:tcPr>
                  <w:tcW w:w="2412" w:type="dxa"/>
                  <w:vAlign w:val="center"/>
                </w:tcPr>
                <w:p w14:paraId="3B8E7E6B">
                  <w:pPr>
                    <w:pStyle w:val="221"/>
                    <w:rPr>
                      <w:color w:val="000000" w:themeColor="text1"/>
                      <w14:textFill>
                        <w14:solidFill>
                          <w14:schemeClr w14:val="tx1"/>
                        </w14:solidFill>
                      </w14:textFill>
                    </w:rPr>
                  </w:pPr>
                  <w:r>
                    <w:rPr>
                      <w:color w:val="000000" w:themeColor="text1"/>
                      <w14:textFill>
                        <w14:solidFill>
                          <w14:schemeClr w14:val="tx1"/>
                        </w14:solidFill>
                      </w14:textFill>
                    </w:rPr>
                    <w:t>喷砂</w:t>
                  </w:r>
                </w:p>
              </w:tc>
              <w:tc>
                <w:tcPr>
                  <w:tcW w:w="2408" w:type="dxa"/>
                  <w:vAlign w:val="center"/>
                </w:tcPr>
                <w:p w14:paraId="7FF791C2">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废钢丸</w:t>
                  </w:r>
                </w:p>
              </w:tc>
              <w:tc>
                <w:tcPr>
                  <w:tcW w:w="2550" w:type="dxa"/>
                  <w:vAlign w:val="center"/>
                </w:tcPr>
                <w:p w14:paraId="4825A950">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出售物资回收单位</w:t>
                  </w:r>
                </w:p>
              </w:tc>
            </w:tr>
            <w:tr w14:paraId="125D0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dxa"/>
                  <w:vMerge w:val="continue"/>
                  <w:textDirection w:val="tbRlV"/>
                  <w:vAlign w:val="center"/>
                </w:tcPr>
                <w:p w14:paraId="4A6E6DF1">
                  <w:pPr>
                    <w:pStyle w:val="221"/>
                    <w:rPr>
                      <w:color w:val="000000" w:themeColor="text1"/>
                      <w14:textFill>
                        <w14:solidFill>
                          <w14:schemeClr w14:val="tx1"/>
                        </w14:solidFill>
                      </w14:textFill>
                    </w:rPr>
                  </w:pPr>
                </w:p>
              </w:tc>
              <w:tc>
                <w:tcPr>
                  <w:tcW w:w="737" w:type="dxa"/>
                  <w:vMerge w:val="continue"/>
                  <w:vAlign w:val="center"/>
                </w:tcPr>
                <w:p w14:paraId="0A8C12E4">
                  <w:pPr>
                    <w:pStyle w:val="221"/>
                    <w:rPr>
                      <w:color w:val="000000" w:themeColor="text1"/>
                      <w14:textFill>
                        <w14:solidFill>
                          <w14:schemeClr w14:val="tx1"/>
                        </w14:solidFill>
                      </w14:textFill>
                    </w:rPr>
                  </w:pPr>
                </w:p>
              </w:tc>
              <w:tc>
                <w:tcPr>
                  <w:tcW w:w="2412" w:type="dxa"/>
                  <w:vMerge w:val="restart"/>
                  <w:vAlign w:val="center"/>
                </w:tcPr>
                <w:p w14:paraId="47F760D8">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废气处理</w:t>
                  </w:r>
                </w:p>
              </w:tc>
              <w:tc>
                <w:tcPr>
                  <w:tcW w:w="2408" w:type="dxa"/>
                  <w:vAlign w:val="center"/>
                </w:tcPr>
                <w:p w14:paraId="1ABB7987">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废滤筒</w:t>
                  </w:r>
                </w:p>
              </w:tc>
              <w:tc>
                <w:tcPr>
                  <w:tcW w:w="2550" w:type="dxa"/>
                  <w:vAlign w:val="center"/>
                </w:tcPr>
                <w:p w14:paraId="67EB7571">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出售物资回收单位</w:t>
                  </w:r>
                </w:p>
              </w:tc>
            </w:tr>
            <w:tr w14:paraId="06915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dxa"/>
                  <w:vMerge w:val="continue"/>
                  <w:textDirection w:val="tbRlV"/>
                  <w:vAlign w:val="center"/>
                </w:tcPr>
                <w:p w14:paraId="3CB6DF86">
                  <w:pPr>
                    <w:pStyle w:val="221"/>
                    <w:rPr>
                      <w:color w:val="000000" w:themeColor="text1"/>
                      <w14:textFill>
                        <w14:solidFill>
                          <w14:schemeClr w14:val="tx1"/>
                        </w14:solidFill>
                      </w14:textFill>
                    </w:rPr>
                  </w:pPr>
                </w:p>
              </w:tc>
              <w:tc>
                <w:tcPr>
                  <w:tcW w:w="737" w:type="dxa"/>
                  <w:vMerge w:val="continue"/>
                  <w:vAlign w:val="center"/>
                </w:tcPr>
                <w:p w14:paraId="3E718738">
                  <w:pPr>
                    <w:pStyle w:val="221"/>
                    <w:rPr>
                      <w:color w:val="000000" w:themeColor="text1"/>
                      <w14:textFill>
                        <w14:solidFill>
                          <w14:schemeClr w14:val="tx1"/>
                        </w14:solidFill>
                      </w14:textFill>
                    </w:rPr>
                  </w:pPr>
                </w:p>
              </w:tc>
              <w:tc>
                <w:tcPr>
                  <w:tcW w:w="2412" w:type="dxa"/>
                  <w:vMerge w:val="continue"/>
                  <w:vAlign w:val="center"/>
                </w:tcPr>
                <w:p w14:paraId="1B94AA4F">
                  <w:pPr>
                    <w:pStyle w:val="221"/>
                    <w:rPr>
                      <w:color w:val="000000" w:themeColor="text1"/>
                      <w14:textFill>
                        <w14:solidFill>
                          <w14:schemeClr w14:val="tx1"/>
                        </w14:solidFill>
                      </w14:textFill>
                    </w:rPr>
                  </w:pPr>
                </w:p>
              </w:tc>
              <w:tc>
                <w:tcPr>
                  <w:tcW w:w="2408" w:type="dxa"/>
                  <w:vAlign w:val="center"/>
                </w:tcPr>
                <w:p w14:paraId="11474B9A">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收集的金属粉尘</w:t>
                  </w:r>
                </w:p>
              </w:tc>
              <w:tc>
                <w:tcPr>
                  <w:tcW w:w="2550" w:type="dxa"/>
                  <w:vAlign w:val="center"/>
                </w:tcPr>
                <w:p w14:paraId="48F0F0D7">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出售物资回收单位</w:t>
                  </w:r>
                </w:p>
              </w:tc>
            </w:tr>
            <w:tr w14:paraId="3F067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dxa"/>
                  <w:vMerge w:val="continue"/>
                  <w:textDirection w:val="tbRlV"/>
                  <w:vAlign w:val="center"/>
                </w:tcPr>
                <w:p w14:paraId="5E57D74C">
                  <w:pPr>
                    <w:pStyle w:val="221"/>
                    <w:rPr>
                      <w:color w:val="000000" w:themeColor="text1"/>
                      <w14:textFill>
                        <w14:solidFill>
                          <w14:schemeClr w14:val="tx1"/>
                        </w14:solidFill>
                      </w14:textFill>
                    </w:rPr>
                  </w:pPr>
                </w:p>
              </w:tc>
              <w:tc>
                <w:tcPr>
                  <w:tcW w:w="737" w:type="dxa"/>
                  <w:vMerge w:val="continue"/>
                  <w:vAlign w:val="center"/>
                </w:tcPr>
                <w:p w14:paraId="22E07521">
                  <w:pPr>
                    <w:pStyle w:val="221"/>
                    <w:rPr>
                      <w:color w:val="000000" w:themeColor="text1"/>
                      <w14:textFill>
                        <w14:solidFill>
                          <w14:schemeClr w14:val="tx1"/>
                        </w14:solidFill>
                      </w14:textFill>
                    </w:rPr>
                  </w:pPr>
                </w:p>
              </w:tc>
              <w:tc>
                <w:tcPr>
                  <w:tcW w:w="2412" w:type="dxa"/>
                  <w:vMerge w:val="restart"/>
                  <w:vAlign w:val="center"/>
                </w:tcPr>
                <w:p w14:paraId="17C2879A">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新能源储充产品</w:t>
                  </w:r>
                </w:p>
              </w:tc>
              <w:tc>
                <w:tcPr>
                  <w:tcW w:w="2408" w:type="dxa"/>
                  <w:vAlign w:val="center"/>
                </w:tcPr>
                <w:p w14:paraId="722BFCC1">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废包装材料</w:t>
                  </w:r>
                </w:p>
              </w:tc>
              <w:tc>
                <w:tcPr>
                  <w:tcW w:w="2550" w:type="dxa"/>
                  <w:vAlign w:val="center"/>
                </w:tcPr>
                <w:p w14:paraId="76E4D08B">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出售物资回收单位</w:t>
                  </w:r>
                </w:p>
              </w:tc>
            </w:tr>
            <w:tr w14:paraId="6D10C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dxa"/>
                  <w:vMerge w:val="continue"/>
                  <w:textDirection w:val="tbRlV"/>
                  <w:vAlign w:val="center"/>
                </w:tcPr>
                <w:p w14:paraId="313BB240">
                  <w:pPr>
                    <w:pStyle w:val="221"/>
                    <w:rPr>
                      <w:color w:val="000000" w:themeColor="text1"/>
                      <w14:textFill>
                        <w14:solidFill>
                          <w14:schemeClr w14:val="tx1"/>
                        </w14:solidFill>
                      </w14:textFill>
                    </w:rPr>
                  </w:pPr>
                </w:p>
              </w:tc>
              <w:tc>
                <w:tcPr>
                  <w:tcW w:w="737" w:type="dxa"/>
                  <w:vMerge w:val="continue"/>
                  <w:vAlign w:val="center"/>
                </w:tcPr>
                <w:p w14:paraId="35A26993">
                  <w:pPr>
                    <w:pStyle w:val="221"/>
                    <w:rPr>
                      <w:color w:val="000000" w:themeColor="text1"/>
                      <w14:textFill>
                        <w14:solidFill>
                          <w14:schemeClr w14:val="tx1"/>
                        </w14:solidFill>
                      </w14:textFill>
                    </w:rPr>
                  </w:pPr>
                </w:p>
              </w:tc>
              <w:tc>
                <w:tcPr>
                  <w:tcW w:w="2412" w:type="dxa"/>
                  <w:vMerge w:val="continue"/>
                  <w:vAlign w:val="center"/>
                </w:tcPr>
                <w:p w14:paraId="230EE014">
                  <w:pPr>
                    <w:pStyle w:val="221"/>
                    <w:rPr>
                      <w:color w:val="000000" w:themeColor="text1"/>
                      <w14:textFill>
                        <w14:solidFill>
                          <w14:schemeClr w14:val="tx1"/>
                        </w14:solidFill>
                      </w14:textFill>
                    </w:rPr>
                  </w:pPr>
                </w:p>
              </w:tc>
              <w:tc>
                <w:tcPr>
                  <w:tcW w:w="2408" w:type="dxa"/>
                  <w:vAlign w:val="center"/>
                </w:tcPr>
                <w:p w14:paraId="0E2A27E7">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不合格品</w:t>
                  </w:r>
                </w:p>
              </w:tc>
              <w:tc>
                <w:tcPr>
                  <w:tcW w:w="2550" w:type="dxa"/>
                  <w:vAlign w:val="center"/>
                </w:tcPr>
                <w:p w14:paraId="01DB1DB8">
                  <w:pPr>
                    <w:pStyle w:val="221"/>
                    <w:rPr>
                      <w:color w:val="000000" w:themeColor="text1"/>
                      <w14:textFill>
                        <w14:solidFill>
                          <w14:schemeClr w14:val="tx1"/>
                        </w14:solidFill>
                      </w14:textFill>
                    </w:rPr>
                  </w:pPr>
                  <w:r>
                    <w:rPr>
                      <w:color w:val="000000" w:themeColor="text1"/>
                      <w14:textFill>
                        <w14:solidFill>
                          <w14:schemeClr w14:val="tx1"/>
                        </w14:solidFill>
                      </w14:textFill>
                    </w:rPr>
                    <w:t>出售物资回收单位</w:t>
                  </w:r>
                </w:p>
              </w:tc>
            </w:tr>
            <w:tr w14:paraId="0CDB7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4" w:type="dxa"/>
                  <w:gridSpan w:val="2"/>
                  <w:vAlign w:val="center"/>
                </w:tcPr>
                <w:p w14:paraId="587B189C">
                  <w:pPr>
                    <w:pStyle w:val="221"/>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2412" w:type="dxa"/>
                  <w:vAlign w:val="center"/>
                </w:tcPr>
                <w:p w14:paraId="16782995">
                  <w:pPr>
                    <w:pStyle w:val="221"/>
                    <w:rPr>
                      <w:color w:val="000000" w:themeColor="text1"/>
                      <w14:textFill>
                        <w14:solidFill>
                          <w14:schemeClr w14:val="tx1"/>
                        </w14:solidFill>
                      </w14:textFill>
                    </w:rPr>
                  </w:pPr>
                  <w:r>
                    <w:rPr>
                      <w:color w:val="000000" w:themeColor="text1"/>
                      <w14:textFill>
                        <w14:solidFill>
                          <w14:schemeClr w14:val="tx1"/>
                        </w14:solidFill>
                      </w14:textFill>
                    </w:rPr>
                    <w:t>设备运行</w:t>
                  </w:r>
                </w:p>
              </w:tc>
              <w:tc>
                <w:tcPr>
                  <w:tcW w:w="2408" w:type="dxa"/>
                  <w:vAlign w:val="center"/>
                </w:tcPr>
                <w:p w14:paraId="3EF88D7A">
                  <w:pPr>
                    <w:pStyle w:val="221"/>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2550" w:type="dxa"/>
                  <w:vAlign w:val="center"/>
                </w:tcPr>
                <w:p w14:paraId="376C3917">
                  <w:pPr>
                    <w:pStyle w:val="221"/>
                    <w:rPr>
                      <w:color w:val="000000" w:themeColor="text1"/>
                      <w14:textFill>
                        <w14:solidFill>
                          <w14:schemeClr w14:val="tx1"/>
                        </w14:solidFill>
                      </w14:textFill>
                    </w:rPr>
                  </w:pPr>
                  <w:r>
                    <w:rPr>
                      <w:color w:val="000000" w:themeColor="text1"/>
                      <w14:textFill>
                        <w14:solidFill>
                          <w14:schemeClr w14:val="tx1"/>
                        </w14:solidFill>
                      </w14:textFill>
                    </w:rPr>
                    <w:t>设备基础减振、墙体隔声</w:t>
                  </w:r>
                </w:p>
              </w:tc>
            </w:tr>
          </w:tbl>
          <w:p w14:paraId="698849FA">
            <w:pPr>
              <w:pStyle w:val="30"/>
              <w:widowControl w:val="0"/>
              <w:topLinePunct/>
              <w:rPr>
                <w:rFonts w:ascii="Times New Roman" w:hAnsi="Times New Roman" w:eastAsia="宋体" w:cs="Times New Roman"/>
                <w:bCs/>
                <w:color w:val="000000" w:themeColor="text1"/>
                <w:szCs w:val="21"/>
                <w14:textFill>
                  <w14:solidFill>
                    <w14:schemeClr w14:val="tx1"/>
                  </w14:solidFill>
                </w14:textFill>
              </w:rPr>
            </w:pPr>
          </w:p>
        </w:tc>
      </w:tr>
      <w:tr w14:paraId="2B559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14:paraId="489E56FB">
            <w:pPr>
              <w:pStyle w:val="29"/>
              <w:widowControl w:val="0"/>
              <w:topLinePunct/>
              <w:adjustRightInd w:val="0"/>
              <w:snapToGrid w:val="0"/>
              <w:spacing w:before="0" w:beforeAutospacing="0" w:after="0" w:afterAutospacing="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kern w:val="2"/>
                <w:szCs w:val="24"/>
                <w14:textFill>
                  <w14:solidFill>
                    <w14:schemeClr w14:val="tx1"/>
                  </w14:solidFill>
                </w14:textFill>
              </w:rPr>
              <w:t>与项目有关的原有环境污染问题</w:t>
            </w:r>
          </w:p>
        </w:tc>
        <w:tc>
          <w:tcPr>
            <w:tcW w:w="8833" w:type="dxa"/>
            <w:vAlign w:val="center"/>
          </w:tcPr>
          <w:p w14:paraId="3678A476">
            <w:pPr>
              <w:widowControl w:val="0"/>
              <w:topLinePunct/>
              <w:spacing w:after="0" w:line="360" w:lineRule="auto"/>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2.3 现有工程概况</w:t>
            </w:r>
          </w:p>
          <w:p w14:paraId="4542D8F2">
            <w:pPr>
              <w:widowControl w:val="0"/>
              <w:topLinePunct/>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2.3</w:t>
            </w:r>
            <w:r>
              <w:rPr>
                <w:rFonts w:hint="eastAsia" w:ascii="Times New Roman" w:hAnsi="Times New Roman" w:eastAsia="宋体" w:cs="Times New Roman"/>
                <w:b/>
                <w:bCs/>
                <w:color w:val="000000" w:themeColor="text1"/>
                <w:szCs w:val="24"/>
                <w14:textFill>
                  <w14:solidFill>
                    <w14:schemeClr w14:val="tx1"/>
                  </w14:solidFill>
                </w14:textFill>
              </w:rPr>
              <w:t>.1</w:t>
            </w:r>
            <w:r>
              <w:rPr>
                <w:rFonts w:ascii="Times New Roman" w:hAnsi="Times New Roman" w:eastAsia="宋体" w:cs="Times New Roman"/>
                <w:b/>
                <w:bCs/>
                <w:color w:val="000000" w:themeColor="text1"/>
                <w:szCs w:val="24"/>
                <w14:textFill>
                  <w14:solidFill>
                    <w14:schemeClr w14:val="tx1"/>
                  </w14:solidFill>
                </w14:textFill>
              </w:rPr>
              <w:t xml:space="preserve"> 环保手续履行情况</w:t>
            </w:r>
          </w:p>
          <w:p w14:paraId="15C4632D">
            <w:pPr>
              <w:pStyle w:val="225"/>
              <w:ind w:firstLine="480"/>
              <w:rPr>
                <w:shd w:val="clear" w:color="auto" w:fill="FFFFFF"/>
              </w:rPr>
            </w:pPr>
            <w:r>
              <w:t>福建中能电气有限公司现有工程环评审批、排污许可证及竣工验收情况见表</w:t>
            </w:r>
            <w:r>
              <w:rPr>
                <w:spacing w:val="-40"/>
              </w:rPr>
              <w:t xml:space="preserve"> </w:t>
            </w:r>
            <w:r>
              <w:t>2.3-1。</w:t>
            </w:r>
            <w:r>
              <w:rPr>
                <w:b/>
                <w:bCs/>
              </w:rPr>
              <w:t xml:space="preserve"> </w:t>
            </w:r>
          </w:p>
        </w:tc>
      </w:tr>
    </w:tbl>
    <w:p w14:paraId="4EF11C92">
      <w:pPr>
        <w:pStyle w:val="29"/>
        <w:widowControl w:val="0"/>
        <w:topLinePunct/>
        <w:adjustRightInd w:val="0"/>
        <w:snapToGrid w:val="0"/>
        <w:spacing w:before="0" w:beforeAutospacing="0" w:after="0" w:afterAutospacing="0" w:line="14" w:lineRule="auto"/>
        <w:jc w:val="both"/>
        <w:rPr>
          <w:rFonts w:ascii="Times New Roman" w:hAnsi="Times New Roman" w:eastAsia="宋体" w:cs="Times New Roman"/>
          <w:snapToGrid w:val="0"/>
          <w:color w:val="000000" w:themeColor="text1"/>
          <w:sz w:val="30"/>
          <w:szCs w:val="30"/>
          <w14:textFill>
            <w14:solidFill>
              <w14:schemeClr w14:val="tx1"/>
            </w14:solidFill>
          </w14:textFill>
        </w:rPr>
        <w:sectPr>
          <w:footerReference r:id="rId10" w:type="default"/>
          <w:pgSz w:w="11907" w:h="16840"/>
          <w:pgMar w:top="1417" w:right="1417" w:bottom="1417" w:left="1417" w:header="992" w:footer="992" w:gutter="0"/>
          <w:cols w:space="720" w:num="1"/>
          <w:docGrid w:linePitch="312" w:charSpace="0"/>
        </w:sectPr>
      </w:pPr>
    </w:p>
    <w:p w14:paraId="560E2D9F">
      <w:pPr>
        <w:pStyle w:val="222"/>
        <w:spacing w:before="120"/>
        <w:rPr>
          <w:rFonts w:hint="eastAsia" w:ascii="宋体" w:hAnsi="宋体" w:cs="宋体"/>
          <w:color w:val="000000" w:themeColor="text1"/>
          <w14:textFill>
            <w14:solidFill>
              <w14:schemeClr w14:val="tx1"/>
            </w14:solidFill>
          </w14:textFill>
        </w:rPr>
      </w:pPr>
      <w:bookmarkStart w:id="7" w:name="_Toc10004"/>
      <w:bookmarkStart w:id="8" w:name="_Toc14125"/>
      <w:r>
        <w:rPr>
          <w:rFonts w:ascii="宋体" w:hAnsi="宋体" w:cs="宋体"/>
          <w:bCs/>
          <w:color w:val="000000" w:themeColor="text1"/>
          <w:spacing w:val="-3"/>
          <w14:textFill>
            <w14:solidFill>
              <w14:schemeClr w14:val="tx1"/>
            </w14:solidFill>
          </w14:textFill>
        </w:rPr>
        <w:t>表</w:t>
      </w:r>
      <w:r>
        <w:rPr>
          <w:rFonts w:ascii="宋体" w:hAnsi="宋体" w:cs="宋体"/>
          <w:color w:val="000000" w:themeColor="text1"/>
          <w:spacing w:val="-50"/>
          <w14:textFill>
            <w14:solidFill>
              <w14:schemeClr w14:val="tx1"/>
            </w14:solidFill>
          </w14:textFill>
        </w:rPr>
        <w:t xml:space="preserve"> </w:t>
      </w:r>
      <w:r>
        <w:rPr>
          <w:rFonts w:hint="eastAsia"/>
          <w:bCs/>
          <w:color w:val="000000" w:themeColor="text1"/>
          <w:spacing w:val="-3"/>
          <w14:textFill>
            <w14:solidFill>
              <w14:schemeClr w14:val="tx1"/>
            </w14:solidFill>
          </w14:textFill>
        </w:rPr>
        <w:t>2.3-1</w:t>
      </w:r>
      <w:r>
        <w:rPr>
          <w:rFonts w:eastAsia="Times New Roman"/>
          <w:bCs/>
          <w:color w:val="000000" w:themeColor="text1"/>
          <w:spacing w:val="17"/>
          <w14:textFill>
            <w14:solidFill>
              <w14:schemeClr w14:val="tx1"/>
            </w14:solidFill>
          </w14:textFill>
        </w:rPr>
        <w:t xml:space="preserve">   </w:t>
      </w:r>
      <w:r>
        <w:rPr>
          <w:rFonts w:ascii="宋体" w:hAnsi="宋体" w:cs="宋体"/>
          <w:bCs/>
          <w:color w:val="000000" w:themeColor="text1"/>
          <w:spacing w:val="-3"/>
          <w14:textFill>
            <w14:solidFill>
              <w14:schemeClr w14:val="tx1"/>
            </w14:solidFill>
          </w14:textFill>
        </w:rPr>
        <w:t>现有工程环评及验收审批情况一览表</w:t>
      </w:r>
    </w:p>
    <w:tbl>
      <w:tblPr>
        <w:tblStyle w:val="226"/>
        <w:tblW w:w="14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544"/>
        <w:gridCol w:w="5387"/>
        <w:gridCol w:w="3340"/>
      </w:tblGrid>
      <w:tr w14:paraId="01594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51" w:type="dxa"/>
            <w:vAlign w:val="center"/>
          </w:tcPr>
          <w:p w14:paraId="36595898">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项目名称</w:t>
            </w:r>
          </w:p>
        </w:tc>
        <w:tc>
          <w:tcPr>
            <w:tcW w:w="3544" w:type="dxa"/>
            <w:vAlign w:val="center"/>
          </w:tcPr>
          <w:p w14:paraId="6678ECF5">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建设规模</w:t>
            </w:r>
          </w:p>
        </w:tc>
        <w:tc>
          <w:tcPr>
            <w:tcW w:w="5387" w:type="dxa"/>
            <w:vAlign w:val="center"/>
          </w:tcPr>
          <w:p w14:paraId="6AD5DE80">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执行环评情况</w:t>
            </w:r>
          </w:p>
        </w:tc>
        <w:tc>
          <w:tcPr>
            <w:tcW w:w="3340" w:type="dxa"/>
            <w:vAlign w:val="center"/>
          </w:tcPr>
          <w:p w14:paraId="6678D481">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申请排污许可证及环保验收情况</w:t>
            </w:r>
          </w:p>
        </w:tc>
      </w:tr>
      <w:tr w14:paraId="4D362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51" w:type="dxa"/>
            <w:vAlign w:val="center"/>
          </w:tcPr>
          <w:p w14:paraId="7CE0FDA2">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中压预制式电缆附件及组合设备、特种纤维增强聚酯绝缘材料及制品、智能化免维护型环网设备生产加工项目</w:t>
            </w:r>
          </w:p>
        </w:tc>
        <w:tc>
          <w:tcPr>
            <w:tcW w:w="3544" w:type="dxa"/>
            <w:vAlign w:val="center"/>
          </w:tcPr>
          <w:p w14:paraId="7C755136">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年产中压预制式电缆附件45万只（已</w:t>
            </w:r>
            <w:r>
              <w:rPr>
                <w:rFonts w:hint="eastAsia" w:ascii="Times New Roman" w:hAnsi="Times New Roman" w:eastAsia="宋体" w:cs="Times New Roman"/>
                <w:color w:val="000000" w:themeColor="text1"/>
                <w:sz w:val="21"/>
                <w:szCs w:val="21"/>
                <w14:textFill>
                  <w14:solidFill>
                    <w14:schemeClr w14:val="tx1"/>
                  </w14:solidFill>
                </w14:textFill>
              </w:rPr>
              <w:t>取消停产</w:t>
            </w:r>
            <w:r>
              <w:rPr>
                <w:rFonts w:ascii="Times New Roman" w:hAnsi="Times New Roman" w:eastAsia="宋体" w:cs="Times New Roman"/>
                <w:color w:val="000000" w:themeColor="text1"/>
                <w:sz w:val="21"/>
                <w:szCs w:val="21"/>
                <w14:textFill>
                  <w14:solidFill>
                    <w14:schemeClr w14:val="tx1"/>
                  </w14:solidFill>
                </w14:textFill>
              </w:rPr>
              <w:t>）、电缆分支箱2000台；智能化免维护型环网设备（C-GIS充气柜）1万台套；特种纤维增强聚酯绝缘材料及制品（SMC箱体）5万台套（已停产）</w:t>
            </w:r>
          </w:p>
        </w:tc>
        <w:tc>
          <w:tcPr>
            <w:tcW w:w="5387" w:type="dxa"/>
            <w:vAlign w:val="center"/>
          </w:tcPr>
          <w:p w14:paraId="4DDEE129">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2011年8月委托福建闽科环保技术开发有限公司编制环境影响报告表，福清市</w:t>
            </w:r>
            <w:r>
              <w:rPr>
                <w:rFonts w:hint="eastAsia" w:ascii="Times New Roman" w:hAnsi="Times New Roman" w:eastAsia="宋体" w:cs="Times New Roman"/>
                <w:color w:val="000000" w:themeColor="text1"/>
                <w:sz w:val="21"/>
                <w:szCs w:val="21"/>
                <w:lang w:eastAsia="zh-CN"/>
                <w14:textFill>
                  <w14:solidFill>
                    <w14:schemeClr w14:val="tx1"/>
                  </w14:solidFill>
                </w14:textFill>
              </w:rPr>
              <w:t>生态环境局</w:t>
            </w:r>
            <w:r>
              <w:rPr>
                <w:rFonts w:ascii="Times New Roman" w:hAnsi="Times New Roman" w:eastAsia="宋体" w:cs="Times New Roman"/>
                <w:color w:val="000000" w:themeColor="text1"/>
                <w:sz w:val="21"/>
                <w:szCs w:val="21"/>
                <w14:textFill>
                  <w14:solidFill>
                    <w14:schemeClr w14:val="tx1"/>
                  </w14:solidFill>
                </w14:textFill>
              </w:rPr>
              <w:t>于2011年8月29日对项目环境影响报告表进行批复，详见附件</w:t>
            </w:r>
            <w:r>
              <w:rPr>
                <w:rFonts w:hint="eastAsia" w:ascii="Times New Roman" w:hAnsi="Times New Roman" w:eastAsia="宋体" w:cs="Times New Roman"/>
                <w:color w:val="000000" w:themeColor="text1"/>
                <w:sz w:val="21"/>
                <w:szCs w:val="21"/>
                <w14:textFill>
                  <w14:solidFill>
                    <w14:schemeClr w14:val="tx1"/>
                  </w14:solidFill>
                </w14:textFill>
              </w:rPr>
              <w:t>7-1</w:t>
            </w:r>
            <w:r>
              <w:rPr>
                <w:rFonts w:ascii="Times New Roman" w:hAnsi="Times New Roman" w:eastAsia="宋体" w:cs="Times New Roman"/>
                <w:color w:val="000000" w:themeColor="text1"/>
                <w:sz w:val="21"/>
                <w:szCs w:val="21"/>
                <w14:textFill>
                  <w14:solidFill>
                    <w14:schemeClr w14:val="tx1"/>
                  </w14:solidFill>
                </w14:textFill>
              </w:rPr>
              <w:t>。</w:t>
            </w:r>
          </w:p>
        </w:tc>
        <w:tc>
          <w:tcPr>
            <w:tcW w:w="3340" w:type="dxa"/>
            <w:vMerge w:val="restart"/>
            <w:vAlign w:val="center"/>
          </w:tcPr>
          <w:p w14:paraId="51BF0E8B">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三个项目统一建设，统一验收</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2014年</w:t>
            </w:r>
            <w:r>
              <w:rPr>
                <w:rFonts w:hint="eastAsia" w:ascii="Times New Roman" w:hAnsi="Times New Roman" w:eastAsia="宋体" w:cs="Times New Roman"/>
                <w:color w:val="000000" w:themeColor="text1"/>
                <w:sz w:val="21"/>
                <w:szCs w:val="21"/>
                <w14:textFill>
                  <w14:solidFill>
                    <w14:schemeClr w14:val="tx1"/>
                  </w14:solidFill>
                </w14:textFill>
              </w:rPr>
              <w:t>6</w:t>
            </w:r>
            <w:r>
              <w:rPr>
                <w:rFonts w:ascii="Times New Roman" w:hAnsi="Times New Roman" w:eastAsia="宋体" w:cs="Times New Roman"/>
                <w:color w:val="000000" w:themeColor="text1"/>
                <w:sz w:val="21"/>
                <w:szCs w:val="21"/>
                <w14:textFill>
                  <w14:solidFill>
                    <w14:schemeClr w14:val="tx1"/>
                  </w14:solidFill>
                </w14:textFill>
              </w:rPr>
              <w:t>月</w:t>
            </w:r>
            <w:r>
              <w:rPr>
                <w:rFonts w:hint="eastAsia" w:ascii="Times New Roman" w:hAnsi="Times New Roman" w:eastAsia="宋体" w:cs="Times New Roman"/>
                <w:color w:val="000000" w:themeColor="text1"/>
                <w:sz w:val="21"/>
                <w:szCs w:val="21"/>
                <w14:textFill>
                  <w14:solidFill>
                    <w14:schemeClr w14:val="tx1"/>
                  </w14:solidFill>
                </w14:textFill>
              </w:rPr>
              <w:t>6</w:t>
            </w:r>
            <w:r>
              <w:rPr>
                <w:rFonts w:ascii="Times New Roman" w:hAnsi="Times New Roman" w:eastAsia="宋体" w:cs="Times New Roman"/>
                <w:color w:val="000000" w:themeColor="text1"/>
                <w:sz w:val="21"/>
                <w:szCs w:val="21"/>
                <w14:textFill>
                  <w14:solidFill>
                    <w14:schemeClr w14:val="tx1"/>
                  </w14:solidFill>
                </w14:textFill>
              </w:rPr>
              <w:t>日福淸市环境监测站进行了竣工环境保护验收监测（验收期间生产规模达到日产中压预制式电缆附近</w:t>
            </w:r>
            <w:r>
              <w:rPr>
                <w:rFonts w:hint="eastAsia" w:ascii="Times New Roman" w:hAnsi="Times New Roman" w:eastAsia="宋体" w:cs="Times New Roman"/>
                <w:color w:val="000000" w:themeColor="text1"/>
                <w:sz w:val="21"/>
                <w:szCs w:val="21"/>
                <w14:textFill>
                  <w14:solidFill>
                    <w14:schemeClr w14:val="tx1"/>
                  </w14:solidFill>
                </w14:textFill>
              </w:rPr>
              <w:t>1667只，电缆分支箱8台，</w:t>
            </w:r>
            <w:r>
              <w:rPr>
                <w:rFonts w:ascii="Times New Roman" w:hAnsi="Times New Roman" w:eastAsia="宋体" w:cs="Times New Roman"/>
                <w:color w:val="000000" w:themeColor="text1"/>
                <w:sz w:val="21"/>
                <w:szCs w:val="21"/>
                <w14:textFill>
                  <w14:solidFill>
                    <w14:schemeClr w14:val="tx1"/>
                  </w14:solidFill>
                </w14:textFill>
              </w:rPr>
              <w:t>智能化免维护型环网设备（C-GIS充气柜）</w:t>
            </w:r>
            <w:r>
              <w:rPr>
                <w:rFonts w:hint="eastAsia" w:ascii="Times New Roman" w:hAnsi="Times New Roman" w:eastAsia="宋体" w:cs="Times New Roman"/>
                <w:color w:val="000000" w:themeColor="text1"/>
                <w:sz w:val="21"/>
                <w:szCs w:val="21"/>
                <w14:textFill>
                  <w14:solidFill>
                    <w14:schemeClr w14:val="tx1"/>
                  </w14:solidFill>
                </w14:textFill>
              </w:rPr>
              <w:t>53台套，</w:t>
            </w:r>
            <w:r>
              <w:rPr>
                <w:rFonts w:ascii="Times New Roman" w:hAnsi="Times New Roman" w:eastAsia="宋体" w:cs="Times New Roman"/>
                <w:color w:val="000000" w:themeColor="text1"/>
                <w:sz w:val="21"/>
                <w:szCs w:val="21"/>
                <w14:textFill>
                  <w14:solidFill>
                    <w14:schemeClr w14:val="tx1"/>
                  </w14:solidFill>
                </w14:textFill>
              </w:rPr>
              <w:t>特种纤维增强聚酯绝缘材料及制品（SMC箱体）</w:t>
            </w:r>
            <w:r>
              <w:rPr>
                <w:rFonts w:hint="eastAsia" w:ascii="Times New Roman" w:hAnsi="Times New Roman" w:eastAsia="宋体" w:cs="Times New Roman"/>
                <w:color w:val="000000" w:themeColor="text1"/>
                <w:sz w:val="21"/>
                <w:szCs w:val="21"/>
                <w14:textFill>
                  <w14:solidFill>
                    <w14:schemeClr w14:val="tx1"/>
                  </w14:solidFill>
                </w14:textFill>
              </w:rPr>
              <w:t>1667台，</w:t>
            </w:r>
            <w:r>
              <w:rPr>
                <w:rFonts w:ascii="Times New Roman" w:hAnsi="Times New Roman" w:eastAsia="宋体" w:cs="Times New Roman"/>
                <w:color w:val="000000" w:themeColor="text1"/>
                <w:sz w:val="21"/>
                <w:szCs w:val="21"/>
                <w14:textFill>
                  <w14:solidFill>
                    <w14:schemeClr w14:val="tx1"/>
                  </w14:solidFill>
                </w14:textFill>
              </w:rPr>
              <w:t>验收期间验收生产规模达到环评设计的</w:t>
            </w:r>
            <w:r>
              <w:rPr>
                <w:rFonts w:hint="eastAsia" w:ascii="Times New Roman" w:hAnsi="Times New Roman" w:eastAsia="宋体" w:cs="Times New Roman"/>
                <w:color w:val="000000" w:themeColor="text1"/>
                <w:sz w:val="21"/>
                <w:szCs w:val="21"/>
                <w14:textFill>
                  <w14:solidFill>
                    <w14:schemeClr w14:val="tx1"/>
                  </w14:solidFill>
                </w14:textFill>
              </w:rPr>
              <w:t>75%以上</w:t>
            </w:r>
            <w:r>
              <w:rPr>
                <w:rFonts w:ascii="Times New Roman" w:hAnsi="Times New Roman" w:eastAsia="宋体" w:cs="Times New Roman"/>
                <w:color w:val="000000" w:themeColor="text1"/>
                <w:sz w:val="21"/>
                <w:szCs w:val="21"/>
                <w14:textFill>
                  <w14:solidFill>
                    <w14:schemeClr w14:val="tx1"/>
                  </w14:solidFill>
                </w14:textFill>
              </w:rPr>
              <w:t>），通过</w:t>
            </w:r>
            <w:r>
              <w:rPr>
                <w:rFonts w:hint="eastAsia" w:ascii="Times New Roman" w:hAnsi="Times New Roman" w:eastAsia="宋体" w:cs="Times New Roman"/>
                <w:color w:val="000000" w:themeColor="text1"/>
                <w:sz w:val="21"/>
                <w:szCs w:val="21"/>
                <w:lang w:eastAsia="zh-CN"/>
                <w14:textFill>
                  <w14:solidFill>
                    <w14:schemeClr w14:val="tx1"/>
                  </w14:solidFill>
                </w14:textFill>
              </w:rPr>
              <w:t>生态环境局</w:t>
            </w:r>
            <w:r>
              <w:rPr>
                <w:rFonts w:ascii="Times New Roman" w:hAnsi="Times New Roman" w:eastAsia="宋体" w:cs="Times New Roman"/>
                <w:color w:val="000000" w:themeColor="text1"/>
                <w:sz w:val="21"/>
                <w:szCs w:val="21"/>
                <w14:textFill>
                  <w14:solidFill>
                    <w14:schemeClr w14:val="tx1"/>
                  </w14:solidFill>
                </w14:textFill>
              </w:rPr>
              <w:t>验收，详见附件</w:t>
            </w:r>
            <w:r>
              <w:rPr>
                <w:rFonts w:hint="eastAsia" w:ascii="Times New Roman" w:hAnsi="Times New Roman" w:eastAsia="宋体" w:cs="Times New Roman"/>
                <w:color w:val="000000" w:themeColor="text1"/>
                <w:sz w:val="21"/>
                <w:szCs w:val="21"/>
                <w14:textFill>
                  <w14:solidFill>
                    <w14:schemeClr w14:val="tx1"/>
                  </w14:solidFill>
                </w14:textFill>
              </w:rPr>
              <w:t>7-4</w:t>
            </w:r>
            <w:r>
              <w:rPr>
                <w:rFonts w:ascii="Times New Roman" w:hAnsi="Times New Roman" w:eastAsia="宋体" w:cs="Times New Roman"/>
                <w:color w:val="000000" w:themeColor="text1"/>
                <w:sz w:val="21"/>
                <w:szCs w:val="21"/>
                <w14:textFill>
                  <w14:solidFill>
                    <w14:schemeClr w14:val="tx1"/>
                  </w14:solidFill>
                </w14:textFill>
              </w:rPr>
              <w:t>。</w:t>
            </w:r>
          </w:p>
        </w:tc>
      </w:tr>
      <w:tr w14:paraId="3CEFA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51" w:type="dxa"/>
            <w:vAlign w:val="center"/>
          </w:tcPr>
          <w:p w14:paraId="76FB511C">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中压预制式电缆附件及组合设备、特种纤维增强聚酯绝缘材料及制品、智能化免维护型环网设备生产扩建项目</w:t>
            </w:r>
          </w:p>
        </w:tc>
        <w:tc>
          <w:tcPr>
            <w:tcW w:w="3544" w:type="dxa"/>
            <w:vAlign w:val="center"/>
          </w:tcPr>
          <w:p w14:paraId="1870BA34">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年产中压预制式电缆附件15万只（已取消停产）、电缆分支箱1000台；智能化免维护型环网设备（C-GIS充气柜）1万台套；特种纤维增强聚酯绝缘材料及制品（SMC箱体）1万台套（已停产）</w:t>
            </w:r>
          </w:p>
        </w:tc>
        <w:tc>
          <w:tcPr>
            <w:tcW w:w="5387" w:type="dxa"/>
            <w:vAlign w:val="center"/>
          </w:tcPr>
          <w:p w14:paraId="12C271B3">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2014年1月委托福建闽科环保技术开发有限公司编 制环境影响报告表，福清市</w:t>
            </w:r>
            <w:r>
              <w:rPr>
                <w:rFonts w:hint="eastAsia" w:ascii="Times New Roman" w:hAnsi="Times New Roman" w:eastAsia="宋体" w:cs="Times New Roman"/>
                <w:color w:val="000000" w:themeColor="text1"/>
                <w:sz w:val="21"/>
                <w:szCs w:val="21"/>
                <w:lang w:eastAsia="zh-CN"/>
                <w14:textFill>
                  <w14:solidFill>
                    <w14:schemeClr w14:val="tx1"/>
                  </w14:solidFill>
                </w14:textFill>
              </w:rPr>
              <w:t>生态环境局</w:t>
            </w:r>
            <w:r>
              <w:rPr>
                <w:rFonts w:ascii="Times New Roman" w:hAnsi="Times New Roman" w:eastAsia="宋体" w:cs="Times New Roman"/>
                <w:color w:val="000000" w:themeColor="text1"/>
                <w:sz w:val="21"/>
                <w:szCs w:val="21"/>
                <w14:textFill>
                  <w14:solidFill>
                    <w14:schemeClr w14:val="tx1"/>
                  </w14:solidFill>
                </w14:textFill>
              </w:rPr>
              <w:t>于2014年3月17日对项目环境影响报告表进行批复，详见附件</w:t>
            </w:r>
            <w:r>
              <w:rPr>
                <w:rFonts w:hint="eastAsia" w:ascii="Times New Roman" w:hAnsi="Times New Roman" w:eastAsia="宋体" w:cs="Times New Roman"/>
                <w:color w:val="000000" w:themeColor="text1"/>
                <w:sz w:val="21"/>
                <w:szCs w:val="21"/>
                <w14:textFill>
                  <w14:solidFill>
                    <w14:schemeClr w14:val="tx1"/>
                  </w14:solidFill>
                </w14:textFill>
              </w:rPr>
              <w:t>7-2</w:t>
            </w:r>
            <w:r>
              <w:rPr>
                <w:rFonts w:ascii="Times New Roman" w:hAnsi="Times New Roman" w:eastAsia="宋体" w:cs="Times New Roman"/>
                <w:color w:val="000000" w:themeColor="text1"/>
                <w:sz w:val="21"/>
                <w:szCs w:val="21"/>
                <w14:textFill>
                  <w14:solidFill>
                    <w14:schemeClr w14:val="tx1"/>
                  </w14:solidFill>
                </w14:textFill>
              </w:rPr>
              <w:t>。</w:t>
            </w:r>
          </w:p>
        </w:tc>
        <w:tc>
          <w:tcPr>
            <w:tcW w:w="3340" w:type="dxa"/>
            <w:vMerge w:val="continue"/>
            <w:vAlign w:val="center"/>
          </w:tcPr>
          <w:p w14:paraId="67F86ECD">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r>
      <w:tr w14:paraId="4BC8D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51" w:type="dxa"/>
            <w:vAlign w:val="center"/>
          </w:tcPr>
          <w:p w14:paraId="095BB8DE">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中能电气(福淸）有限公司中压预制式电缆附件生产工艺变更环境影响补充说明</w:t>
            </w:r>
          </w:p>
        </w:tc>
        <w:tc>
          <w:tcPr>
            <w:tcW w:w="3544" w:type="dxa"/>
            <w:vAlign w:val="center"/>
          </w:tcPr>
          <w:p w14:paraId="05421604">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生产规模不变，仅中压预制式电缆附件生产工艺变更</w:t>
            </w:r>
          </w:p>
        </w:tc>
        <w:tc>
          <w:tcPr>
            <w:tcW w:w="5387" w:type="dxa"/>
            <w:vAlign w:val="center"/>
          </w:tcPr>
          <w:p w14:paraId="125A5899">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2014年4月2日委托福建闽科环保技术开发有限公 司编制《中能电气（福淸）有限公司中压预制式电缆附件生产工艺变更环境影响补充说明》，福清市</w:t>
            </w:r>
            <w:r>
              <w:rPr>
                <w:rFonts w:hint="eastAsia" w:ascii="Times New Roman" w:hAnsi="Times New Roman" w:eastAsia="宋体" w:cs="Times New Roman"/>
                <w:color w:val="000000" w:themeColor="text1"/>
                <w:sz w:val="21"/>
                <w:szCs w:val="21"/>
                <w:lang w:eastAsia="zh-CN"/>
                <w14:textFill>
                  <w14:solidFill>
                    <w14:schemeClr w14:val="tx1"/>
                  </w14:solidFill>
                </w14:textFill>
              </w:rPr>
              <w:t>生态环境局</w:t>
            </w:r>
            <w:r>
              <w:rPr>
                <w:rFonts w:ascii="Times New Roman" w:hAnsi="Times New Roman" w:eastAsia="宋体" w:cs="Times New Roman"/>
                <w:color w:val="000000" w:themeColor="text1"/>
                <w:sz w:val="21"/>
                <w:szCs w:val="21"/>
                <w14:textFill>
                  <w14:solidFill>
                    <w14:schemeClr w14:val="tx1"/>
                  </w14:solidFill>
                </w14:textFill>
              </w:rPr>
              <w:t>于2014年4月给予了备案，详见附件</w:t>
            </w:r>
            <w:r>
              <w:rPr>
                <w:rFonts w:hint="eastAsia" w:ascii="Times New Roman" w:hAnsi="Times New Roman" w:eastAsia="宋体" w:cs="Times New Roman"/>
                <w:color w:val="000000" w:themeColor="text1"/>
                <w:sz w:val="21"/>
                <w:szCs w:val="21"/>
                <w14:textFill>
                  <w14:solidFill>
                    <w14:schemeClr w14:val="tx1"/>
                  </w14:solidFill>
                </w14:textFill>
              </w:rPr>
              <w:t>7-3</w:t>
            </w:r>
            <w:r>
              <w:rPr>
                <w:rFonts w:ascii="Times New Roman" w:hAnsi="Times New Roman" w:eastAsia="宋体" w:cs="Times New Roman"/>
                <w:color w:val="000000" w:themeColor="text1"/>
                <w:sz w:val="21"/>
                <w:szCs w:val="21"/>
                <w14:textFill>
                  <w14:solidFill>
                    <w14:schemeClr w14:val="tx1"/>
                  </w14:solidFill>
                </w14:textFill>
              </w:rPr>
              <w:t>。</w:t>
            </w:r>
          </w:p>
        </w:tc>
        <w:tc>
          <w:tcPr>
            <w:tcW w:w="3340" w:type="dxa"/>
            <w:vMerge w:val="continue"/>
            <w:vAlign w:val="center"/>
          </w:tcPr>
          <w:p w14:paraId="4F5800F6">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r>
      <w:tr w14:paraId="47C99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51" w:type="dxa"/>
            <w:vAlign w:val="center"/>
          </w:tcPr>
          <w:p w14:paraId="528F57CE">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中能电气(福淸）有限公司充电桩研发制造扩建项目</w:t>
            </w:r>
          </w:p>
        </w:tc>
        <w:tc>
          <w:tcPr>
            <w:tcW w:w="3544" w:type="dxa"/>
            <w:vAlign w:val="center"/>
          </w:tcPr>
          <w:p w14:paraId="3EF215F2">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年产各类型交、直流充电桩11900套</w:t>
            </w:r>
          </w:p>
        </w:tc>
        <w:tc>
          <w:tcPr>
            <w:tcW w:w="5387" w:type="dxa"/>
            <w:vAlign w:val="center"/>
          </w:tcPr>
          <w:p w14:paraId="56D7B5CB">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2016年4月委托广州环发环保工程有限公司编制环 境影响报告表，福清市</w:t>
            </w:r>
            <w:r>
              <w:rPr>
                <w:rFonts w:hint="eastAsia" w:ascii="Times New Roman" w:hAnsi="Times New Roman" w:eastAsia="宋体" w:cs="Times New Roman"/>
                <w:color w:val="000000" w:themeColor="text1"/>
                <w:sz w:val="21"/>
                <w:szCs w:val="21"/>
                <w:lang w:eastAsia="zh-CN"/>
                <w14:textFill>
                  <w14:solidFill>
                    <w14:schemeClr w14:val="tx1"/>
                  </w14:solidFill>
                </w14:textFill>
              </w:rPr>
              <w:t>生态环境局</w:t>
            </w:r>
            <w:r>
              <w:rPr>
                <w:rFonts w:ascii="Times New Roman" w:hAnsi="Times New Roman" w:eastAsia="宋体" w:cs="Times New Roman"/>
                <w:color w:val="000000" w:themeColor="text1"/>
                <w:sz w:val="21"/>
                <w:szCs w:val="21"/>
                <w14:textFill>
                  <w14:solidFill>
                    <w14:schemeClr w14:val="tx1"/>
                  </w14:solidFill>
                </w14:textFill>
              </w:rPr>
              <w:t>于2016年6月14日对项目环境影响报告表进行批复，详见附件</w:t>
            </w:r>
            <w:r>
              <w:rPr>
                <w:rFonts w:hint="eastAsia" w:ascii="Times New Roman" w:hAnsi="Times New Roman" w:eastAsia="宋体" w:cs="Times New Roman"/>
                <w:color w:val="000000" w:themeColor="text1"/>
                <w:sz w:val="21"/>
                <w:szCs w:val="21"/>
                <w14:textFill>
                  <w14:solidFill>
                    <w14:schemeClr w14:val="tx1"/>
                  </w14:solidFill>
                </w14:textFill>
              </w:rPr>
              <w:t>7-5</w:t>
            </w:r>
            <w:r>
              <w:rPr>
                <w:rFonts w:ascii="Times New Roman" w:hAnsi="Times New Roman" w:eastAsia="宋体" w:cs="Times New Roman"/>
                <w:color w:val="000000" w:themeColor="text1"/>
                <w:sz w:val="21"/>
                <w:szCs w:val="21"/>
                <w14:textFill>
                  <w14:solidFill>
                    <w14:schemeClr w14:val="tx1"/>
                  </w14:solidFill>
                </w14:textFill>
              </w:rPr>
              <w:t>。</w:t>
            </w:r>
          </w:p>
        </w:tc>
        <w:tc>
          <w:tcPr>
            <w:tcW w:w="3340" w:type="dxa"/>
            <w:vAlign w:val="center"/>
          </w:tcPr>
          <w:p w14:paraId="76E21F25">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2019年3月18日~19日建设单位进行竣工环境保护验收监测，验收范围为：年产各类型交、直流充电桩11900套，不包含焊接，项目日后也不进行焊接，与环评期间对比，未发生重大变动，并于2019年4月20日通过验收组验收，详见附件</w:t>
            </w:r>
            <w:r>
              <w:rPr>
                <w:rFonts w:hint="eastAsia" w:ascii="Times New Roman" w:hAnsi="Times New Roman" w:eastAsia="宋体" w:cs="Times New Roman"/>
                <w:color w:val="000000" w:themeColor="text1"/>
                <w:sz w:val="21"/>
                <w:szCs w:val="21"/>
                <w14:textFill>
                  <w14:solidFill>
                    <w14:schemeClr w14:val="tx1"/>
                  </w14:solidFill>
                </w14:textFill>
              </w:rPr>
              <w:t>7-6</w:t>
            </w:r>
            <w:r>
              <w:rPr>
                <w:rFonts w:ascii="Times New Roman" w:hAnsi="Times New Roman" w:eastAsia="宋体" w:cs="Times New Roman"/>
                <w:color w:val="000000" w:themeColor="text1"/>
                <w:sz w:val="21"/>
                <w:szCs w:val="21"/>
                <w14:textFill>
                  <w14:solidFill>
                    <w14:schemeClr w14:val="tx1"/>
                  </w14:solidFill>
                </w14:textFill>
              </w:rPr>
              <w:t>。</w:t>
            </w:r>
          </w:p>
        </w:tc>
      </w:tr>
      <w:tr w14:paraId="7325B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51" w:type="dxa"/>
            <w:vAlign w:val="center"/>
          </w:tcPr>
          <w:p w14:paraId="0D6932F1">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中能电气(福淸）有限公司地铁系统用智能化低压开关柜项目（扩建）</w:t>
            </w:r>
          </w:p>
        </w:tc>
        <w:tc>
          <w:tcPr>
            <w:tcW w:w="3544" w:type="dxa"/>
            <w:vAlign w:val="center"/>
          </w:tcPr>
          <w:p w14:paraId="6A18D186">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年产地铁系统用智能低压开关柜5000台</w:t>
            </w:r>
          </w:p>
        </w:tc>
        <w:tc>
          <w:tcPr>
            <w:tcW w:w="5387" w:type="dxa"/>
            <w:vAlign w:val="center"/>
          </w:tcPr>
          <w:p w14:paraId="2B80EBE5">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2016年9月委托中环华诚（厦门）环保科技有限公司编制环境影响报告表，福清市</w:t>
            </w:r>
            <w:r>
              <w:rPr>
                <w:rFonts w:hint="eastAsia" w:ascii="Times New Roman" w:hAnsi="Times New Roman" w:eastAsia="宋体" w:cs="Times New Roman"/>
                <w:color w:val="000000" w:themeColor="text1"/>
                <w:sz w:val="21"/>
                <w:szCs w:val="21"/>
                <w:lang w:eastAsia="zh-CN"/>
                <w14:textFill>
                  <w14:solidFill>
                    <w14:schemeClr w14:val="tx1"/>
                  </w14:solidFill>
                </w14:textFill>
              </w:rPr>
              <w:t>生态环境局</w:t>
            </w:r>
            <w:r>
              <w:rPr>
                <w:rFonts w:ascii="Times New Roman" w:hAnsi="Times New Roman" w:eastAsia="宋体" w:cs="Times New Roman"/>
                <w:color w:val="000000" w:themeColor="text1"/>
                <w:sz w:val="21"/>
                <w:szCs w:val="21"/>
                <w14:textFill>
                  <w14:solidFill>
                    <w14:schemeClr w14:val="tx1"/>
                  </w14:solidFill>
                </w14:textFill>
              </w:rPr>
              <w:t>于2016年11月22日对项目环境影响报告表进行批复，详见附件</w:t>
            </w:r>
            <w:r>
              <w:rPr>
                <w:rFonts w:hint="eastAsia" w:ascii="Times New Roman" w:hAnsi="Times New Roman" w:eastAsia="宋体" w:cs="Times New Roman"/>
                <w:color w:val="000000" w:themeColor="text1"/>
                <w:sz w:val="21"/>
                <w:szCs w:val="21"/>
                <w14:textFill>
                  <w14:solidFill>
                    <w14:schemeClr w14:val="tx1"/>
                  </w14:solidFill>
                </w14:textFill>
              </w:rPr>
              <w:t>7-7</w:t>
            </w:r>
            <w:r>
              <w:rPr>
                <w:rFonts w:ascii="Times New Roman" w:hAnsi="Times New Roman" w:eastAsia="宋体" w:cs="Times New Roman"/>
                <w:color w:val="000000" w:themeColor="text1"/>
                <w:sz w:val="21"/>
                <w:szCs w:val="21"/>
                <w14:textFill>
                  <w14:solidFill>
                    <w14:schemeClr w14:val="tx1"/>
                  </w14:solidFill>
                </w14:textFill>
              </w:rPr>
              <w:t>。</w:t>
            </w:r>
          </w:p>
        </w:tc>
        <w:tc>
          <w:tcPr>
            <w:tcW w:w="3340" w:type="dxa"/>
            <w:vAlign w:val="center"/>
          </w:tcPr>
          <w:p w14:paraId="07FD89F1">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2019年3月18日~19日建设单位进行竣工环境保护验收监测，验收范围为年产地铁系统用智能低压开关柜5000台，不包含焊接，项目日后也不进行焊接，与环评期间对比，未发生重大变动，并于2019年4月27日通过验收组验收</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详见附</w:t>
            </w:r>
            <w:r>
              <w:rPr>
                <w:rFonts w:hint="eastAsia" w:ascii="Times New Roman" w:hAnsi="Times New Roman" w:eastAsia="宋体" w:cs="Times New Roman"/>
                <w:color w:val="000000" w:themeColor="text1"/>
                <w:sz w:val="21"/>
                <w:szCs w:val="21"/>
                <w14:textFill>
                  <w14:solidFill>
                    <w14:schemeClr w14:val="tx1"/>
                  </w14:solidFill>
                </w14:textFill>
              </w:rPr>
              <w:t>7-8</w:t>
            </w:r>
            <w:r>
              <w:rPr>
                <w:rFonts w:ascii="Times New Roman" w:hAnsi="Times New Roman" w:eastAsia="宋体" w:cs="Times New Roman"/>
                <w:color w:val="000000" w:themeColor="text1"/>
                <w:sz w:val="21"/>
                <w:szCs w:val="21"/>
                <w14:textFill>
                  <w14:solidFill>
                    <w14:schemeClr w14:val="tx1"/>
                  </w14:solidFill>
                </w14:textFill>
              </w:rPr>
              <w:t>。</w:t>
            </w:r>
          </w:p>
        </w:tc>
      </w:tr>
      <w:tr w14:paraId="021A5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51" w:type="dxa"/>
            <w:vAlign w:val="center"/>
          </w:tcPr>
          <w:p w14:paraId="00066D32">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福建中能电气有限公司一二次融合智能配电项目</w:t>
            </w:r>
          </w:p>
        </w:tc>
        <w:tc>
          <w:tcPr>
            <w:tcW w:w="3544" w:type="dxa"/>
            <w:vAlign w:val="center"/>
          </w:tcPr>
          <w:p w14:paraId="03D58CCC">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年产一二次融合成套配电开关设备2万台、边缘计算智能终端7万套、智能传感器5万套</w:t>
            </w:r>
          </w:p>
        </w:tc>
        <w:tc>
          <w:tcPr>
            <w:tcW w:w="5387" w:type="dxa"/>
            <w:vAlign w:val="center"/>
          </w:tcPr>
          <w:p w14:paraId="705B1CA2">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2020年3月委托北京水木丰岳环境咨询有限公司编制环境影响报告表，福州市福清生态环境局于2020年6月23日对项目编制环境影响报告表进行批复，详见附件</w:t>
            </w:r>
            <w:r>
              <w:rPr>
                <w:rFonts w:hint="eastAsia" w:ascii="Times New Roman" w:hAnsi="Times New Roman" w:eastAsia="宋体" w:cs="Times New Roman"/>
                <w:color w:val="000000" w:themeColor="text1"/>
                <w:sz w:val="21"/>
                <w:szCs w:val="21"/>
                <w14:textFill>
                  <w14:solidFill>
                    <w14:schemeClr w14:val="tx1"/>
                  </w14:solidFill>
                </w14:textFill>
              </w:rPr>
              <w:t>7-9</w:t>
            </w:r>
          </w:p>
        </w:tc>
        <w:tc>
          <w:tcPr>
            <w:tcW w:w="3340" w:type="dxa"/>
            <w:vAlign w:val="center"/>
          </w:tcPr>
          <w:p w14:paraId="7353E180">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暂时未投产建设、未验收</w:t>
            </w:r>
          </w:p>
        </w:tc>
      </w:tr>
      <w:tr w14:paraId="43CC5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51" w:type="dxa"/>
            <w:vAlign w:val="center"/>
          </w:tcPr>
          <w:p w14:paraId="45E710E0">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福建中能电气有限公司5#车间及配套设施改扩建项目</w:t>
            </w:r>
          </w:p>
        </w:tc>
        <w:tc>
          <w:tcPr>
            <w:tcW w:w="3544" w:type="dxa"/>
            <w:vAlign w:val="center"/>
          </w:tcPr>
          <w:p w14:paraId="10294074">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年产900台箱式变电箱</w:t>
            </w:r>
          </w:p>
        </w:tc>
        <w:tc>
          <w:tcPr>
            <w:tcW w:w="5387" w:type="dxa"/>
            <w:vAlign w:val="center"/>
          </w:tcPr>
          <w:p w14:paraId="20AEBA5F">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2020年10月委托北京水木丰岳环境咨询有限公司编制环境影响报告表，福清市</w:t>
            </w:r>
            <w:r>
              <w:rPr>
                <w:rFonts w:hint="eastAsia" w:ascii="Times New Roman" w:hAnsi="Times New Roman" w:eastAsia="宋体" w:cs="Times New Roman"/>
                <w:color w:val="000000" w:themeColor="text1"/>
                <w:sz w:val="21"/>
                <w:szCs w:val="21"/>
                <w:lang w:eastAsia="zh-CN"/>
                <w14:textFill>
                  <w14:solidFill>
                    <w14:schemeClr w14:val="tx1"/>
                  </w14:solidFill>
                </w14:textFill>
              </w:rPr>
              <w:t>生态环境局</w:t>
            </w:r>
            <w:r>
              <w:rPr>
                <w:rFonts w:ascii="Times New Roman" w:hAnsi="Times New Roman" w:eastAsia="宋体" w:cs="Times New Roman"/>
                <w:color w:val="000000" w:themeColor="text1"/>
                <w:sz w:val="21"/>
                <w:szCs w:val="21"/>
                <w14:textFill>
                  <w14:solidFill>
                    <w14:schemeClr w14:val="tx1"/>
                  </w14:solidFill>
                </w14:textFill>
              </w:rPr>
              <w:t>于2020年12月3日对项目环境影响报告表进行批复，详见附件</w:t>
            </w:r>
            <w:r>
              <w:rPr>
                <w:rFonts w:hint="eastAsia" w:ascii="Times New Roman" w:hAnsi="Times New Roman" w:eastAsia="宋体" w:cs="Times New Roman"/>
                <w:color w:val="000000" w:themeColor="text1"/>
                <w:sz w:val="21"/>
                <w:szCs w:val="21"/>
                <w14:textFill>
                  <w14:solidFill>
                    <w14:schemeClr w14:val="tx1"/>
                  </w14:solidFill>
                </w14:textFill>
              </w:rPr>
              <w:t>7-10</w:t>
            </w:r>
            <w:r>
              <w:rPr>
                <w:rFonts w:ascii="Times New Roman" w:hAnsi="Times New Roman" w:eastAsia="宋体" w:cs="Times New Roman"/>
                <w:color w:val="000000" w:themeColor="text1"/>
                <w:sz w:val="21"/>
                <w:szCs w:val="21"/>
                <w14:textFill>
                  <w14:solidFill>
                    <w14:schemeClr w14:val="tx1"/>
                  </w14:solidFill>
                </w14:textFill>
              </w:rPr>
              <w:t>。</w:t>
            </w:r>
          </w:p>
        </w:tc>
        <w:tc>
          <w:tcPr>
            <w:tcW w:w="3340" w:type="dxa"/>
            <w:vAlign w:val="center"/>
          </w:tcPr>
          <w:p w14:paraId="79E8E22E">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于</w:t>
            </w:r>
            <w:r>
              <w:rPr>
                <w:rFonts w:hint="eastAsia" w:ascii="Times New Roman" w:hAnsi="Times New Roman" w:eastAsia="宋体" w:cs="Times New Roman"/>
                <w:color w:val="000000" w:themeColor="text1"/>
                <w:sz w:val="21"/>
                <w:szCs w:val="21"/>
                <w14:textFill>
                  <w14:solidFill>
                    <w14:schemeClr w14:val="tx1"/>
                  </w14:solidFill>
                </w14:textFill>
              </w:rPr>
              <w:t>2020年5月29日办理排污许可登记。</w:t>
            </w:r>
            <w:r>
              <w:rPr>
                <w:rFonts w:ascii="Times New Roman" w:hAnsi="Times New Roman" w:eastAsia="宋体" w:cs="Times New Roman"/>
                <w:color w:val="000000" w:themeColor="text1"/>
                <w:sz w:val="21"/>
                <w:szCs w:val="21"/>
                <w14:textFill>
                  <w14:solidFill>
                    <w14:schemeClr w14:val="tx1"/>
                  </w14:solidFill>
                </w14:textFill>
              </w:rPr>
              <w:t>2020年12月23日~24日建设单位进行竣工环境保护验收监测，验收范围为年产900台箱式变电箱以及配套的公辅设施和环保设施，不包含焊接，项目日后也不进行焊接，与环评期间对比，未发生重大变动，并于2021年1月27日通过验收组验收，详见附</w:t>
            </w:r>
            <w:r>
              <w:rPr>
                <w:rFonts w:hint="eastAsia" w:ascii="Times New Roman" w:hAnsi="Times New Roman" w:eastAsia="宋体" w:cs="Times New Roman"/>
                <w:color w:val="000000" w:themeColor="text1"/>
                <w:sz w:val="21"/>
                <w:szCs w:val="21"/>
                <w14:textFill>
                  <w14:solidFill>
                    <w14:schemeClr w14:val="tx1"/>
                  </w14:solidFill>
                </w14:textFill>
              </w:rPr>
              <w:t>7-11</w:t>
            </w:r>
            <w:r>
              <w:rPr>
                <w:rFonts w:ascii="Times New Roman" w:hAnsi="Times New Roman" w:eastAsia="宋体" w:cs="Times New Roman"/>
                <w:color w:val="000000" w:themeColor="text1"/>
                <w:sz w:val="21"/>
                <w:szCs w:val="21"/>
                <w14:textFill>
                  <w14:solidFill>
                    <w14:schemeClr w14:val="tx1"/>
                  </w14:solidFill>
                </w14:textFill>
              </w:rPr>
              <w:t>。</w:t>
            </w:r>
          </w:p>
        </w:tc>
      </w:tr>
      <w:tr w14:paraId="1A978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51" w:type="dxa"/>
            <w:vAlign w:val="center"/>
          </w:tcPr>
          <w:p w14:paraId="064D7A0D">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中能电气新能源</w:t>
            </w:r>
          </w:p>
          <w:p w14:paraId="750F088B">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储充项目</w:t>
            </w:r>
          </w:p>
        </w:tc>
        <w:tc>
          <w:tcPr>
            <w:tcW w:w="3544" w:type="dxa"/>
            <w:vAlign w:val="center"/>
          </w:tcPr>
          <w:p w14:paraId="071C8602">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年产充电桩8000台、储能集成系统400MWh</w:t>
            </w:r>
          </w:p>
        </w:tc>
        <w:tc>
          <w:tcPr>
            <w:tcW w:w="5387" w:type="dxa"/>
            <w:vAlign w:val="center"/>
          </w:tcPr>
          <w:p w14:paraId="7D8D68D0">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2023年3月委托福州庆林环保科技开发有限公司编制环境影响报告表，福州市生态环境局于2023年4月4日对项目环境影响报告表进行批复，详见附件7-12</w:t>
            </w:r>
          </w:p>
        </w:tc>
        <w:tc>
          <w:tcPr>
            <w:tcW w:w="3340" w:type="dxa"/>
            <w:vAlign w:val="center"/>
          </w:tcPr>
          <w:p w14:paraId="23B72968">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项目取消，不再建设</w:t>
            </w:r>
          </w:p>
        </w:tc>
      </w:tr>
      <w:tr w14:paraId="62762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51" w:type="dxa"/>
            <w:vAlign w:val="center"/>
          </w:tcPr>
          <w:p w14:paraId="0F10E999">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中压预制式电缆附件车间扩建项目</w:t>
            </w:r>
          </w:p>
        </w:tc>
        <w:tc>
          <w:tcPr>
            <w:tcW w:w="3544" w:type="dxa"/>
            <w:vAlign w:val="center"/>
          </w:tcPr>
          <w:p w14:paraId="1CC47A1F">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年产中压预制式电缆附件 210 万只</w:t>
            </w:r>
          </w:p>
        </w:tc>
        <w:tc>
          <w:tcPr>
            <w:tcW w:w="5387" w:type="dxa"/>
            <w:vAlign w:val="center"/>
          </w:tcPr>
          <w:p w14:paraId="6EFF4837">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2024年10月委托泉州市兴雅环保科技有限公司编制环境影响报告表，福州市生态环境局于2024年12月10日对项目环境影响报告表进行批复，详见附件7-13</w:t>
            </w:r>
          </w:p>
        </w:tc>
        <w:tc>
          <w:tcPr>
            <w:tcW w:w="3340" w:type="dxa"/>
            <w:vAlign w:val="center"/>
          </w:tcPr>
          <w:p w14:paraId="5A838C93">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于</w:t>
            </w:r>
            <w:r>
              <w:rPr>
                <w:rFonts w:hint="eastAsia" w:ascii="Times New Roman" w:hAnsi="Times New Roman" w:eastAsia="宋体" w:cs="Times New Roman"/>
                <w:color w:val="000000" w:themeColor="text1"/>
                <w:sz w:val="21"/>
                <w:szCs w:val="21"/>
                <w14:textFill>
                  <w14:solidFill>
                    <w14:schemeClr w14:val="tx1"/>
                  </w14:solidFill>
                </w14:textFill>
              </w:rPr>
              <w:t>2025年4月15日办理排污许可登记（详见附件8）。2025年4月22日~23日</w:t>
            </w:r>
            <w:r>
              <w:rPr>
                <w:rFonts w:ascii="Times New Roman" w:hAnsi="Times New Roman" w:eastAsia="宋体" w:cs="Times New Roman"/>
                <w:color w:val="000000" w:themeColor="text1"/>
                <w:sz w:val="21"/>
                <w:szCs w:val="21"/>
                <w14:textFill>
                  <w14:solidFill>
                    <w14:schemeClr w14:val="tx1"/>
                  </w14:solidFill>
                </w14:textFill>
              </w:rPr>
              <w:t>建设单位进行竣工环境保护验收监测，验收范围为</w:t>
            </w:r>
            <w:r>
              <w:rPr>
                <w:rFonts w:hint="eastAsia" w:ascii="Times New Roman" w:hAnsi="Times New Roman" w:eastAsia="宋体" w:cs="Times New Roman"/>
                <w:color w:val="000000" w:themeColor="text1"/>
                <w:sz w:val="21"/>
                <w:szCs w:val="21"/>
                <w14:textFill>
                  <w14:solidFill>
                    <w14:schemeClr w14:val="tx1"/>
                  </w14:solidFill>
                </w14:textFill>
              </w:rPr>
              <w:t>年产中压预制式电缆附件 210 万只</w:t>
            </w:r>
            <w:r>
              <w:rPr>
                <w:rFonts w:ascii="Times New Roman" w:hAnsi="Times New Roman" w:eastAsia="宋体" w:cs="Times New Roman"/>
                <w:color w:val="000000" w:themeColor="text1"/>
                <w:sz w:val="21"/>
                <w:szCs w:val="21"/>
                <w14:textFill>
                  <w14:solidFill>
                    <w14:schemeClr w14:val="tx1"/>
                  </w14:solidFill>
                </w14:textFill>
              </w:rPr>
              <w:t>，并于202</w:t>
            </w:r>
            <w:r>
              <w:rPr>
                <w:rFonts w:hint="eastAsia" w:ascii="Times New Roman" w:hAnsi="Times New Roman" w:eastAsia="宋体" w:cs="Times New Roman"/>
                <w:color w:val="000000" w:themeColor="text1"/>
                <w:sz w:val="21"/>
                <w:szCs w:val="21"/>
                <w14:textFill>
                  <w14:solidFill>
                    <w14:schemeClr w14:val="tx1"/>
                  </w14:solidFill>
                </w14:textFill>
              </w:rPr>
              <w:t>5</w:t>
            </w:r>
            <w:r>
              <w:rPr>
                <w:rFonts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eastAsia="宋体" w:cs="Times New Roman"/>
                <w:color w:val="000000" w:themeColor="text1"/>
                <w:sz w:val="21"/>
                <w:szCs w:val="21"/>
                <w14:textFill>
                  <w14:solidFill>
                    <w14:schemeClr w14:val="tx1"/>
                  </w14:solidFill>
                </w14:textFill>
              </w:rPr>
              <w:t>5</w:t>
            </w:r>
            <w:r>
              <w:rPr>
                <w:rFonts w:ascii="Times New Roman" w:hAnsi="Times New Roman" w:eastAsia="宋体" w:cs="Times New Roman"/>
                <w:color w:val="000000" w:themeColor="text1"/>
                <w:sz w:val="21"/>
                <w:szCs w:val="21"/>
                <w14:textFill>
                  <w14:solidFill>
                    <w14:schemeClr w14:val="tx1"/>
                  </w14:solidFill>
                </w14:textFill>
              </w:rPr>
              <w:t>月</w:t>
            </w:r>
            <w:r>
              <w:rPr>
                <w:rFonts w:hint="eastAsia" w:ascii="Times New Roman" w:hAnsi="Times New Roman" w:eastAsia="宋体" w:cs="Times New Roman"/>
                <w:color w:val="000000" w:themeColor="text1"/>
                <w:sz w:val="21"/>
                <w:szCs w:val="21"/>
                <w14:textFill>
                  <w14:solidFill>
                    <w14:schemeClr w14:val="tx1"/>
                  </w14:solidFill>
                </w14:textFill>
              </w:rPr>
              <w:t>6</w:t>
            </w:r>
            <w:r>
              <w:rPr>
                <w:rFonts w:ascii="Times New Roman" w:hAnsi="Times New Roman" w:eastAsia="宋体" w:cs="Times New Roman"/>
                <w:color w:val="000000" w:themeColor="text1"/>
                <w:sz w:val="21"/>
                <w:szCs w:val="21"/>
                <w14:textFill>
                  <w14:solidFill>
                    <w14:schemeClr w14:val="tx1"/>
                  </w14:solidFill>
                </w14:textFill>
              </w:rPr>
              <w:t>日通过验收组验收，详见附</w:t>
            </w:r>
            <w:r>
              <w:rPr>
                <w:rFonts w:hint="eastAsia" w:ascii="Times New Roman" w:hAnsi="Times New Roman" w:eastAsia="宋体" w:cs="Times New Roman"/>
                <w:color w:val="000000" w:themeColor="text1"/>
                <w:sz w:val="21"/>
                <w:szCs w:val="21"/>
                <w14:textFill>
                  <w14:solidFill>
                    <w14:schemeClr w14:val="tx1"/>
                  </w14:solidFill>
                </w14:textFill>
              </w:rPr>
              <w:t>7-14</w:t>
            </w:r>
            <w:r>
              <w:rPr>
                <w:rFonts w:ascii="Times New Roman" w:hAnsi="Times New Roman" w:eastAsia="宋体" w:cs="Times New Roman"/>
                <w:color w:val="000000" w:themeColor="text1"/>
                <w:sz w:val="21"/>
                <w:szCs w:val="21"/>
                <w14:textFill>
                  <w14:solidFill>
                    <w14:schemeClr w14:val="tx1"/>
                  </w14:solidFill>
                </w14:textFill>
              </w:rPr>
              <w:t>。</w:t>
            </w:r>
          </w:p>
        </w:tc>
      </w:tr>
      <w:tr w14:paraId="597CA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51" w:type="dxa"/>
            <w:vAlign w:val="center"/>
          </w:tcPr>
          <w:p w14:paraId="3AFC5491">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喷漆生产线建设及生产设备提升改造项目</w:t>
            </w:r>
          </w:p>
        </w:tc>
        <w:tc>
          <w:tcPr>
            <w:tcW w:w="3544" w:type="dxa"/>
            <w:vAlign w:val="center"/>
          </w:tcPr>
          <w:p w14:paraId="7B3269FA">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对现有产品（各类智能配电设备和新能源产品储充外壳15万件/年）进行喷漆、喷粉等处理，喷漆项目改建后全厂不新增产能</w:t>
            </w:r>
          </w:p>
        </w:tc>
        <w:tc>
          <w:tcPr>
            <w:tcW w:w="5387" w:type="dxa"/>
            <w:vAlign w:val="center"/>
          </w:tcPr>
          <w:p w14:paraId="3928C891">
            <w:pPr>
              <w:pStyle w:val="221"/>
            </w:pPr>
            <w:r>
              <w:rPr>
                <w:rFonts w:hint="eastAsia"/>
              </w:rPr>
              <w:t>2025年3月委托深圳市鹏邦环保科技有限公司编制环境影响报告表，福州市生态环境局于2025年5月21日对项目环境影响报告表进行批复，详见附件7-15</w:t>
            </w:r>
          </w:p>
        </w:tc>
        <w:tc>
          <w:tcPr>
            <w:tcW w:w="3340" w:type="dxa"/>
            <w:vAlign w:val="center"/>
          </w:tcPr>
          <w:p w14:paraId="7CA51260">
            <w:pPr>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处于建设中，还未验收</w:t>
            </w:r>
          </w:p>
        </w:tc>
      </w:tr>
    </w:tbl>
    <w:p w14:paraId="0D026E86">
      <w:pPr>
        <w:rPr>
          <w:rFonts w:ascii="Times New Roman" w:hAnsi="Times New Roman" w:eastAsia="宋体" w:cs="Times New Roman"/>
          <w:b/>
          <w:bCs/>
          <w:snapToGrid w:val="0"/>
          <w:color w:val="000000" w:themeColor="text1"/>
          <w:sz w:val="32"/>
          <w:szCs w:val="32"/>
          <w14:textFill>
            <w14:solidFill>
              <w14:schemeClr w14:val="tx1"/>
            </w14:solidFill>
          </w14:textFill>
        </w:rPr>
      </w:pPr>
    </w:p>
    <w:p w14:paraId="32296832">
      <w:pPr>
        <w:pStyle w:val="29"/>
        <w:widowControl w:val="0"/>
        <w:topLinePunct/>
        <w:spacing w:before="0" w:beforeAutospacing="0" w:after="0" w:afterAutospacing="0" w:line="360" w:lineRule="auto"/>
        <w:jc w:val="center"/>
        <w:outlineLvl w:val="0"/>
        <w:rPr>
          <w:rFonts w:ascii="Times New Roman" w:hAnsi="Times New Roman" w:eastAsia="宋体" w:cs="Times New Roman"/>
          <w:b/>
          <w:bCs/>
          <w:snapToGrid w:val="0"/>
          <w:color w:val="000000" w:themeColor="text1"/>
          <w:sz w:val="32"/>
          <w:szCs w:val="32"/>
          <w14:textFill>
            <w14:solidFill>
              <w14:schemeClr w14:val="tx1"/>
            </w14:solidFill>
          </w14:textFill>
        </w:rPr>
        <w:sectPr>
          <w:pgSz w:w="16840" w:h="11907" w:orient="landscape"/>
          <w:pgMar w:top="1417" w:right="1417" w:bottom="1417" w:left="1417" w:header="992" w:footer="992" w:gutter="0"/>
          <w:cols w:space="720" w:num="1"/>
          <w:docGrid w:linePitch="312" w:charSpace="0"/>
        </w:sectPr>
      </w:pPr>
    </w:p>
    <w:tbl>
      <w:tblPr>
        <w:tblStyle w:val="173"/>
        <w:tblW w:w="8936" w:type="dxa"/>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378"/>
        <w:gridCol w:w="8558"/>
      </w:tblGrid>
      <w:tr w14:paraId="7B19A65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378" w:type="dxa"/>
            <w:vAlign w:val="center"/>
          </w:tcPr>
          <w:p w14:paraId="3F0157DC">
            <w:pPr>
              <w:spacing w:after="0" w:line="240" w:lineRule="auto"/>
              <w:jc w:val="center"/>
              <w:rPr>
                <w:rFonts w:ascii="Times New Roman" w:hAnsi="Times New Roman" w:cs="Times New Roman"/>
                <w:color w:val="000000" w:themeColor="text1"/>
                <w:sz w:val="21"/>
                <w14:textFill>
                  <w14:solidFill>
                    <w14:schemeClr w14:val="tx1"/>
                  </w14:solidFill>
                </w14:textFill>
              </w:rPr>
            </w:pPr>
          </w:p>
          <w:p w14:paraId="6A435A88">
            <w:pPr>
              <w:pStyle w:val="172"/>
              <w:spacing w:after="0" w:line="240" w:lineRule="auto"/>
              <w:jc w:val="center"/>
              <w:outlineLvl w:val="0"/>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8"/>
                <w:lang w:eastAsia="zh-CN"/>
                <w14:textFill>
                  <w14:solidFill>
                    <w14:schemeClr w14:val="tx1"/>
                  </w14:solidFill>
                </w14:textFill>
              </w:rPr>
              <w:t>与项</w:t>
            </w:r>
          </w:p>
          <w:p w14:paraId="2D2A29A7">
            <w:pPr>
              <w:pStyle w:val="172"/>
              <w:spacing w:after="0" w:line="240" w:lineRule="auto"/>
              <w:ind w:firstLine="45"/>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28"/>
                <w:lang w:eastAsia="zh-CN"/>
                <w14:textFill>
                  <w14:solidFill>
                    <w14:schemeClr w14:val="tx1"/>
                  </w14:solidFill>
                </w14:textFill>
              </w:rPr>
              <w:t>目有</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spacing w:val="-5"/>
                <w:lang w:eastAsia="zh-CN"/>
                <w14:textFill>
                  <w14:solidFill>
                    <w14:schemeClr w14:val="tx1"/>
                  </w14:solidFill>
                </w14:textFill>
              </w:rPr>
              <w:t>关的</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spacing w:val="-5"/>
                <w:lang w:eastAsia="zh-CN"/>
                <w14:textFill>
                  <w14:solidFill>
                    <w14:schemeClr w14:val="tx1"/>
                  </w14:solidFill>
                </w14:textFill>
              </w:rPr>
              <w:t>原有</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spacing w:val="-5"/>
                <w:lang w:eastAsia="zh-CN"/>
                <w14:textFill>
                  <w14:solidFill>
                    <w14:schemeClr w14:val="tx1"/>
                  </w14:solidFill>
                </w14:textFill>
              </w:rPr>
              <w:t>环境</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spacing w:val="-5"/>
                <w:lang w:eastAsia="zh-CN"/>
                <w14:textFill>
                  <w14:solidFill>
                    <w14:schemeClr w14:val="tx1"/>
                  </w14:solidFill>
                </w14:textFill>
              </w:rPr>
              <w:t>污染</w:t>
            </w:r>
            <w:r>
              <w:rPr>
                <w:rFonts w:ascii="Times New Roman" w:hAnsi="Times New Roman" w:cs="Times New Roman"/>
                <w:color w:val="000000" w:themeColor="text1"/>
                <w:lang w:eastAsia="zh-CN"/>
                <w14:textFill>
                  <w14:solidFill>
                    <w14:schemeClr w14:val="tx1"/>
                  </w14:solidFill>
                </w14:textFill>
              </w:rPr>
              <w:t xml:space="preserve"> </w:t>
            </w:r>
            <w:r>
              <w:rPr>
                <w:rFonts w:ascii="Times New Roman" w:hAnsi="Times New Roman" w:cs="Times New Roman"/>
                <w:color w:val="000000" w:themeColor="text1"/>
                <w:spacing w:val="-5"/>
                <w:lang w:eastAsia="zh-CN"/>
                <w14:textFill>
                  <w14:solidFill>
                    <w14:schemeClr w14:val="tx1"/>
                  </w14:solidFill>
                </w14:textFill>
              </w:rPr>
              <w:t>问题</w:t>
            </w:r>
          </w:p>
        </w:tc>
        <w:tc>
          <w:tcPr>
            <w:tcW w:w="8558" w:type="dxa"/>
          </w:tcPr>
          <w:p w14:paraId="1FE921F0">
            <w:pPr>
              <w:pStyle w:val="172"/>
              <w:spacing w:before="40" w:line="220" w:lineRule="auto"/>
              <w:ind w:left="109"/>
              <w:outlineLvl w:val="1"/>
              <w:rPr>
                <w:rFonts w:ascii="Times New Roman" w:hAnsi="Times New Roman" w:cs="Times New Roman"/>
                <w:color w:val="000000" w:themeColor="text1"/>
                <w:lang w:eastAsia="zh-CN"/>
                <w14:textFill>
                  <w14:solidFill>
                    <w14:schemeClr w14:val="tx1"/>
                  </w14:solidFill>
                </w14:textFill>
              </w:rPr>
            </w:pPr>
            <w:r>
              <w:rPr>
                <w:rFonts w:ascii="Times New Roman" w:hAnsi="Times New Roman" w:eastAsia="Times New Roman" w:cs="Times New Roman"/>
                <w:b/>
                <w:bCs/>
                <w:color w:val="000000" w:themeColor="text1"/>
                <w:spacing w:val="-2"/>
                <w:lang w:eastAsia="zh-CN"/>
                <w14:textFill>
                  <w14:solidFill>
                    <w14:schemeClr w14:val="tx1"/>
                  </w14:solidFill>
                </w14:textFill>
              </w:rPr>
              <w:t>2.</w:t>
            </w:r>
            <w:r>
              <w:rPr>
                <w:rFonts w:ascii="Times New Roman" w:hAnsi="Times New Roman" w:eastAsia="宋体" w:cs="Times New Roman"/>
                <w:b/>
                <w:bCs/>
                <w:color w:val="000000" w:themeColor="text1"/>
                <w:spacing w:val="-2"/>
                <w:lang w:eastAsia="zh-CN"/>
                <w14:textFill>
                  <w14:solidFill>
                    <w14:schemeClr w14:val="tx1"/>
                  </w14:solidFill>
                </w14:textFill>
              </w:rPr>
              <w:t>3</w:t>
            </w:r>
            <w:r>
              <w:rPr>
                <w:rFonts w:ascii="Times New Roman" w:hAnsi="Times New Roman" w:eastAsia="Times New Roman" w:cs="Times New Roman"/>
                <w:b/>
                <w:bCs/>
                <w:color w:val="000000" w:themeColor="text1"/>
                <w:spacing w:val="-2"/>
                <w:lang w:eastAsia="zh-CN"/>
                <w14:textFill>
                  <w14:solidFill>
                    <w14:schemeClr w14:val="tx1"/>
                  </w14:solidFill>
                </w14:textFill>
              </w:rPr>
              <w:t>.</w:t>
            </w:r>
            <w:r>
              <w:rPr>
                <w:rFonts w:hint="eastAsia" w:ascii="Times New Roman" w:hAnsi="Times New Roman" w:cs="Times New Roman"/>
                <w:b/>
                <w:bCs/>
                <w:color w:val="000000" w:themeColor="text1"/>
                <w:spacing w:val="-2"/>
                <w:lang w:eastAsia="zh-CN"/>
                <w14:textFill>
                  <w14:solidFill>
                    <w14:schemeClr w14:val="tx1"/>
                  </w14:solidFill>
                </w14:textFill>
              </w:rPr>
              <w:t>2</w:t>
            </w:r>
            <w:r>
              <w:rPr>
                <w:rFonts w:ascii="Times New Roman" w:hAnsi="Times New Roman" w:eastAsia="Times New Roman" w:cs="Times New Roman"/>
                <w:b/>
                <w:bCs/>
                <w:color w:val="000000" w:themeColor="text1"/>
                <w:spacing w:val="-2"/>
                <w:lang w:eastAsia="zh-CN"/>
                <w14:textFill>
                  <w14:solidFill>
                    <w14:schemeClr w14:val="tx1"/>
                  </w14:solidFill>
                </w14:textFill>
              </w:rPr>
              <w:t xml:space="preserve"> </w:t>
            </w:r>
            <w:r>
              <w:rPr>
                <w:rFonts w:ascii="Times New Roman" w:hAnsi="Times New Roman" w:cs="Times New Roman"/>
                <w:b/>
                <w:bCs/>
                <w:color w:val="000000" w:themeColor="text1"/>
                <w:spacing w:val="-2"/>
                <w:lang w:eastAsia="zh-CN"/>
                <w14:textFill>
                  <w14:solidFill>
                    <w14:schemeClr w14:val="tx1"/>
                  </w14:solidFill>
                </w14:textFill>
              </w:rPr>
              <w:t>现有工程主要产品</w:t>
            </w:r>
          </w:p>
          <w:p w14:paraId="3206D5C1">
            <w:pPr>
              <w:pStyle w:val="172"/>
              <w:spacing w:before="180" w:line="219" w:lineRule="auto"/>
              <w:ind w:left="595"/>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spacing w:val="-2"/>
                <w:lang w:eastAsia="zh-CN"/>
                <w14:textFill>
                  <w14:solidFill>
                    <w14:schemeClr w14:val="tx1"/>
                  </w14:solidFill>
                </w14:textFill>
              </w:rPr>
              <w:t>现有工程主要产品详见</w:t>
            </w:r>
            <w:r>
              <w:rPr>
                <w:rFonts w:ascii="Times New Roman" w:hAnsi="Times New Roman" w:cs="Times New Roman"/>
                <w:color w:val="000000" w:themeColor="text1"/>
                <w:lang w:eastAsia="zh-CN"/>
                <w14:textFill>
                  <w14:solidFill>
                    <w14:schemeClr w14:val="tx1"/>
                  </w14:solidFill>
                </w14:textFill>
              </w:rPr>
              <w:t>表2.3-</w:t>
            </w:r>
            <w:r>
              <w:rPr>
                <w:rFonts w:hint="eastAsia" w:ascii="Times New Roman" w:hAnsi="Times New Roman" w:cs="Times New Roman"/>
                <w:color w:val="000000" w:themeColor="text1"/>
                <w:lang w:eastAsia="zh-CN"/>
                <w14:textFill>
                  <w14:solidFill>
                    <w14:schemeClr w14:val="tx1"/>
                  </w14:solidFill>
                </w14:textFill>
              </w:rPr>
              <w:t>2</w:t>
            </w:r>
            <w:r>
              <w:rPr>
                <w:rFonts w:ascii="Times New Roman" w:hAnsi="Times New Roman" w:cs="Times New Roman"/>
                <w:color w:val="000000" w:themeColor="text1"/>
                <w:spacing w:val="-2"/>
                <w:lang w:eastAsia="zh-CN"/>
                <w14:textFill>
                  <w14:solidFill>
                    <w14:schemeClr w14:val="tx1"/>
                  </w14:solidFill>
                </w14:textFill>
              </w:rPr>
              <w:t>。</w:t>
            </w:r>
          </w:p>
          <w:p w14:paraId="604BE89B">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表2.3-</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eastAsia="Times New Roman"/>
                <w:color w:val="000000" w:themeColor="text1"/>
                <w:spacing w:val="17"/>
                <w:w w:val="101"/>
                <w14:textFill>
                  <w14:solidFill>
                    <w14:schemeClr w14:val="tx1"/>
                  </w14:solidFill>
                </w14:textFill>
              </w:rPr>
              <w:t xml:space="preserve"> </w:t>
            </w:r>
            <w:r>
              <w:rPr>
                <w:color w:val="000000" w:themeColor="text1"/>
                <w14:textFill>
                  <w14:solidFill>
                    <w14:schemeClr w14:val="tx1"/>
                  </w14:solidFill>
                </w14:textFill>
              </w:rPr>
              <w:t>现有工程主要产品一览表</w:t>
            </w:r>
          </w:p>
          <w:tbl>
            <w:tblPr>
              <w:tblStyle w:val="226"/>
              <w:tblW w:w="85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3208"/>
              <w:gridCol w:w="903"/>
              <w:gridCol w:w="1134"/>
              <w:gridCol w:w="2546"/>
            </w:tblGrid>
            <w:tr w14:paraId="67B9B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1FD0211C">
                  <w:pPr>
                    <w:pStyle w:val="221"/>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3208" w:type="dxa"/>
                  <w:vAlign w:val="center"/>
                </w:tcPr>
                <w:p w14:paraId="57377E7C">
                  <w:pPr>
                    <w:pStyle w:val="221"/>
                    <w:rPr>
                      <w:color w:val="000000" w:themeColor="text1"/>
                      <w14:textFill>
                        <w14:solidFill>
                          <w14:schemeClr w14:val="tx1"/>
                        </w14:solidFill>
                      </w14:textFill>
                    </w:rPr>
                  </w:pPr>
                  <w:r>
                    <w:rPr>
                      <w:color w:val="000000" w:themeColor="text1"/>
                      <w:spacing w:val="7"/>
                      <w14:textFill>
                        <w14:solidFill>
                          <w14:schemeClr w14:val="tx1"/>
                        </w14:solidFill>
                      </w14:textFill>
                    </w:rPr>
                    <w:t>产品名称</w:t>
                  </w:r>
                </w:p>
              </w:tc>
              <w:tc>
                <w:tcPr>
                  <w:tcW w:w="903" w:type="dxa"/>
                  <w:vAlign w:val="center"/>
                </w:tcPr>
                <w:p w14:paraId="00684D41">
                  <w:pPr>
                    <w:pStyle w:val="221"/>
                    <w:rPr>
                      <w:color w:val="000000" w:themeColor="text1"/>
                      <w14:textFill>
                        <w14:solidFill>
                          <w14:schemeClr w14:val="tx1"/>
                        </w14:solidFill>
                      </w14:textFill>
                    </w:rPr>
                  </w:pPr>
                  <w:r>
                    <w:rPr>
                      <w:color w:val="000000" w:themeColor="text1"/>
                      <w:spacing w:val="3"/>
                      <w14:textFill>
                        <w14:solidFill>
                          <w14:schemeClr w14:val="tx1"/>
                        </w14:solidFill>
                      </w14:textFill>
                    </w:rPr>
                    <w:t>单位</w:t>
                  </w:r>
                </w:p>
              </w:tc>
              <w:tc>
                <w:tcPr>
                  <w:tcW w:w="1134" w:type="dxa"/>
                  <w:vAlign w:val="center"/>
                </w:tcPr>
                <w:p w14:paraId="6D1043AC">
                  <w:pPr>
                    <w:pStyle w:val="221"/>
                    <w:rPr>
                      <w:color w:val="000000" w:themeColor="text1"/>
                      <w14:textFill>
                        <w14:solidFill>
                          <w14:schemeClr w14:val="tx1"/>
                        </w14:solidFill>
                      </w14:textFill>
                    </w:rPr>
                  </w:pPr>
                  <w:r>
                    <w:rPr>
                      <w:color w:val="000000" w:themeColor="text1"/>
                      <w:spacing w:val="6"/>
                      <w14:textFill>
                        <w14:solidFill>
                          <w14:schemeClr w14:val="tx1"/>
                        </w14:solidFill>
                      </w14:textFill>
                    </w:rPr>
                    <w:t>生产规模</w:t>
                  </w:r>
                </w:p>
              </w:tc>
              <w:tc>
                <w:tcPr>
                  <w:tcW w:w="2546" w:type="dxa"/>
                  <w:vAlign w:val="center"/>
                </w:tcPr>
                <w:p w14:paraId="2A186080">
                  <w:pPr>
                    <w:pStyle w:val="221"/>
                    <w:rPr>
                      <w:color w:val="000000" w:themeColor="text1"/>
                      <w14:textFill>
                        <w14:solidFill>
                          <w14:schemeClr w14:val="tx1"/>
                        </w14:solidFill>
                      </w14:textFill>
                    </w:rPr>
                  </w:pPr>
                  <w:r>
                    <w:rPr>
                      <w:color w:val="000000" w:themeColor="text1"/>
                      <w:spacing w:val="6"/>
                      <w14:textFill>
                        <w14:solidFill>
                          <w14:schemeClr w14:val="tx1"/>
                        </w14:solidFill>
                      </w14:textFill>
                    </w:rPr>
                    <w:t>生产情况</w:t>
                  </w:r>
                </w:p>
              </w:tc>
            </w:tr>
            <w:tr w14:paraId="4CF1A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5176594A">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p>
              </w:tc>
              <w:tc>
                <w:tcPr>
                  <w:tcW w:w="3208" w:type="dxa"/>
                  <w:vAlign w:val="center"/>
                </w:tcPr>
                <w:p w14:paraId="591CDF37">
                  <w:pPr>
                    <w:pStyle w:val="221"/>
                    <w:rPr>
                      <w:color w:val="000000" w:themeColor="text1"/>
                      <w14:textFill>
                        <w14:solidFill>
                          <w14:schemeClr w14:val="tx1"/>
                        </w14:solidFill>
                      </w14:textFill>
                    </w:rPr>
                  </w:pPr>
                  <w:r>
                    <w:rPr>
                      <w:color w:val="000000" w:themeColor="text1"/>
                      <w:spacing w:val="6"/>
                      <w14:textFill>
                        <w14:solidFill>
                          <w14:schemeClr w14:val="tx1"/>
                        </w14:solidFill>
                      </w14:textFill>
                    </w:rPr>
                    <w:t>中压预制式电缆附件</w:t>
                  </w:r>
                </w:p>
              </w:tc>
              <w:tc>
                <w:tcPr>
                  <w:tcW w:w="903" w:type="dxa"/>
                  <w:vAlign w:val="center"/>
                </w:tcPr>
                <w:p w14:paraId="668C0F8E">
                  <w:pPr>
                    <w:pStyle w:val="221"/>
                    <w:rPr>
                      <w:rFonts w:eastAsia="Times New Roman"/>
                      <w:color w:val="000000" w:themeColor="text1"/>
                      <w14:textFill>
                        <w14:solidFill>
                          <w14:schemeClr w14:val="tx1"/>
                        </w14:solidFill>
                      </w14:textFill>
                    </w:rPr>
                  </w:pPr>
                  <w:r>
                    <w:rPr>
                      <w:color w:val="000000" w:themeColor="text1"/>
                      <w:spacing w:val="3"/>
                      <w:position w:val="1"/>
                      <w14:textFill>
                        <w14:solidFill>
                          <w14:schemeClr w14:val="tx1"/>
                        </w14:solidFill>
                      </w14:textFill>
                    </w:rPr>
                    <w:t>万只</w:t>
                  </w:r>
                  <w:r>
                    <w:rPr>
                      <w:rFonts w:eastAsia="Times New Roman"/>
                      <w:color w:val="000000" w:themeColor="text1"/>
                      <w:spacing w:val="3"/>
                      <w:position w:val="1"/>
                      <w14:textFill>
                        <w14:solidFill>
                          <w14:schemeClr w14:val="tx1"/>
                        </w14:solidFill>
                      </w14:textFill>
                    </w:rPr>
                    <w:t>/a</w:t>
                  </w:r>
                </w:p>
              </w:tc>
              <w:tc>
                <w:tcPr>
                  <w:tcW w:w="1134" w:type="dxa"/>
                  <w:vAlign w:val="center"/>
                </w:tcPr>
                <w:p w14:paraId="17580027">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60</w:t>
                  </w:r>
                </w:p>
              </w:tc>
              <w:tc>
                <w:tcPr>
                  <w:tcW w:w="2546" w:type="dxa"/>
                  <w:vAlign w:val="center"/>
                </w:tcPr>
                <w:p w14:paraId="349374C2">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已拆除生产线，取消建设</w:t>
                  </w:r>
                </w:p>
              </w:tc>
            </w:tr>
            <w:tr w14:paraId="283A9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06011BAF">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p>
              </w:tc>
              <w:tc>
                <w:tcPr>
                  <w:tcW w:w="3208" w:type="dxa"/>
                  <w:vAlign w:val="center"/>
                </w:tcPr>
                <w:p w14:paraId="666A89A8">
                  <w:pPr>
                    <w:pStyle w:val="221"/>
                    <w:rPr>
                      <w:color w:val="000000" w:themeColor="text1"/>
                      <w14:textFill>
                        <w14:solidFill>
                          <w14:schemeClr w14:val="tx1"/>
                        </w14:solidFill>
                      </w14:textFill>
                    </w:rPr>
                  </w:pPr>
                  <w:r>
                    <w:rPr>
                      <w:color w:val="000000" w:themeColor="text1"/>
                      <w:spacing w:val="3"/>
                      <w14:textFill>
                        <w14:solidFill>
                          <w14:schemeClr w14:val="tx1"/>
                        </w14:solidFill>
                      </w14:textFill>
                    </w:rPr>
                    <w:t>电缆分支箱</w:t>
                  </w:r>
                </w:p>
              </w:tc>
              <w:tc>
                <w:tcPr>
                  <w:tcW w:w="903" w:type="dxa"/>
                  <w:vAlign w:val="center"/>
                </w:tcPr>
                <w:p w14:paraId="2349C1B9">
                  <w:pPr>
                    <w:pStyle w:val="221"/>
                    <w:rPr>
                      <w:rFonts w:eastAsia="Times New Roman"/>
                      <w:color w:val="000000" w:themeColor="text1"/>
                      <w14:textFill>
                        <w14:solidFill>
                          <w14:schemeClr w14:val="tx1"/>
                        </w14:solidFill>
                      </w14:textFill>
                    </w:rPr>
                  </w:pPr>
                  <w:r>
                    <w:rPr>
                      <w:color w:val="000000" w:themeColor="text1"/>
                      <w:spacing w:val="-4"/>
                      <w:position w:val="1"/>
                      <w14:textFill>
                        <w14:solidFill>
                          <w14:schemeClr w14:val="tx1"/>
                        </w14:solidFill>
                      </w14:textFill>
                    </w:rPr>
                    <w:t>台</w:t>
                  </w:r>
                  <w:r>
                    <w:rPr>
                      <w:rFonts w:eastAsia="Times New Roman"/>
                      <w:color w:val="000000" w:themeColor="text1"/>
                      <w:spacing w:val="-4"/>
                      <w:position w:val="1"/>
                      <w14:textFill>
                        <w14:solidFill>
                          <w14:schemeClr w14:val="tx1"/>
                        </w14:solidFill>
                      </w14:textFill>
                    </w:rPr>
                    <w:t>/a</w:t>
                  </w:r>
                </w:p>
              </w:tc>
              <w:tc>
                <w:tcPr>
                  <w:tcW w:w="1134" w:type="dxa"/>
                  <w:vAlign w:val="center"/>
                </w:tcPr>
                <w:p w14:paraId="7852C811">
                  <w:pPr>
                    <w:pStyle w:val="221"/>
                    <w:rPr>
                      <w:rFonts w:eastAsia="Times New Roman"/>
                      <w:color w:val="000000" w:themeColor="text1"/>
                      <w14:textFill>
                        <w14:solidFill>
                          <w14:schemeClr w14:val="tx1"/>
                        </w14:solidFill>
                      </w14:textFill>
                    </w:rPr>
                  </w:pPr>
                  <w:r>
                    <w:rPr>
                      <w:rFonts w:eastAsia="Times New Roman"/>
                      <w:color w:val="000000" w:themeColor="text1"/>
                      <w:spacing w:val="3"/>
                      <w14:textFill>
                        <w14:solidFill>
                          <w14:schemeClr w14:val="tx1"/>
                        </w14:solidFill>
                      </w14:textFill>
                    </w:rPr>
                    <w:t>3000</w:t>
                  </w:r>
                </w:p>
              </w:tc>
              <w:tc>
                <w:tcPr>
                  <w:tcW w:w="2546" w:type="dxa"/>
                  <w:vAlign w:val="center"/>
                </w:tcPr>
                <w:p w14:paraId="6344829B">
                  <w:pPr>
                    <w:pStyle w:val="221"/>
                    <w:rPr>
                      <w:color w:val="000000" w:themeColor="text1"/>
                      <w14:textFill>
                        <w14:solidFill>
                          <w14:schemeClr w14:val="tx1"/>
                        </w14:solidFill>
                      </w14:textFill>
                    </w:rPr>
                  </w:pPr>
                  <w:r>
                    <w:rPr>
                      <w:color w:val="000000" w:themeColor="text1"/>
                      <w14:textFill>
                        <w14:solidFill>
                          <w14:schemeClr w14:val="tx1"/>
                        </w14:solidFill>
                      </w14:textFill>
                    </w:rPr>
                    <w:t>已投入正常运行</w:t>
                  </w:r>
                </w:p>
              </w:tc>
            </w:tr>
            <w:tr w14:paraId="4BAD3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5415DB3C">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3</w:t>
                  </w:r>
                </w:p>
              </w:tc>
              <w:tc>
                <w:tcPr>
                  <w:tcW w:w="3208" w:type="dxa"/>
                  <w:vAlign w:val="center"/>
                </w:tcPr>
                <w:p w14:paraId="65792A30">
                  <w:pPr>
                    <w:pStyle w:val="221"/>
                    <w:rPr>
                      <w:color w:val="000000" w:themeColor="text1"/>
                      <w14:textFill>
                        <w14:solidFill>
                          <w14:schemeClr w14:val="tx1"/>
                        </w14:solidFill>
                      </w14:textFill>
                    </w:rPr>
                  </w:pPr>
                  <w:r>
                    <w:rPr>
                      <w:rFonts w:eastAsia="Times New Roman"/>
                      <w:color w:val="000000" w:themeColor="text1"/>
                      <w:spacing w:val="6"/>
                      <w14:textFill>
                        <w14:solidFill>
                          <w14:schemeClr w14:val="tx1"/>
                        </w14:solidFill>
                      </w14:textFill>
                    </w:rPr>
                    <w:t>C-</w:t>
                  </w:r>
                  <w:r>
                    <w:rPr>
                      <w:rFonts w:eastAsia="Times New Roman"/>
                      <w:color w:val="000000" w:themeColor="text1"/>
                      <w14:textFill>
                        <w14:solidFill>
                          <w14:schemeClr w14:val="tx1"/>
                        </w14:solidFill>
                      </w14:textFill>
                    </w:rPr>
                    <w:t>GIS</w:t>
                  </w:r>
                  <w:r>
                    <w:rPr>
                      <w:rFonts w:eastAsia="Times New Roman"/>
                      <w:color w:val="000000" w:themeColor="text1"/>
                      <w:spacing w:val="18"/>
                      <w14:textFill>
                        <w14:solidFill>
                          <w14:schemeClr w14:val="tx1"/>
                        </w14:solidFill>
                      </w14:textFill>
                    </w:rPr>
                    <w:t xml:space="preserve"> </w:t>
                  </w:r>
                  <w:r>
                    <w:rPr>
                      <w:color w:val="000000" w:themeColor="text1"/>
                      <w:spacing w:val="6"/>
                      <w14:textFill>
                        <w14:solidFill>
                          <w14:schemeClr w14:val="tx1"/>
                        </w14:solidFill>
                      </w14:textFill>
                    </w:rPr>
                    <w:t>充气柜</w:t>
                  </w:r>
                </w:p>
              </w:tc>
              <w:tc>
                <w:tcPr>
                  <w:tcW w:w="903" w:type="dxa"/>
                  <w:vAlign w:val="center"/>
                </w:tcPr>
                <w:p w14:paraId="16BC4078">
                  <w:pPr>
                    <w:pStyle w:val="221"/>
                    <w:rPr>
                      <w:rFonts w:eastAsia="Times New Roman"/>
                      <w:color w:val="000000" w:themeColor="text1"/>
                      <w14:textFill>
                        <w14:solidFill>
                          <w14:schemeClr w14:val="tx1"/>
                        </w14:solidFill>
                      </w14:textFill>
                    </w:rPr>
                  </w:pPr>
                  <w:r>
                    <w:rPr>
                      <w:color w:val="000000" w:themeColor="text1"/>
                      <w:spacing w:val="3"/>
                      <w:position w:val="1"/>
                      <w14:textFill>
                        <w14:solidFill>
                          <w14:schemeClr w14:val="tx1"/>
                        </w14:solidFill>
                      </w14:textFill>
                    </w:rPr>
                    <w:t>万套</w:t>
                  </w:r>
                  <w:r>
                    <w:rPr>
                      <w:rFonts w:eastAsia="Times New Roman"/>
                      <w:color w:val="000000" w:themeColor="text1"/>
                      <w:spacing w:val="3"/>
                      <w:position w:val="1"/>
                      <w14:textFill>
                        <w14:solidFill>
                          <w14:schemeClr w14:val="tx1"/>
                        </w14:solidFill>
                      </w14:textFill>
                    </w:rPr>
                    <w:t>/a</w:t>
                  </w:r>
                </w:p>
              </w:tc>
              <w:tc>
                <w:tcPr>
                  <w:tcW w:w="1134" w:type="dxa"/>
                  <w:vAlign w:val="center"/>
                </w:tcPr>
                <w:p w14:paraId="6DEF5338">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p>
              </w:tc>
              <w:tc>
                <w:tcPr>
                  <w:tcW w:w="2546" w:type="dxa"/>
                  <w:vAlign w:val="center"/>
                </w:tcPr>
                <w:p w14:paraId="1C7A1931">
                  <w:pPr>
                    <w:pStyle w:val="221"/>
                    <w:rPr>
                      <w:color w:val="000000" w:themeColor="text1"/>
                      <w14:textFill>
                        <w14:solidFill>
                          <w14:schemeClr w14:val="tx1"/>
                        </w14:solidFill>
                      </w14:textFill>
                    </w:rPr>
                  </w:pPr>
                  <w:r>
                    <w:rPr>
                      <w:color w:val="000000" w:themeColor="text1"/>
                      <w14:textFill>
                        <w14:solidFill>
                          <w14:schemeClr w14:val="tx1"/>
                        </w14:solidFill>
                      </w14:textFill>
                    </w:rPr>
                    <w:t>已投入正常运行</w:t>
                  </w:r>
                </w:p>
              </w:tc>
            </w:tr>
            <w:tr w14:paraId="23437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2E6810B8">
                  <w:pPr>
                    <w:pStyle w:val="221"/>
                    <w:rPr>
                      <w:rFonts w:eastAsia="Times New Roman"/>
                      <w:color w:val="000000" w:themeColor="text1"/>
                      <w14:textFill>
                        <w14:solidFill>
                          <w14:schemeClr w14:val="tx1"/>
                        </w14:solidFill>
                      </w14:textFill>
                    </w:rPr>
                  </w:pPr>
                  <w:r>
                    <w:rPr>
                      <w:rFonts w:eastAsia="Times New Roman"/>
                      <w:color w:val="000000" w:themeColor="text1"/>
                      <w:spacing w:val="1"/>
                      <w14:textFill>
                        <w14:solidFill>
                          <w14:schemeClr w14:val="tx1"/>
                        </w14:solidFill>
                      </w14:textFill>
                    </w:rPr>
                    <w:t>4</w:t>
                  </w:r>
                </w:p>
              </w:tc>
              <w:tc>
                <w:tcPr>
                  <w:tcW w:w="3208" w:type="dxa"/>
                  <w:vAlign w:val="center"/>
                </w:tcPr>
                <w:p w14:paraId="3E98BD3A">
                  <w:pPr>
                    <w:pStyle w:val="221"/>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SMC</w:t>
                  </w:r>
                  <w:r>
                    <w:rPr>
                      <w:rFonts w:eastAsia="Times New Roman"/>
                      <w:color w:val="000000" w:themeColor="text1"/>
                      <w:spacing w:val="15"/>
                      <w:w w:val="101"/>
                      <w14:textFill>
                        <w14:solidFill>
                          <w14:schemeClr w14:val="tx1"/>
                        </w14:solidFill>
                      </w14:textFill>
                    </w:rPr>
                    <w:t xml:space="preserve"> </w:t>
                  </w:r>
                  <w:r>
                    <w:rPr>
                      <w:color w:val="000000" w:themeColor="text1"/>
                      <w:spacing w:val="6"/>
                      <w14:textFill>
                        <w14:solidFill>
                          <w14:schemeClr w14:val="tx1"/>
                        </w14:solidFill>
                      </w14:textFill>
                    </w:rPr>
                    <w:t>箱体</w:t>
                  </w:r>
                </w:p>
              </w:tc>
              <w:tc>
                <w:tcPr>
                  <w:tcW w:w="903" w:type="dxa"/>
                  <w:vAlign w:val="center"/>
                </w:tcPr>
                <w:p w14:paraId="14389272">
                  <w:pPr>
                    <w:pStyle w:val="221"/>
                    <w:rPr>
                      <w:rFonts w:eastAsia="Times New Roman"/>
                      <w:color w:val="000000" w:themeColor="text1"/>
                      <w14:textFill>
                        <w14:solidFill>
                          <w14:schemeClr w14:val="tx1"/>
                        </w14:solidFill>
                      </w14:textFill>
                    </w:rPr>
                  </w:pPr>
                  <w:r>
                    <w:rPr>
                      <w:color w:val="000000" w:themeColor="text1"/>
                      <w:spacing w:val="3"/>
                      <w:position w:val="1"/>
                      <w14:textFill>
                        <w14:solidFill>
                          <w14:schemeClr w14:val="tx1"/>
                        </w14:solidFill>
                      </w14:textFill>
                    </w:rPr>
                    <w:t>万套</w:t>
                  </w:r>
                  <w:r>
                    <w:rPr>
                      <w:rFonts w:eastAsia="Times New Roman"/>
                      <w:color w:val="000000" w:themeColor="text1"/>
                      <w:spacing w:val="3"/>
                      <w:position w:val="1"/>
                      <w14:textFill>
                        <w14:solidFill>
                          <w14:schemeClr w14:val="tx1"/>
                        </w14:solidFill>
                      </w14:textFill>
                    </w:rPr>
                    <w:t>/a</w:t>
                  </w:r>
                </w:p>
              </w:tc>
              <w:tc>
                <w:tcPr>
                  <w:tcW w:w="1134" w:type="dxa"/>
                  <w:vAlign w:val="center"/>
                </w:tcPr>
                <w:p w14:paraId="3A541B53">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6</w:t>
                  </w:r>
                </w:p>
              </w:tc>
              <w:tc>
                <w:tcPr>
                  <w:tcW w:w="2546" w:type="dxa"/>
                  <w:vAlign w:val="center"/>
                </w:tcPr>
                <w:p w14:paraId="26B92A41">
                  <w:pPr>
                    <w:pStyle w:val="221"/>
                    <w:rPr>
                      <w:color w:val="000000" w:themeColor="text1"/>
                      <w14:textFill>
                        <w14:solidFill>
                          <w14:schemeClr w14:val="tx1"/>
                        </w14:solidFill>
                      </w14:textFill>
                    </w:rPr>
                  </w:pPr>
                  <w:r>
                    <w:rPr>
                      <w:color w:val="000000" w:themeColor="text1"/>
                      <w:spacing w:val="-2"/>
                      <w14:textFill>
                        <w14:solidFill>
                          <w14:schemeClr w14:val="tx1"/>
                        </w14:solidFill>
                      </w14:textFill>
                    </w:rPr>
                    <w:t>已停产</w:t>
                  </w:r>
                </w:p>
              </w:tc>
            </w:tr>
            <w:tr w14:paraId="7C67B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26DAF5F3">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5</w:t>
                  </w:r>
                </w:p>
              </w:tc>
              <w:tc>
                <w:tcPr>
                  <w:tcW w:w="3208" w:type="dxa"/>
                  <w:vAlign w:val="center"/>
                </w:tcPr>
                <w:p w14:paraId="24FB5A6E">
                  <w:pPr>
                    <w:pStyle w:val="221"/>
                    <w:rPr>
                      <w:color w:val="000000" w:themeColor="text1"/>
                      <w14:textFill>
                        <w14:solidFill>
                          <w14:schemeClr w14:val="tx1"/>
                        </w14:solidFill>
                      </w14:textFill>
                    </w:rPr>
                  </w:pPr>
                  <w:r>
                    <w:rPr>
                      <w:color w:val="000000" w:themeColor="text1"/>
                      <w:spacing w:val="8"/>
                      <w14:textFill>
                        <w14:solidFill>
                          <w14:schemeClr w14:val="tx1"/>
                        </w14:solidFill>
                      </w14:textFill>
                    </w:rPr>
                    <w:t>各类型交、直流充电桩</w:t>
                  </w:r>
                </w:p>
              </w:tc>
              <w:tc>
                <w:tcPr>
                  <w:tcW w:w="903" w:type="dxa"/>
                  <w:vAlign w:val="center"/>
                </w:tcPr>
                <w:p w14:paraId="7686B31F">
                  <w:pPr>
                    <w:pStyle w:val="221"/>
                    <w:rPr>
                      <w:rFonts w:eastAsia="Times New Roman"/>
                      <w:color w:val="000000" w:themeColor="text1"/>
                      <w14:textFill>
                        <w14:solidFill>
                          <w14:schemeClr w14:val="tx1"/>
                        </w14:solidFill>
                      </w14:textFill>
                    </w:rPr>
                  </w:pPr>
                  <w:r>
                    <w:rPr>
                      <w:color w:val="000000" w:themeColor="text1"/>
                      <w:spacing w:val="3"/>
                      <w:position w:val="1"/>
                      <w14:textFill>
                        <w14:solidFill>
                          <w14:schemeClr w14:val="tx1"/>
                        </w14:solidFill>
                      </w14:textFill>
                    </w:rPr>
                    <w:t>万套</w:t>
                  </w:r>
                  <w:r>
                    <w:rPr>
                      <w:rFonts w:eastAsia="Times New Roman"/>
                      <w:color w:val="000000" w:themeColor="text1"/>
                      <w:spacing w:val="3"/>
                      <w:position w:val="1"/>
                      <w14:textFill>
                        <w14:solidFill>
                          <w14:schemeClr w14:val="tx1"/>
                        </w14:solidFill>
                      </w14:textFill>
                    </w:rPr>
                    <w:t>/a</w:t>
                  </w:r>
                </w:p>
              </w:tc>
              <w:tc>
                <w:tcPr>
                  <w:tcW w:w="1134" w:type="dxa"/>
                  <w:vAlign w:val="center"/>
                </w:tcPr>
                <w:p w14:paraId="091DEDAD">
                  <w:pPr>
                    <w:pStyle w:val="221"/>
                    <w:rPr>
                      <w:rFonts w:eastAsia="Times New Roman"/>
                      <w:color w:val="000000" w:themeColor="text1"/>
                      <w14:textFill>
                        <w14:solidFill>
                          <w14:schemeClr w14:val="tx1"/>
                        </w14:solidFill>
                      </w14:textFill>
                    </w:rPr>
                  </w:pPr>
                  <w:r>
                    <w:rPr>
                      <w:rFonts w:eastAsia="Times New Roman"/>
                      <w:color w:val="000000" w:themeColor="text1"/>
                      <w:spacing w:val="-2"/>
                      <w14:textFill>
                        <w14:solidFill>
                          <w14:schemeClr w14:val="tx1"/>
                        </w14:solidFill>
                      </w14:textFill>
                    </w:rPr>
                    <w:t>1.19</w:t>
                  </w:r>
                </w:p>
              </w:tc>
              <w:tc>
                <w:tcPr>
                  <w:tcW w:w="2546" w:type="dxa"/>
                  <w:vAlign w:val="center"/>
                </w:tcPr>
                <w:p w14:paraId="5018D8DE">
                  <w:pPr>
                    <w:pStyle w:val="221"/>
                    <w:rPr>
                      <w:color w:val="000000" w:themeColor="text1"/>
                      <w14:textFill>
                        <w14:solidFill>
                          <w14:schemeClr w14:val="tx1"/>
                        </w14:solidFill>
                      </w14:textFill>
                    </w:rPr>
                  </w:pPr>
                  <w:r>
                    <w:rPr>
                      <w:color w:val="000000" w:themeColor="text1"/>
                      <w14:textFill>
                        <w14:solidFill>
                          <w14:schemeClr w14:val="tx1"/>
                        </w14:solidFill>
                      </w14:textFill>
                    </w:rPr>
                    <w:t>已投入正常运行</w:t>
                  </w:r>
                </w:p>
              </w:tc>
            </w:tr>
            <w:tr w14:paraId="628CD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77FA5707">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6</w:t>
                  </w:r>
                </w:p>
              </w:tc>
              <w:tc>
                <w:tcPr>
                  <w:tcW w:w="3208" w:type="dxa"/>
                  <w:vAlign w:val="center"/>
                </w:tcPr>
                <w:p w14:paraId="6786DF04">
                  <w:pPr>
                    <w:pStyle w:val="221"/>
                    <w:rPr>
                      <w:color w:val="000000" w:themeColor="text1"/>
                      <w14:textFill>
                        <w14:solidFill>
                          <w14:schemeClr w14:val="tx1"/>
                        </w14:solidFill>
                      </w14:textFill>
                    </w:rPr>
                  </w:pPr>
                  <w:r>
                    <w:rPr>
                      <w:color w:val="000000" w:themeColor="text1"/>
                      <w:spacing w:val="9"/>
                      <w14:textFill>
                        <w14:solidFill>
                          <w14:schemeClr w14:val="tx1"/>
                        </w14:solidFill>
                      </w14:textFill>
                    </w:rPr>
                    <w:t>地铁系统用智能低压开关柜</w:t>
                  </w:r>
                </w:p>
              </w:tc>
              <w:tc>
                <w:tcPr>
                  <w:tcW w:w="903" w:type="dxa"/>
                  <w:vAlign w:val="center"/>
                </w:tcPr>
                <w:p w14:paraId="3F51A230">
                  <w:pPr>
                    <w:pStyle w:val="221"/>
                    <w:rPr>
                      <w:rFonts w:eastAsia="Times New Roman"/>
                      <w:color w:val="000000" w:themeColor="text1"/>
                      <w14:textFill>
                        <w14:solidFill>
                          <w14:schemeClr w14:val="tx1"/>
                        </w14:solidFill>
                      </w14:textFill>
                    </w:rPr>
                  </w:pPr>
                  <w:r>
                    <w:rPr>
                      <w:color w:val="000000" w:themeColor="text1"/>
                      <w:spacing w:val="-4"/>
                      <w:position w:val="1"/>
                      <w14:textFill>
                        <w14:solidFill>
                          <w14:schemeClr w14:val="tx1"/>
                        </w14:solidFill>
                      </w14:textFill>
                    </w:rPr>
                    <w:t>台</w:t>
                  </w:r>
                  <w:r>
                    <w:rPr>
                      <w:rFonts w:eastAsia="Times New Roman"/>
                      <w:color w:val="000000" w:themeColor="text1"/>
                      <w:spacing w:val="-4"/>
                      <w:position w:val="1"/>
                      <w14:textFill>
                        <w14:solidFill>
                          <w14:schemeClr w14:val="tx1"/>
                        </w14:solidFill>
                      </w14:textFill>
                    </w:rPr>
                    <w:t>/a</w:t>
                  </w:r>
                </w:p>
              </w:tc>
              <w:tc>
                <w:tcPr>
                  <w:tcW w:w="1134" w:type="dxa"/>
                  <w:vAlign w:val="center"/>
                </w:tcPr>
                <w:p w14:paraId="174C6B4A">
                  <w:pPr>
                    <w:pStyle w:val="221"/>
                    <w:rPr>
                      <w:rFonts w:eastAsia="Times New Roman"/>
                      <w:color w:val="000000" w:themeColor="text1"/>
                      <w14:textFill>
                        <w14:solidFill>
                          <w14:schemeClr w14:val="tx1"/>
                        </w14:solidFill>
                      </w14:textFill>
                    </w:rPr>
                  </w:pPr>
                  <w:r>
                    <w:rPr>
                      <w:rFonts w:eastAsia="Times New Roman"/>
                      <w:color w:val="000000" w:themeColor="text1"/>
                      <w:spacing w:val="2"/>
                      <w14:textFill>
                        <w14:solidFill>
                          <w14:schemeClr w14:val="tx1"/>
                        </w14:solidFill>
                      </w14:textFill>
                    </w:rPr>
                    <w:t>5000</w:t>
                  </w:r>
                </w:p>
              </w:tc>
              <w:tc>
                <w:tcPr>
                  <w:tcW w:w="2546" w:type="dxa"/>
                  <w:vAlign w:val="center"/>
                </w:tcPr>
                <w:p w14:paraId="4048BEA0">
                  <w:pPr>
                    <w:pStyle w:val="221"/>
                    <w:rPr>
                      <w:color w:val="000000" w:themeColor="text1"/>
                      <w14:textFill>
                        <w14:solidFill>
                          <w14:schemeClr w14:val="tx1"/>
                        </w14:solidFill>
                      </w14:textFill>
                    </w:rPr>
                  </w:pPr>
                  <w:r>
                    <w:rPr>
                      <w:color w:val="000000" w:themeColor="text1"/>
                      <w14:textFill>
                        <w14:solidFill>
                          <w14:schemeClr w14:val="tx1"/>
                        </w14:solidFill>
                      </w14:textFill>
                    </w:rPr>
                    <w:t>已投入正常运行</w:t>
                  </w:r>
                </w:p>
              </w:tc>
            </w:tr>
            <w:tr w14:paraId="4F1C6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3B064B4E">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7</w:t>
                  </w:r>
                </w:p>
              </w:tc>
              <w:tc>
                <w:tcPr>
                  <w:tcW w:w="3208" w:type="dxa"/>
                  <w:vAlign w:val="center"/>
                </w:tcPr>
                <w:p w14:paraId="0E765E56">
                  <w:pPr>
                    <w:pStyle w:val="221"/>
                    <w:rPr>
                      <w:color w:val="000000" w:themeColor="text1"/>
                      <w14:textFill>
                        <w14:solidFill>
                          <w14:schemeClr w14:val="tx1"/>
                        </w14:solidFill>
                      </w14:textFill>
                    </w:rPr>
                  </w:pPr>
                  <w:r>
                    <w:rPr>
                      <w:color w:val="000000" w:themeColor="text1"/>
                      <w:spacing w:val="9"/>
                      <w14:textFill>
                        <w14:solidFill>
                          <w14:schemeClr w14:val="tx1"/>
                        </w14:solidFill>
                      </w14:textFill>
                    </w:rPr>
                    <w:t>一二次融合成套配电开关设备</w:t>
                  </w:r>
                </w:p>
              </w:tc>
              <w:tc>
                <w:tcPr>
                  <w:tcW w:w="903" w:type="dxa"/>
                  <w:vAlign w:val="center"/>
                </w:tcPr>
                <w:p w14:paraId="274A58D0">
                  <w:pPr>
                    <w:pStyle w:val="221"/>
                    <w:rPr>
                      <w:rFonts w:eastAsia="Times New Roman"/>
                      <w:color w:val="000000" w:themeColor="text1"/>
                      <w14:textFill>
                        <w14:solidFill>
                          <w14:schemeClr w14:val="tx1"/>
                        </w14:solidFill>
                      </w14:textFill>
                    </w:rPr>
                  </w:pPr>
                  <w:r>
                    <w:rPr>
                      <w:color w:val="000000" w:themeColor="text1"/>
                      <w:spacing w:val="3"/>
                      <w:position w:val="1"/>
                      <w14:textFill>
                        <w14:solidFill>
                          <w14:schemeClr w14:val="tx1"/>
                        </w14:solidFill>
                      </w14:textFill>
                    </w:rPr>
                    <w:t>万台</w:t>
                  </w:r>
                  <w:r>
                    <w:rPr>
                      <w:rFonts w:eastAsia="Times New Roman"/>
                      <w:color w:val="000000" w:themeColor="text1"/>
                      <w:spacing w:val="3"/>
                      <w:position w:val="1"/>
                      <w14:textFill>
                        <w14:solidFill>
                          <w14:schemeClr w14:val="tx1"/>
                        </w14:solidFill>
                      </w14:textFill>
                    </w:rPr>
                    <w:t>/a</w:t>
                  </w:r>
                </w:p>
              </w:tc>
              <w:tc>
                <w:tcPr>
                  <w:tcW w:w="1134" w:type="dxa"/>
                  <w:vAlign w:val="center"/>
                </w:tcPr>
                <w:p w14:paraId="0F392BA3">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2</w:t>
                  </w:r>
                </w:p>
              </w:tc>
              <w:tc>
                <w:tcPr>
                  <w:tcW w:w="2546" w:type="dxa"/>
                  <w:vAlign w:val="center"/>
                </w:tcPr>
                <w:p w14:paraId="68A02F68">
                  <w:pPr>
                    <w:pStyle w:val="221"/>
                    <w:rPr>
                      <w:color w:val="000000" w:themeColor="text1"/>
                      <w14:textFill>
                        <w14:solidFill>
                          <w14:schemeClr w14:val="tx1"/>
                        </w14:solidFill>
                      </w14:textFill>
                    </w:rPr>
                  </w:pPr>
                  <w:r>
                    <w:rPr>
                      <w:color w:val="000000" w:themeColor="text1"/>
                      <w:spacing w:val="7"/>
                      <w14:textFill>
                        <w14:solidFill>
                          <w14:schemeClr w14:val="tx1"/>
                        </w14:solidFill>
                      </w14:textFill>
                    </w:rPr>
                    <w:t>暂时未投产建设</w:t>
                  </w:r>
                </w:p>
              </w:tc>
            </w:tr>
            <w:tr w14:paraId="5DA6D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72CAF668">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8</w:t>
                  </w:r>
                </w:p>
              </w:tc>
              <w:tc>
                <w:tcPr>
                  <w:tcW w:w="3208" w:type="dxa"/>
                  <w:vAlign w:val="center"/>
                </w:tcPr>
                <w:p w14:paraId="4E595B1D">
                  <w:pPr>
                    <w:pStyle w:val="221"/>
                    <w:rPr>
                      <w:color w:val="000000" w:themeColor="text1"/>
                      <w14:textFill>
                        <w14:solidFill>
                          <w14:schemeClr w14:val="tx1"/>
                        </w14:solidFill>
                      </w14:textFill>
                    </w:rPr>
                  </w:pPr>
                  <w:r>
                    <w:rPr>
                      <w:color w:val="000000" w:themeColor="text1"/>
                      <w:spacing w:val="8"/>
                      <w14:textFill>
                        <w14:solidFill>
                          <w14:schemeClr w14:val="tx1"/>
                        </w14:solidFill>
                      </w14:textFill>
                    </w:rPr>
                    <w:t>边缘计算智能终端</w:t>
                  </w:r>
                </w:p>
              </w:tc>
              <w:tc>
                <w:tcPr>
                  <w:tcW w:w="903" w:type="dxa"/>
                  <w:vAlign w:val="center"/>
                </w:tcPr>
                <w:p w14:paraId="2FC08D4A">
                  <w:pPr>
                    <w:pStyle w:val="221"/>
                    <w:rPr>
                      <w:rFonts w:eastAsia="Times New Roman"/>
                      <w:color w:val="000000" w:themeColor="text1"/>
                      <w14:textFill>
                        <w14:solidFill>
                          <w14:schemeClr w14:val="tx1"/>
                        </w14:solidFill>
                      </w14:textFill>
                    </w:rPr>
                  </w:pPr>
                  <w:r>
                    <w:rPr>
                      <w:color w:val="000000" w:themeColor="text1"/>
                      <w:spacing w:val="3"/>
                      <w:position w:val="1"/>
                      <w14:textFill>
                        <w14:solidFill>
                          <w14:schemeClr w14:val="tx1"/>
                        </w14:solidFill>
                      </w14:textFill>
                    </w:rPr>
                    <w:t>万套</w:t>
                  </w:r>
                  <w:r>
                    <w:rPr>
                      <w:rFonts w:eastAsia="Times New Roman"/>
                      <w:color w:val="000000" w:themeColor="text1"/>
                      <w:spacing w:val="3"/>
                      <w:position w:val="1"/>
                      <w14:textFill>
                        <w14:solidFill>
                          <w14:schemeClr w14:val="tx1"/>
                        </w14:solidFill>
                      </w14:textFill>
                    </w:rPr>
                    <w:t>/a</w:t>
                  </w:r>
                </w:p>
              </w:tc>
              <w:tc>
                <w:tcPr>
                  <w:tcW w:w="1134" w:type="dxa"/>
                  <w:vAlign w:val="center"/>
                </w:tcPr>
                <w:p w14:paraId="5C8F85CB">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5</w:t>
                  </w:r>
                </w:p>
              </w:tc>
              <w:tc>
                <w:tcPr>
                  <w:tcW w:w="2546" w:type="dxa"/>
                  <w:vAlign w:val="center"/>
                </w:tcPr>
                <w:p w14:paraId="7FF5D6FE">
                  <w:pPr>
                    <w:pStyle w:val="221"/>
                    <w:rPr>
                      <w:color w:val="000000" w:themeColor="text1"/>
                      <w14:textFill>
                        <w14:solidFill>
                          <w14:schemeClr w14:val="tx1"/>
                        </w14:solidFill>
                      </w14:textFill>
                    </w:rPr>
                  </w:pPr>
                  <w:r>
                    <w:rPr>
                      <w:color w:val="000000" w:themeColor="text1"/>
                      <w:spacing w:val="7"/>
                      <w14:textFill>
                        <w14:solidFill>
                          <w14:schemeClr w14:val="tx1"/>
                        </w14:solidFill>
                      </w14:textFill>
                    </w:rPr>
                    <w:t>暂时未投产建设</w:t>
                  </w:r>
                </w:p>
              </w:tc>
            </w:tr>
            <w:tr w14:paraId="1EF2B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4D2C62D6">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9</w:t>
                  </w:r>
                </w:p>
              </w:tc>
              <w:tc>
                <w:tcPr>
                  <w:tcW w:w="3208" w:type="dxa"/>
                  <w:vAlign w:val="center"/>
                </w:tcPr>
                <w:p w14:paraId="3F6E8E4A">
                  <w:pPr>
                    <w:pStyle w:val="221"/>
                    <w:rPr>
                      <w:color w:val="000000" w:themeColor="text1"/>
                      <w14:textFill>
                        <w14:solidFill>
                          <w14:schemeClr w14:val="tx1"/>
                        </w14:solidFill>
                      </w14:textFill>
                    </w:rPr>
                  </w:pPr>
                  <w:r>
                    <w:rPr>
                      <w:color w:val="000000" w:themeColor="text1"/>
                      <w:spacing w:val="7"/>
                      <w14:textFill>
                        <w14:solidFill>
                          <w14:schemeClr w14:val="tx1"/>
                        </w14:solidFill>
                      </w14:textFill>
                    </w:rPr>
                    <w:t>智能传感器</w:t>
                  </w:r>
                </w:p>
              </w:tc>
              <w:tc>
                <w:tcPr>
                  <w:tcW w:w="903" w:type="dxa"/>
                  <w:vAlign w:val="center"/>
                </w:tcPr>
                <w:p w14:paraId="00CBFC3A">
                  <w:pPr>
                    <w:pStyle w:val="221"/>
                    <w:rPr>
                      <w:rFonts w:eastAsia="Times New Roman"/>
                      <w:color w:val="000000" w:themeColor="text1"/>
                      <w14:textFill>
                        <w14:solidFill>
                          <w14:schemeClr w14:val="tx1"/>
                        </w14:solidFill>
                      </w14:textFill>
                    </w:rPr>
                  </w:pPr>
                  <w:r>
                    <w:rPr>
                      <w:color w:val="000000" w:themeColor="text1"/>
                      <w:spacing w:val="3"/>
                      <w:position w:val="1"/>
                      <w14:textFill>
                        <w14:solidFill>
                          <w14:schemeClr w14:val="tx1"/>
                        </w14:solidFill>
                      </w14:textFill>
                    </w:rPr>
                    <w:t>万套</w:t>
                  </w:r>
                  <w:r>
                    <w:rPr>
                      <w:rFonts w:eastAsia="Times New Roman"/>
                      <w:color w:val="000000" w:themeColor="text1"/>
                      <w:spacing w:val="3"/>
                      <w:position w:val="1"/>
                      <w14:textFill>
                        <w14:solidFill>
                          <w14:schemeClr w14:val="tx1"/>
                        </w14:solidFill>
                      </w14:textFill>
                    </w:rPr>
                    <w:t>/a</w:t>
                  </w:r>
                </w:p>
              </w:tc>
              <w:tc>
                <w:tcPr>
                  <w:tcW w:w="1134" w:type="dxa"/>
                  <w:vAlign w:val="center"/>
                </w:tcPr>
                <w:p w14:paraId="175A4FE8">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1</w:t>
                  </w:r>
                </w:p>
              </w:tc>
              <w:tc>
                <w:tcPr>
                  <w:tcW w:w="2546" w:type="dxa"/>
                  <w:vAlign w:val="center"/>
                </w:tcPr>
                <w:p w14:paraId="3DCDCDC2">
                  <w:pPr>
                    <w:pStyle w:val="221"/>
                    <w:rPr>
                      <w:color w:val="000000" w:themeColor="text1"/>
                      <w14:textFill>
                        <w14:solidFill>
                          <w14:schemeClr w14:val="tx1"/>
                        </w14:solidFill>
                      </w14:textFill>
                    </w:rPr>
                  </w:pPr>
                  <w:r>
                    <w:rPr>
                      <w:color w:val="000000" w:themeColor="text1"/>
                      <w:spacing w:val="7"/>
                      <w14:textFill>
                        <w14:solidFill>
                          <w14:schemeClr w14:val="tx1"/>
                        </w14:solidFill>
                      </w14:textFill>
                    </w:rPr>
                    <w:t>暂时未投产建设</w:t>
                  </w:r>
                </w:p>
              </w:tc>
            </w:tr>
            <w:tr w14:paraId="620BE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5447311D">
                  <w:pPr>
                    <w:pStyle w:val="221"/>
                    <w:rPr>
                      <w:rFonts w:eastAsia="Times New Roman"/>
                      <w:color w:val="000000" w:themeColor="text1"/>
                      <w14:textFill>
                        <w14:solidFill>
                          <w14:schemeClr w14:val="tx1"/>
                        </w14:solidFill>
                      </w14:textFill>
                    </w:rPr>
                  </w:pPr>
                  <w:r>
                    <w:rPr>
                      <w:rFonts w:eastAsia="Times New Roman"/>
                      <w:color w:val="000000" w:themeColor="text1"/>
                      <w:spacing w:val="-8"/>
                      <w14:textFill>
                        <w14:solidFill>
                          <w14:schemeClr w14:val="tx1"/>
                        </w14:solidFill>
                      </w14:textFill>
                    </w:rPr>
                    <w:t>10</w:t>
                  </w:r>
                </w:p>
              </w:tc>
              <w:tc>
                <w:tcPr>
                  <w:tcW w:w="3208" w:type="dxa"/>
                  <w:vAlign w:val="center"/>
                </w:tcPr>
                <w:p w14:paraId="4445335B">
                  <w:pPr>
                    <w:pStyle w:val="221"/>
                    <w:rPr>
                      <w:color w:val="000000" w:themeColor="text1"/>
                      <w14:textFill>
                        <w14:solidFill>
                          <w14:schemeClr w14:val="tx1"/>
                        </w14:solidFill>
                      </w14:textFill>
                    </w:rPr>
                  </w:pPr>
                  <w:r>
                    <w:rPr>
                      <w:color w:val="000000" w:themeColor="text1"/>
                      <w14:textFill>
                        <w14:solidFill>
                          <w14:schemeClr w14:val="tx1"/>
                        </w14:solidFill>
                      </w14:textFill>
                    </w:rPr>
                    <w:t>台箱式变电箱</w:t>
                  </w:r>
                </w:p>
              </w:tc>
              <w:tc>
                <w:tcPr>
                  <w:tcW w:w="903" w:type="dxa"/>
                  <w:vAlign w:val="center"/>
                </w:tcPr>
                <w:p w14:paraId="3C6EAC20">
                  <w:pPr>
                    <w:pStyle w:val="221"/>
                    <w:rPr>
                      <w:rFonts w:eastAsia="Times New Roman"/>
                      <w:color w:val="000000" w:themeColor="text1"/>
                      <w14:textFill>
                        <w14:solidFill>
                          <w14:schemeClr w14:val="tx1"/>
                        </w14:solidFill>
                      </w14:textFill>
                    </w:rPr>
                  </w:pPr>
                  <w:r>
                    <w:rPr>
                      <w:color w:val="000000" w:themeColor="text1"/>
                      <w:spacing w:val="-4"/>
                      <w:position w:val="1"/>
                      <w14:textFill>
                        <w14:solidFill>
                          <w14:schemeClr w14:val="tx1"/>
                        </w14:solidFill>
                      </w14:textFill>
                    </w:rPr>
                    <w:t>台</w:t>
                  </w:r>
                  <w:r>
                    <w:rPr>
                      <w:rFonts w:eastAsia="Times New Roman"/>
                      <w:color w:val="000000" w:themeColor="text1"/>
                      <w:spacing w:val="-4"/>
                      <w:position w:val="1"/>
                      <w14:textFill>
                        <w14:solidFill>
                          <w14:schemeClr w14:val="tx1"/>
                        </w14:solidFill>
                      </w14:textFill>
                    </w:rPr>
                    <w:t>/a</w:t>
                  </w:r>
                </w:p>
              </w:tc>
              <w:tc>
                <w:tcPr>
                  <w:tcW w:w="1134" w:type="dxa"/>
                  <w:vAlign w:val="center"/>
                </w:tcPr>
                <w:p w14:paraId="2E0DF70F">
                  <w:pPr>
                    <w:pStyle w:val="221"/>
                    <w:rPr>
                      <w:rFonts w:eastAsia="Times New Roman"/>
                      <w:color w:val="000000" w:themeColor="text1"/>
                      <w14:textFill>
                        <w14:solidFill>
                          <w14:schemeClr w14:val="tx1"/>
                        </w14:solidFill>
                      </w14:textFill>
                    </w:rPr>
                  </w:pPr>
                  <w:r>
                    <w:rPr>
                      <w:rFonts w:eastAsia="Times New Roman"/>
                      <w:color w:val="000000" w:themeColor="text1"/>
                      <w:spacing w:val="2"/>
                      <w14:textFill>
                        <w14:solidFill>
                          <w14:schemeClr w14:val="tx1"/>
                        </w14:solidFill>
                      </w14:textFill>
                    </w:rPr>
                    <w:t>900</w:t>
                  </w:r>
                </w:p>
              </w:tc>
              <w:tc>
                <w:tcPr>
                  <w:tcW w:w="2546" w:type="dxa"/>
                  <w:vAlign w:val="center"/>
                </w:tcPr>
                <w:p w14:paraId="6FEC757F">
                  <w:pPr>
                    <w:pStyle w:val="221"/>
                    <w:rPr>
                      <w:color w:val="000000" w:themeColor="text1"/>
                      <w14:textFill>
                        <w14:solidFill>
                          <w14:schemeClr w14:val="tx1"/>
                        </w14:solidFill>
                      </w14:textFill>
                    </w:rPr>
                  </w:pPr>
                  <w:r>
                    <w:rPr>
                      <w:color w:val="000000" w:themeColor="text1"/>
                      <w14:textFill>
                        <w14:solidFill>
                          <w14:schemeClr w14:val="tx1"/>
                        </w14:solidFill>
                      </w14:textFill>
                    </w:rPr>
                    <w:t>已投入正常运行</w:t>
                  </w:r>
                </w:p>
              </w:tc>
            </w:tr>
            <w:tr w14:paraId="75066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23254B92">
                  <w:pPr>
                    <w:pStyle w:val="221"/>
                    <w:rPr>
                      <w:color w:val="000000" w:themeColor="text1"/>
                      <w:spacing w:val="-8"/>
                      <w14:textFill>
                        <w14:solidFill>
                          <w14:schemeClr w14:val="tx1"/>
                        </w14:solidFill>
                      </w14:textFill>
                    </w:rPr>
                  </w:pPr>
                  <w:r>
                    <w:rPr>
                      <w:color w:val="000000" w:themeColor="text1"/>
                      <w:spacing w:val="-8"/>
                      <w14:textFill>
                        <w14:solidFill>
                          <w14:schemeClr w14:val="tx1"/>
                        </w14:solidFill>
                      </w14:textFill>
                    </w:rPr>
                    <w:t>11</w:t>
                  </w:r>
                </w:p>
              </w:tc>
              <w:tc>
                <w:tcPr>
                  <w:tcW w:w="3208" w:type="dxa"/>
                  <w:vAlign w:val="center"/>
                </w:tcPr>
                <w:p w14:paraId="1D0A9732">
                  <w:pPr>
                    <w:pStyle w:val="221"/>
                    <w:rPr>
                      <w:color w:val="000000" w:themeColor="text1"/>
                      <w14:textFill>
                        <w14:solidFill>
                          <w14:schemeClr w14:val="tx1"/>
                        </w14:solidFill>
                      </w14:textFill>
                    </w:rPr>
                  </w:pPr>
                  <w:r>
                    <w:rPr>
                      <w:color w:val="000000" w:themeColor="text1"/>
                      <w14:textFill>
                        <w14:solidFill>
                          <w14:schemeClr w14:val="tx1"/>
                        </w14:solidFill>
                      </w14:textFill>
                    </w:rPr>
                    <w:t>充电桩</w:t>
                  </w:r>
                </w:p>
              </w:tc>
              <w:tc>
                <w:tcPr>
                  <w:tcW w:w="903" w:type="dxa"/>
                  <w:vAlign w:val="center"/>
                </w:tcPr>
                <w:p w14:paraId="2C0E77EA">
                  <w:pPr>
                    <w:pStyle w:val="221"/>
                    <w:rPr>
                      <w:color w:val="000000" w:themeColor="text1"/>
                      <w:spacing w:val="-4"/>
                      <w:position w:val="1"/>
                      <w14:textFill>
                        <w14:solidFill>
                          <w14:schemeClr w14:val="tx1"/>
                        </w14:solidFill>
                      </w14:textFill>
                    </w:rPr>
                  </w:pPr>
                  <w:r>
                    <w:rPr>
                      <w:color w:val="000000" w:themeColor="text1"/>
                      <w:spacing w:val="-4"/>
                      <w:position w:val="1"/>
                      <w14:textFill>
                        <w14:solidFill>
                          <w14:schemeClr w14:val="tx1"/>
                        </w14:solidFill>
                      </w14:textFill>
                    </w:rPr>
                    <w:t>台</w:t>
                  </w:r>
                  <w:r>
                    <w:rPr>
                      <w:rFonts w:eastAsia="Times New Roman"/>
                      <w:color w:val="000000" w:themeColor="text1"/>
                      <w:spacing w:val="-4"/>
                      <w:position w:val="1"/>
                      <w14:textFill>
                        <w14:solidFill>
                          <w14:schemeClr w14:val="tx1"/>
                        </w14:solidFill>
                      </w14:textFill>
                    </w:rPr>
                    <w:t>/a</w:t>
                  </w:r>
                </w:p>
              </w:tc>
              <w:tc>
                <w:tcPr>
                  <w:tcW w:w="1134" w:type="dxa"/>
                  <w:vAlign w:val="center"/>
                </w:tcPr>
                <w:p w14:paraId="50481883">
                  <w:pPr>
                    <w:pStyle w:val="221"/>
                    <w:rPr>
                      <w:color w:val="000000" w:themeColor="text1"/>
                      <w:spacing w:val="2"/>
                      <w14:textFill>
                        <w14:solidFill>
                          <w14:schemeClr w14:val="tx1"/>
                        </w14:solidFill>
                      </w14:textFill>
                    </w:rPr>
                  </w:pPr>
                  <w:r>
                    <w:rPr>
                      <w:color w:val="000000" w:themeColor="text1"/>
                      <w:spacing w:val="2"/>
                      <w14:textFill>
                        <w14:solidFill>
                          <w14:schemeClr w14:val="tx1"/>
                        </w14:solidFill>
                      </w14:textFill>
                    </w:rPr>
                    <w:t>8000</w:t>
                  </w:r>
                </w:p>
              </w:tc>
              <w:tc>
                <w:tcPr>
                  <w:tcW w:w="2546" w:type="dxa"/>
                  <w:vAlign w:val="center"/>
                </w:tcPr>
                <w:p w14:paraId="198F8388">
                  <w:pPr>
                    <w:pStyle w:val="221"/>
                    <w:rPr>
                      <w:color w:val="000000" w:themeColor="text1"/>
                      <w14:textFill>
                        <w14:solidFill>
                          <w14:schemeClr w14:val="tx1"/>
                        </w14:solidFill>
                      </w14:textFill>
                    </w:rPr>
                  </w:pPr>
                  <w:r>
                    <w:rPr>
                      <w:color w:val="000000" w:themeColor="text1"/>
                      <w:spacing w:val="7"/>
                      <w14:textFill>
                        <w14:solidFill>
                          <w14:schemeClr w14:val="tx1"/>
                        </w14:solidFill>
                      </w14:textFill>
                    </w:rPr>
                    <w:t>项目取消，不再建设</w:t>
                  </w:r>
                </w:p>
              </w:tc>
            </w:tr>
            <w:tr w14:paraId="19752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103400AE">
                  <w:pPr>
                    <w:pStyle w:val="221"/>
                    <w:rPr>
                      <w:color w:val="000000" w:themeColor="text1"/>
                      <w:spacing w:val="-8"/>
                      <w14:textFill>
                        <w14:solidFill>
                          <w14:schemeClr w14:val="tx1"/>
                        </w14:solidFill>
                      </w14:textFill>
                    </w:rPr>
                  </w:pPr>
                  <w:r>
                    <w:rPr>
                      <w:color w:val="000000" w:themeColor="text1"/>
                      <w:spacing w:val="-8"/>
                      <w14:textFill>
                        <w14:solidFill>
                          <w14:schemeClr w14:val="tx1"/>
                        </w14:solidFill>
                      </w14:textFill>
                    </w:rPr>
                    <w:t>12</w:t>
                  </w:r>
                </w:p>
              </w:tc>
              <w:tc>
                <w:tcPr>
                  <w:tcW w:w="3208" w:type="dxa"/>
                  <w:vAlign w:val="center"/>
                </w:tcPr>
                <w:p w14:paraId="1B81926B">
                  <w:pPr>
                    <w:pStyle w:val="221"/>
                    <w:rPr>
                      <w:color w:val="000000" w:themeColor="text1"/>
                      <w14:textFill>
                        <w14:solidFill>
                          <w14:schemeClr w14:val="tx1"/>
                        </w14:solidFill>
                      </w14:textFill>
                    </w:rPr>
                  </w:pPr>
                  <w:r>
                    <w:rPr>
                      <w:color w:val="000000" w:themeColor="text1"/>
                      <w14:textFill>
                        <w14:solidFill>
                          <w14:schemeClr w14:val="tx1"/>
                        </w14:solidFill>
                      </w14:textFill>
                    </w:rPr>
                    <w:t>储能集成系统</w:t>
                  </w:r>
                </w:p>
              </w:tc>
              <w:tc>
                <w:tcPr>
                  <w:tcW w:w="903" w:type="dxa"/>
                  <w:vAlign w:val="center"/>
                </w:tcPr>
                <w:p w14:paraId="475E6010">
                  <w:pPr>
                    <w:pStyle w:val="221"/>
                    <w:rPr>
                      <w:color w:val="000000" w:themeColor="text1"/>
                      <w:spacing w:val="-4"/>
                      <w:position w:val="1"/>
                      <w14:textFill>
                        <w14:solidFill>
                          <w14:schemeClr w14:val="tx1"/>
                        </w14:solidFill>
                      </w14:textFill>
                    </w:rPr>
                  </w:pPr>
                  <w:r>
                    <w:rPr>
                      <w:color w:val="000000" w:themeColor="text1"/>
                      <w14:textFill>
                        <w14:solidFill>
                          <w14:schemeClr w14:val="tx1"/>
                        </w14:solidFill>
                      </w14:textFill>
                    </w:rPr>
                    <w:t>MWh</w:t>
                  </w:r>
                </w:p>
              </w:tc>
              <w:tc>
                <w:tcPr>
                  <w:tcW w:w="1134" w:type="dxa"/>
                  <w:vAlign w:val="center"/>
                </w:tcPr>
                <w:p w14:paraId="0259DC8D">
                  <w:pPr>
                    <w:pStyle w:val="221"/>
                    <w:rPr>
                      <w:color w:val="000000" w:themeColor="text1"/>
                      <w:spacing w:val="2"/>
                      <w14:textFill>
                        <w14:solidFill>
                          <w14:schemeClr w14:val="tx1"/>
                        </w14:solidFill>
                      </w14:textFill>
                    </w:rPr>
                  </w:pPr>
                  <w:r>
                    <w:rPr>
                      <w:color w:val="000000" w:themeColor="text1"/>
                      <w:spacing w:val="2"/>
                      <w14:textFill>
                        <w14:solidFill>
                          <w14:schemeClr w14:val="tx1"/>
                        </w14:solidFill>
                      </w14:textFill>
                    </w:rPr>
                    <w:t>400</w:t>
                  </w:r>
                </w:p>
              </w:tc>
              <w:tc>
                <w:tcPr>
                  <w:tcW w:w="2546" w:type="dxa"/>
                  <w:vAlign w:val="center"/>
                </w:tcPr>
                <w:p w14:paraId="48BC786E">
                  <w:pPr>
                    <w:pStyle w:val="221"/>
                    <w:rPr>
                      <w:color w:val="000000" w:themeColor="text1"/>
                      <w:spacing w:val="7"/>
                      <w14:textFill>
                        <w14:solidFill>
                          <w14:schemeClr w14:val="tx1"/>
                        </w14:solidFill>
                      </w14:textFill>
                    </w:rPr>
                  </w:pPr>
                  <w:r>
                    <w:rPr>
                      <w:color w:val="000000" w:themeColor="text1"/>
                      <w:spacing w:val="7"/>
                      <w14:textFill>
                        <w14:solidFill>
                          <w14:schemeClr w14:val="tx1"/>
                        </w14:solidFill>
                      </w14:textFill>
                    </w:rPr>
                    <w:t>项目取消，不再建设</w:t>
                  </w:r>
                </w:p>
              </w:tc>
            </w:tr>
            <w:tr w14:paraId="0DD4C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7EDE73B0">
                  <w:pPr>
                    <w:pStyle w:val="221"/>
                    <w:rPr>
                      <w:color w:val="000000" w:themeColor="text1"/>
                      <w:spacing w:val="-8"/>
                      <w14:textFill>
                        <w14:solidFill>
                          <w14:schemeClr w14:val="tx1"/>
                        </w14:solidFill>
                      </w14:textFill>
                    </w:rPr>
                  </w:pPr>
                  <w:r>
                    <w:rPr>
                      <w:rFonts w:hint="eastAsia"/>
                      <w:color w:val="000000" w:themeColor="text1"/>
                      <w:spacing w:val="-8"/>
                      <w14:textFill>
                        <w14:solidFill>
                          <w14:schemeClr w14:val="tx1"/>
                        </w14:solidFill>
                      </w14:textFill>
                    </w:rPr>
                    <w:t>13</w:t>
                  </w:r>
                </w:p>
              </w:tc>
              <w:tc>
                <w:tcPr>
                  <w:tcW w:w="3208" w:type="dxa"/>
                  <w:vAlign w:val="center"/>
                </w:tcPr>
                <w:p w14:paraId="568F01EA">
                  <w:pPr>
                    <w:pStyle w:val="221"/>
                    <w:rPr>
                      <w:color w:val="000000" w:themeColor="text1"/>
                      <w14:textFill>
                        <w14:solidFill>
                          <w14:schemeClr w14:val="tx1"/>
                        </w14:solidFill>
                      </w14:textFill>
                    </w:rPr>
                  </w:pPr>
                  <w:r>
                    <w:rPr>
                      <w:color w:val="000000" w:themeColor="text1"/>
                      <w14:textFill>
                        <w14:solidFill>
                          <w14:schemeClr w14:val="tx1"/>
                        </w14:solidFill>
                      </w14:textFill>
                    </w:rPr>
                    <w:t>中压预制式电缆附件</w:t>
                  </w:r>
                </w:p>
              </w:tc>
              <w:tc>
                <w:tcPr>
                  <w:tcW w:w="903" w:type="dxa"/>
                  <w:vAlign w:val="center"/>
                </w:tcPr>
                <w:p w14:paraId="60D0A152">
                  <w:pPr>
                    <w:pStyle w:val="221"/>
                    <w:rPr>
                      <w:color w:val="000000" w:themeColor="text1"/>
                      <w14:textFill>
                        <w14:solidFill>
                          <w14:schemeClr w14:val="tx1"/>
                        </w14:solidFill>
                      </w14:textFill>
                    </w:rPr>
                  </w:pPr>
                  <w:r>
                    <w:rPr>
                      <w:color w:val="000000" w:themeColor="text1"/>
                      <w:spacing w:val="3"/>
                      <w:position w:val="1"/>
                      <w14:textFill>
                        <w14:solidFill>
                          <w14:schemeClr w14:val="tx1"/>
                        </w14:solidFill>
                      </w14:textFill>
                    </w:rPr>
                    <w:t>万只</w:t>
                  </w:r>
                  <w:r>
                    <w:rPr>
                      <w:rFonts w:eastAsia="Times New Roman"/>
                      <w:color w:val="000000" w:themeColor="text1"/>
                      <w:spacing w:val="3"/>
                      <w:position w:val="1"/>
                      <w14:textFill>
                        <w14:solidFill>
                          <w14:schemeClr w14:val="tx1"/>
                        </w14:solidFill>
                      </w14:textFill>
                    </w:rPr>
                    <w:t>/a</w:t>
                  </w:r>
                </w:p>
              </w:tc>
              <w:tc>
                <w:tcPr>
                  <w:tcW w:w="1134" w:type="dxa"/>
                  <w:vAlign w:val="center"/>
                </w:tcPr>
                <w:p w14:paraId="3C148A9B">
                  <w:pPr>
                    <w:pStyle w:val="221"/>
                    <w:rPr>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210</w:t>
                  </w:r>
                </w:p>
              </w:tc>
              <w:tc>
                <w:tcPr>
                  <w:tcW w:w="2546" w:type="dxa"/>
                  <w:vAlign w:val="center"/>
                </w:tcPr>
                <w:p w14:paraId="1F689518">
                  <w:pPr>
                    <w:pStyle w:val="221"/>
                    <w:rPr>
                      <w:color w:val="000000" w:themeColor="text1"/>
                      <w:spacing w:val="7"/>
                      <w14:textFill>
                        <w14:solidFill>
                          <w14:schemeClr w14:val="tx1"/>
                        </w14:solidFill>
                      </w14:textFill>
                    </w:rPr>
                  </w:pPr>
                  <w:r>
                    <w:rPr>
                      <w:color w:val="000000" w:themeColor="text1"/>
                      <w:spacing w:val="7"/>
                      <w14:textFill>
                        <w14:solidFill>
                          <w14:schemeClr w14:val="tx1"/>
                        </w14:solidFill>
                      </w14:textFill>
                    </w:rPr>
                    <w:t>已投入正常运行</w:t>
                  </w:r>
                </w:p>
              </w:tc>
            </w:tr>
            <w:tr w14:paraId="2B722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33470929">
                  <w:pPr>
                    <w:pStyle w:val="221"/>
                    <w:rPr>
                      <w:color w:val="000000" w:themeColor="text1"/>
                      <w:spacing w:val="-8"/>
                      <w14:textFill>
                        <w14:solidFill>
                          <w14:schemeClr w14:val="tx1"/>
                        </w14:solidFill>
                      </w14:textFill>
                    </w:rPr>
                  </w:pPr>
                  <w:r>
                    <w:rPr>
                      <w:rFonts w:hint="eastAsia"/>
                      <w:color w:val="000000" w:themeColor="text1"/>
                      <w:spacing w:val="-8"/>
                      <w14:textFill>
                        <w14:solidFill>
                          <w14:schemeClr w14:val="tx1"/>
                        </w14:solidFill>
                      </w14:textFill>
                    </w:rPr>
                    <w:t>14</w:t>
                  </w:r>
                </w:p>
              </w:tc>
              <w:tc>
                <w:tcPr>
                  <w:tcW w:w="3208" w:type="dxa"/>
                  <w:vAlign w:val="center"/>
                </w:tcPr>
                <w:p w14:paraId="3128C246">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对现有产品（各类智能配电设备和新能源产品储充外壳15万件/年）进行喷漆、喷粉等处理，喷漆项目改建后全厂不新增产能</w:t>
                  </w:r>
                </w:p>
              </w:tc>
              <w:tc>
                <w:tcPr>
                  <w:tcW w:w="903" w:type="dxa"/>
                  <w:vAlign w:val="center"/>
                </w:tcPr>
                <w:p w14:paraId="42364054">
                  <w:pPr>
                    <w:pStyle w:val="221"/>
                    <w:rPr>
                      <w:color w:val="000000" w:themeColor="text1"/>
                      <w:spacing w:val="3"/>
                      <w:position w:val="1"/>
                      <w14:textFill>
                        <w14:solidFill>
                          <w14:schemeClr w14:val="tx1"/>
                        </w14:solidFill>
                      </w14:textFill>
                    </w:rPr>
                  </w:pPr>
                  <w:r>
                    <w:rPr>
                      <w:rFonts w:hint="eastAsia"/>
                      <w:color w:val="000000" w:themeColor="text1"/>
                      <w:spacing w:val="3"/>
                      <w:position w:val="1"/>
                      <w14:textFill>
                        <w14:solidFill>
                          <w14:schemeClr w14:val="tx1"/>
                        </w14:solidFill>
                      </w14:textFill>
                    </w:rPr>
                    <w:t>万件/年</w:t>
                  </w:r>
                </w:p>
              </w:tc>
              <w:tc>
                <w:tcPr>
                  <w:tcW w:w="1134" w:type="dxa"/>
                  <w:vAlign w:val="center"/>
                </w:tcPr>
                <w:p w14:paraId="0CAC0A42">
                  <w:pPr>
                    <w:pStyle w:val="221"/>
                    <w:rPr>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15</w:t>
                  </w:r>
                </w:p>
              </w:tc>
              <w:tc>
                <w:tcPr>
                  <w:tcW w:w="2546" w:type="dxa"/>
                  <w:vAlign w:val="center"/>
                </w:tcPr>
                <w:p w14:paraId="0FA8A852">
                  <w:pPr>
                    <w:pStyle w:val="221"/>
                    <w:rPr>
                      <w:color w:val="000000" w:themeColor="text1"/>
                      <w:spacing w:val="7"/>
                      <w14:textFill>
                        <w14:solidFill>
                          <w14:schemeClr w14:val="tx1"/>
                        </w14:solidFill>
                      </w14:textFill>
                    </w:rPr>
                  </w:pPr>
                  <w:r>
                    <w:rPr>
                      <w:rFonts w:hint="eastAsia"/>
                      <w:color w:val="000000" w:themeColor="text1"/>
                      <w:spacing w:val="7"/>
                      <w14:textFill>
                        <w14:solidFill>
                          <w14:schemeClr w14:val="tx1"/>
                        </w14:solidFill>
                      </w14:textFill>
                    </w:rPr>
                    <w:t>正在建设</w:t>
                  </w:r>
                </w:p>
              </w:tc>
            </w:tr>
          </w:tbl>
          <w:p w14:paraId="6E4CCCB9">
            <w:pPr>
              <w:pStyle w:val="224"/>
            </w:pPr>
          </w:p>
          <w:p w14:paraId="3708B974">
            <w:pPr>
              <w:pStyle w:val="172"/>
              <w:spacing w:before="181" w:line="220" w:lineRule="auto"/>
              <w:ind w:left="109"/>
              <w:outlineLvl w:val="1"/>
              <w:rPr>
                <w:rFonts w:ascii="Times New Roman" w:hAnsi="Times New Roman" w:cs="Times New Roman"/>
                <w:color w:val="000000" w:themeColor="text1"/>
                <w:lang w:eastAsia="zh-CN"/>
                <w14:textFill>
                  <w14:solidFill>
                    <w14:schemeClr w14:val="tx1"/>
                  </w14:solidFill>
                </w14:textFill>
              </w:rPr>
            </w:pPr>
            <w:r>
              <w:rPr>
                <w:rFonts w:ascii="Times New Roman" w:hAnsi="Times New Roman" w:eastAsia="Times New Roman" w:cs="Times New Roman"/>
                <w:b/>
                <w:bCs/>
                <w:color w:val="000000" w:themeColor="text1"/>
                <w:spacing w:val="-2"/>
                <w:lang w:eastAsia="zh-CN"/>
                <w14:textFill>
                  <w14:solidFill>
                    <w14:schemeClr w14:val="tx1"/>
                  </w14:solidFill>
                </w14:textFill>
              </w:rPr>
              <w:t>2.</w:t>
            </w:r>
            <w:r>
              <w:rPr>
                <w:rFonts w:hint="eastAsia" w:ascii="Times New Roman" w:hAnsi="Times New Roman" w:cs="Times New Roman"/>
                <w:b/>
                <w:bCs/>
                <w:color w:val="000000" w:themeColor="text1"/>
                <w:spacing w:val="-2"/>
                <w:lang w:eastAsia="zh-CN"/>
                <w14:textFill>
                  <w14:solidFill>
                    <w14:schemeClr w14:val="tx1"/>
                  </w14:solidFill>
                </w14:textFill>
              </w:rPr>
              <w:t>3</w:t>
            </w:r>
            <w:r>
              <w:rPr>
                <w:rFonts w:ascii="Times New Roman" w:hAnsi="Times New Roman" w:eastAsia="Times New Roman" w:cs="Times New Roman"/>
                <w:b/>
                <w:bCs/>
                <w:color w:val="000000" w:themeColor="text1"/>
                <w:spacing w:val="-2"/>
                <w:lang w:eastAsia="zh-CN"/>
                <w14:textFill>
                  <w14:solidFill>
                    <w14:schemeClr w14:val="tx1"/>
                  </w14:solidFill>
                </w14:textFill>
              </w:rPr>
              <w:t>.</w:t>
            </w:r>
            <w:r>
              <w:rPr>
                <w:rFonts w:hint="eastAsia" w:ascii="Times New Roman" w:hAnsi="Times New Roman" w:cs="Times New Roman"/>
                <w:b/>
                <w:bCs/>
                <w:color w:val="000000" w:themeColor="text1"/>
                <w:spacing w:val="-2"/>
                <w:lang w:eastAsia="zh-CN"/>
                <w14:textFill>
                  <w14:solidFill>
                    <w14:schemeClr w14:val="tx1"/>
                  </w14:solidFill>
                </w14:textFill>
              </w:rPr>
              <w:t>4</w:t>
            </w:r>
            <w:r>
              <w:rPr>
                <w:rFonts w:ascii="Times New Roman" w:hAnsi="Times New Roman" w:cs="Times New Roman"/>
                <w:b/>
                <w:bCs/>
                <w:color w:val="000000" w:themeColor="text1"/>
                <w:spacing w:val="-2"/>
                <w:lang w:eastAsia="zh-CN"/>
                <w14:textFill>
                  <w14:solidFill>
                    <w14:schemeClr w14:val="tx1"/>
                  </w14:solidFill>
                </w14:textFill>
              </w:rPr>
              <w:t>现有工程污染物实际排放情况</w:t>
            </w:r>
          </w:p>
          <w:p w14:paraId="52F5959F">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2.3-3</w:t>
            </w:r>
            <w:r>
              <w:rPr>
                <w:rFonts w:eastAsia="Times New Roman"/>
                <w:color w:val="000000" w:themeColor="text1"/>
                <w:spacing w:val="52"/>
                <w14:textFill>
                  <w14:solidFill>
                    <w14:schemeClr w14:val="tx1"/>
                  </w14:solidFill>
                </w14:textFill>
              </w:rPr>
              <w:t xml:space="preserve"> </w:t>
            </w:r>
            <w:r>
              <w:rPr>
                <w:color w:val="000000" w:themeColor="text1"/>
                <w14:textFill>
                  <w14:solidFill>
                    <w14:schemeClr w14:val="tx1"/>
                  </w14:solidFill>
                </w14:textFill>
              </w:rPr>
              <w:t>现有工程污染物排放情况汇总一览表</w:t>
            </w:r>
          </w:p>
          <w:tbl>
            <w:tblPr>
              <w:tblStyle w:val="226"/>
              <w:tblW w:w="85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2408"/>
              <w:gridCol w:w="1560"/>
              <w:gridCol w:w="2970"/>
            </w:tblGrid>
            <w:tr w14:paraId="02656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Align w:val="center"/>
                </w:tcPr>
                <w:p w14:paraId="50EEE85E">
                  <w:pPr>
                    <w:pStyle w:val="221"/>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2408" w:type="dxa"/>
                  <w:vAlign w:val="center"/>
                </w:tcPr>
                <w:p w14:paraId="00209533">
                  <w:pPr>
                    <w:pStyle w:val="221"/>
                    <w:rPr>
                      <w:color w:val="000000" w:themeColor="text1"/>
                      <w14:textFill>
                        <w14:solidFill>
                          <w14:schemeClr w14:val="tx1"/>
                        </w14:solidFill>
                      </w14:textFill>
                    </w:rPr>
                  </w:pPr>
                  <w:r>
                    <w:rPr>
                      <w:color w:val="000000" w:themeColor="text1"/>
                      <w:spacing w:val="3"/>
                      <w14:textFill>
                        <w14:solidFill>
                          <w14:schemeClr w14:val="tx1"/>
                        </w14:solidFill>
                      </w14:textFill>
                    </w:rPr>
                    <w:t>项目</w:t>
                  </w:r>
                </w:p>
              </w:tc>
              <w:tc>
                <w:tcPr>
                  <w:tcW w:w="1560" w:type="dxa"/>
                  <w:vAlign w:val="center"/>
                </w:tcPr>
                <w:p w14:paraId="7C635AC5">
                  <w:pPr>
                    <w:pStyle w:val="221"/>
                    <w:rPr>
                      <w:color w:val="000000" w:themeColor="text1"/>
                      <w14:textFill>
                        <w14:solidFill>
                          <w14:schemeClr w14:val="tx1"/>
                        </w14:solidFill>
                      </w14:textFill>
                    </w:rPr>
                  </w:pPr>
                  <w:r>
                    <w:rPr>
                      <w:color w:val="000000" w:themeColor="text1"/>
                      <w:spacing w:val="3"/>
                      <w14:textFill>
                        <w14:solidFill>
                          <w14:schemeClr w14:val="tx1"/>
                        </w14:solidFill>
                      </w14:textFill>
                    </w:rPr>
                    <w:t>单位</w:t>
                  </w:r>
                </w:p>
              </w:tc>
              <w:tc>
                <w:tcPr>
                  <w:tcW w:w="2970" w:type="dxa"/>
                  <w:vAlign w:val="center"/>
                </w:tcPr>
                <w:p w14:paraId="29213267">
                  <w:pPr>
                    <w:pStyle w:val="221"/>
                    <w:rPr>
                      <w:color w:val="000000" w:themeColor="text1"/>
                      <w14:textFill>
                        <w14:solidFill>
                          <w14:schemeClr w14:val="tx1"/>
                        </w14:solidFill>
                      </w14:textFill>
                    </w:rPr>
                  </w:pPr>
                  <w:r>
                    <w:rPr>
                      <w:color w:val="000000" w:themeColor="text1"/>
                      <w:spacing w:val="6"/>
                      <w14:textFill>
                        <w14:solidFill>
                          <w14:schemeClr w14:val="tx1"/>
                        </w14:solidFill>
                      </w14:textFill>
                    </w:rPr>
                    <w:t>排放量</w:t>
                  </w:r>
                </w:p>
              </w:tc>
            </w:tr>
            <w:tr w14:paraId="1D9DC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restart"/>
                  <w:vAlign w:val="center"/>
                </w:tcPr>
                <w:p w14:paraId="210C016F">
                  <w:pPr>
                    <w:pStyle w:val="221"/>
                    <w:rPr>
                      <w:color w:val="000000" w:themeColor="text1"/>
                      <w14:textFill>
                        <w14:solidFill>
                          <w14:schemeClr w14:val="tx1"/>
                        </w14:solidFill>
                      </w14:textFill>
                    </w:rPr>
                  </w:pPr>
                  <w:r>
                    <w:rPr>
                      <w:color w:val="000000" w:themeColor="text1"/>
                      <w:spacing w:val="5"/>
                      <w14:textFill>
                        <w14:solidFill>
                          <w14:schemeClr w14:val="tx1"/>
                        </w14:solidFill>
                      </w14:textFill>
                    </w:rPr>
                    <w:t>废水</w:t>
                  </w:r>
                </w:p>
              </w:tc>
              <w:tc>
                <w:tcPr>
                  <w:tcW w:w="2408" w:type="dxa"/>
                  <w:vAlign w:val="center"/>
                </w:tcPr>
                <w:p w14:paraId="3174F6D2">
                  <w:pPr>
                    <w:pStyle w:val="221"/>
                    <w:rPr>
                      <w:color w:val="000000" w:themeColor="text1"/>
                      <w14:textFill>
                        <w14:solidFill>
                          <w14:schemeClr w14:val="tx1"/>
                        </w14:solidFill>
                      </w14:textFill>
                    </w:rPr>
                  </w:pPr>
                  <w:r>
                    <w:rPr>
                      <w:color w:val="000000" w:themeColor="text1"/>
                      <w:spacing w:val="7"/>
                      <w14:textFill>
                        <w14:solidFill>
                          <w14:schemeClr w14:val="tx1"/>
                        </w14:solidFill>
                      </w14:textFill>
                    </w:rPr>
                    <w:t>废水量</w:t>
                  </w:r>
                </w:p>
              </w:tc>
              <w:tc>
                <w:tcPr>
                  <w:tcW w:w="1560" w:type="dxa"/>
                  <w:vAlign w:val="center"/>
                </w:tcPr>
                <w:p w14:paraId="728D9F17">
                  <w:pPr>
                    <w:pStyle w:val="221"/>
                    <w:rPr>
                      <w:rFonts w:eastAsia="Times New Roman"/>
                      <w:color w:val="000000" w:themeColor="text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2F27BEB6">
                  <w:pPr>
                    <w:pStyle w:val="221"/>
                    <w:rPr>
                      <w:rFonts w:eastAsia="Times New Roman"/>
                      <w:color w:val="000000" w:themeColor="text1"/>
                      <w14:textFill>
                        <w14:solidFill>
                          <w14:schemeClr w14:val="tx1"/>
                        </w14:solidFill>
                      </w14:textFill>
                    </w:rPr>
                  </w:pPr>
                  <w:r>
                    <w:rPr>
                      <w:rFonts w:hint="eastAsia"/>
                      <w:color w:val="000000" w:themeColor="text1"/>
                      <w:spacing w:val="3"/>
                      <w14:textFill>
                        <w14:solidFill>
                          <w14:schemeClr w14:val="tx1"/>
                        </w14:solidFill>
                      </w14:textFill>
                    </w:rPr>
                    <w:t>3873.6</w:t>
                  </w:r>
                </w:p>
              </w:tc>
            </w:tr>
            <w:tr w14:paraId="10FEF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continue"/>
                  <w:vAlign w:val="center"/>
                </w:tcPr>
                <w:p w14:paraId="570A454C">
                  <w:pPr>
                    <w:pStyle w:val="221"/>
                    <w:rPr>
                      <w:color w:val="000000" w:themeColor="text1"/>
                      <w14:textFill>
                        <w14:solidFill>
                          <w14:schemeClr w14:val="tx1"/>
                        </w14:solidFill>
                      </w14:textFill>
                    </w:rPr>
                  </w:pPr>
                </w:p>
              </w:tc>
              <w:tc>
                <w:tcPr>
                  <w:tcW w:w="2408" w:type="dxa"/>
                  <w:vAlign w:val="center"/>
                </w:tcPr>
                <w:p w14:paraId="2E03E23B">
                  <w:pPr>
                    <w:pStyle w:val="221"/>
                    <w:rPr>
                      <w:rFonts w:eastAsia="Times New Roman"/>
                      <w:color w:val="000000" w:themeColor="text1"/>
                      <w14:textFill>
                        <w14:solidFill>
                          <w14:schemeClr w14:val="tx1"/>
                        </w14:solidFill>
                      </w14:textFill>
                    </w:rPr>
                  </w:pPr>
                  <w:r>
                    <w:rPr>
                      <w:rFonts w:eastAsia="Times New Roman"/>
                      <w:color w:val="000000" w:themeColor="text1"/>
                      <w:spacing w:val="3"/>
                      <w14:textFill>
                        <w14:solidFill>
                          <w14:schemeClr w14:val="tx1"/>
                        </w14:solidFill>
                      </w14:textFill>
                    </w:rPr>
                    <w:t>COD</w:t>
                  </w:r>
                </w:p>
              </w:tc>
              <w:tc>
                <w:tcPr>
                  <w:tcW w:w="1560" w:type="dxa"/>
                  <w:vAlign w:val="center"/>
                </w:tcPr>
                <w:p w14:paraId="7E39CDA1">
                  <w:pPr>
                    <w:pStyle w:val="221"/>
                    <w:rPr>
                      <w:rFonts w:eastAsia="Times New Roman"/>
                      <w:color w:val="000000" w:themeColor="text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5D890479">
                  <w:pPr>
                    <w:pStyle w:val="221"/>
                    <w:rPr>
                      <w:rFonts w:eastAsiaTheme="minorEastAsia"/>
                      <w:color w:val="000000" w:themeColor="text1"/>
                      <w14:textFill>
                        <w14:solidFill>
                          <w14:schemeClr w14:val="tx1"/>
                        </w14:solidFill>
                      </w14:textFill>
                    </w:rPr>
                  </w:pPr>
                  <w:r>
                    <w:rPr>
                      <w:rFonts w:hint="eastAsia" w:eastAsiaTheme="minorEastAsia"/>
                      <w:color w:val="000000" w:themeColor="text1"/>
                      <w:spacing w:val="2"/>
                      <w14:textFill>
                        <w14:solidFill>
                          <w14:schemeClr w14:val="tx1"/>
                        </w14:solidFill>
                      </w14:textFill>
                    </w:rPr>
                    <w:t>0.464</w:t>
                  </w:r>
                </w:p>
              </w:tc>
            </w:tr>
            <w:tr w14:paraId="539F5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continue"/>
                  <w:vAlign w:val="center"/>
                </w:tcPr>
                <w:p w14:paraId="429CDD54">
                  <w:pPr>
                    <w:pStyle w:val="221"/>
                    <w:rPr>
                      <w:color w:val="000000" w:themeColor="text1"/>
                      <w14:textFill>
                        <w14:solidFill>
                          <w14:schemeClr w14:val="tx1"/>
                        </w14:solidFill>
                      </w14:textFill>
                    </w:rPr>
                  </w:pPr>
                </w:p>
              </w:tc>
              <w:tc>
                <w:tcPr>
                  <w:tcW w:w="2408" w:type="dxa"/>
                  <w:vAlign w:val="center"/>
                </w:tcPr>
                <w:p w14:paraId="2AF86BB1">
                  <w:pPr>
                    <w:pStyle w:val="221"/>
                    <w:rPr>
                      <w:color w:val="000000" w:themeColor="text1"/>
                      <w14:textFill>
                        <w14:solidFill>
                          <w14:schemeClr w14:val="tx1"/>
                        </w14:solidFill>
                      </w14:textFill>
                    </w:rPr>
                  </w:pPr>
                  <w:r>
                    <w:rPr>
                      <w:color w:val="000000" w:themeColor="text1"/>
                      <w:spacing w:val="7"/>
                      <w14:textFill>
                        <w14:solidFill>
                          <w14:schemeClr w14:val="tx1"/>
                        </w14:solidFill>
                      </w14:textFill>
                    </w:rPr>
                    <w:t>动植物油</w:t>
                  </w:r>
                </w:p>
              </w:tc>
              <w:tc>
                <w:tcPr>
                  <w:tcW w:w="1560" w:type="dxa"/>
                  <w:vAlign w:val="center"/>
                </w:tcPr>
                <w:p w14:paraId="271CB2AC">
                  <w:pPr>
                    <w:pStyle w:val="221"/>
                    <w:rPr>
                      <w:rFonts w:eastAsia="Times New Roman"/>
                      <w:color w:val="000000" w:themeColor="text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290690B8">
                  <w:pPr>
                    <w:pStyle w:val="221"/>
                    <w:rPr>
                      <w:rFonts w:eastAsiaTheme="minorEastAsia"/>
                      <w:color w:val="000000" w:themeColor="text1"/>
                      <w14:textFill>
                        <w14:solidFill>
                          <w14:schemeClr w14:val="tx1"/>
                        </w14:solidFill>
                      </w14:textFill>
                    </w:rPr>
                  </w:pPr>
                  <w:r>
                    <w:rPr>
                      <w:rFonts w:hint="eastAsia" w:eastAsiaTheme="minorEastAsia"/>
                      <w:color w:val="000000" w:themeColor="text1"/>
                      <w:spacing w:val="2"/>
                      <w14:textFill>
                        <w14:solidFill>
                          <w14:schemeClr w14:val="tx1"/>
                        </w14:solidFill>
                      </w14:textFill>
                    </w:rPr>
                    <w:t>0.040</w:t>
                  </w:r>
                </w:p>
              </w:tc>
            </w:tr>
            <w:tr w14:paraId="4B27C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continue"/>
                  <w:vAlign w:val="center"/>
                </w:tcPr>
                <w:p w14:paraId="4D2CD189">
                  <w:pPr>
                    <w:pStyle w:val="221"/>
                    <w:rPr>
                      <w:color w:val="000000" w:themeColor="text1"/>
                      <w14:textFill>
                        <w14:solidFill>
                          <w14:schemeClr w14:val="tx1"/>
                        </w14:solidFill>
                      </w14:textFill>
                    </w:rPr>
                  </w:pPr>
                </w:p>
              </w:tc>
              <w:tc>
                <w:tcPr>
                  <w:tcW w:w="2408" w:type="dxa"/>
                  <w:vAlign w:val="center"/>
                </w:tcPr>
                <w:p w14:paraId="0E97B8C2">
                  <w:pPr>
                    <w:pStyle w:val="221"/>
                    <w:rPr>
                      <w:rFonts w:eastAsia="Times New Roman"/>
                      <w:color w:val="000000" w:themeColor="text1"/>
                      <w:spacing w:val="-3"/>
                      <w14:textFill>
                        <w14:solidFill>
                          <w14:schemeClr w14:val="tx1"/>
                        </w14:solidFill>
                      </w14:textFill>
                    </w:rPr>
                  </w:pPr>
                  <w:r>
                    <w:rPr>
                      <w:rFonts w:hint="eastAsia"/>
                      <w:color w:val="000000" w:themeColor="text1"/>
                      <w:spacing w:val="-3"/>
                      <w:sz w:val="20"/>
                      <w:szCs w:val="20"/>
                      <w14:textFill>
                        <w14:solidFill>
                          <w14:schemeClr w14:val="tx1"/>
                        </w14:solidFill>
                      </w14:textFill>
                    </w:rPr>
                    <w:t>BOD</w:t>
                  </w:r>
                  <w:r>
                    <w:rPr>
                      <w:rFonts w:hint="eastAsia"/>
                      <w:color w:val="000000" w:themeColor="text1"/>
                      <w:spacing w:val="-3"/>
                      <w:sz w:val="20"/>
                      <w:szCs w:val="20"/>
                      <w:vertAlign w:val="subscript"/>
                      <w14:textFill>
                        <w14:solidFill>
                          <w14:schemeClr w14:val="tx1"/>
                        </w14:solidFill>
                      </w14:textFill>
                    </w:rPr>
                    <w:t>5</w:t>
                  </w:r>
                </w:p>
              </w:tc>
              <w:tc>
                <w:tcPr>
                  <w:tcW w:w="1560" w:type="dxa"/>
                  <w:vAlign w:val="center"/>
                </w:tcPr>
                <w:p w14:paraId="2ACD687F">
                  <w:pPr>
                    <w:pStyle w:val="221"/>
                    <w:rPr>
                      <w:rFonts w:eastAsia="Times New Roman"/>
                      <w:color w:val="000000" w:themeColor="text1"/>
                      <w:spacing w:val="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620B2310">
                  <w:pPr>
                    <w:pStyle w:val="221"/>
                    <w:rPr>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0.076</w:t>
                  </w:r>
                </w:p>
              </w:tc>
            </w:tr>
            <w:tr w14:paraId="5F0AA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continue"/>
                  <w:vAlign w:val="center"/>
                </w:tcPr>
                <w:p w14:paraId="019FE53A">
                  <w:pPr>
                    <w:pStyle w:val="221"/>
                    <w:rPr>
                      <w:color w:val="000000" w:themeColor="text1"/>
                      <w14:textFill>
                        <w14:solidFill>
                          <w14:schemeClr w14:val="tx1"/>
                        </w14:solidFill>
                      </w14:textFill>
                    </w:rPr>
                  </w:pPr>
                </w:p>
              </w:tc>
              <w:tc>
                <w:tcPr>
                  <w:tcW w:w="2408" w:type="dxa"/>
                  <w:vAlign w:val="center"/>
                </w:tcPr>
                <w:p w14:paraId="7BE69E61">
                  <w:pPr>
                    <w:pStyle w:val="221"/>
                    <w:rPr>
                      <w:rFonts w:eastAsia="Times New Roman"/>
                      <w:color w:val="000000" w:themeColor="text1"/>
                      <w14:textFill>
                        <w14:solidFill>
                          <w14:schemeClr w14:val="tx1"/>
                        </w14:solidFill>
                      </w14:textFill>
                    </w:rPr>
                  </w:pPr>
                  <w:r>
                    <w:rPr>
                      <w:rFonts w:eastAsia="Times New Roman"/>
                      <w:color w:val="000000" w:themeColor="text1"/>
                      <w:spacing w:val="-3"/>
                      <w14:textFill>
                        <w14:solidFill>
                          <w14:schemeClr w14:val="tx1"/>
                        </w14:solidFill>
                      </w14:textFill>
                    </w:rPr>
                    <w:t>SS</w:t>
                  </w:r>
                </w:p>
              </w:tc>
              <w:tc>
                <w:tcPr>
                  <w:tcW w:w="1560" w:type="dxa"/>
                  <w:vAlign w:val="center"/>
                </w:tcPr>
                <w:p w14:paraId="3F3E0293">
                  <w:pPr>
                    <w:pStyle w:val="221"/>
                    <w:rPr>
                      <w:rFonts w:eastAsia="Times New Roman"/>
                      <w:color w:val="000000" w:themeColor="text1"/>
                      <w14:textFill>
                        <w14:solidFill>
                          <w14:schemeClr w14:val="tx1"/>
                        </w14:solidFill>
                      </w14:textFill>
                    </w:rPr>
                  </w:pPr>
                  <w:r>
                    <w:rPr>
                      <w:rFonts w:eastAsia="Times New Roman"/>
                      <w:color w:val="000000" w:themeColor="text1"/>
                      <w:spacing w:val="1"/>
                      <w14:textFill>
                        <w14:solidFill>
                          <w14:schemeClr w14:val="tx1"/>
                        </w14:solidFill>
                      </w14:textFill>
                    </w:rPr>
                    <w:t>t/a</w:t>
                  </w:r>
                </w:p>
              </w:tc>
              <w:tc>
                <w:tcPr>
                  <w:tcW w:w="2970" w:type="dxa"/>
                  <w:vAlign w:val="center"/>
                </w:tcPr>
                <w:p w14:paraId="4FC9FC55">
                  <w:pPr>
                    <w:pStyle w:val="221"/>
                    <w:rPr>
                      <w:rFonts w:eastAsiaTheme="minorEastAsia"/>
                      <w:color w:val="000000" w:themeColor="text1"/>
                      <w14:textFill>
                        <w14:solidFill>
                          <w14:schemeClr w14:val="tx1"/>
                        </w14:solidFill>
                      </w14:textFill>
                    </w:rPr>
                  </w:pPr>
                  <w:r>
                    <w:rPr>
                      <w:rFonts w:hint="eastAsia" w:eastAsiaTheme="minorEastAsia"/>
                      <w:color w:val="000000" w:themeColor="text1"/>
                      <w:spacing w:val="-4"/>
                      <w14:textFill>
                        <w14:solidFill>
                          <w14:schemeClr w14:val="tx1"/>
                        </w14:solidFill>
                      </w14:textFill>
                    </w:rPr>
                    <w:t>0.056</w:t>
                  </w:r>
                </w:p>
              </w:tc>
            </w:tr>
            <w:tr w14:paraId="06302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continue"/>
                  <w:vAlign w:val="center"/>
                </w:tcPr>
                <w:p w14:paraId="6E07726E">
                  <w:pPr>
                    <w:pStyle w:val="221"/>
                    <w:rPr>
                      <w:color w:val="000000" w:themeColor="text1"/>
                      <w14:textFill>
                        <w14:solidFill>
                          <w14:schemeClr w14:val="tx1"/>
                        </w14:solidFill>
                      </w14:textFill>
                    </w:rPr>
                  </w:pPr>
                </w:p>
              </w:tc>
              <w:tc>
                <w:tcPr>
                  <w:tcW w:w="2408" w:type="dxa"/>
                  <w:vAlign w:val="center"/>
                </w:tcPr>
                <w:p w14:paraId="389B09CD">
                  <w:pPr>
                    <w:pStyle w:val="221"/>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560" w:type="dxa"/>
                  <w:vAlign w:val="center"/>
                </w:tcPr>
                <w:p w14:paraId="0E32A823">
                  <w:pPr>
                    <w:pStyle w:val="221"/>
                    <w:rPr>
                      <w:rFonts w:eastAsia="Times New Roman"/>
                      <w:color w:val="000000" w:themeColor="text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769F60C2">
                  <w:pPr>
                    <w:pStyle w:val="221"/>
                    <w:rPr>
                      <w:rFonts w:eastAsiaTheme="minorEastAsia"/>
                      <w:color w:val="000000" w:themeColor="text1"/>
                      <w14:textFill>
                        <w14:solidFill>
                          <w14:schemeClr w14:val="tx1"/>
                        </w14:solidFill>
                      </w14:textFill>
                    </w:rPr>
                  </w:pPr>
                  <w:r>
                    <w:rPr>
                      <w:rFonts w:hint="eastAsia" w:eastAsiaTheme="minorEastAsia"/>
                      <w:color w:val="000000" w:themeColor="text1"/>
                      <w:spacing w:val="2"/>
                      <w14:textFill>
                        <w14:solidFill>
                          <w14:schemeClr w14:val="tx1"/>
                        </w14:solidFill>
                      </w14:textFill>
                    </w:rPr>
                    <w:t>0.194</w:t>
                  </w:r>
                </w:p>
              </w:tc>
            </w:tr>
            <w:tr w14:paraId="1A740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restart"/>
                  <w:vAlign w:val="center"/>
                </w:tcPr>
                <w:p w14:paraId="0583222C">
                  <w:pPr>
                    <w:pStyle w:val="221"/>
                    <w:rPr>
                      <w:color w:val="000000" w:themeColor="text1"/>
                      <w14:textFill>
                        <w14:solidFill>
                          <w14:schemeClr w14:val="tx1"/>
                        </w14:solidFill>
                      </w14:textFill>
                    </w:rPr>
                  </w:pPr>
                  <w:r>
                    <w:rPr>
                      <w:color w:val="000000" w:themeColor="text1"/>
                      <w:spacing w:val="5"/>
                      <w14:textFill>
                        <w14:solidFill>
                          <w14:schemeClr w14:val="tx1"/>
                        </w14:solidFill>
                      </w14:textFill>
                    </w:rPr>
                    <w:t>废气</w:t>
                  </w:r>
                </w:p>
              </w:tc>
              <w:tc>
                <w:tcPr>
                  <w:tcW w:w="2408" w:type="dxa"/>
                  <w:vAlign w:val="center"/>
                </w:tcPr>
                <w:p w14:paraId="603DC5E5">
                  <w:pPr>
                    <w:pStyle w:val="221"/>
                    <w:rPr>
                      <w:color w:val="000000" w:themeColor="text1"/>
                      <w14:textFill>
                        <w14:solidFill>
                          <w14:schemeClr w14:val="tx1"/>
                        </w14:solidFill>
                      </w14:textFill>
                    </w:rPr>
                  </w:pPr>
                  <w:r>
                    <w:rPr>
                      <w:color w:val="000000" w:themeColor="text1"/>
                      <w:spacing w:val="7"/>
                      <w14:textFill>
                        <w14:solidFill>
                          <w14:schemeClr w14:val="tx1"/>
                        </w14:solidFill>
                      </w14:textFill>
                    </w:rPr>
                    <w:t>颗粒物</w:t>
                  </w:r>
                </w:p>
              </w:tc>
              <w:tc>
                <w:tcPr>
                  <w:tcW w:w="1560" w:type="dxa"/>
                  <w:vAlign w:val="center"/>
                </w:tcPr>
                <w:p w14:paraId="326A8EC4">
                  <w:pPr>
                    <w:pStyle w:val="221"/>
                    <w:rPr>
                      <w:rFonts w:eastAsia="Times New Roman"/>
                      <w:color w:val="000000" w:themeColor="text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3B3EAD37">
                  <w:pPr>
                    <w:pStyle w:val="221"/>
                    <w:rPr>
                      <w:rFonts w:eastAsiaTheme="minorEastAsia"/>
                      <w:color w:val="000000" w:themeColor="text1"/>
                      <w14:textFill>
                        <w14:solidFill>
                          <w14:schemeClr w14:val="tx1"/>
                        </w14:solidFill>
                      </w14:textFill>
                    </w:rPr>
                  </w:pPr>
                  <w:r>
                    <w:rPr>
                      <w:rFonts w:hint="eastAsia" w:eastAsiaTheme="minorEastAsia"/>
                      <w:color w:val="000000" w:themeColor="text1"/>
                      <w:spacing w:val="3"/>
                      <w14:textFill>
                        <w14:solidFill>
                          <w14:schemeClr w14:val="tx1"/>
                        </w14:solidFill>
                      </w14:textFill>
                    </w:rPr>
                    <w:t>1.24</w:t>
                  </w:r>
                </w:p>
              </w:tc>
            </w:tr>
            <w:tr w14:paraId="70727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continue"/>
                  <w:vAlign w:val="center"/>
                </w:tcPr>
                <w:p w14:paraId="716F5D7F">
                  <w:pPr>
                    <w:pStyle w:val="221"/>
                    <w:rPr>
                      <w:color w:val="000000" w:themeColor="text1"/>
                      <w:spacing w:val="5"/>
                      <w14:textFill>
                        <w14:solidFill>
                          <w14:schemeClr w14:val="tx1"/>
                        </w14:solidFill>
                      </w14:textFill>
                    </w:rPr>
                  </w:pPr>
                </w:p>
              </w:tc>
              <w:tc>
                <w:tcPr>
                  <w:tcW w:w="2408" w:type="dxa"/>
                  <w:vAlign w:val="center"/>
                </w:tcPr>
                <w:p w14:paraId="2CDEC77E">
                  <w:pPr>
                    <w:pStyle w:val="221"/>
                    <w:rPr>
                      <w:color w:val="000000" w:themeColor="text1"/>
                      <w:spacing w:val="7"/>
                      <w14:textFill>
                        <w14:solidFill>
                          <w14:schemeClr w14:val="tx1"/>
                        </w14:solidFill>
                      </w14:textFill>
                    </w:rPr>
                  </w:pPr>
                  <w:r>
                    <w:rPr>
                      <w:rFonts w:hint="eastAsia"/>
                      <w:color w:val="000000" w:themeColor="text1"/>
                      <w:spacing w:val="7"/>
                      <w14:textFill>
                        <w14:solidFill>
                          <w14:schemeClr w14:val="tx1"/>
                        </w14:solidFill>
                      </w14:textFill>
                    </w:rPr>
                    <w:t>二氧化硫</w:t>
                  </w:r>
                </w:p>
              </w:tc>
              <w:tc>
                <w:tcPr>
                  <w:tcW w:w="1560" w:type="dxa"/>
                  <w:vAlign w:val="center"/>
                </w:tcPr>
                <w:p w14:paraId="77FC16EB">
                  <w:pPr>
                    <w:pStyle w:val="221"/>
                    <w:rPr>
                      <w:rFonts w:eastAsia="Times New Roman"/>
                      <w:color w:val="000000" w:themeColor="text1"/>
                      <w:spacing w:val="1"/>
                      <w:position w:val="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6289F3BC">
                  <w:pPr>
                    <w:pStyle w:val="221"/>
                    <w:rPr>
                      <w:rFonts w:eastAsiaTheme="minorEastAsia"/>
                      <w:color w:val="000000" w:themeColor="text1"/>
                      <w:spacing w:val="3"/>
                      <w14:textFill>
                        <w14:solidFill>
                          <w14:schemeClr w14:val="tx1"/>
                        </w14:solidFill>
                      </w14:textFill>
                    </w:rPr>
                  </w:pPr>
                  <w:r>
                    <w:rPr>
                      <w:rFonts w:hint="eastAsia" w:eastAsiaTheme="minorEastAsia"/>
                      <w:color w:val="000000" w:themeColor="text1"/>
                      <w:spacing w:val="3"/>
                      <w14:textFill>
                        <w14:solidFill>
                          <w14:schemeClr w14:val="tx1"/>
                        </w14:solidFill>
                      </w14:textFill>
                    </w:rPr>
                    <w:t>0.155</w:t>
                  </w:r>
                </w:p>
              </w:tc>
            </w:tr>
            <w:tr w14:paraId="4DEC0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continue"/>
                  <w:vAlign w:val="center"/>
                </w:tcPr>
                <w:p w14:paraId="2CCE786F">
                  <w:pPr>
                    <w:pStyle w:val="221"/>
                    <w:rPr>
                      <w:color w:val="000000" w:themeColor="text1"/>
                      <w:spacing w:val="5"/>
                      <w14:textFill>
                        <w14:solidFill>
                          <w14:schemeClr w14:val="tx1"/>
                        </w14:solidFill>
                      </w14:textFill>
                    </w:rPr>
                  </w:pPr>
                </w:p>
              </w:tc>
              <w:tc>
                <w:tcPr>
                  <w:tcW w:w="2408" w:type="dxa"/>
                  <w:vAlign w:val="center"/>
                </w:tcPr>
                <w:p w14:paraId="1212562A">
                  <w:pPr>
                    <w:pStyle w:val="221"/>
                    <w:rPr>
                      <w:color w:val="000000" w:themeColor="text1"/>
                      <w:spacing w:val="7"/>
                      <w14:textFill>
                        <w14:solidFill>
                          <w14:schemeClr w14:val="tx1"/>
                        </w14:solidFill>
                      </w14:textFill>
                    </w:rPr>
                  </w:pPr>
                  <w:r>
                    <w:rPr>
                      <w:rFonts w:hint="eastAsia"/>
                      <w:color w:val="000000" w:themeColor="text1"/>
                      <w:spacing w:val="7"/>
                      <w14:textFill>
                        <w14:solidFill>
                          <w14:schemeClr w14:val="tx1"/>
                        </w14:solidFill>
                      </w14:textFill>
                    </w:rPr>
                    <w:t>氮氧化物</w:t>
                  </w:r>
                </w:p>
              </w:tc>
              <w:tc>
                <w:tcPr>
                  <w:tcW w:w="1560" w:type="dxa"/>
                  <w:vAlign w:val="center"/>
                </w:tcPr>
                <w:p w14:paraId="648B0356">
                  <w:pPr>
                    <w:pStyle w:val="221"/>
                    <w:rPr>
                      <w:rFonts w:eastAsia="Times New Roman"/>
                      <w:color w:val="000000" w:themeColor="text1"/>
                      <w:spacing w:val="1"/>
                      <w:position w:val="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0366B0F2">
                  <w:pPr>
                    <w:pStyle w:val="221"/>
                    <w:rPr>
                      <w:rFonts w:eastAsiaTheme="minorEastAsia"/>
                      <w:color w:val="000000" w:themeColor="text1"/>
                      <w:spacing w:val="3"/>
                      <w14:textFill>
                        <w14:solidFill>
                          <w14:schemeClr w14:val="tx1"/>
                        </w14:solidFill>
                      </w14:textFill>
                    </w:rPr>
                  </w:pPr>
                  <w:r>
                    <w:rPr>
                      <w:rFonts w:hint="eastAsia" w:eastAsiaTheme="minorEastAsia"/>
                      <w:color w:val="000000" w:themeColor="text1"/>
                      <w:spacing w:val="3"/>
                      <w14:textFill>
                        <w14:solidFill>
                          <w14:schemeClr w14:val="tx1"/>
                        </w14:solidFill>
                      </w14:textFill>
                    </w:rPr>
                    <w:t>0.21</w:t>
                  </w:r>
                </w:p>
              </w:tc>
            </w:tr>
            <w:tr w14:paraId="5731D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continue"/>
                  <w:vAlign w:val="center"/>
                </w:tcPr>
                <w:p w14:paraId="66D6EB6B">
                  <w:pPr>
                    <w:pStyle w:val="221"/>
                    <w:rPr>
                      <w:color w:val="000000" w:themeColor="text1"/>
                      <w:spacing w:val="5"/>
                      <w14:textFill>
                        <w14:solidFill>
                          <w14:schemeClr w14:val="tx1"/>
                        </w14:solidFill>
                      </w14:textFill>
                    </w:rPr>
                  </w:pPr>
                </w:p>
              </w:tc>
              <w:tc>
                <w:tcPr>
                  <w:tcW w:w="2408" w:type="dxa"/>
                  <w:vAlign w:val="center"/>
                </w:tcPr>
                <w:p w14:paraId="529C85BE">
                  <w:pPr>
                    <w:pStyle w:val="221"/>
                    <w:rPr>
                      <w:color w:val="000000" w:themeColor="text1"/>
                      <w:spacing w:val="7"/>
                      <w14:textFill>
                        <w14:solidFill>
                          <w14:schemeClr w14:val="tx1"/>
                        </w14:solidFill>
                      </w14:textFill>
                    </w:rPr>
                  </w:pPr>
                  <w:r>
                    <w:rPr>
                      <w:rFonts w:hint="eastAsia"/>
                      <w:color w:val="000000" w:themeColor="text1"/>
                      <w:spacing w:val="7"/>
                      <w14:textFill>
                        <w14:solidFill>
                          <w14:schemeClr w14:val="tx1"/>
                        </w14:solidFill>
                      </w14:textFill>
                    </w:rPr>
                    <w:t>VOCs</w:t>
                  </w:r>
                </w:p>
              </w:tc>
              <w:tc>
                <w:tcPr>
                  <w:tcW w:w="1560" w:type="dxa"/>
                  <w:vAlign w:val="center"/>
                </w:tcPr>
                <w:p w14:paraId="65E3D09C">
                  <w:pPr>
                    <w:pStyle w:val="221"/>
                    <w:rPr>
                      <w:rFonts w:eastAsia="Times New Roman"/>
                      <w:color w:val="000000" w:themeColor="text1"/>
                      <w:spacing w:val="1"/>
                      <w:position w:val="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3CB36AF5">
                  <w:pPr>
                    <w:pStyle w:val="221"/>
                    <w:rPr>
                      <w:rFonts w:eastAsiaTheme="minorEastAsia"/>
                      <w:color w:val="000000" w:themeColor="text1"/>
                      <w:spacing w:val="3"/>
                      <w14:textFill>
                        <w14:solidFill>
                          <w14:schemeClr w14:val="tx1"/>
                        </w14:solidFill>
                      </w14:textFill>
                    </w:rPr>
                  </w:pPr>
                  <w:r>
                    <w:rPr>
                      <w:rFonts w:hint="eastAsia" w:eastAsiaTheme="minorEastAsia"/>
                      <w:color w:val="000000" w:themeColor="text1"/>
                      <w:spacing w:val="3"/>
                      <w14:textFill>
                        <w14:solidFill>
                          <w14:schemeClr w14:val="tx1"/>
                        </w14:solidFill>
                      </w14:textFill>
                    </w:rPr>
                    <w:t>0.526</w:t>
                  </w:r>
                </w:p>
              </w:tc>
            </w:tr>
            <w:tr w14:paraId="03B74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continue"/>
                  <w:vAlign w:val="center"/>
                </w:tcPr>
                <w:p w14:paraId="5D10D5AC">
                  <w:pPr>
                    <w:pStyle w:val="221"/>
                    <w:rPr>
                      <w:color w:val="000000" w:themeColor="text1"/>
                      <w:spacing w:val="5"/>
                      <w14:textFill>
                        <w14:solidFill>
                          <w14:schemeClr w14:val="tx1"/>
                        </w14:solidFill>
                      </w14:textFill>
                    </w:rPr>
                  </w:pPr>
                </w:p>
              </w:tc>
              <w:tc>
                <w:tcPr>
                  <w:tcW w:w="2408" w:type="dxa"/>
                  <w:vAlign w:val="center"/>
                </w:tcPr>
                <w:p w14:paraId="12F033F3">
                  <w:pPr>
                    <w:pStyle w:val="221"/>
                    <w:rPr>
                      <w:color w:val="000000" w:themeColor="text1"/>
                      <w:spacing w:val="7"/>
                      <w14:textFill>
                        <w14:solidFill>
                          <w14:schemeClr w14:val="tx1"/>
                        </w14:solidFill>
                      </w14:textFill>
                    </w:rPr>
                  </w:pPr>
                  <w:r>
                    <w:rPr>
                      <w:rFonts w:hint="eastAsia"/>
                      <w:color w:val="000000" w:themeColor="text1"/>
                      <w:spacing w:val="7"/>
                      <w14:textFill>
                        <w14:solidFill>
                          <w14:schemeClr w14:val="tx1"/>
                        </w14:solidFill>
                      </w14:textFill>
                    </w:rPr>
                    <w:t>甲苯及二甲苯</w:t>
                  </w:r>
                </w:p>
              </w:tc>
              <w:tc>
                <w:tcPr>
                  <w:tcW w:w="1560" w:type="dxa"/>
                  <w:vAlign w:val="center"/>
                </w:tcPr>
                <w:p w14:paraId="6B827F98">
                  <w:pPr>
                    <w:pStyle w:val="221"/>
                    <w:rPr>
                      <w:rFonts w:eastAsia="Times New Roman"/>
                      <w:color w:val="000000" w:themeColor="text1"/>
                      <w:spacing w:val="1"/>
                      <w:position w:val="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226C2378">
                  <w:pPr>
                    <w:pStyle w:val="221"/>
                    <w:rPr>
                      <w:rFonts w:eastAsiaTheme="minorEastAsia"/>
                      <w:color w:val="000000" w:themeColor="text1"/>
                      <w:spacing w:val="3"/>
                      <w14:textFill>
                        <w14:solidFill>
                          <w14:schemeClr w14:val="tx1"/>
                        </w14:solidFill>
                      </w14:textFill>
                    </w:rPr>
                  </w:pPr>
                  <w:r>
                    <w:rPr>
                      <w:rFonts w:hint="eastAsia" w:eastAsiaTheme="minorEastAsia"/>
                      <w:color w:val="000000" w:themeColor="text1"/>
                      <w:spacing w:val="3"/>
                      <w14:textFill>
                        <w14:solidFill>
                          <w14:schemeClr w14:val="tx1"/>
                        </w14:solidFill>
                      </w14:textFill>
                    </w:rPr>
                    <w:t>0.314</w:t>
                  </w:r>
                </w:p>
              </w:tc>
            </w:tr>
            <w:tr w14:paraId="43571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continue"/>
                  <w:vAlign w:val="center"/>
                </w:tcPr>
                <w:p w14:paraId="3FD90CE4">
                  <w:pPr>
                    <w:pStyle w:val="221"/>
                    <w:rPr>
                      <w:color w:val="000000" w:themeColor="text1"/>
                      <w:spacing w:val="5"/>
                      <w14:textFill>
                        <w14:solidFill>
                          <w14:schemeClr w14:val="tx1"/>
                        </w14:solidFill>
                      </w14:textFill>
                    </w:rPr>
                  </w:pPr>
                </w:p>
              </w:tc>
              <w:tc>
                <w:tcPr>
                  <w:tcW w:w="2408" w:type="dxa"/>
                  <w:vAlign w:val="center"/>
                </w:tcPr>
                <w:p w14:paraId="04FDBFD3">
                  <w:pPr>
                    <w:pStyle w:val="221"/>
                    <w:rPr>
                      <w:color w:val="000000" w:themeColor="text1"/>
                      <w:spacing w:val="7"/>
                      <w14:textFill>
                        <w14:solidFill>
                          <w14:schemeClr w14:val="tx1"/>
                        </w14:solidFill>
                      </w14:textFill>
                    </w:rPr>
                  </w:pPr>
                  <w:r>
                    <w:rPr>
                      <w:rFonts w:hint="eastAsia"/>
                      <w:color w:val="000000" w:themeColor="text1"/>
                      <w:spacing w:val="7"/>
                      <w14:textFill>
                        <w14:solidFill>
                          <w14:schemeClr w14:val="tx1"/>
                        </w14:solidFill>
                      </w14:textFill>
                    </w:rPr>
                    <w:t>乙酸丁酯</w:t>
                  </w:r>
                </w:p>
              </w:tc>
              <w:tc>
                <w:tcPr>
                  <w:tcW w:w="1560" w:type="dxa"/>
                  <w:vAlign w:val="center"/>
                </w:tcPr>
                <w:p w14:paraId="4249CBA7">
                  <w:pPr>
                    <w:pStyle w:val="221"/>
                    <w:rPr>
                      <w:rFonts w:eastAsia="Times New Roman"/>
                      <w:color w:val="000000" w:themeColor="text1"/>
                      <w:spacing w:val="1"/>
                      <w:position w:val="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530291D1">
                  <w:pPr>
                    <w:pStyle w:val="221"/>
                    <w:rPr>
                      <w:rFonts w:eastAsiaTheme="minorEastAsia"/>
                      <w:color w:val="000000" w:themeColor="text1"/>
                      <w:spacing w:val="3"/>
                      <w14:textFill>
                        <w14:solidFill>
                          <w14:schemeClr w14:val="tx1"/>
                        </w14:solidFill>
                      </w14:textFill>
                    </w:rPr>
                  </w:pPr>
                  <w:r>
                    <w:rPr>
                      <w:rFonts w:hint="eastAsia" w:eastAsiaTheme="minorEastAsia"/>
                      <w:color w:val="000000" w:themeColor="text1"/>
                      <w:spacing w:val="3"/>
                      <w14:textFill>
                        <w14:solidFill>
                          <w14:schemeClr w14:val="tx1"/>
                        </w14:solidFill>
                      </w14:textFill>
                    </w:rPr>
                    <w:t>0.07</w:t>
                  </w:r>
                </w:p>
              </w:tc>
            </w:tr>
            <w:tr w14:paraId="76780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continue"/>
                  <w:vAlign w:val="center"/>
                </w:tcPr>
                <w:p w14:paraId="46C949CB">
                  <w:pPr>
                    <w:pStyle w:val="221"/>
                    <w:rPr>
                      <w:color w:val="000000" w:themeColor="text1"/>
                      <w:spacing w:val="5"/>
                      <w14:textFill>
                        <w14:solidFill>
                          <w14:schemeClr w14:val="tx1"/>
                        </w14:solidFill>
                      </w14:textFill>
                    </w:rPr>
                  </w:pPr>
                </w:p>
              </w:tc>
              <w:tc>
                <w:tcPr>
                  <w:tcW w:w="2408" w:type="dxa"/>
                  <w:vAlign w:val="center"/>
                </w:tcPr>
                <w:p w14:paraId="31F76C22">
                  <w:pPr>
                    <w:pStyle w:val="221"/>
                    <w:rPr>
                      <w:color w:val="000000" w:themeColor="text1"/>
                      <w:spacing w:val="7"/>
                      <w14:textFill>
                        <w14:solidFill>
                          <w14:schemeClr w14:val="tx1"/>
                        </w14:solidFill>
                      </w14:textFill>
                    </w:rPr>
                  </w:pPr>
                  <w:r>
                    <w:rPr>
                      <w:rFonts w:hint="eastAsia"/>
                      <w:color w:val="000000" w:themeColor="text1"/>
                      <w:spacing w:val="7"/>
                      <w14:textFill>
                        <w14:solidFill>
                          <w14:schemeClr w14:val="tx1"/>
                        </w14:solidFill>
                      </w14:textFill>
                    </w:rPr>
                    <w:t>酚类</w:t>
                  </w:r>
                </w:p>
              </w:tc>
              <w:tc>
                <w:tcPr>
                  <w:tcW w:w="1560" w:type="dxa"/>
                  <w:vAlign w:val="center"/>
                </w:tcPr>
                <w:p w14:paraId="25579F62">
                  <w:pPr>
                    <w:pStyle w:val="221"/>
                    <w:rPr>
                      <w:rFonts w:eastAsia="Times New Roman"/>
                      <w:color w:val="000000" w:themeColor="text1"/>
                      <w:spacing w:val="1"/>
                      <w:position w:val="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1567093C">
                  <w:pPr>
                    <w:pStyle w:val="221"/>
                    <w:rPr>
                      <w:rFonts w:eastAsiaTheme="minorEastAsia"/>
                      <w:color w:val="000000" w:themeColor="text1"/>
                      <w:spacing w:val="3"/>
                      <w14:textFill>
                        <w14:solidFill>
                          <w14:schemeClr w14:val="tx1"/>
                        </w14:solidFill>
                      </w14:textFill>
                    </w:rPr>
                  </w:pPr>
                  <w:r>
                    <w:rPr>
                      <w:rFonts w:hint="eastAsia" w:eastAsiaTheme="minorEastAsia"/>
                      <w:color w:val="000000" w:themeColor="text1"/>
                      <w:spacing w:val="3"/>
                      <w14:textFill>
                        <w14:solidFill>
                          <w14:schemeClr w14:val="tx1"/>
                        </w14:solidFill>
                      </w14:textFill>
                    </w:rPr>
                    <w:t>0.012</w:t>
                  </w:r>
                </w:p>
              </w:tc>
            </w:tr>
            <w:tr w14:paraId="477A3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2" w:type="dxa"/>
                  <w:vMerge w:val="continue"/>
                  <w:vAlign w:val="center"/>
                </w:tcPr>
                <w:p w14:paraId="7FC8B920">
                  <w:pPr>
                    <w:pStyle w:val="221"/>
                    <w:rPr>
                      <w:color w:val="000000" w:themeColor="text1"/>
                      <w:spacing w:val="5"/>
                      <w14:textFill>
                        <w14:solidFill>
                          <w14:schemeClr w14:val="tx1"/>
                        </w14:solidFill>
                      </w14:textFill>
                    </w:rPr>
                  </w:pPr>
                </w:p>
              </w:tc>
              <w:tc>
                <w:tcPr>
                  <w:tcW w:w="2408" w:type="dxa"/>
                  <w:vAlign w:val="center"/>
                </w:tcPr>
                <w:p w14:paraId="392EEF67">
                  <w:pPr>
                    <w:pStyle w:val="221"/>
                    <w:rPr>
                      <w:color w:val="000000" w:themeColor="text1"/>
                      <w:spacing w:val="7"/>
                      <w14:textFill>
                        <w14:solidFill>
                          <w14:schemeClr w14:val="tx1"/>
                        </w14:solidFill>
                      </w14:textFill>
                    </w:rPr>
                  </w:pPr>
                  <w:r>
                    <w:rPr>
                      <w:rFonts w:hint="eastAsia"/>
                      <w:color w:val="000000" w:themeColor="text1"/>
                      <w:spacing w:val="7"/>
                      <w14:textFill>
                        <w14:solidFill>
                          <w14:schemeClr w14:val="tx1"/>
                        </w14:solidFill>
                      </w14:textFill>
                    </w:rPr>
                    <w:t>硫化氢</w:t>
                  </w:r>
                </w:p>
              </w:tc>
              <w:tc>
                <w:tcPr>
                  <w:tcW w:w="1560" w:type="dxa"/>
                  <w:vAlign w:val="center"/>
                </w:tcPr>
                <w:p w14:paraId="54086DB0">
                  <w:pPr>
                    <w:pStyle w:val="221"/>
                    <w:rPr>
                      <w:rFonts w:eastAsia="Times New Roman"/>
                      <w:color w:val="000000" w:themeColor="text1"/>
                      <w:spacing w:val="1"/>
                      <w:position w:val="1"/>
                      <w14:textFill>
                        <w14:solidFill>
                          <w14:schemeClr w14:val="tx1"/>
                        </w14:solidFill>
                      </w14:textFill>
                    </w:rPr>
                  </w:pPr>
                  <w:r>
                    <w:rPr>
                      <w:rFonts w:eastAsia="Times New Roman"/>
                      <w:color w:val="000000" w:themeColor="text1"/>
                      <w:spacing w:val="1"/>
                      <w:position w:val="1"/>
                      <w14:textFill>
                        <w14:solidFill>
                          <w14:schemeClr w14:val="tx1"/>
                        </w14:solidFill>
                      </w14:textFill>
                    </w:rPr>
                    <w:t>t/a</w:t>
                  </w:r>
                </w:p>
              </w:tc>
              <w:tc>
                <w:tcPr>
                  <w:tcW w:w="2970" w:type="dxa"/>
                  <w:vAlign w:val="center"/>
                </w:tcPr>
                <w:p w14:paraId="3B3758B3">
                  <w:pPr>
                    <w:pStyle w:val="221"/>
                    <w:rPr>
                      <w:rFonts w:eastAsiaTheme="minorEastAsia"/>
                      <w:color w:val="000000" w:themeColor="text1"/>
                      <w:spacing w:val="3"/>
                      <w14:textFill>
                        <w14:solidFill>
                          <w14:schemeClr w14:val="tx1"/>
                        </w14:solidFill>
                      </w14:textFill>
                    </w:rPr>
                  </w:pPr>
                  <w:r>
                    <w:rPr>
                      <w:rFonts w:hint="eastAsia" w:eastAsiaTheme="minorEastAsia"/>
                      <w:color w:val="000000" w:themeColor="text1"/>
                      <w:spacing w:val="3"/>
                      <w14:textFill>
                        <w14:solidFill>
                          <w14:schemeClr w14:val="tx1"/>
                        </w14:solidFill>
                      </w14:textFill>
                    </w:rPr>
                    <w:t>0.0009</w:t>
                  </w:r>
                </w:p>
              </w:tc>
            </w:tr>
          </w:tbl>
          <w:p w14:paraId="32A5E51D">
            <w:pPr>
              <w:pStyle w:val="222"/>
              <w:spacing w:before="120"/>
              <w:rPr>
                <w:bCs/>
                <w:spacing w:val="-2"/>
              </w:rPr>
            </w:pPr>
            <w:r>
              <w:t>表</w:t>
            </w:r>
            <w:r>
              <w:rPr>
                <w:spacing w:val="-44"/>
              </w:rPr>
              <w:t xml:space="preserve"> </w:t>
            </w:r>
            <w:r>
              <w:rPr>
                <w:rFonts w:hint="eastAsia"/>
              </w:rPr>
              <w:t>2.3-4</w:t>
            </w:r>
            <w:r>
              <w:rPr>
                <w:rFonts w:eastAsia="Times New Roman"/>
                <w:spacing w:val="52"/>
              </w:rPr>
              <w:t xml:space="preserve"> </w:t>
            </w:r>
            <w:r>
              <w:t>现有工程主要固体废物及处置情况一览表</w:t>
            </w:r>
          </w:p>
          <w:tbl>
            <w:tblPr>
              <w:tblStyle w:val="168"/>
              <w:tblW w:w="85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3876"/>
              <w:gridCol w:w="2652"/>
            </w:tblGrid>
            <w:tr w14:paraId="1D6C8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Align w:val="center"/>
                </w:tcPr>
                <w:p w14:paraId="10ED6009">
                  <w:pPr>
                    <w:pStyle w:val="221"/>
                  </w:pPr>
                  <w:r>
                    <w:t>类别</w:t>
                  </w:r>
                </w:p>
              </w:tc>
              <w:tc>
                <w:tcPr>
                  <w:tcW w:w="3876" w:type="dxa"/>
                  <w:vAlign w:val="center"/>
                </w:tcPr>
                <w:p w14:paraId="2B48284F">
                  <w:pPr>
                    <w:pStyle w:val="221"/>
                  </w:pPr>
                  <w:r>
                    <w:t>固废名称</w:t>
                  </w:r>
                </w:p>
              </w:tc>
              <w:tc>
                <w:tcPr>
                  <w:tcW w:w="2652" w:type="dxa"/>
                  <w:vAlign w:val="center"/>
                </w:tcPr>
                <w:p w14:paraId="3A1956DB">
                  <w:pPr>
                    <w:pStyle w:val="221"/>
                  </w:pPr>
                  <w:r>
                    <w:rPr>
                      <w:rFonts w:hint="eastAsia"/>
                    </w:rPr>
                    <w:t>产生量</w:t>
                  </w:r>
                </w:p>
              </w:tc>
            </w:tr>
            <w:tr w14:paraId="4165D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restart"/>
                  <w:vAlign w:val="center"/>
                </w:tcPr>
                <w:p w14:paraId="1649B6C3">
                  <w:pPr>
                    <w:pStyle w:val="221"/>
                  </w:pPr>
                  <w:r>
                    <w:t>一般工业</w:t>
                  </w:r>
                  <w:r>
                    <w:rPr>
                      <w:rFonts w:hint="eastAsia"/>
                    </w:rPr>
                    <w:br w:type="textWrapping"/>
                  </w:r>
                  <w:r>
                    <w:t>固体废物</w:t>
                  </w:r>
                </w:p>
              </w:tc>
              <w:tc>
                <w:tcPr>
                  <w:tcW w:w="3876" w:type="dxa"/>
                  <w:vAlign w:val="center"/>
                </w:tcPr>
                <w:p w14:paraId="2B8DDD7A">
                  <w:pPr>
                    <w:pStyle w:val="221"/>
                  </w:pPr>
                  <w:r>
                    <w:t>残次品/检验不合格的</w:t>
                  </w:r>
                  <w:r>
                    <w:rPr>
                      <w:rFonts w:hint="eastAsia"/>
                    </w:rPr>
                    <w:br w:type="textWrapping"/>
                  </w:r>
                  <w:r>
                    <w:t>半成品</w:t>
                  </w:r>
                </w:p>
              </w:tc>
              <w:tc>
                <w:tcPr>
                  <w:tcW w:w="2652" w:type="dxa"/>
                  <w:vAlign w:val="center"/>
                </w:tcPr>
                <w:p w14:paraId="5806AB90">
                  <w:pPr>
                    <w:pStyle w:val="221"/>
                  </w:pPr>
                  <w:r>
                    <w:rPr>
                      <w:rFonts w:hint="eastAsia"/>
                    </w:rPr>
                    <w:t xml:space="preserve">152.12 </w:t>
                  </w:r>
                </w:p>
              </w:tc>
            </w:tr>
            <w:tr w14:paraId="3FA17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5EE015C9">
                  <w:pPr>
                    <w:pStyle w:val="221"/>
                  </w:pPr>
                </w:p>
              </w:tc>
              <w:tc>
                <w:tcPr>
                  <w:tcW w:w="3876" w:type="dxa"/>
                  <w:vAlign w:val="center"/>
                </w:tcPr>
                <w:p w14:paraId="54003FF3">
                  <w:pPr>
                    <w:pStyle w:val="221"/>
                  </w:pPr>
                  <w:r>
                    <w:t>废边角料</w:t>
                  </w:r>
                </w:p>
              </w:tc>
              <w:tc>
                <w:tcPr>
                  <w:tcW w:w="2652" w:type="dxa"/>
                  <w:vAlign w:val="center"/>
                </w:tcPr>
                <w:p w14:paraId="33F597EF">
                  <w:pPr>
                    <w:pStyle w:val="221"/>
                  </w:pPr>
                  <w:r>
                    <w:rPr>
                      <w:rFonts w:hint="eastAsia"/>
                    </w:rPr>
                    <w:t xml:space="preserve">25.05 </w:t>
                  </w:r>
                </w:p>
              </w:tc>
            </w:tr>
            <w:tr w14:paraId="04622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484F2647">
                  <w:pPr>
                    <w:pStyle w:val="221"/>
                  </w:pPr>
                </w:p>
              </w:tc>
              <w:tc>
                <w:tcPr>
                  <w:tcW w:w="3876" w:type="dxa"/>
                  <w:vAlign w:val="center"/>
                </w:tcPr>
                <w:p w14:paraId="2B0820B2">
                  <w:pPr>
                    <w:pStyle w:val="221"/>
                  </w:pPr>
                  <w:r>
                    <w:t>废弃组装件</w:t>
                  </w:r>
                </w:p>
              </w:tc>
              <w:tc>
                <w:tcPr>
                  <w:tcW w:w="2652" w:type="dxa"/>
                  <w:vAlign w:val="center"/>
                </w:tcPr>
                <w:p w14:paraId="63CE11F8">
                  <w:pPr>
                    <w:pStyle w:val="221"/>
                  </w:pPr>
                  <w:r>
                    <w:t>7.6</w:t>
                  </w:r>
                </w:p>
              </w:tc>
            </w:tr>
            <w:tr w14:paraId="2C862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79F98553">
                  <w:pPr>
                    <w:pStyle w:val="221"/>
                  </w:pPr>
                </w:p>
              </w:tc>
              <w:tc>
                <w:tcPr>
                  <w:tcW w:w="3876" w:type="dxa"/>
                  <w:vAlign w:val="center"/>
                </w:tcPr>
                <w:p w14:paraId="296BDA6B">
                  <w:pPr>
                    <w:pStyle w:val="221"/>
                  </w:pPr>
                  <w:r>
                    <w:t>废砂纸</w:t>
                  </w:r>
                </w:p>
              </w:tc>
              <w:tc>
                <w:tcPr>
                  <w:tcW w:w="2652" w:type="dxa"/>
                  <w:vAlign w:val="center"/>
                </w:tcPr>
                <w:p w14:paraId="60B7403F">
                  <w:pPr>
                    <w:pStyle w:val="221"/>
                  </w:pPr>
                  <w:r>
                    <w:t>0.01</w:t>
                  </w:r>
                </w:p>
              </w:tc>
            </w:tr>
            <w:tr w14:paraId="56809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4524C7F5">
                  <w:pPr>
                    <w:pStyle w:val="221"/>
                  </w:pPr>
                </w:p>
              </w:tc>
              <w:tc>
                <w:tcPr>
                  <w:tcW w:w="3876" w:type="dxa"/>
                  <w:vAlign w:val="center"/>
                </w:tcPr>
                <w:p w14:paraId="28237F56">
                  <w:pPr>
                    <w:pStyle w:val="221"/>
                  </w:pPr>
                  <w:r>
                    <w:t>橡胶及树脂收集粉尘</w:t>
                  </w:r>
                </w:p>
              </w:tc>
              <w:tc>
                <w:tcPr>
                  <w:tcW w:w="2652" w:type="dxa"/>
                  <w:vAlign w:val="center"/>
                </w:tcPr>
                <w:p w14:paraId="079FBD7F">
                  <w:pPr>
                    <w:pStyle w:val="221"/>
                  </w:pPr>
                  <w:r>
                    <w:t>11.982</w:t>
                  </w:r>
                </w:p>
              </w:tc>
            </w:tr>
            <w:tr w14:paraId="751F0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088A5228">
                  <w:pPr>
                    <w:pStyle w:val="221"/>
                  </w:pPr>
                </w:p>
              </w:tc>
              <w:tc>
                <w:tcPr>
                  <w:tcW w:w="3876" w:type="dxa"/>
                  <w:vAlign w:val="center"/>
                </w:tcPr>
                <w:p w14:paraId="76803B5B">
                  <w:pPr>
                    <w:pStyle w:val="221"/>
                  </w:pPr>
                  <w:r>
                    <w:t>包装废物(包装纸箱、</w:t>
                  </w:r>
                  <w:r>
                    <w:rPr>
                      <w:rFonts w:hint="eastAsia"/>
                    </w:rPr>
                    <w:br w:type="textWrapping"/>
                  </w:r>
                  <w:r>
                    <w:t>包装袋等)</w:t>
                  </w:r>
                </w:p>
              </w:tc>
              <w:tc>
                <w:tcPr>
                  <w:tcW w:w="2652" w:type="dxa"/>
                  <w:vAlign w:val="center"/>
                </w:tcPr>
                <w:p w14:paraId="68DB50EF">
                  <w:pPr>
                    <w:pStyle w:val="221"/>
                  </w:pPr>
                  <w:r>
                    <w:rPr>
                      <w:rFonts w:hint="eastAsia"/>
                    </w:rPr>
                    <w:t xml:space="preserve">0.4 </w:t>
                  </w:r>
                </w:p>
              </w:tc>
            </w:tr>
            <w:tr w14:paraId="03880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698990A0">
                  <w:pPr>
                    <w:pStyle w:val="221"/>
                  </w:pPr>
                </w:p>
              </w:tc>
              <w:tc>
                <w:tcPr>
                  <w:tcW w:w="3876" w:type="dxa"/>
                  <w:vAlign w:val="center"/>
                </w:tcPr>
                <w:p w14:paraId="5FDEE256">
                  <w:pPr>
                    <w:pStyle w:val="221"/>
                  </w:pPr>
                  <w:r>
                    <w:t>回收装置回收的粉末涂料</w:t>
                  </w:r>
                </w:p>
              </w:tc>
              <w:tc>
                <w:tcPr>
                  <w:tcW w:w="2652" w:type="dxa"/>
                  <w:vAlign w:val="center"/>
                </w:tcPr>
                <w:p w14:paraId="629E87AA">
                  <w:pPr>
                    <w:pStyle w:val="221"/>
                  </w:pPr>
                  <w:r>
                    <w:rPr>
                      <w:rFonts w:hint="eastAsia"/>
                    </w:rPr>
                    <w:t xml:space="preserve">1.939 </w:t>
                  </w:r>
                </w:p>
              </w:tc>
            </w:tr>
            <w:tr w14:paraId="0A2E1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restart"/>
                  <w:vAlign w:val="center"/>
                </w:tcPr>
                <w:p w14:paraId="40F5AF4B">
                  <w:pPr>
                    <w:pStyle w:val="221"/>
                  </w:pPr>
                  <w:r>
                    <w:t>危险废物</w:t>
                  </w:r>
                </w:p>
              </w:tc>
              <w:tc>
                <w:tcPr>
                  <w:tcW w:w="3876" w:type="dxa"/>
                  <w:vAlign w:val="center"/>
                </w:tcPr>
                <w:p w14:paraId="1C9B4524">
                  <w:pPr>
                    <w:pStyle w:val="221"/>
                  </w:pPr>
                  <w:r>
                    <w:t>废润滑油</w:t>
                  </w:r>
                </w:p>
              </w:tc>
              <w:tc>
                <w:tcPr>
                  <w:tcW w:w="2652" w:type="dxa"/>
                  <w:vAlign w:val="center"/>
                </w:tcPr>
                <w:p w14:paraId="0AC3BE2D">
                  <w:pPr>
                    <w:pStyle w:val="221"/>
                  </w:pPr>
                  <w:r>
                    <w:t>1.501</w:t>
                  </w:r>
                </w:p>
              </w:tc>
            </w:tr>
            <w:tr w14:paraId="319E2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5069E830">
                  <w:pPr>
                    <w:pStyle w:val="221"/>
                  </w:pPr>
                </w:p>
              </w:tc>
              <w:tc>
                <w:tcPr>
                  <w:tcW w:w="3876" w:type="dxa"/>
                  <w:vAlign w:val="center"/>
                </w:tcPr>
                <w:p w14:paraId="257326E8">
                  <w:pPr>
                    <w:pStyle w:val="221"/>
                  </w:pPr>
                  <w:r>
                    <w:t>废活性炭</w:t>
                  </w:r>
                </w:p>
              </w:tc>
              <w:tc>
                <w:tcPr>
                  <w:tcW w:w="2652" w:type="dxa"/>
                  <w:vAlign w:val="center"/>
                </w:tcPr>
                <w:p w14:paraId="7CFA57B2">
                  <w:pPr>
                    <w:pStyle w:val="221"/>
                  </w:pPr>
                  <w:r>
                    <w:t>11.1312</w:t>
                  </w:r>
                </w:p>
              </w:tc>
            </w:tr>
            <w:tr w14:paraId="44A3D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0752E133">
                  <w:pPr>
                    <w:pStyle w:val="221"/>
                  </w:pPr>
                </w:p>
              </w:tc>
              <w:tc>
                <w:tcPr>
                  <w:tcW w:w="3876" w:type="dxa"/>
                  <w:vAlign w:val="center"/>
                </w:tcPr>
                <w:p w14:paraId="1651195A">
                  <w:pPr>
                    <w:pStyle w:val="221"/>
                  </w:pPr>
                  <w:r>
                    <w:t>废包装桶</w:t>
                  </w:r>
                </w:p>
              </w:tc>
              <w:tc>
                <w:tcPr>
                  <w:tcW w:w="2652" w:type="dxa"/>
                  <w:vAlign w:val="center"/>
                </w:tcPr>
                <w:p w14:paraId="2D6508B7">
                  <w:pPr>
                    <w:pStyle w:val="221"/>
                  </w:pPr>
                  <w:r>
                    <w:rPr>
                      <w:rFonts w:hint="eastAsia"/>
                    </w:rPr>
                    <w:t xml:space="preserve">1.595 </w:t>
                  </w:r>
                </w:p>
              </w:tc>
            </w:tr>
            <w:tr w14:paraId="0DE8A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45AAB13D">
                  <w:pPr>
                    <w:pStyle w:val="221"/>
                  </w:pPr>
                </w:p>
              </w:tc>
              <w:tc>
                <w:tcPr>
                  <w:tcW w:w="3876" w:type="dxa"/>
                  <w:vAlign w:val="center"/>
                </w:tcPr>
                <w:p w14:paraId="11712725">
                  <w:pPr>
                    <w:pStyle w:val="221"/>
                  </w:pPr>
                  <w:r>
                    <w:t>污水处理站污泥</w:t>
                  </w:r>
                </w:p>
              </w:tc>
              <w:tc>
                <w:tcPr>
                  <w:tcW w:w="2652" w:type="dxa"/>
                  <w:vAlign w:val="center"/>
                </w:tcPr>
                <w:p w14:paraId="6926E3AB">
                  <w:pPr>
                    <w:pStyle w:val="221"/>
                  </w:pPr>
                  <w:r>
                    <w:t>5.45</w:t>
                  </w:r>
                </w:p>
              </w:tc>
            </w:tr>
            <w:tr w14:paraId="1D258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1168C3BE">
                  <w:pPr>
                    <w:pStyle w:val="221"/>
                  </w:pPr>
                </w:p>
              </w:tc>
              <w:tc>
                <w:tcPr>
                  <w:tcW w:w="3876" w:type="dxa"/>
                  <w:vAlign w:val="center"/>
                </w:tcPr>
                <w:p w14:paraId="23F8FFB7">
                  <w:pPr>
                    <w:pStyle w:val="221"/>
                  </w:pPr>
                  <w:r>
                    <w:t>定期更换的废液</w:t>
                  </w:r>
                </w:p>
              </w:tc>
              <w:tc>
                <w:tcPr>
                  <w:tcW w:w="2652" w:type="dxa"/>
                  <w:vAlign w:val="center"/>
                </w:tcPr>
                <w:p w14:paraId="4E87A638">
                  <w:pPr>
                    <w:pStyle w:val="221"/>
                  </w:pPr>
                  <w:r>
                    <w:rPr>
                      <w:rFonts w:hint="eastAsia"/>
                    </w:rPr>
                    <w:t xml:space="preserve">14.44 </w:t>
                  </w:r>
                </w:p>
              </w:tc>
            </w:tr>
            <w:tr w14:paraId="12097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6CD76E81">
                  <w:pPr>
                    <w:pStyle w:val="221"/>
                  </w:pPr>
                </w:p>
              </w:tc>
              <w:tc>
                <w:tcPr>
                  <w:tcW w:w="3876" w:type="dxa"/>
                  <w:vAlign w:val="center"/>
                </w:tcPr>
                <w:p w14:paraId="42A355B1">
                  <w:pPr>
                    <w:pStyle w:val="221"/>
                  </w:pPr>
                  <w:r>
                    <w:t>废弃切削油</w:t>
                  </w:r>
                </w:p>
              </w:tc>
              <w:tc>
                <w:tcPr>
                  <w:tcW w:w="2652" w:type="dxa"/>
                  <w:vAlign w:val="center"/>
                </w:tcPr>
                <w:p w14:paraId="7A350625">
                  <w:pPr>
                    <w:pStyle w:val="221"/>
                  </w:pPr>
                  <w:r>
                    <w:t>0.9</w:t>
                  </w:r>
                </w:p>
              </w:tc>
            </w:tr>
            <w:tr w14:paraId="149A5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507DAC17">
                  <w:pPr>
                    <w:pStyle w:val="221"/>
                  </w:pPr>
                </w:p>
              </w:tc>
              <w:tc>
                <w:tcPr>
                  <w:tcW w:w="3876" w:type="dxa"/>
                  <w:vAlign w:val="center"/>
                </w:tcPr>
                <w:p w14:paraId="2E4413EC">
                  <w:pPr>
                    <w:pStyle w:val="221"/>
                  </w:pPr>
                  <w:r>
                    <w:t>废机油</w:t>
                  </w:r>
                </w:p>
              </w:tc>
              <w:tc>
                <w:tcPr>
                  <w:tcW w:w="2652" w:type="dxa"/>
                  <w:vAlign w:val="center"/>
                </w:tcPr>
                <w:p w14:paraId="3904FC05">
                  <w:pPr>
                    <w:pStyle w:val="221"/>
                  </w:pPr>
                  <w:r>
                    <w:t>1.5</w:t>
                  </w:r>
                </w:p>
              </w:tc>
            </w:tr>
            <w:tr w14:paraId="37A7F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037A2C99">
                  <w:pPr>
                    <w:pStyle w:val="221"/>
                  </w:pPr>
                </w:p>
              </w:tc>
              <w:tc>
                <w:tcPr>
                  <w:tcW w:w="3876" w:type="dxa"/>
                  <w:vAlign w:val="center"/>
                </w:tcPr>
                <w:p w14:paraId="0C72DA3C">
                  <w:pPr>
                    <w:pStyle w:val="221"/>
                  </w:pPr>
                  <w:r>
                    <w:t>含油抹布及其他抹布</w:t>
                  </w:r>
                </w:p>
              </w:tc>
              <w:tc>
                <w:tcPr>
                  <w:tcW w:w="2652" w:type="dxa"/>
                  <w:vAlign w:val="center"/>
                </w:tcPr>
                <w:p w14:paraId="71C98ACB">
                  <w:pPr>
                    <w:pStyle w:val="221"/>
                  </w:pPr>
                  <w:r>
                    <w:rPr>
                      <w:rFonts w:hint="eastAsia"/>
                    </w:rPr>
                    <w:t xml:space="preserve">0.13 </w:t>
                  </w:r>
                </w:p>
              </w:tc>
            </w:tr>
            <w:tr w14:paraId="27717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6DBD8A35">
                  <w:pPr>
                    <w:pStyle w:val="221"/>
                  </w:pPr>
                </w:p>
              </w:tc>
              <w:tc>
                <w:tcPr>
                  <w:tcW w:w="3876" w:type="dxa"/>
                  <w:vAlign w:val="center"/>
                </w:tcPr>
                <w:p w14:paraId="44B8251C">
                  <w:pPr>
                    <w:pStyle w:val="221"/>
                  </w:pPr>
                  <w:r>
                    <w:t>漆渣</w:t>
                  </w:r>
                </w:p>
              </w:tc>
              <w:tc>
                <w:tcPr>
                  <w:tcW w:w="2652" w:type="dxa"/>
                  <w:vAlign w:val="center"/>
                </w:tcPr>
                <w:p w14:paraId="300C00CE">
                  <w:pPr>
                    <w:pStyle w:val="221"/>
                  </w:pPr>
                  <w:r>
                    <w:t>0.797</w:t>
                  </w:r>
                </w:p>
              </w:tc>
            </w:tr>
            <w:tr w14:paraId="19FA7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vAlign w:val="center"/>
                </w:tcPr>
                <w:p w14:paraId="6EEA3C5E">
                  <w:pPr>
                    <w:pStyle w:val="221"/>
                  </w:pPr>
                </w:p>
              </w:tc>
              <w:tc>
                <w:tcPr>
                  <w:tcW w:w="3876" w:type="dxa"/>
                  <w:vAlign w:val="center"/>
                </w:tcPr>
                <w:p w14:paraId="003995C0">
                  <w:pPr>
                    <w:pStyle w:val="221"/>
                  </w:pPr>
                  <w:r>
                    <w:t>前处理废渣</w:t>
                  </w:r>
                </w:p>
              </w:tc>
              <w:tc>
                <w:tcPr>
                  <w:tcW w:w="2652" w:type="dxa"/>
                  <w:vAlign w:val="center"/>
                </w:tcPr>
                <w:p w14:paraId="4AA38966">
                  <w:pPr>
                    <w:pStyle w:val="221"/>
                  </w:pPr>
                  <w:r>
                    <w:t>0.4</w:t>
                  </w:r>
                </w:p>
              </w:tc>
            </w:tr>
          </w:tbl>
          <w:p w14:paraId="477DFE99">
            <w:pPr>
              <w:ind w:firstLine="480"/>
              <w:rPr>
                <w:rFonts w:ascii="Times New Roman" w:hAnsi="Times New Roman" w:cs="Times New Roman"/>
                <w:b/>
                <w:bCs/>
                <w:color w:val="000000" w:themeColor="text1"/>
                <w:spacing w:val="-2"/>
                <w14:textFill>
                  <w14:solidFill>
                    <w14:schemeClr w14:val="tx1"/>
                  </w14:solidFill>
                </w14:textFill>
              </w:rPr>
            </w:pPr>
          </w:p>
          <w:p w14:paraId="4FC1833D">
            <w:pPr>
              <w:ind w:firstLine="480"/>
              <w:rPr>
                <w:b/>
                <w:bCs/>
                <w:color w:val="000000" w:themeColor="text1"/>
                <w14:textFill>
                  <w14:solidFill>
                    <w14:schemeClr w14:val="tx1"/>
                  </w14:solidFill>
                </w14:textFill>
              </w:rPr>
            </w:pPr>
            <w:r>
              <w:rPr>
                <w:rFonts w:ascii="Times New Roman" w:hAnsi="Times New Roman" w:eastAsia="Times New Roman" w:cs="Times New Roman"/>
                <w:b/>
                <w:bCs/>
                <w:color w:val="000000" w:themeColor="text1"/>
                <w:spacing w:val="-2"/>
                <w14:textFill>
                  <w14:solidFill>
                    <w14:schemeClr w14:val="tx1"/>
                  </w14:solidFill>
                </w14:textFill>
              </w:rPr>
              <w:t>2.</w:t>
            </w:r>
            <w:r>
              <w:rPr>
                <w:rFonts w:hint="eastAsia" w:ascii="Times New Roman" w:hAnsi="Times New Roman" w:cs="Times New Roman"/>
                <w:b/>
                <w:bCs/>
                <w:color w:val="000000" w:themeColor="text1"/>
                <w:spacing w:val="-2"/>
                <w14:textFill>
                  <w14:solidFill>
                    <w14:schemeClr w14:val="tx1"/>
                  </w14:solidFill>
                </w14:textFill>
              </w:rPr>
              <w:t>3.5</w:t>
            </w:r>
            <w:r>
              <w:rPr>
                <w:rFonts w:ascii="Times New Roman" w:hAnsi="Times New Roman" w:eastAsia="Times New Roman" w:cs="Times New Roman"/>
                <w:b/>
                <w:bCs/>
                <w:color w:val="000000" w:themeColor="text1"/>
                <w:spacing w:val="-2"/>
                <w14:textFill>
                  <w14:solidFill>
                    <w14:schemeClr w14:val="tx1"/>
                  </w14:solidFill>
                </w14:textFill>
              </w:rPr>
              <w:t xml:space="preserve"> </w:t>
            </w:r>
            <w:r>
              <w:rPr>
                <w:rFonts w:ascii="宋体" w:hAnsi="宋体"/>
                <w:b/>
                <w:bCs/>
                <w:color w:val="000000" w:themeColor="text1"/>
                <w14:textFill>
                  <w14:solidFill>
                    <w14:schemeClr w14:val="tx1"/>
                  </w14:solidFill>
                </w14:textFill>
              </w:rPr>
              <w:t>与本项目有关的现有环境问题及整改措施</w:t>
            </w:r>
          </w:p>
          <w:p w14:paraId="14064AEC">
            <w:pPr>
              <w:spacing w:after="0" w:line="360" w:lineRule="auto"/>
              <w:ind w:firstLine="480" w:firstLineChars="200"/>
              <w:jc w:val="both"/>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根据现场踏勘，已建投产项目已经通过环保验收，根据监测数据，污染物可以达标排放，基本落实了环评及批复的相关环保措施，现有项目不存在的需整改的内容，已落实现有工程环评批复中提出的各类环保措施</w:t>
            </w:r>
            <w:r>
              <w:rPr>
                <w:rFonts w:ascii="宋体" w:hAnsi="宋体"/>
                <w:color w:val="000000" w:themeColor="text1"/>
                <w14:textFill>
                  <w14:solidFill>
                    <w14:schemeClr w14:val="tx1"/>
                  </w14:solidFill>
                </w14:textFill>
              </w:rPr>
              <w:t>。</w:t>
            </w:r>
          </w:p>
          <w:p w14:paraId="00DAB9AD">
            <w:pPr>
              <w:spacing w:after="0" w:line="360" w:lineRule="auto"/>
              <w:ind w:firstLine="480" w:firstLineChars="200"/>
              <w:jc w:val="both"/>
              <w:rPr>
                <w:color w:val="000000" w:themeColor="text1"/>
                <w14:textFill>
                  <w14:solidFill>
                    <w14:schemeClr w14:val="tx1"/>
                  </w14:solidFill>
                </w14:textFill>
              </w:rPr>
            </w:pPr>
          </w:p>
          <w:p w14:paraId="13C45ACF">
            <w:pPr>
              <w:spacing w:after="0" w:line="360" w:lineRule="auto"/>
              <w:ind w:firstLine="480" w:firstLineChars="200"/>
              <w:jc w:val="both"/>
              <w:rPr>
                <w:color w:val="000000" w:themeColor="text1"/>
                <w14:textFill>
                  <w14:solidFill>
                    <w14:schemeClr w14:val="tx1"/>
                  </w14:solidFill>
                </w14:textFill>
              </w:rPr>
            </w:pPr>
          </w:p>
          <w:p w14:paraId="457F1758">
            <w:pPr>
              <w:spacing w:after="0" w:line="360" w:lineRule="auto"/>
              <w:jc w:val="both"/>
              <w:rPr>
                <w:color w:val="000000" w:themeColor="text1"/>
                <w14:textFill>
                  <w14:solidFill>
                    <w14:schemeClr w14:val="tx1"/>
                  </w14:solidFill>
                </w14:textFill>
              </w:rPr>
            </w:pPr>
          </w:p>
        </w:tc>
      </w:tr>
    </w:tbl>
    <w:p w14:paraId="72A00731">
      <w:pPr>
        <w:pStyle w:val="225"/>
        <w:ind w:firstLine="480"/>
        <w:rPr>
          <w:snapToGrid w:val="0"/>
        </w:rPr>
      </w:pPr>
    </w:p>
    <w:p w14:paraId="4B116208">
      <w:pPr>
        <w:pStyle w:val="225"/>
        <w:ind w:firstLine="480"/>
        <w:rPr>
          <w:snapToGrid w:val="0"/>
        </w:rPr>
      </w:pPr>
    </w:p>
    <w:p w14:paraId="7B143B13">
      <w:pPr>
        <w:pStyle w:val="225"/>
        <w:ind w:firstLine="480"/>
        <w:rPr>
          <w:snapToGrid w:val="0"/>
        </w:rPr>
      </w:pPr>
    </w:p>
    <w:p w14:paraId="3E3855AF">
      <w:pPr>
        <w:pStyle w:val="225"/>
        <w:ind w:firstLine="480"/>
        <w:rPr>
          <w:snapToGrid w:val="0"/>
        </w:rPr>
      </w:pPr>
    </w:p>
    <w:p w14:paraId="1CCF1DE1">
      <w:pPr>
        <w:pStyle w:val="225"/>
        <w:ind w:firstLine="480"/>
        <w:rPr>
          <w:snapToGrid w:val="0"/>
        </w:rPr>
      </w:pPr>
    </w:p>
    <w:p w14:paraId="58BDEFEF">
      <w:pPr>
        <w:pStyle w:val="225"/>
        <w:ind w:firstLine="480"/>
        <w:rPr>
          <w:snapToGrid w:val="0"/>
        </w:rPr>
      </w:pPr>
    </w:p>
    <w:p w14:paraId="4BD5785B">
      <w:pPr>
        <w:pStyle w:val="225"/>
        <w:ind w:firstLine="480"/>
        <w:rPr>
          <w:snapToGrid w:val="0"/>
        </w:rPr>
      </w:pPr>
    </w:p>
    <w:p w14:paraId="6BEDCE92">
      <w:pPr>
        <w:pStyle w:val="29"/>
        <w:widowControl w:val="0"/>
        <w:topLinePunct/>
        <w:spacing w:before="0" w:beforeAutospacing="0" w:after="0" w:afterAutospacing="0" w:line="360" w:lineRule="auto"/>
        <w:jc w:val="center"/>
        <w:outlineLvl w:val="0"/>
        <w:rPr>
          <w:rFonts w:ascii="Times New Roman" w:hAnsi="Times New Roman" w:eastAsia="宋体" w:cs="Times New Roman"/>
          <w:b/>
          <w:bCs/>
          <w:snapToGrid w:val="0"/>
          <w:color w:val="000000" w:themeColor="text1"/>
          <w:sz w:val="32"/>
          <w:szCs w:val="32"/>
          <w14:textFill>
            <w14:solidFill>
              <w14:schemeClr w14:val="tx1"/>
            </w14:solidFill>
          </w14:textFill>
        </w:rPr>
      </w:pPr>
      <w:r>
        <w:rPr>
          <w:rFonts w:ascii="Times New Roman" w:hAnsi="Times New Roman" w:eastAsia="宋体" w:cs="Times New Roman"/>
          <w:b/>
          <w:bCs/>
          <w:snapToGrid w:val="0"/>
          <w:color w:val="000000" w:themeColor="text1"/>
          <w:sz w:val="32"/>
          <w:szCs w:val="32"/>
          <w14:textFill>
            <w14:solidFill>
              <w14:schemeClr w14:val="tx1"/>
            </w14:solidFill>
          </w14:textFill>
        </w:rPr>
        <w:t>三、区域环境质量现状、环境保护目标及评价标准</w:t>
      </w:r>
      <w:bookmarkEnd w:id="7"/>
      <w:bookmarkEnd w:id="8"/>
    </w:p>
    <w:tbl>
      <w:tblPr>
        <w:tblStyle w:val="37"/>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33"/>
      </w:tblGrid>
      <w:tr w14:paraId="1C80D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56" w:type="dxa"/>
            <w:vAlign w:val="center"/>
          </w:tcPr>
          <w:p w14:paraId="6EE4F2AF">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区域</w:t>
            </w:r>
          </w:p>
          <w:p w14:paraId="6D21A00F">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环境</w:t>
            </w:r>
          </w:p>
          <w:p w14:paraId="5DD09BDD">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质量</w:t>
            </w:r>
          </w:p>
          <w:p w14:paraId="37A4C185">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现状</w:t>
            </w:r>
          </w:p>
        </w:tc>
        <w:tc>
          <w:tcPr>
            <w:tcW w:w="8833" w:type="dxa"/>
            <w:vAlign w:val="center"/>
          </w:tcPr>
          <w:p w14:paraId="3A825834">
            <w:pPr>
              <w:widowControl w:val="0"/>
              <w:topLinePunct/>
              <w:spacing w:after="0" w:line="360" w:lineRule="auto"/>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3.1 区域环境质量现状</w:t>
            </w:r>
          </w:p>
          <w:p w14:paraId="5218ACF9">
            <w:pPr>
              <w:widowControl w:val="0"/>
              <w:topLinePunct/>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 xml:space="preserve">3.1.1 </w:t>
            </w:r>
            <w:r>
              <w:rPr>
                <w:rFonts w:hint="eastAsia" w:ascii="Times New Roman" w:hAnsi="Times New Roman" w:eastAsia="宋体" w:cs="Times New Roman"/>
                <w:b/>
                <w:bCs/>
                <w:color w:val="000000" w:themeColor="text1"/>
                <w:szCs w:val="24"/>
                <w14:textFill>
                  <w14:solidFill>
                    <w14:schemeClr w14:val="tx1"/>
                  </w14:solidFill>
                </w14:textFill>
              </w:rPr>
              <w:t>空气环境</w:t>
            </w:r>
            <w:r>
              <w:rPr>
                <w:rFonts w:ascii="Times New Roman" w:hAnsi="Times New Roman" w:eastAsia="宋体" w:cs="Times New Roman"/>
                <w:b/>
                <w:bCs/>
                <w:color w:val="000000" w:themeColor="text1"/>
                <w:szCs w:val="24"/>
                <w14:textFill>
                  <w14:solidFill>
                    <w14:schemeClr w14:val="tx1"/>
                  </w14:solidFill>
                </w14:textFill>
              </w:rPr>
              <w:t>质量现状</w:t>
            </w:r>
          </w:p>
          <w:p w14:paraId="05675C14">
            <w:pPr>
              <w:pStyle w:val="225"/>
              <w:ind w:firstLine="480"/>
            </w:pPr>
            <w:r>
              <w:rPr>
                <w:rFonts w:hint="eastAsia"/>
              </w:rPr>
              <w:t>（1）常规污染因子</w:t>
            </w:r>
          </w:p>
          <w:p w14:paraId="029C16FC">
            <w:pPr>
              <w:pStyle w:val="225"/>
              <w:ind w:firstLine="480"/>
              <w:rPr>
                <w:rStyle w:val="44"/>
                <w:color w:val="000000" w:themeColor="text1"/>
                <w:szCs w:val="20"/>
                <w14:textFill>
                  <w14:solidFill>
                    <w14:schemeClr w14:val="tx1"/>
                  </w14:solidFill>
                </w14:textFill>
              </w:rPr>
            </w:pPr>
            <w:r>
              <w:t>根据福州市福清生态环境局发布的202</w:t>
            </w:r>
            <w:r>
              <w:rPr>
                <w:rFonts w:hint="eastAsia"/>
              </w:rPr>
              <w:t>4</w:t>
            </w:r>
            <w:r>
              <w:t>年1月至202</w:t>
            </w:r>
            <w:r>
              <w:rPr>
                <w:rFonts w:hint="eastAsia"/>
              </w:rPr>
              <w:t>4</w:t>
            </w:r>
            <w:r>
              <w:t>年12月空气质量月报数据，详见表3.1-1，空气环境中SO</w:t>
            </w:r>
            <w:r>
              <w:rPr>
                <w:vertAlign w:val="subscript"/>
              </w:rPr>
              <w:t>2</w:t>
            </w:r>
            <w:r>
              <w:t>、NO</w:t>
            </w:r>
            <w:r>
              <w:rPr>
                <w:vertAlign w:val="subscript"/>
              </w:rPr>
              <w:t>2</w:t>
            </w:r>
            <w:r>
              <w:t>、PM</w:t>
            </w:r>
            <w:r>
              <w:rPr>
                <w:vertAlign w:val="subscript"/>
              </w:rPr>
              <w:t>10</w:t>
            </w:r>
            <w:r>
              <w:t>和PM</w:t>
            </w:r>
            <w:r>
              <w:rPr>
                <w:vertAlign w:val="subscript"/>
              </w:rPr>
              <w:t>2.5</w:t>
            </w:r>
            <w:r>
              <w:t>均未超过国家二级标准，CO日均值第95百分数和O</w:t>
            </w:r>
            <w:r>
              <w:rPr>
                <w:vertAlign w:val="subscript"/>
              </w:rPr>
              <w:t>3</w:t>
            </w:r>
            <w:r>
              <w:t>最大8小时值第90百分数未超过国家二级标准。</w:t>
            </w:r>
            <w:r>
              <w:rPr>
                <w:rFonts w:hint="eastAsia"/>
              </w:rPr>
              <w:t>福清市环境空气质量属于达标区。</w:t>
            </w:r>
          </w:p>
          <w:p w14:paraId="7E276179">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表3.1-1  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年福清市空气质量月报数据</w:t>
            </w:r>
          </w:p>
          <w:tbl>
            <w:tblPr>
              <w:tblStyle w:val="226"/>
              <w:tblW w:w="86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142"/>
              <w:gridCol w:w="1142"/>
              <w:gridCol w:w="1142"/>
              <w:gridCol w:w="1578"/>
              <w:gridCol w:w="1090"/>
              <w:gridCol w:w="1147"/>
            </w:tblGrid>
            <w:tr w14:paraId="6E003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179CA54F">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时间</w:t>
                  </w:r>
                </w:p>
              </w:tc>
              <w:tc>
                <w:tcPr>
                  <w:tcW w:w="1142" w:type="dxa"/>
                  <w:vAlign w:val="center"/>
                </w:tcPr>
                <w:p w14:paraId="04B83000">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SO</w:t>
                  </w:r>
                  <w:r>
                    <w:rPr>
                      <w:rFonts w:ascii="Times New Roman" w:hAnsi="Times New Roman" w:eastAsia="宋体" w:cs="Times New Roman"/>
                      <w:color w:val="000000" w:themeColor="text1"/>
                      <w:sz w:val="21"/>
                      <w:szCs w:val="21"/>
                      <w:vertAlign w:val="subscript"/>
                      <w14:textFill>
                        <w14:solidFill>
                          <w14:schemeClr w14:val="tx1"/>
                        </w14:solidFill>
                      </w14:textFill>
                    </w:rPr>
                    <w:t>2</w:t>
                  </w:r>
                </w:p>
                <w:p w14:paraId="43634B10">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（mg/m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w:t>
                  </w:r>
                </w:p>
              </w:tc>
              <w:tc>
                <w:tcPr>
                  <w:tcW w:w="1142" w:type="dxa"/>
                  <w:vAlign w:val="center"/>
                </w:tcPr>
                <w:p w14:paraId="39C8AA6C">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NO</w:t>
                  </w:r>
                  <w:r>
                    <w:rPr>
                      <w:rFonts w:ascii="Times New Roman" w:hAnsi="Times New Roman" w:eastAsia="宋体" w:cs="Times New Roman"/>
                      <w:color w:val="000000" w:themeColor="text1"/>
                      <w:sz w:val="21"/>
                      <w:szCs w:val="21"/>
                      <w:vertAlign w:val="subscript"/>
                      <w14:textFill>
                        <w14:solidFill>
                          <w14:schemeClr w14:val="tx1"/>
                        </w14:solidFill>
                      </w14:textFill>
                    </w:rPr>
                    <w:t>2</w:t>
                  </w:r>
                </w:p>
                <w:p w14:paraId="2037CB8E">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（mg/m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w:t>
                  </w:r>
                </w:p>
              </w:tc>
              <w:tc>
                <w:tcPr>
                  <w:tcW w:w="1142" w:type="dxa"/>
                  <w:vAlign w:val="center"/>
                </w:tcPr>
                <w:p w14:paraId="280543E0">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PM</w:t>
                  </w:r>
                  <w:r>
                    <w:rPr>
                      <w:rFonts w:ascii="Times New Roman" w:hAnsi="Times New Roman" w:eastAsia="宋体" w:cs="Times New Roman"/>
                      <w:color w:val="000000" w:themeColor="text1"/>
                      <w:sz w:val="21"/>
                      <w:szCs w:val="21"/>
                      <w:vertAlign w:val="subscript"/>
                      <w14:textFill>
                        <w14:solidFill>
                          <w14:schemeClr w14:val="tx1"/>
                        </w14:solidFill>
                      </w14:textFill>
                    </w:rPr>
                    <w:t>10</w:t>
                  </w:r>
                </w:p>
                <w:p w14:paraId="0F444C74">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（mg/m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w:t>
                  </w:r>
                </w:p>
              </w:tc>
              <w:tc>
                <w:tcPr>
                  <w:tcW w:w="1578" w:type="dxa"/>
                  <w:vAlign w:val="center"/>
                </w:tcPr>
                <w:p w14:paraId="12C383FB">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PM</w:t>
                  </w:r>
                  <w:r>
                    <w:rPr>
                      <w:rFonts w:ascii="Times New Roman" w:hAnsi="Times New Roman" w:eastAsia="宋体" w:cs="Times New Roman"/>
                      <w:color w:val="000000" w:themeColor="text1"/>
                      <w:sz w:val="21"/>
                      <w:szCs w:val="21"/>
                      <w:vertAlign w:val="subscript"/>
                      <w14:textFill>
                        <w14:solidFill>
                          <w14:schemeClr w14:val="tx1"/>
                        </w14:solidFill>
                      </w14:textFill>
                    </w:rPr>
                    <w:t>2.5</w:t>
                  </w:r>
                  <w:r>
                    <w:rPr>
                      <w:rFonts w:ascii="Times New Roman" w:hAnsi="Times New Roman" w:eastAsia="宋体" w:cs="Times New Roman"/>
                      <w:color w:val="000000" w:themeColor="text1"/>
                      <w:sz w:val="21"/>
                      <w:szCs w:val="21"/>
                      <w14:textFill>
                        <w14:solidFill>
                          <w14:schemeClr w14:val="tx1"/>
                        </w14:solidFill>
                      </w14:textFill>
                    </w:rPr>
                    <w:t>（mg/m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w:t>
                  </w:r>
                </w:p>
              </w:tc>
              <w:tc>
                <w:tcPr>
                  <w:tcW w:w="1090" w:type="dxa"/>
                  <w:vAlign w:val="center"/>
                </w:tcPr>
                <w:p w14:paraId="68D4EEE2">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CO</w:t>
                  </w:r>
                </w:p>
                <w:p w14:paraId="4215C8D8">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（mg/m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w:t>
                  </w:r>
                </w:p>
              </w:tc>
              <w:tc>
                <w:tcPr>
                  <w:tcW w:w="1147" w:type="dxa"/>
                  <w:vAlign w:val="center"/>
                </w:tcPr>
                <w:p w14:paraId="4450015F">
                  <w:pPr>
                    <w:widowControl w:val="0"/>
                    <w:topLinePunct/>
                    <w:spacing w:after="0" w:line="240" w:lineRule="auto"/>
                    <w:jc w:val="center"/>
                    <w:rPr>
                      <w:rFonts w:ascii="Times New Roman" w:hAnsi="Times New Roman" w:eastAsia="宋体" w:cs="Times New Roman"/>
                      <w:color w:val="000000" w:themeColor="text1"/>
                      <w:sz w:val="21"/>
                      <w:szCs w:val="21"/>
                      <w:vertAlign w:val="subscript"/>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O</w:t>
                  </w:r>
                  <w:r>
                    <w:rPr>
                      <w:rFonts w:ascii="Times New Roman" w:hAnsi="Times New Roman" w:eastAsia="宋体" w:cs="Times New Roman"/>
                      <w:color w:val="000000" w:themeColor="text1"/>
                      <w:sz w:val="21"/>
                      <w:szCs w:val="21"/>
                      <w:vertAlign w:val="subscript"/>
                      <w14:textFill>
                        <w14:solidFill>
                          <w14:schemeClr w14:val="tx1"/>
                        </w14:solidFill>
                      </w14:textFill>
                    </w:rPr>
                    <w:t>3</w:t>
                  </w:r>
                </w:p>
                <w:p w14:paraId="525D3357">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（mg/m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w:t>
                  </w:r>
                </w:p>
              </w:tc>
            </w:tr>
            <w:tr w14:paraId="42211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29C2E4DB">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年1月</w:t>
                  </w:r>
                </w:p>
              </w:tc>
              <w:tc>
                <w:tcPr>
                  <w:tcW w:w="1142" w:type="dxa"/>
                  <w:vAlign w:val="center"/>
                </w:tcPr>
                <w:p w14:paraId="32B4344E">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0.003</w:t>
                  </w:r>
                </w:p>
              </w:tc>
              <w:tc>
                <w:tcPr>
                  <w:tcW w:w="1142" w:type="dxa"/>
                  <w:vAlign w:val="center"/>
                </w:tcPr>
                <w:p w14:paraId="65522AF0">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0.022</w:t>
                  </w:r>
                </w:p>
              </w:tc>
              <w:tc>
                <w:tcPr>
                  <w:tcW w:w="1142" w:type="dxa"/>
                  <w:vAlign w:val="center"/>
                </w:tcPr>
                <w:p w14:paraId="1CDCF5D7">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0.048</w:t>
                  </w:r>
                </w:p>
              </w:tc>
              <w:tc>
                <w:tcPr>
                  <w:tcW w:w="1578" w:type="dxa"/>
                  <w:vAlign w:val="center"/>
                </w:tcPr>
                <w:p w14:paraId="4C6EE717">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0.030</w:t>
                  </w:r>
                </w:p>
              </w:tc>
              <w:tc>
                <w:tcPr>
                  <w:tcW w:w="1090" w:type="dxa"/>
                  <w:vAlign w:val="center"/>
                </w:tcPr>
                <w:p w14:paraId="6B6EC3C5">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0.9</w:t>
                  </w:r>
                </w:p>
              </w:tc>
              <w:tc>
                <w:tcPr>
                  <w:tcW w:w="1147" w:type="dxa"/>
                  <w:vAlign w:val="center"/>
                </w:tcPr>
                <w:p w14:paraId="61309D38">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0.110</w:t>
                  </w:r>
                </w:p>
              </w:tc>
            </w:tr>
            <w:tr w14:paraId="21658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6D433DC">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2024年2月</w:t>
                  </w:r>
                </w:p>
              </w:tc>
              <w:tc>
                <w:tcPr>
                  <w:tcW w:w="1142" w:type="dxa"/>
                  <w:vAlign w:val="center"/>
                </w:tcPr>
                <w:p w14:paraId="3DE6DFFD">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w:t>
                  </w: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1142" w:type="dxa"/>
                  <w:vAlign w:val="center"/>
                </w:tcPr>
                <w:p w14:paraId="354B5AA9">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w:t>
                  </w:r>
                  <w:r>
                    <w:rPr>
                      <w:rFonts w:hint="eastAsia" w:ascii="Times New Roman" w:hAnsi="Times New Roman" w:eastAsia="宋体" w:cs="Times New Roman"/>
                      <w:color w:val="000000" w:themeColor="text1"/>
                      <w:sz w:val="21"/>
                      <w:szCs w:val="21"/>
                      <w14:textFill>
                        <w14:solidFill>
                          <w14:schemeClr w14:val="tx1"/>
                        </w14:solidFill>
                      </w14:textFill>
                    </w:rPr>
                    <w:t>09</w:t>
                  </w:r>
                </w:p>
              </w:tc>
              <w:tc>
                <w:tcPr>
                  <w:tcW w:w="1142" w:type="dxa"/>
                  <w:vAlign w:val="center"/>
                </w:tcPr>
                <w:p w14:paraId="6B873AAF">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0.038</w:t>
                  </w:r>
                </w:p>
              </w:tc>
              <w:tc>
                <w:tcPr>
                  <w:tcW w:w="1578" w:type="dxa"/>
                  <w:vAlign w:val="center"/>
                </w:tcPr>
                <w:p w14:paraId="7CEEF4C8">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0.023</w:t>
                  </w:r>
                </w:p>
              </w:tc>
              <w:tc>
                <w:tcPr>
                  <w:tcW w:w="1090" w:type="dxa"/>
                  <w:vAlign w:val="center"/>
                </w:tcPr>
                <w:p w14:paraId="63F94984">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1.2</w:t>
                  </w:r>
                </w:p>
              </w:tc>
              <w:tc>
                <w:tcPr>
                  <w:tcW w:w="1147" w:type="dxa"/>
                  <w:vAlign w:val="center"/>
                </w:tcPr>
                <w:p w14:paraId="2ECC43DE">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0.112</w:t>
                  </w:r>
                </w:p>
              </w:tc>
            </w:tr>
            <w:tr w14:paraId="69408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01134EDF">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2024年3月</w:t>
                  </w:r>
                </w:p>
              </w:tc>
              <w:tc>
                <w:tcPr>
                  <w:tcW w:w="1142" w:type="dxa"/>
                  <w:vAlign w:val="center"/>
                </w:tcPr>
                <w:p w14:paraId="59E0B81E">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w:t>
                  </w: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1142" w:type="dxa"/>
                  <w:vAlign w:val="center"/>
                </w:tcPr>
                <w:p w14:paraId="43A2340C">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w:t>
                  </w:r>
                  <w:r>
                    <w:rPr>
                      <w:rFonts w:hint="eastAsia" w:ascii="Times New Roman" w:hAnsi="Times New Roman" w:eastAsia="宋体" w:cs="Times New Roman"/>
                      <w:color w:val="000000" w:themeColor="text1"/>
                      <w:sz w:val="21"/>
                      <w:szCs w:val="21"/>
                      <w14:textFill>
                        <w14:solidFill>
                          <w14:schemeClr w14:val="tx1"/>
                        </w14:solidFill>
                      </w14:textFill>
                    </w:rPr>
                    <w:t>18</w:t>
                  </w:r>
                </w:p>
              </w:tc>
              <w:tc>
                <w:tcPr>
                  <w:tcW w:w="1142" w:type="dxa"/>
                  <w:vAlign w:val="center"/>
                </w:tcPr>
                <w:p w14:paraId="2CED92BA">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w:t>
                  </w:r>
                  <w:r>
                    <w:rPr>
                      <w:rFonts w:hint="eastAsia" w:ascii="Times New Roman" w:hAnsi="Times New Roman" w:eastAsia="宋体" w:cs="Times New Roman"/>
                      <w:color w:val="000000" w:themeColor="text1"/>
                      <w:sz w:val="21"/>
                      <w:szCs w:val="21"/>
                      <w14:textFill>
                        <w14:solidFill>
                          <w14:schemeClr w14:val="tx1"/>
                        </w14:solidFill>
                      </w14:textFill>
                    </w:rPr>
                    <w:t>50</w:t>
                  </w:r>
                </w:p>
              </w:tc>
              <w:tc>
                <w:tcPr>
                  <w:tcW w:w="1578" w:type="dxa"/>
                  <w:vAlign w:val="center"/>
                </w:tcPr>
                <w:p w14:paraId="4102DEC2">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0.02</w:t>
                  </w: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1090" w:type="dxa"/>
                  <w:vAlign w:val="center"/>
                </w:tcPr>
                <w:p w14:paraId="31E8A4FD">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w:t>
                  </w:r>
                </w:p>
              </w:tc>
              <w:tc>
                <w:tcPr>
                  <w:tcW w:w="1147" w:type="dxa"/>
                  <w:vAlign w:val="center"/>
                </w:tcPr>
                <w:p w14:paraId="3178A401">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14:textFill>
                        <w14:solidFill>
                          <w14:schemeClr w14:val="tx1"/>
                        </w14:solidFill>
                      </w14:textFill>
                    </w:rPr>
                    <w:t>121</w:t>
                  </w:r>
                </w:p>
              </w:tc>
            </w:tr>
            <w:tr w14:paraId="4BE08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7C860A4">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2024年4月</w:t>
                  </w:r>
                </w:p>
              </w:tc>
              <w:tc>
                <w:tcPr>
                  <w:tcW w:w="1142" w:type="dxa"/>
                  <w:vAlign w:val="center"/>
                </w:tcPr>
                <w:p w14:paraId="33F32318">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0.003</w:t>
                  </w:r>
                </w:p>
              </w:tc>
              <w:tc>
                <w:tcPr>
                  <w:tcW w:w="1142" w:type="dxa"/>
                  <w:vAlign w:val="center"/>
                </w:tcPr>
                <w:p w14:paraId="14BE4A66">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0.01</w:t>
                  </w:r>
                  <w:r>
                    <w:rPr>
                      <w:rFonts w:hint="eastAsia" w:ascii="Times New Roman" w:hAnsi="Times New Roman" w:eastAsia="宋体" w:cs="Times New Roman"/>
                      <w:color w:val="000000" w:themeColor="text1"/>
                      <w:sz w:val="21"/>
                      <w:szCs w:val="21"/>
                      <w14:textFill>
                        <w14:solidFill>
                          <w14:schemeClr w14:val="tx1"/>
                        </w14:solidFill>
                      </w14:textFill>
                    </w:rPr>
                    <w:t>6</w:t>
                  </w:r>
                </w:p>
              </w:tc>
              <w:tc>
                <w:tcPr>
                  <w:tcW w:w="1142" w:type="dxa"/>
                  <w:vAlign w:val="center"/>
                </w:tcPr>
                <w:p w14:paraId="46A3015B">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0.04</w:t>
                  </w: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1578" w:type="dxa"/>
                  <w:vAlign w:val="center"/>
                </w:tcPr>
                <w:p w14:paraId="35CE1320">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0.020</w:t>
                  </w:r>
                </w:p>
              </w:tc>
              <w:tc>
                <w:tcPr>
                  <w:tcW w:w="1090" w:type="dxa"/>
                  <w:vAlign w:val="center"/>
                </w:tcPr>
                <w:p w14:paraId="4C7EAD6C">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14:textFill>
                        <w14:solidFill>
                          <w14:schemeClr w14:val="tx1"/>
                        </w14:solidFill>
                      </w14:textFill>
                    </w:rPr>
                    <w:t>8</w:t>
                  </w:r>
                </w:p>
              </w:tc>
              <w:tc>
                <w:tcPr>
                  <w:tcW w:w="1147" w:type="dxa"/>
                  <w:vAlign w:val="center"/>
                </w:tcPr>
                <w:p w14:paraId="5110174F">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w:t>
                  </w:r>
                  <w:r>
                    <w:rPr>
                      <w:rFonts w:hint="eastAsia" w:ascii="Times New Roman" w:hAnsi="Times New Roman" w:eastAsia="宋体" w:cs="Times New Roman"/>
                      <w:color w:val="000000" w:themeColor="text1"/>
                      <w:sz w:val="21"/>
                      <w:szCs w:val="21"/>
                      <w14:textFill>
                        <w14:solidFill>
                          <w14:schemeClr w14:val="tx1"/>
                        </w14:solidFill>
                      </w14:textFill>
                    </w:rPr>
                    <w:t>22</w:t>
                  </w:r>
                </w:p>
              </w:tc>
            </w:tr>
            <w:tr w14:paraId="6A6B4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2DAF6EEC">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2024年5月</w:t>
                  </w:r>
                </w:p>
              </w:tc>
              <w:tc>
                <w:tcPr>
                  <w:tcW w:w="1142" w:type="dxa"/>
                  <w:vAlign w:val="center"/>
                </w:tcPr>
                <w:p w14:paraId="6591725A">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0.002</w:t>
                  </w:r>
                </w:p>
              </w:tc>
              <w:tc>
                <w:tcPr>
                  <w:tcW w:w="1142" w:type="dxa"/>
                  <w:vAlign w:val="center"/>
                </w:tcPr>
                <w:p w14:paraId="56013E38">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0.01</w:t>
                  </w: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1142" w:type="dxa"/>
                  <w:vAlign w:val="center"/>
                </w:tcPr>
                <w:p w14:paraId="3E33A14C">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w:t>
                  </w:r>
                  <w:r>
                    <w:rPr>
                      <w:rFonts w:hint="eastAsia" w:ascii="Times New Roman" w:hAnsi="Times New Roman" w:eastAsia="宋体" w:cs="Times New Roman"/>
                      <w:color w:val="000000" w:themeColor="text1"/>
                      <w:sz w:val="21"/>
                      <w:szCs w:val="21"/>
                      <w14:textFill>
                        <w14:solidFill>
                          <w14:schemeClr w14:val="tx1"/>
                        </w14:solidFill>
                      </w14:textFill>
                    </w:rPr>
                    <w:t>28</w:t>
                  </w:r>
                </w:p>
              </w:tc>
              <w:tc>
                <w:tcPr>
                  <w:tcW w:w="1578" w:type="dxa"/>
                  <w:vAlign w:val="center"/>
                </w:tcPr>
                <w:p w14:paraId="5F23288B">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0.01</w:t>
                  </w: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1090" w:type="dxa"/>
                  <w:vAlign w:val="center"/>
                </w:tcPr>
                <w:p w14:paraId="0ADA8D46">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14:textFill>
                        <w14:solidFill>
                          <w14:schemeClr w14:val="tx1"/>
                        </w14:solidFill>
                      </w14:textFill>
                    </w:rPr>
                    <w:t>6</w:t>
                  </w:r>
                </w:p>
              </w:tc>
              <w:tc>
                <w:tcPr>
                  <w:tcW w:w="1147" w:type="dxa"/>
                  <w:vAlign w:val="center"/>
                </w:tcPr>
                <w:p w14:paraId="675E723A">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0.13</w:t>
                  </w:r>
                  <w:r>
                    <w:rPr>
                      <w:rFonts w:hint="eastAsia" w:ascii="Times New Roman" w:hAnsi="Times New Roman" w:eastAsia="宋体" w:cs="Times New Roman"/>
                      <w:color w:val="000000" w:themeColor="text1"/>
                      <w:sz w:val="21"/>
                      <w:szCs w:val="21"/>
                      <w14:textFill>
                        <w14:solidFill>
                          <w14:schemeClr w14:val="tx1"/>
                        </w14:solidFill>
                      </w14:textFill>
                    </w:rPr>
                    <w:t>0</w:t>
                  </w:r>
                </w:p>
              </w:tc>
            </w:tr>
            <w:tr w14:paraId="276FB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8318BB3">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2024年6月</w:t>
                  </w:r>
                </w:p>
              </w:tc>
              <w:tc>
                <w:tcPr>
                  <w:tcW w:w="1142" w:type="dxa"/>
                  <w:vAlign w:val="center"/>
                </w:tcPr>
                <w:p w14:paraId="5B4EFBC2">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0.002</w:t>
                  </w:r>
                </w:p>
              </w:tc>
              <w:tc>
                <w:tcPr>
                  <w:tcW w:w="1142" w:type="dxa"/>
                  <w:vAlign w:val="center"/>
                </w:tcPr>
                <w:p w14:paraId="1C511B59">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0.01</w:t>
                  </w: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142" w:type="dxa"/>
                  <w:vAlign w:val="center"/>
                </w:tcPr>
                <w:p w14:paraId="4FDEC73E">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0.02</w:t>
                  </w: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1578" w:type="dxa"/>
                  <w:vAlign w:val="center"/>
                </w:tcPr>
                <w:p w14:paraId="52EC69A2">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w:t>
                  </w:r>
                  <w:r>
                    <w:rPr>
                      <w:rFonts w:hint="eastAsia" w:ascii="Times New Roman" w:hAnsi="Times New Roman" w:eastAsia="宋体" w:cs="Times New Roman"/>
                      <w:color w:val="000000" w:themeColor="text1"/>
                      <w:sz w:val="21"/>
                      <w:szCs w:val="21"/>
                      <w14:textFill>
                        <w14:solidFill>
                          <w14:schemeClr w14:val="tx1"/>
                        </w14:solidFill>
                      </w14:textFill>
                    </w:rPr>
                    <w:t>09</w:t>
                  </w:r>
                </w:p>
              </w:tc>
              <w:tc>
                <w:tcPr>
                  <w:tcW w:w="1090" w:type="dxa"/>
                  <w:vAlign w:val="center"/>
                </w:tcPr>
                <w:p w14:paraId="3D1F8EC6">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0.6</w:t>
                  </w:r>
                </w:p>
              </w:tc>
              <w:tc>
                <w:tcPr>
                  <w:tcW w:w="1147" w:type="dxa"/>
                  <w:vAlign w:val="center"/>
                </w:tcPr>
                <w:p w14:paraId="428C1ECD">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w:t>
                  </w:r>
                  <w:r>
                    <w:rPr>
                      <w:rFonts w:hint="eastAsia" w:ascii="Times New Roman" w:hAnsi="Times New Roman" w:eastAsia="宋体" w:cs="Times New Roman"/>
                      <w:color w:val="000000" w:themeColor="text1"/>
                      <w:sz w:val="21"/>
                      <w:szCs w:val="21"/>
                      <w14:textFill>
                        <w14:solidFill>
                          <w14:schemeClr w14:val="tx1"/>
                        </w14:solidFill>
                      </w14:textFill>
                    </w:rPr>
                    <w:t>12</w:t>
                  </w:r>
                </w:p>
              </w:tc>
            </w:tr>
            <w:tr w14:paraId="2356E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6A6C9B40">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2024年7月</w:t>
                  </w:r>
                </w:p>
              </w:tc>
              <w:tc>
                <w:tcPr>
                  <w:tcW w:w="1142" w:type="dxa"/>
                  <w:vAlign w:val="center"/>
                </w:tcPr>
                <w:p w14:paraId="005F11D9">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0.002</w:t>
                  </w:r>
                </w:p>
              </w:tc>
              <w:tc>
                <w:tcPr>
                  <w:tcW w:w="1142" w:type="dxa"/>
                  <w:vAlign w:val="center"/>
                </w:tcPr>
                <w:p w14:paraId="44B5124F">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0.008</w:t>
                  </w:r>
                </w:p>
              </w:tc>
              <w:tc>
                <w:tcPr>
                  <w:tcW w:w="1142" w:type="dxa"/>
                  <w:vAlign w:val="center"/>
                </w:tcPr>
                <w:p w14:paraId="245CA6C6">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14:textFill>
                        <w14:solidFill>
                          <w14:schemeClr w14:val="tx1"/>
                        </w14:solidFill>
                      </w14:textFill>
                    </w:rPr>
                    <w:t>020</w:t>
                  </w:r>
                </w:p>
              </w:tc>
              <w:tc>
                <w:tcPr>
                  <w:tcW w:w="1578" w:type="dxa"/>
                  <w:vAlign w:val="center"/>
                </w:tcPr>
                <w:p w14:paraId="6A35D499">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0.010</w:t>
                  </w:r>
                </w:p>
              </w:tc>
              <w:tc>
                <w:tcPr>
                  <w:tcW w:w="1090" w:type="dxa"/>
                  <w:vAlign w:val="center"/>
                </w:tcPr>
                <w:p w14:paraId="71142B54">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1147" w:type="dxa"/>
                  <w:vAlign w:val="center"/>
                </w:tcPr>
                <w:p w14:paraId="4B9BB941">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w:t>
                  </w:r>
                  <w:r>
                    <w:rPr>
                      <w:rFonts w:hint="eastAsia" w:ascii="Times New Roman" w:hAnsi="Times New Roman" w:eastAsia="宋体" w:cs="Times New Roman"/>
                      <w:color w:val="000000" w:themeColor="text1"/>
                      <w:sz w:val="21"/>
                      <w:szCs w:val="21"/>
                      <w14:textFill>
                        <w14:solidFill>
                          <w14:schemeClr w14:val="tx1"/>
                        </w14:solidFill>
                      </w14:textFill>
                    </w:rPr>
                    <w:t>0</w:t>
                  </w:r>
                  <w:r>
                    <w:rPr>
                      <w:rFonts w:ascii="Times New Roman" w:hAnsi="Times New Roman" w:eastAsia="宋体" w:cs="Times New Roman"/>
                      <w:color w:val="000000" w:themeColor="text1"/>
                      <w:sz w:val="21"/>
                      <w:szCs w:val="21"/>
                      <w14:textFill>
                        <w14:solidFill>
                          <w14:schemeClr w14:val="tx1"/>
                        </w14:solidFill>
                      </w14:textFill>
                    </w:rPr>
                    <w:t>8</w:t>
                  </w:r>
                </w:p>
              </w:tc>
            </w:tr>
            <w:tr w14:paraId="49D82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73CDC730">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2024年8月</w:t>
                  </w:r>
                </w:p>
              </w:tc>
              <w:tc>
                <w:tcPr>
                  <w:tcW w:w="1142" w:type="dxa"/>
                  <w:vAlign w:val="center"/>
                </w:tcPr>
                <w:p w14:paraId="00710B39">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w:t>
                  </w: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1142" w:type="dxa"/>
                  <w:vAlign w:val="center"/>
                </w:tcPr>
                <w:p w14:paraId="3175CD73">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w:t>
                  </w:r>
                  <w:r>
                    <w:rPr>
                      <w:rFonts w:hint="eastAsia" w:ascii="Times New Roman" w:hAnsi="Times New Roman" w:eastAsia="宋体" w:cs="Times New Roman"/>
                      <w:color w:val="000000" w:themeColor="text1"/>
                      <w:sz w:val="21"/>
                      <w:szCs w:val="21"/>
                      <w14:textFill>
                        <w14:solidFill>
                          <w14:schemeClr w14:val="tx1"/>
                        </w14:solidFill>
                      </w14:textFill>
                    </w:rPr>
                    <w:t>09</w:t>
                  </w:r>
                </w:p>
              </w:tc>
              <w:tc>
                <w:tcPr>
                  <w:tcW w:w="1142" w:type="dxa"/>
                  <w:vAlign w:val="center"/>
                </w:tcPr>
                <w:p w14:paraId="477E9449">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w:t>
                  </w:r>
                  <w:r>
                    <w:rPr>
                      <w:rFonts w:hint="eastAsia" w:ascii="Times New Roman" w:hAnsi="Times New Roman" w:eastAsia="宋体" w:cs="Times New Roman"/>
                      <w:color w:val="000000" w:themeColor="text1"/>
                      <w:sz w:val="21"/>
                      <w:szCs w:val="21"/>
                      <w14:textFill>
                        <w14:solidFill>
                          <w14:schemeClr w14:val="tx1"/>
                        </w14:solidFill>
                      </w14:textFill>
                    </w:rPr>
                    <w:t>32</w:t>
                  </w:r>
                </w:p>
              </w:tc>
              <w:tc>
                <w:tcPr>
                  <w:tcW w:w="1578" w:type="dxa"/>
                  <w:vAlign w:val="center"/>
                </w:tcPr>
                <w:p w14:paraId="3DBE19DE">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0.01</w:t>
                  </w:r>
                  <w:r>
                    <w:rPr>
                      <w:rFonts w:hint="eastAsia" w:ascii="Times New Roman" w:hAnsi="Times New Roman" w:eastAsia="宋体" w:cs="Times New Roman"/>
                      <w:color w:val="000000" w:themeColor="text1"/>
                      <w:sz w:val="21"/>
                      <w:szCs w:val="21"/>
                      <w14:textFill>
                        <w14:solidFill>
                          <w14:schemeClr w14:val="tx1"/>
                        </w14:solidFill>
                      </w14:textFill>
                    </w:rPr>
                    <w:t>7</w:t>
                  </w:r>
                </w:p>
              </w:tc>
              <w:tc>
                <w:tcPr>
                  <w:tcW w:w="1090" w:type="dxa"/>
                  <w:vAlign w:val="center"/>
                </w:tcPr>
                <w:p w14:paraId="327E67AD">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0.5</w:t>
                  </w:r>
                </w:p>
              </w:tc>
              <w:tc>
                <w:tcPr>
                  <w:tcW w:w="1147" w:type="dxa"/>
                  <w:vAlign w:val="center"/>
                </w:tcPr>
                <w:p w14:paraId="1DB8DA42">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w:t>
                  </w:r>
                  <w:r>
                    <w:rPr>
                      <w:rFonts w:hint="eastAsia" w:ascii="Times New Roman" w:hAnsi="Times New Roman" w:eastAsia="宋体" w:cs="Times New Roman"/>
                      <w:color w:val="000000" w:themeColor="text1"/>
                      <w:sz w:val="21"/>
                      <w:szCs w:val="21"/>
                      <w14:textFill>
                        <w14:solidFill>
                          <w14:schemeClr w14:val="tx1"/>
                        </w14:solidFill>
                      </w14:textFill>
                    </w:rPr>
                    <w:t>4</w:t>
                  </w:r>
                  <w:r>
                    <w:rPr>
                      <w:rFonts w:ascii="Times New Roman" w:hAnsi="Times New Roman" w:eastAsia="宋体" w:cs="Times New Roman"/>
                      <w:color w:val="000000" w:themeColor="text1"/>
                      <w:sz w:val="21"/>
                      <w:szCs w:val="21"/>
                      <w14:textFill>
                        <w14:solidFill>
                          <w14:schemeClr w14:val="tx1"/>
                        </w14:solidFill>
                      </w14:textFill>
                    </w:rPr>
                    <w:t>4</w:t>
                  </w:r>
                </w:p>
              </w:tc>
            </w:tr>
            <w:tr w14:paraId="082A4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6B74E3A9">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2024年9月</w:t>
                  </w:r>
                </w:p>
              </w:tc>
              <w:tc>
                <w:tcPr>
                  <w:tcW w:w="1142" w:type="dxa"/>
                  <w:vAlign w:val="center"/>
                </w:tcPr>
                <w:p w14:paraId="11FAB62C">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0.002</w:t>
                  </w:r>
                </w:p>
              </w:tc>
              <w:tc>
                <w:tcPr>
                  <w:tcW w:w="1142" w:type="dxa"/>
                  <w:vAlign w:val="center"/>
                </w:tcPr>
                <w:p w14:paraId="09F3693B">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0.007</w:t>
                  </w:r>
                </w:p>
              </w:tc>
              <w:tc>
                <w:tcPr>
                  <w:tcW w:w="1142" w:type="dxa"/>
                  <w:vAlign w:val="center"/>
                </w:tcPr>
                <w:p w14:paraId="57DD15D4">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0.02</w:t>
                  </w:r>
                  <w:r>
                    <w:rPr>
                      <w:rFonts w:hint="eastAsia" w:ascii="Times New Roman" w:hAnsi="Times New Roman" w:eastAsia="宋体" w:cs="Times New Roman"/>
                      <w:color w:val="000000" w:themeColor="text1"/>
                      <w:sz w:val="21"/>
                      <w:szCs w:val="21"/>
                      <w14:textFill>
                        <w14:solidFill>
                          <w14:schemeClr w14:val="tx1"/>
                        </w14:solidFill>
                      </w14:textFill>
                    </w:rPr>
                    <w:t>0</w:t>
                  </w:r>
                </w:p>
              </w:tc>
              <w:tc>
                <w:tcPr>
                  <w:tcW w:w="1578" w:type="dxa"/>
                  <w:vAlign w:val="center"/>
                </w:tcPr>
                <w:p w14:paraId="42E1F813">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0.01</w:t>
                  </w:r>
                  <w:r>
                    <w:rPr>
                      <w:rFonts w:hint="eastAsia" w:ascii="Times New Roman" w:hAnsi="Times New Roman" w:eastAsia="宋体" w:cs="Times New Roman"/>
                      <w:color w:val="000000" w:themeColor="text1"/>
                      <w:sz w:val="21"/>
                      <w:szCs w:val="21"/>
                      <w14:textFill>
                        <w14:solidFill>
                          <w14:schemeClr w14:val="tx1"/>
                        </w14:solidFill>
                      </w14:textFill>
                    </w:rPr>
                    <w:t>0</w:t>
                  </w:r>
                </w:p>
              </w:tc>
              <w:tc>
                <w:tcPr>
                  <w:tcW w:w="1090" w:type="dxa"/>
                  <w:vAlign w:val="center"/>
                </w:tcPr>
                <w:p w14:paraId="7E7478AB">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1147" w:type="dxa"/>
                  <w:vAlign w:val="center"/>
                </w:tcPr>
                <w:p w14:paraId="2C3D86F6">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0.090</w:t>
                  </w:r>
                </w:p>
              </w:tc>
            </w:tr>
            <w:tr w14:paraId="53C61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C77FD44">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2024年10月</w:t>
                  </w:r>
                </w:p>
              </w:tc>
              <w:tc>
                <w:tcPr>
                  <w:tcW w:w="1142" w:type="dxa"/>
                  <w:vAlign w:val="center"/>
                </w:tcPr>
                <w:p w14:paraId="637F7AF3">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0.002</w:t>
                  </w:r>
                </w:p>
              </w:tc>
              <w:tc>
                <w:tcPr>
                  <w:tcW w:w="1142" w:type="dxa"/>
                  <w:vAlign w:val="center"/>
                </w:tcPr>
                <w:p w14:paraId="0F71988F">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w:t>
                  </w: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1142" w:type="dxa"/>
                  <w:vAlign w:val="center"/>
                </w:tcPr>
                <w:p w14:paraId="159239A9">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0.02</w:t>
                  </w: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1578" w:type="dxa"/>
                  <w:vAlign w:val="center"/>
                </w:tcPr>
                <w:p w14:paraId="64E4E776">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0.01</w:t>
                  </w: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1090" w:type="dxa"/>
                  <w:vAlign w:val="center"/>
                </w:tcPr>
                <w:p w14:paraId="1F259B24">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1147" w:type="dxa"/>
                  <w:vAlign w:val="center"/>
                </w:tcPr>
                <w:p w14:paraId="23B87FFB">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w:t>
                  </w:r>
                  <w:r>
                    <w:rPr>
                      <w:rFonts w:hint="eastAsia" w:ascii="Times New Roman" w:hAnsi="Times New Roman" w:eastAsia="宋体" w:cs="Times New Roman"/>
                      <w:color w:val="000000" w:themeColor="text1"/>
                      <w:sz w:val="21"/>
                      <w:szCs w:val="21"/>
                      <w14:textFill>
                        <w14:solidFill>
                          <w14:schemeClr w14:val="tx1"/>
                        </w14:solidFill>
                      </w14:textFill>
                    </w:rPr>
                    <w:t>06</w:t>
                  </w:r>
                </w:p>
              </w:tc>
            </w:tr>
            <w:tr w14:paraId="3E3E6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3C692FB4">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2024年11月</w:t>
                  </w:r>
                </w:p>
              </w:tc>
              <w:tc>
                <w:tcPr>
                  <w:tcW w:w="1142" w:type="dxa"/>
                  <w:vAlign w:val="center"/>
                </w:tcPr>
                <w:p w14:paraId="67B9E5F8">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0.002</w:t>
                  </w:r>
                </w:p>
              </w:tc>
              <w:tc>
                <w:tcPr>
                  <w:tcW w:w="1142" w:type="dxa"/>
                  <w:vAlign w:val="center"/>
                </w:tcPr>
                <w:p w14:paraId="241B8915">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w:t>
                  </w:r>
                  <w:r>
                    <w:rPr>
                      <w:rFonts w:hint="eastAsia" w:ascii="Times New Roman" w:hAnsi="Times New Roman" w:eastAsia="宋体" w:cs="Times New Roman"/>
                      <w:color w:val="000000" w:themeColor="text1"/>
                      <w:sz w:val="21"/>
                      <w:szCs w:val="21"/>
                      <w14:textFill>
                        <w14:solidFill>
                          <w14:schemeClr w14:val="tx1"/>
                        </w14:solidFill>
                      </w14:textFill>
                    </w:rPr>
                    <w:t>8</w:t>
                  </w:r>
                </w:p>
              </w:tc>
              <w:tc>
                <w:tcPr>
                  <w:tcW w:w="1142" w:type="dxa"/>
                  <w:vAlign w:val="center"/>
                </w:tcPr>
                <w:p w14:paraId="6319D428">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w:t>
                  </w:r>
                  <w:r>
                    <w:rPr>
                      <w:rFonts w:hint="eastAsia" w:ascii="Times New Roman" w:hAnsi="Times New Roman" w:eastAsia="宋体" w:cs="Times New Roman"/>
                      <w:color w:val="000000" w:themeColor="text1"/>
                      <w:sz w:val="21"/>
                      <w:szCs w:val="21"/>
                      <w14:textFill>
                        <w14:solidFill>
                          <w14:schemeClr w14:val="tx1"/>
                        </w14:solidFill>
                      </w14:textFill>
                    </w:rPr>
                    <w:t>23</w:t>
                  </w:r>
                </w:p>
              </w:tc>
              <w:tc>
                <w:tcPr>
                  <w:tcW w:w="1578" w:type="dxa"/>
                  <w:vAlign w:val="center"/>
                </w:tcPr>
                <w:p w14:paraId="36B3630F">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0.01</w:t>
                  </w: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1090" w:type="dxa"/>
                  <w:vAlign w:val="center"/>
                </w:tcPr>
                <w:p w14:paraId="4C2FCF57">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1147" w:type="dxa"/>
                  <w:vAlign w:val="center"/>
                </w:tcPr>
                <w:p w14:paraId="018385DA">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w:t>
                  </w:r>
                  <w:r>
                    <w:rPr>
                      <w:rFonts w:hint="eastAsia" w:ascii="Times New Roman" w:hAnsi="Times New Roman" w:eastAsia="宋体" w:cs="Times New Roman"/>
                      <w:color w:val="000000" w:themeColor="text1"/>
                      <w:sz w:val="21"/>
                      <w:szCs w:val="21"/>
                      <w14:textFill>
                        <w14:solidFill>
                          <w14:schemeClr w14:val="tx1"/>
                        </w14:solidFill>
                      </w14:textFill>
                    </w:rPr>
                    <w:t>00</w:t>
                  </w:r>
                </w:p>
              </w:tc>
            </w:tr>
            <w:tr w14:paraId="6E14A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BCC0B3B">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2024年12月</w:t>
                  </w:r>
                </w:p>
              </w:tc>
              <w:tc>
                <w:tcPr>
                  <w:tcW w:w="1142" w:type="dxa"/>
                  <w:vAlign w:val="center"/>
                </w:tcPr>
                <w:p w14:paraId="00AF2204">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0.00</w:t>
                  </w: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1142" w:type="dxa"/>
                  <w:vAlign w:val="center"/>
                </w:tcPr>
                <w:p w14:paraId="3AD047B5">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0.01</w:t>
                  </w: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1142" w:type="dxa"/>
                  <w:vAlign w:val="center"/>
                </w:tcPr>
                <w:p w14:paraId="4DF8C3EA">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0.03</w:t>
                  </w:r>
                  <w:r>
                    <w:rPr>
                      <w:rFonts w:hint="eastAsia" w:ascii="Times New Roman" w:hAnsi="Times New Roman" w:eastAsia="宋体" w:cs="Times New Roman"/>
                      <w:color w:val="000000" w:themeColor="text1"/>
                      <w:sz w:val="21"/>
                      <w:szCs w:val="21"/>
                      <w14:textFill>
                        <w14:solidFill>
                          <w14:schemeClr w14:val="tx1"/>
                        </w14:solidFill>
                      </w14:textFill>
                    </w:rPr>
                    <w:t>6</w:t>
                  </w:r>
                </w:p>
              </w:tc>
              <w:tc>
                <w:tcPr>
                  <w:tcW w:w="1578" w:type="dxa"/>
                  <w:vAlign w:val="center"/>
                </w:tcPr>
                <w:p w14:paraId="3C01117F">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0.01</w:t>
                  </w:r>
                  <w:r>
                    <w:rPr>
                      <w:rFonts w:hint="eastAsia" w:ascii="Times New Roman" w:hAnsi="Times New Roman" w:eastAsia="宋体" w:cs="Times New Roman"/>
                      <w:color w:val="000000" w:themeColor="text1"/>
                      <w:sz w:val="21"/>
                      <w:szCs w:val="21"/>
                      <w14:textFill>
                        <w14:solidFill>
                          <w14:schemeClr w14:val="tx1"/>
                        </w14:solidFill>
                      </w14:textFill>
                    </w:rPr>
                    <w:t>9</w:t>
                  </w:r>
                </w:p>
              </w:tc>
              <w:tc>
                <w:tcPr>
                  <w:tcW w:w="1090" w:type="dxa"/>
                  <w:vAlign w:val="center"/>
                </w:tcPr>
                <w:p w14:paraId="77A938A3">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w:t>
                  </w:r>
                  <w:r>
                    <w:rPr>
                      <w:rFonts w:hint="eastAsia" w:ascii="Times New Roman" w:hAnsi="Times New Roman" w:eastAsia="宋体" w:cs="Times New Roman"/>
                      <w:color w:val="000000" w:themeColor="text1"/>
                      <w:sz w:val="21"/>
                      <w:szCs w:val="21"/>
                      <w14:textFill>
                        <w14:solidFill>
                          <w14:schemeClr w14:val="tx1"/>
                        </w14:solidFill>
                      </w14:textFill>
                    </w:rPr>
                    <w:t>6</w:t>
                  </w:r>
                </w:p>
              </w:tc>
              <w:tc>
                <w:tcPr>
                  <w:tcW w:w="1147" w:type="dxa"/>
                  <w:vAlign w:val="center"/>
                </w:tcPr>
                <w:p w14:paraId="77998FC2">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w:t>
                  </w:r>
                  <w:r>
                    <w:rPr>
                      <w:rFonts w:hint="eastAsia" w:ascii="Times New Roman" w:hAnsi="Times New Roman" w:eastAsia="宋体" w:cs="Times New Roman"/>
                      <w:color w:val="000000" w:themeColor="text1"/>
                      <w:sz w:val="21"/>
                      <w:szCs w:val="21"/>
                      <w14:textFill>
                        <w14:solidFill>
                          <w14:schemeClr w14:val="tx1"/>
                        </w14:solidFill>
                      </w14:textFill>
                    </w:rPr>
                    <w:t>04</w:t>
                  </w:r>
                </w:p>
              </w:tc>
            </w:tr>
            <w:tr w14:paraId="685F4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54D8B9AD">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二级标准</w:t>
                  </w:r>
                </w:p>
              </w:tc>
              <w:tc>
                <w:tcPr>
                  <w:tcW w:w="1142" w:type="dxa"/>
                  <w:vAlign w:val="center"/>
                </w:tcPr>
                <w:p w14:paraId="4B93CCDF">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0.06</w:t>
                  </w:r>
                </w:p>
              </w:tc>
              <w:tc>
                <w:tcPr>
                  <w:tcW w:w="1142" w:type="dxa"/>
                  <w:vAlign w:val="center"/>
                </w:tcPr>
                <w:p w14:paraId="084BB9BF">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0.04</w:t>
                  </w:r>
                </w:p>
              </w:tc>
              <w:tc>
                <w:tcPr>
                  <w:tcW w:w="1142" w:type="dxa"/>
                  <w:vAlign w:val="center"/>
                </w:tcPr>
                <w:p w14:paraId="0EA77C54">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0.07</w:t>
                  </w:r>
                </w:p>
              </w:tc>
              <w:tc>
                <w:tcPr>
                  <w:tcW w:w="1578" w:type="dxa"/>
                  <w:vAlign w:val="center"/>
                </w:tcPr>
                <w:p w14:paraId="0B6D30AD">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0.035</w:t>
                  </w:r>
                </w:p>
              </w:tc>
              <w:tc>
                <w:tcPr>
                  <w:tcW w:w="1090" w:type="dxa"/>
                  <w:vAlign w:val="center"/>
                </w:tcPr>
                <w:p w14:paraId="7BDF553E">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1147" w:type="dxa"/>
                  <w:vAlign w:val="center"/>
                </w:tcPr>
                <w:p w14:paraId="1D36481D">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0.16</w:t>
                  </w:r>
                </w:p>
              </w:tc>
            </w:tr>
            <w:tr w14:paraId="0D9A7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dxa"/>
                  <w:vAlign w:val="center"/>
                </w:tcPr>
                <w:p w14:paraId="4B5E589A">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备注</w:t>
                  </w:r>
                </w:p>
              </w:tc>
              <w:tc>
                <w:tcPr>
                  <w:tcW w:w="7241" w:type="dxa"/>
                  <w:gridSpan w:val="6"/>
                  <w:vAlign w:val="center"/>
                </w:tcPr>
                <w:p w14:paraId="5B488605">
                  <w:pPr>
                    <w:widowControl w:val="0"/>
                    <w:topLinePunct/>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*CO为日均值第95百分位数，O</w:t>
                  </w:r>
                  <w:r>
                    <w:rPr>
                      <w:rFonts w:ascii="Times New Roman" w:hAnsi="Times New Roman" w:eastAsia="宋体" w:cs="Times New Roman"/>
                      <w:color w:val="000000" w:themeColor="text1"/>
                      <w:sz w:val="21"/>
                      <w:szCs w:val="21"/>
                      <w:vertAlign w:val="sub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为日最大8小时值第90百分位数。</w:t>
                  </w:r>
                </w:p>
              </w:tc>
            </w:tr>
          </w:tbl>
          <w:p w14:paraId="119045E8">
            <w:pPr>
              <w:pStyle w:val="223"/>
              <w:spacing w:before="120"/>
              <w:ind w:firstLine="480"/>
            </w:pPr>
            <w:r>
              <w:rPr>
                <w:rFonts w:hint="eastAsia"/>
              </w:rPr>
              <w:t>（2）特征污染因子</w:t>
            </w:r>
          </w:p>
          <w:p w14:paraId="35C37220">
            <w:pPr>
              <w:pStyle w:val="225"/>
              <w:ind w:firstLine="480"/>
            </w:pPr>
            <w:r>
              <w:t>本项目排放的其他污染物为</w:t>
            </w:r>
            <w:r>
              <w:rPr>
                <w:rFonts w:hint="eastAsia"/>
              </w:rPr>
              <w:t>颗粒物</w:t>
            </w:r>
            <w:r>
              <w:t>，</w:t>
            </w:r>
            <w:r>
              <w:rPr>
                <w:rFonts w:hint="eastAsia"/>
              </w:rPr>
              <w:t>本次评价引用福建中能电气有限公司委托福建九五检测技术服务有限公司对项目下风向周店村内(E：119.312931°；N：25.676759)进行环境空气质量的检测(报告编号：JWJC250328001)，监测点位与项目红线之间的直线距离约为170m，监测时间为2025年4月3日~2025年4月6日，监测频次为连续三天，监测日均值，具体的监测数据详见下表3.1-2，监测报告见附件10，监测点位图见图3.1-1。</w:t>
            </w:r>
          </w:p>
          <w:p w14:paraId="3176A4A6">
            <w:pPr>
              <w:pStyle w:val="223"/>
              <w:spacing w:before="120"/>
              <w:ind w:firstLine="480"/>
            </w:pPr>
            <w:r>
              <w:rPr>
                <w:rFonts w:hint="eastAsia"/>
              </w:rPr>
              <w:t>根据上表检测结果可知，项目周边总悬浮颗粒物(TSP)环境空气质量可满足 《环境空气质量标准》(GB3095-2012)及 2018 年修改单中二级标准。</w:t>
            </w:r>
          </w:p>
          <w:p w14:paraId="7185D511">
            <w:pPr>
              <w:widowControl w:val="0"/>
              <w:topLinePunct/>
              <w:spacing w:after="0" w:line="360" w:lineRule="auto"/>
              <w:ind w:firstLine="482" w:firstLineChars="200"/>
              <w:jc w:val="both"/>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3.1.2 地表水环境质量现状</w:t>
            </w:r>
          </w:p>
          <w:p w14:paraId="5155DE52">
            <w:pPr>
              <w:pStyle w:val="172"/>
              <w:spacing w:after="0" w:line="360" w:lineRule="auto"/>
              <w:ind w:firstLine="468" w:firstLineChars="200"/>
              <w:rPr>
                <w:rFonts w:hint="eastAsia"/>
                <w:color w:val="000000" w:themeColor="text1"/>
                <w:lang w:eastAsia="zh-CN"/>
                <w14:textFill>
                  <w14:solidFill>
                    <w14:schemeClr w14:val="tx1"/>
                  </w14:solidFill>
                </w14:textFill>
              </w:rPr>
            </w:pPr>
            <w:r>
              <w:rPr>
                <w:color w:val="000000" w:themeColor="text1"/>
                <w:spacing w:val="-3"/>
                <w:lang w:eastAsia="zh-CN"/>
                <w14:textFill>
                  <w14:solidFill>
                    <w14:schemeClr w14:val="tx1"/>
                  </w14:solidFill>
                </w14:textFill>
              </w:rPr>
              <w:t>（</w:t>
            </w:r>
            <w:r>
              <w:rPr>
                <w:rFonts w:ascii="Times New Roman" w:hAnsi="Times New Roman" w:eastAsia="Times New Roman" w:cs="Times New Roman"/>
                <w:color w:val="000000" w:themeColor="text1"/>
                <w:spacing w:val="-3"/>
                <w:lang w:eastAsia="zh-CN"/>
                <w14:textFill>
                  <w14:solidFill>
                    <w14:schemeClr w14:val="tx1"/>
                  </w14:solidFill>
                </w14:textFill>
              </w:rPr>
              <w:t>1</w:t>
            </w:r>
            <w:r>
              <w:rPr>
                <w:color w:val="000000" w:themeColor="text1"/>
                <w:spacing w:val="-3"/>
                <w:lang w:eastAsia="zh-CN"/>
                <w14:textFill>
                  <w14:solidFill>
                    <w14:schemeClr w14:val="tx1"/>
                  </w14:solidFill>
                </w14:textFill>
              </w:rPr>
              <w:t>）水环境功能区划</w:t>
            </w:r>
          </w:p>
          <w:p w14:paraId="0CFDFBB5">
            <w:pPr>
              <w:pStyle w:val="172"/>
              <w:spacing w:after="0" w:line="360" w:lineRule="auto"/>
              <w:ind w:firstLine="476" w:firstLineChars="200"/>
              <w:rPr>
                <w:rFonts w:hint="eastAsia"/>
                <w:color w:val="000000" w:themeColor="text1"/>
                <w:spacing w:val="-5"/>
                <w:lang w:eastAsia="zh-CN"/>
                <w14:textFill>
                  <w14:solidFill>
                    <w14:schemeClr w14:val="tx1"/>
                  </w14:solidFill>
                </w14:textFill>
              </w:rPr>
            </w:pPr>
            <w:r>
              <w:rPr>
                <w:color w:val="000000" w:themeColor="text1"/>
                <w:spacing w:val="-1"/>
                <w:lang w:eastAsia="zh-CN"/>
                <w14:textFill>
                  <w14:solidFill>
                    <w14:schemeClr w14:val="tx1"/>
                  </w14:solidFill>
                </w14:textFill>
              </w:rPr>
              <w:t>项目周边地表水属于关溪及龙江，根据福建省人民政府闽政文</w:t>
            </w:r>
            <w:r>
              <w:rPr>
                <w:rFonts w:ascii="Times New Roman" w:hAnsi="Times New Roman" w:eastAsia="Times New Roman" w:cs="Times New Roman"/>
                <w:color w:val="000000" w:themeColor="text1"/>
                <w:spacing w:val="-1"/>
                <w:lang w:eastAsia="zh-CN"/>
                <w14:textFill>
                  <w14:solidFill>
                    <w14:schemeClr w14:val="tx1"/>
                  </w14:solidFill>
                </w14:textFill>
              </w:rPr>
              <w:t>[</w:t>
            </w:r>
            <w:r>
              <w:rPr>
                <w:rFonts w:ascii="Times New Roman" w:hAnsi="Times New Roman" w:eastAsia="Times New Roman" w:cs="Times New Roman"/>
                <w:color w:val="000000" w:themeColor="text1"/>
                <w:spacing w:val="-2"/>
                <w:lang w:eastAsia="zh-CN"/>
                <w14:textFill>
                  <w14:solidFill>
                    <w14:schemeClr w14:val="tx1"/>
                  </w14:solidFill>
                </w14:textFill>
              </w:rPr>
              <w:t>2006]133</w:t>
            </w:r>
            <w:r>
              <w:rPr>
                <w:color w:val="000000" w:themeColor="text1"/>
                <w:spacing w:val="-2"/>
                <w:lang w:eastAsia="zh-CN"/>
                <w14:textFill>
                  <w14:solidFill>
                    <w14:schemeClr w14:val="tx1"/>
                  </w14:solidFill>
                </w14:textFill>
              </w:rPr>
              <w:t>号</w:t>
            </w:r>
            <w:r>
              <w:rPr>
                <w:color w:val="000000" w:themeColor="text1"/>
                <w:spacing w:val="-1"/>
                <w:lang w:eastAsia="zh-CN"/>
                <w14:textFill>
                  <w14:solidFill>
                    <w14:schemeClr w14:val="tx1"/>
                  </w14:solidFill>
                </w14:textFill>
              </w:rPr>
              <w:t>批准《福州市地表水环境功能区划定方案》，龙江“东张水库坝址至大斜龙江桥</w:t>
            </w:r>
            <w:r>
              <w:rPr>
                <w:color w:val="000000" w:themeColor="text1"/>
                <w:spacing w:val="-5"/>
                <w:lang w:eastAsia="zh-CN"/>
                <w14:textFill>
                  <w14:solidFill>
                    <w14:schemeClr w14:val="tx1"/>
                  </w14:solidFill>
                </w14:textFill>
              </w:rPr>
              <w:t>断面”水体水环境执行《地表水环境质量标准》</w:t>
            </w:r>
            <w:r>
              <w:rPr>
                <w:color w:val="000000" w:themeColor="text1"/>
                <w:spacing w:val="-6"/>
                <w:lang w:eastAsia="zh-CN"/>
                <w14:textFill>
                  <w14:solidFill>
                    <w14:schemeClr w14:val="tx1"/>
                  </w14:solidFill>
                </w14:textFill>
              </w:rPr>
              <w:t>（</w:t>
            </w:r>
            <w:r>
              <w:rPr>
                <w:rFonts w:ascii="Times New Roman" w:hAnsi="Times New Roman" w:eastAsia="Times New Roman" w:cs="Times New Roman"/>
                <w:color w:val="000000" w:themeColor="text1"/>
                <w:spacing w:val="-6"/>
                <w:lang w:eastAsia="zh-CN"/>
                <w14:textFill>
                  <w14:solidFill>
                    <w14:schemeClr w14:val="tx1"/>
                  </w14:solidFill>
                </w14:textFill>
              </w:rPr>
              <w:t>GB3838-2002</w:t>
            </w:r>
            <w:r>
              <w:rPr>
                <w:color w:val="000000" w:themeColor="text1"/>
                <w:spacing w:val="-6"/>
                <w:lang w:eastAsia="zh-CN"/>
                <w14:textFill>
                  <w14:solidFill>
                    <w14:schemeClr w14:val="tx1"/>
                  </w14:solidFill>
                </w14:textFill>
              </w:rPr>
              <w:t>）Ⅳ类标准，关溪</w:t>
            </w:r>
            <w:r>
              <w:rPr>
                <w:color w:val="000000" w:themeColor="text1"/>
                <w:spacing w:val="-1"/>
                <w:lang w:eastAsia="zh-CN"/>
                <w14:textFill>
                  <w14:solidFill>
                    <w14:schemeClr w14:val="tx1"/>
                  </w14:solidFill>
                </w14:textFill>
              </w:rPr>
              <w:t>属于龙江支流，不在《福州市地表水环境功能区划定方案》的划定范围内，执行</w:t>
            </w:r>
            <w:r>
              <w:rPr>
                <w:color w:val="000000" w:themeColor="text1"/>
                <w:spacing w:val="-5"/>
                <w:lang w:eastAsia="zh-CN"/>
                <w14:textFill>
                  <w14:solidFill>
                    <w14:schemeClr w14:val="tx1"/>
                  </w14:solidFill>
                </w14:textFill>
              </w:rPr>
              <w:t>《地表水环境质量标准》（</w:t>
            </w:r>
            <w:r>
              <w:rPr>
                <w:rFonts w:ascii="Times New Roman" w:hAnsi="Times New Roman" w:eastAsia="Times New Roman" w:cs="Times New Roman"/>
                <w:color w:val="000000" w:themeColor="text1"/>
                <w:spacing w:val="-5"/>
                <w:lang w:eastAsia="zh-CN"/>
                <w14:textFill>
                  <w14:solidFill>
                    <w14:schemeClr w14:val="tx1"/>
                  </w14:solidFill>
                </w14:textFill>
              </w:rPr>
              <w:t>GB3838-2002</w:t>
            </w:r>
            <w:r>
              <w:rPr>
                <w:color w:val="000000" w:themeColor="text1"/>
                <w:spacing w:val="-5"/>
                <w:lang w:eastAsia="zh-CN"/>
                <w14:textFill>
                  <w14:solidFill>
                    <w14:schemeClr w14:val="tx1"/>
                  </w14:solidFill>
                </w14:textFill>
              </w:rPr>
              <w:t>）Ⅲ类标准。</w:t>
            </w:r>
          </w:p>
          <w:p w14:paraId="3C82F801">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eastAsiaTheme="minorEastAsia"/>
                <w:color w:val="000000" w:themeColor="text1"/>
                <w14:textFill>
                  <w14:solidFill>
                    <w14:schemeClr w14:val="tx1"/>
                  </w14:solidFill>
                </w14:textFill>
              </w:rPr>
              <w:t xml:space="preserve">3.1-3 </w:t>
            </w:r>
            <w:r>
              <w:rPr>
                <w:color w:val="000000" w:themeColor="text1"/>
                <w14:textFill>
                  <w14:solidFill>
                    <w14:schemeClr w14:val="tx1"/>
                  </w14:solidFill>
                </w14:textFill>
              </w:rPr>
              <w:t>水环境质量执行标准</w:t>
            </w:r>
          </w:p>
          <w:tbl>
            <w:tblPr>
              <w:tblStyle w:val="226"/>
              <w:tblW w:w="86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3"/>
              <w:gridCol w:w="1185"/>
              <w:gridCol w:w="2514"/>
              <w:gridCol w:w="2529"/>
            </w:tblGrid>
            <w:tr w14:paraId="4761F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373" w:type="dxa"/>
                  <w:vAlign w:val="center"/>
                </w:tcPr>
                <w:p w14:paraId="4B6163A8">
                  <w:pPr>
                    <w:pStyle w:val="172"/>
                    <w:spacing w:after="0" w:line="240" w:lineRule="auto"/>
                    <w:jc w:val="center"/>
                    <w:rPr>
                      <w:rFonts w:hint="eastAsia"/>
                      <w:b/>
                      <w:bCs/>
                      <w:color w:val="000000" w:themeColor="text1"/>
                      <w:sz w:val="21"/>
                      <w:szCs w:val="21"/>
                      <w:lang w:eastAsia="zh-CN"/>
                      <w14:textFill>
                        <w14:solidFill>
                          <w14:schemeClr w14:val="tx1"/>
                        </w14:solidFill>
                      </w14:textFill>
                    </w:rPr>
                  </w:pPr>
                  <w:r>
                    <w:rPr>
                      <w:b/>
                      <w:bCs/>
                      <w:color w:val="000000" w:themeColor="text1"/>
                      <w:spacing w:val="7"/>
                      <w:sz w:val="21"/>
                      <w:szCs w:val="21"/>
                      <w:lang w:eastAsia="zh-CN"/>
                      <w14:textFill>
                        <w14:solidFill>
                          <w14:schemeClr w14:val="tx1"/>
                        </w14:solidFill>
                      </w14:textFill>
                    </w:rPr>
                    <w:t>标准名称</w:t>
                  </w:r>
                </w:p>
              </w:tc>
              <w:tc>
                <w:tcPr>
                  <w:tcW w:w="1185" w:type="dxa"/>
                  <w:vMerge w:val="restart"/>
                  <w:vAlign w:val="center"/>
                </w:tcPr>
                <w:p w14:paraId="55C632E6">
                  <w:pPr>
                    <w:pStyle w:val="172"/>
                    <w:spacing w:after="0" w:line="240" w:lineRule="auto"/>
                    <w:jc w:val="center"/>
                    <w:rPr>
                      <w:rFonts w:hint="eastAsia"/>
                      <w:b/>
                      <w:bCs/>
                      <w:color w:val="000000" w:themeColor="text1"/>
                      <w:sz w:val="21"/>
                      <w:szCs w:val="21"/>
                      <w:lang w:eastAsia="zh-CN"/>
                      <w14:textFill>
                        <w14:solidFill>
                          <w14:schemeClr w14:val="tx1"/>
                        </w14:solidFill>
                      </w14:textFill>
                    </w:rPr>
                  </w:pPr>
                  <w:r>
                    <w:rPr>
                      <w:b/>
                      <w:bCs/>
                      <w:color w:val="000000" w:themeColor="text1"/>
                      <w:spacing w:val="7"/>
                      <w:sz w:val="21"/>
                      <w:szCs w:val="21"/>
                      <w:lang w:eastAsia="zh-CN"/>
                      <w14:textFill>
                        <w14:solidFill>
                          <w14:schemeClr w14:val="tx1"/>
                        </w14:solidFill>
                      </w14:textFill>
                    </w:rPr>
                    <w:t>适用类别</w:t>
                  </w:r>
                </w:p>
              </w:tc>
              <w:tc>
                <w:tcPr>
                  <w:tcW w:w="5043" w:type="dxa"/>
                  <w:gridSpan w:val="2"/>
                  <w:vAlign w:val="center"/>
                </w:tcPr>
                <w:p w14:paraId="1A391054">
                  <w:pPr>
                    <w:pStyle w:val="172"/>
                    <w:spacing w:after="0" w:line="240" w:lineRule="auto"/>
                    <w:jc w:val="center"/>
                    <w:rPr>
                      <w:rFonts w:hint="eastAsia"/>
                      <w:b/>
                      <w:bCs/>
                      <w:color w:val="000000" w:themeColor="text1"/>
                      <w:sz w:val="21"/>
                      <w:szCs w:val="21"/>
                      <w:lang w:eastAsia="zh-CN"/>
                      <w14:textFill>
                        <w14:solidFill>
                          <w14:schemeClr w14:val="tx1"/>
                        </w14:solidFill>
                      </w14:textFill>
                    </w:rPr>
                  </w:pPr>
                  <w:r>
                    <w:rPr>
                      <w:b/>
                      <w:bCs/>
                      <w:color w:val="000000" w:themeColor="text1"/>
                      <w:spacing w:val="7"/>
                      <w:sz w:val="21"/>
                      <w:szCs w:val="21"/>
                      <w:lang w:eastAsia="zh-CN"/>
                      <w14:textFill>
                        <w14:solidFill>
                          <w14:schemeClr w14:val="tx1"/>
                        </w14:solidFill>
                      </w14:textFill>
                    </w:rPr>
                    <w:t>标准限值</w:t>
                  </w:r>
                </w:p>
              </w:tc>
            </w:tr>
            <w:tr w14:paraId="2A904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3" w:type="dxa"/>
                  <w:vMerge w:val="restart"/>
                  <w:vAlign w:val="center"/>
                </w:tcPr>
                <w:p w14:paraId="0FEA6973">
                  <w:pPr>
                    <w:pStyle w:val="172"/>
                    <w:spacing w:after="0" w:line="240" w:lineRule="auto"/>
                    <w:jc w:val="center"/>
                    <w:rPr>
                      <w:rFonts w:hint="eastAsia"/>
                      <w:color w:val="000000" w:themeColor="text1"/>
                      <w:sz w:val="21"/>
                      <w:szCs w:val="21"/>
                      <w:lang w:eastAsia="zh-CN"/>
                      <w14:textFill>
                        <w14:solidFill>
                          <w14:schemeClr w14:val="tx1"/>
                        </w14:solidFill>
                      </w14:textFill>
                    </w:rPr>
                  </w:pPr>
                  <w:r>
                    <w:rPr>
                      <w:rFonts w:ascii="Times New Roman" w:hAnsi="Times New Roman" w:eastAsia="Times New Roman" w:cs="Times New Roman"/>
                      <w:color w:val="000000" w:themeColor="text1"/>
                      <w:sz w:val="21"/>
                      <w:szCs w:val="21"/>
                      <w:lang w:eastAsia="zh-CN"/>
                      <w14:textFill>
                        <w14:solidFill>
                          <w14:schemeClr w14:val="tx1"/>
                        </w14:solidFill>
                      </w14:textFill>
                    </w:rPr>
                    <w:t>GB</w:t>
                  </w:r>
                  <w:r>
                    <w:rPr>
                      <w:rFonts w:ascii="Times New Roman" w:hAnsi="Times New Roman" w:eastAsia="Times New Roman" w:cs="Times New Roman"/>
                      <w:color w:val="000000" w:themeColor="text1"/>
                      <w:spacing w:val="1"/>
                      <w:sz w:val="21"/>
                      <w:szCs w:val="21"/>
                      <w:lang w:eastAsia="zh-CN"/>
                      <w14:textFill>
                        <w14:solidFill>
                          <w14:schemeClr w14:val="tx1"/>
                        </w14:solidFill>
                      </w14:textFill>
                    </w:rPr>
                    <w:t>3838-2002</w:t>
                  </w:r>
                  <w:r>
                    <w:rPr>
                      <w:color w:val="000000" w:themeColor="text1"/>
                      <w:spacing w:val="1"/>
                      <w:sz w:val="21"/>
                      <w:szCs w:val="21"/>
                      <w:lang w:eastAsia="zh-CN"/>
                      <w14:textFill>
                        <w14:solidFill>
                          <w14:schemeClr w14:val="tx1"/>
                        </w14:solidFill>
                      </w14:textFill>
                    </w:rPr>
                    <w:t>《地表水环境质量标准》</w:t>
                  </w:r>
                </w:p>
              </w:tc>
              <w:tc>
                <w:tcPr>
                  <w:tcW w:w="1185" w:type="dxa"/>
                  <w:vMerge w:val="continue"/>
                  <w:vAlign w:val="center"/>
                </w:tcPr>
                <w:p w14:paraId="762E6A51">
                  <w:pPr>
                    <w:spacing w:after="0" w:line="240" w:lineRule="auto"/>
                    <w:jc w:val="center"/>
                    <w:rPr>
                      <w:rFonts w:ascii="Arial"/>
                      <w:color w:val="000000" w:themeColor="text1"/>
                      <w:sz w:val="21"/>
                      <w:szCs w:val="21"/>
                      <w14:textFill>
                        <w14:solidFill>
                          <w14:schemeClr w14:val="tx1"/>
                        </w14:solidFill>
                      </w14:textFill>
                    </w:rPr>
                  </w:pPr>
                </w:p>
              </w:tc>
              <w:tc>
                <w:tcPr>
                  <w:tcW w:w="2514" w:type="dxa"/>
                  <w:vAlign w:val="center"/>
                </w:tcPr>
                <w:p w14:paraId="729780D5">
                  <w:pPr>
                    <w:pStyle w:val="172"/>
                    <w:spacing w:after="0" w:line="240" w:lineRule="auto"/>
                    <w:jc w:val="center"/>
                    <w:rPr>
                      <w:rFonts w:hint="eastAsia"/>
                      <w:b/>
                      <w:bCs/>
                      <w:color w:val="000000" w:themeColor="text1"/>
                      <w:sz w:val="21"/>
                      <w:szCs w:val="21"/>
                      <w14:textFill>
                        <w14:solidFill>
                          <w14:schemeClr w14:val="tx1"/>
                        </w14:solidFill>
                      </w14:textFill>
                    </w:rPr>
                  </w:pPr>
                  <w:r>
                    <w:rPr>
                      <w:b/>
                      <w:bCs/>
                      <w:color w:val="000000" w:themeColor="text1"/>
                      <w:spacing w:val="6"/>
                      <w:sz w:val="21"/>
                      <w:szCs w:val="21"/>
                      <w14:textFill>
                        <w14:solidFill>
                          <w14:schemeClr w14:val="tx1"/>
                        </w14:solidFill>
                      </w14:textFill>
                    </w:rPr>
                    <w:t>参数名称</w:t>
                  </w:r>
                </w:p>
              </w:tc>
              <w:tc>
                <w:tcPr>
                  <w:tcW w:w="2529" w:type="dxa"/>
                  <w:vAlign w:val="center"/>
                </w:tcPr>
                <w:p w14:paraId="074A3B6E">
                  <w:pPr>
                    <w:pStyle w:val="172"/>
                    <w:spacing w:after="0" w:line="240" w:lineRule="auto"/>
                    <w:jc w:val="center"/>
                    <w:rPr>
                      <w:rFonts w:hint="eastAsia"/>
                      <w:b/>
                      <w:bCs/>
                      <w:color w:val="000000" w:themeColor="text1"/>
                      <w:sz w:val="21"/>
                      <w:szCs w:val="21"/>
                      <w14:textFill>
                        <w14:solidFill>
                          <w14:schemeClr w14:val="tx1"/>
                        </w14:solidFill>
                      </w14:textFill>
                    </w:rPr>
                  </w:pPr>
                  <w:r>
                    <w:rPr>
                      <w:b/>
                      <w:bCs/>
                      <w:color w:val="000000" w:themeColor="text1"/>
                      <w:spacing w:val="7"/>
                      <w:sz w:val="21"/>
                      <w:szCs w:val="21"/>
                      <w14:textFill>
                        <w14:solidFill>
                          <w14:schemeClr w14:val="tx1"/>
                        </w14:solidFill>
                      </w14:textFill>
                    </w:rPr>
                    <w:t>浓度限值</w:t>
                  </w:r>
                </w:p>
              </w:tc>
            </w:tr>
            <w:tr w14:paraId="04DB3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3" w:type="dxa"/>
                  <w:vMerge w:val="continue"/>
                  <w:vAlign w:val="center"/>
                </w:tcPr>
                <w:p w14:paraId="2E4F095E">
                  <w:pPr>
                    <w:spacing w:after="0" w:line="240" w:lineRule="auto"/>
                    <w:jc w:val="center"/>
                    <w:rPr>
                      <w:rFonts w:ascii="Arial"/>
                      <w:color w:val="000000" w:themeColor="text1"/>
                      <w:sz w:val="21"/>
                      <w:szCs w:val="21"/>
                      <w14:textFill>
                        <w14:solidFill>
                          <w14:schemeClr w14:val="tx1"/>
                        </w14:solidFill>
                      </w14:textFill>
                    </w:rPr>
                  </w:pPr>
                </w:p>
              </w:tc>
              <w:tc>
                <w:tcPr>
                  <w:tcW w:w="1185" w:type="dxa"/>
                  <w:vMerge w:val="restart"/>
                  <w:vAlign w:val="center"/>
                </w:tcPr>
                <w:p w14:paraId="6B87EB31">
                  <w:pPr>
                    <w:pStyle w:val="172"/>
                    <w:spacing w:after="0" w:line="240" w:lineRule="auto"/>
                    <w:jc w:val="center"/>
                    <w:rPr>
                      <w:rFonts w:hint="eastAsia"/>
                      <w:color w:val="000000" w:themeColor="text1"/>
                      <w:sz w:val="21"/>
                      <w:szCs w:val="21"/>
                      <w14:textFill>
                        <w14:solidFill>
                          <w14:schemeClr w14:val="tx1"/>
                        </w14:solidFill>
                      </w14:textFill>
                    </w:rPr>
                  </w:pPr>
                  <w:r>
                    <w:rPr>
                      <w:color w:val="000000" w:themeColor="text1"/>
                      <w:spacing w:val="6"/>
                      <w:sz w:val="21"/>
                      <w:szCs w:val="21"/>
                      <w14:textFill>
                        <w14:solidFill>
                          <w14:schemeClr w14:val="tx1"/>
                        </w14:solidFill>
                      </w14:textFill>
                    </w:rPr>
                    <w:t>Ⅲ类</w:t>
                  </w:r>
                </w:p>
              </w:tc>
              <w:tc>
                <w:tcPr>
                  <w:tcW w:w="2514" w:type="dxa"/>
                  <w:vAlign w:val="center"/>
                </w:tcPr>
                <w:p w14:paraId="7EC3B2F6">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3"/>
                      <w:sz w:val="21"/>
                      <w:szCs w:val="21"/>
                      <w14:textFill>
                        <w14:solidFill>
                          <w14:schemeClr w14:val="tx1"/>
                        </w14:solidFill>
                      </w14:textFill>
                    </w:rPr>
                    <w:t>PH</w:t>
                  </w:r>
                </w:p>
              </w:tc>
              <w:tc>
                <w:tcPr>
                  <w:tcW w:w="2529" w:type="dxa"/>
                  <w:vAlign w:val="center"/>
                </w:tcPr>
                <w:p w14:paraId="30689BBF">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6-9</w:t>
                  </w:r>
                </w:p>
              </w:tc>
            </w:tr>
            <w:tr w14:paraId="08B2C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3" w:type="dxa"/>
                  <w:vMerge w:val="continue"/>
                  <w:vAlign w:val="center"/>
                </w:tcPr>
                <w:p w14:paraId="4D0F2BF9">
                  <w:pPr>
                    <w:spacing w:after="0" w:line="240" w:lineRule="auto"/>
                    <w:jc w:val="center"/>
                    <w:rPr>
                      <w:rFonts w:ascii="Arial"/>
                      <w:color w:val="000000" w:themeColor="text1"/>
                      <w:sz w:val="21"/>
                      <w:szCs w:val="21"/>
                      <w14:textFill>
                        <w14:solidFill>
                          <w14:schemeClr w14:val="tx1"/>
                        </w14:solidFill>
                      </w14:textFill>
                    </w:rPr>
                  </w:pPr>
                </w:p>
              </w:tc>
              <w:tc>
                <w:tcPr>
                  <w:tcW w:w="1185" w:type="dxa"/>
                  <w:vMerge w:val="continue"/>
                  <w:vAlign w:val="center"/>
                </w:tcPr>
                <w:p w14:paraId="2D7B2546">
                  <w:pPr>
                    <w:spacing w:after="0" w:line="240" w:lineRule="auto"/>
                    <w:jc w:val="center"/>
                    <w:rPr>
                      <w:rFonts w:ascii="Arial"/>
                      <w:color w:val="000000" w:themeColor="text1"/>
                      <w:sz w:val="21"/>
                      <w:szCs w:val="21"/>
                      <w14:textFill>
                        <w14:solidFill>
                          <w14:schemeClr w14:val="tx1"/>
                        </w14:solidFill>
                      </w14:textFill>
                    </w:rPr>
                  </w:pPr>
                </w:p>
              </w:tc>
              <w:tc>
                <w:tcPr>
                  <w:tcW w:w="2514" w:type="dxa"/>
                  <w:vAlign w:val="center"/>
                </w:tcPr>
                <w:p w14:paraId="4A88DD17">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3"/>
                      <w:sz w:val="21"/>
                      <w:szCs w:val="21"/>
                      <w14:textFill>
                        <w14:solidFill>
                          <w14:schemeClr w14:val="tx1"/>
                        </w14:solidFill>
                      </w14:textFill>
                    </w:rPr>
                    <w:t>COD</w:t>
                  </w:r>
                </w:p>
              </w:tc>
              <w:tc>
                <w:tcPr>
                  <w:tcW w:w="2529" w:type="dxa"/>
                  <w:vAlign w:val="center"/>
                </w:tcPr>
                <w:p w14:paraId="539CDF61">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6"/>
                      <w:position w:val="3"/>
                      <w:sz w:val="21"/>
                      <w:szCs w:val="21"/>
                      <w14:textFill>
                        <w14:solidFill>
                          <w14:schemeClr w14:val="tx1"/>
                        </w14:solidFill>
                      </w14:textFill>
                    </w:rPr>
                    <w:t>≤6</w:t>
                  </w:r>
                  <w:r>
                    <w:rPr>
                      <w:rFonts w:ascii="Times New Roman" w:hAnsi="Times New Roman" w:eastAsia="Times New Roman" w:cs="Times New Roman"/>
                      <w:color w:val="000000" w:themeColor="text1"/>
                      <w:position w:val="3"/>
                      <w:sz w:val="21"/>
                      <w:szCs w:val="21"/>
                      <w14:textFill>
                        <w14:solidFill>
                          <w14:schemeClr w14:val="tx1"/>
                        </w14:solidFill>
                      </w14:textFill>
                    </w:rPr>
                    <w:t>mg</w:t>
                  </w:r>
                  <w:r>
                    <w:rPr>
                      <w:rFonts w:ascii="Times New Roman" w:hAnsi="Times New Roman" w:eastAsia="Times New Roman" w:cs="Times New Roman"/>
                      <w:color w:val="000000" w:themeColor="text1"/>
                      <w:spacing w:val="6"/>
                      <w:position w:val="3"/>
                      <w:sz w:val="21"/>
                      <w:szCs w:val="21"/>
                      <w14:textFill>
                        <w14:solidFill>
                          <w14:schemeClr w14:val="tx1"/>
                        </w14:solidFill>
                      </w14:textFill>
                    </w:rPr>
                    <w:t>/L</w:t>
                  </w:r>
                </w:p>
              </w:tc>
            </w:tr>
            <w:tr w14:paraId="5EC90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3" w:type="dxa"/>
                  <w:vMerge w:val="continue"/>
                  <w:vAlign w:val="center"/>
                </w:tcPr>
                <w:p w14:paraId="5AA32C51">
                  <w:pPr>
                    <w:spacing w:after="0" w:line="240" w:lineRule="auto"/>
                    <w:jc w:val="center"/>
                    <w:rPr>
                      <w:rFonts w:ascii="Arial"/>
                      <w:color w:val="000000" w:themeColor="text1"/>
                      <w:sz w:val="21"/>
                      <w:szCs w:val="21"/>
                      <w14:textFill>
                        <w14:solidFill>
                          <w14:schemeClr w14:val="tx1"/>
                        </w14:solidFill>
                      </w14:textFill>
                    </w:rPr>
                  </w:pPr>
                </w:p>
              </w:tc>
              <w:tc>
                <w:tcPr>
                  <w:tcW w:w="1185" w:type="dxa"/>
                  <w:vMerge w:val="continue"/>
                  <w:vAlign w:val="center"/>
                </w:tcPr>
                <w:p w14:paraId="3D540E6A">
                  <w:pPr>
                    <w:spacing w:after="0" w:line="240" w:lineRule="auto"/>
                    <w:jc w:val="center"/>
                    <w:rPr>
                      <w:rFonts w:ascii="Arial"/>
                      <w:color w:val="000000" w:themeColor="text1"/>
                      <w:sz w:val="21"/>
                      <w:szCs w:val="21"/>
                      <w14:textFill>
                        <w14:solidFill>
                          <w14:schemeClr w14:val="tx1"/>
                        </w14:solidFill>
                      </w14:textFill>
                    </w:rPr>
                  </w:pPr>
                </w:p>
              </w:tc>
              <w:tc>
                <w:tcPr>
                  <w:tcW w:w="2514" w:type="dxa"/>
                  <w:vAlign w:val="center"/>
                </w:tcPr>
                <w:p w14:paraId="7C64065C">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5"/>
                      <w:sz w:val="21"/>
                      <w:szCs w:val="21"/>
                      <w14:textFill>
                        <w14:solidFill>
                          <w14:schemeClr w14:val="tx1"/>
                        </w14:solidFill>
                      </w14:textFill>
                    </w:rPr>
                    <w:t>BOD</w:t>
                  </w:r>
                  <w:r>
                    <w:rPr>
                      <w:rFonts w:ascii="Times New Roman" w:hAnsi="Times New Roman" w:eastAsia="Times New Roman" w:cs="Times New Roman"/>
                      <w:color w:val="000000" w:themeColor="text1"/>
                      <w:spacing w:val="5"/>
                      <w:position w:val="-1"/>
                      <w:sz w:val="21"/>
                      <w:szCs w:val="21"/>
                      <w:vertAlign w:val="subscript"/>
                      <w14:textFill>
                        <w14:solidFill>
                          <w14:schemeClr w14:val="tx1"/>
                        </w14:solidFill>
                      </w14:textFill>
                    </w:rPr>
                    <w:t>5</w:t>
                  </w:r>
                </w:p>
              </w:tc>
              <w:tc>
                <w:tcPr>
                  <w:tcW w:w="2529" w:type="dxa"/>
                  <w:vAlign w:val="center"/>
                </w:tcPr>
                <w:p w14:paraId="1E6FBDD8">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6"/>
                      <w:position w:val="3"/>
                      <w:sz w:val="21"/>
                      <w:szCs w:val="21"/>
                      <w14:textFill>
                        <w14:solidFill>
                          <w14:schemeClr w14:val="tx1"/>
                        </w14:solidFill>
                      </w14:textFill>
                    </w:rPr>
                    <w:t>≤4</w:t>
                  </w:r>
                  <w:r>
                    <w:rPr>
                      <w:rFonts w:ascii="Times New Roman" w:hAnsi="Times New Roman" w:eastAsia="Times New Roman" w:cs="Times New Roman"/>
                      <w:color w:val="000000" w:themeColor="text1"/>
                      <w:position w:val="3"/>
                      <w:sz w:val="21"/>
                      <w:szCs w:val="21"/>
                      <w14:textFill>
                        <w14:solidFill>
                          <w14:schemeClr w14:val="tx1"/>
                        </w14:solidFill>
                      </w14:textFill>
                    </w:rPr>
                    <w:t>mg</w:t>
                  </w:r>
                  <w:r>
                    <w:rPr>
                      <w:rFonts w:ascii="Times New Roman" w:hAnsi="Times New Roman" w:eastAsia="Times New Roman" w:cs="Times New Roman"/>
                      <w:color w:val="000000" w:themeColor="text1"/>
                      <w:spacing w:val="6"/>
                      <w:position w:val="3"/>
                      <w:sz w:val="21"/>
                      <w:szCs w:val="21"/>
                      <w14:textFill>
                        <w14:solidFill>
                          <w14:schemeClr w14:val="tx1"/>
                        </w14:solidFill>
                      </w14:textFill>
                    </w:rPr>
                    <w:t>/L</w:t>
                  </w:r>
                </w:p>
              </w:tc>
            </w:tr>
            <w:tr w14:paraId="50922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3" w:type="dxa"/>
                  <w:vMerge w:val="continue"/>
                  <w:vAlign w:val="center"/>
                </w:tcPr>
                <w:p w14:paraId="44A258D5">
                  <w:pPr>
                    <w:spacing w:after="0" w:line="240" w:lineRule="auto"/>
                    <w:jc w:val="center"/>
                    <w:rPr>
                      <w:rFonts w:ascii="Arial"/>
                      <w:color w:val="000000" w:themeColor="text1"/>
                      <w:sz w:val="21"/>
                      <w:szCs w:val="21"/>
                      <w14:textFill>
                        <w14:solidFill>
                          <w14:schemeClr w14:val="tx1"/>
                        </w14:solidFill>
                      </w14:textFill>
                    </w:rPr>
                  </w:pPr>
                </w:p>
              </w:tc>
              <w:tc>
                <w:tcPr>
                  <w:tcW w:w="1185" w:type="dxa"/>
                  <w:vMerge w:val="continue"/>
                  <w:vAlign w:val="center"/>
                </w:tcPr>
                <w:p w14:paraId="205FE97F">
                  <w:pPr>
                    <w:spacing w:after="0" w:line="240" w:lineRule="auto"/>
                    <w:jc w:val="center"/>
                    <w:rPr>
                      <w:rFonts w:ascii="Arial"/>
                      <w:color w:val="000000" w:themeColor="text1"/>
                      <w:sz w:val="21"/>
                      <w:szCs w:val="21"/>
                      <w14:textFill>
                        <w14:solidFill>
                          <w14:schemeClr w14:val="tx1"/>
                        </w14:solidFill>
                      </w14:textFill>
                    </w:rPr>
                  </w:pPr>
                </w:p>
              </w:tc>
              <w:tc>
                <w:tcPr>
                  <w:tcW w:w="2514" w:type="dxa"/>
                  <w:vAlign w:val="center"/>
                </w:tcPr>
                <w:p w14:paraId="50537912">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NH</w:t>
                  </w:r>
                  <w:r>
                    <w:rPr>
                      <w:rFonts w:ascii="Times New Roman" w:hAnsi="Times New Roman" w:eastAsia="Times New Roman" w:cs="Times New Roman"/>
                      <w:color w:val="000000" w:themeColor="text1"/>
                      <w:spacing w:val="9"/>
                      <w:sz w:val="21"/>
                      <w:szCs w:val="21"/>
                      <w:vertAlign w:val="subscript"/>
                      <w14:textFill>
                        <w14:solidFill>
                          <w14:schemeClr w14:val="tx1"/>
                        </w14:solidFill>
                      </w14:textFill>
                    </w:rPr>
                    <w:t>3</w:t>
                  </w:r>
                  <w:r>
                    <w:rPr>
                      <w:rFonts w:ascii="Times New Roman" w:hAnsi="Times New Roman" w:eastAsia="Times New Roman" w:cs="Times New Roman"/>
                      <w:color w:val="000000" w:themeColor="text1"/>
                      <w:spacing w:val="9"/>
                      <w:sz w:val="21"/>
                      <w:szCs w:val="21"/>
                      <w14:textFill>
                        <w14:solidFill>
                          <w14:schemeClr w14:val="tx1"/>
                        </w14:solidFill>
                      </w14:textFill>
                    </w:rPr>
                    <w:t>-N</w:t>
                  </w:r>
                </w:p>
              </w:tc>
              <w:tc>
                <w:tcPr>
                  <w:tcW w:w="2529" w:type="dxa"/>
                  <w:vAlign w:val="center"/>
                </w:tcPr>
                <w:p w14:paraId="2B766BD7">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5"/>
                      <w:position w:val="3"/>
                      <w:sz w:val="21"/>
                      <w:szCs w:val="21"/>
                      <w14:textFill>
                        <w14:solidFill>
                          <w14:schemeClr w14:val="tx1"/>
                        </w14:solidFill>
                      </w14:textFill>
                    </w:rPr>
                    <w:t>≤1.0</w:t>
                  </w:r>
                  <w:r>
                    <w:rPr>
                      <w:rFonts w:ascii="Times New Roman" w:hAnsi="Times New Roman" w:eastAsia="Times New Roman" w:cs="Times New Roman"/>
                      <w:color w:val="000000" w:themeColor="text1"/>
                      <w:position w:val="3"/>
                      <w:sz w:val="21"/>
                      <w:szCs w:val="21"/>
                      <w14:textFill>
                        <w14:solidFill>
                          <w14:schemeClr w14:val="tx1"/>
                        </w14:solidFill>
                      </w14:textFill>
                    </w:rPr>
                    <w:t>mg</w:t>
                  </w:r>
                  <w:r>
                    <w:rPr>
                      <w:rFonts w:ascii="Times New Roman" w:hAnsi="Times New Roman" w:eastAsia="Times New Roman" w:cs="Times New Roman"/>
                      <w:color w:val="000000" w:themeColor="text1"/>
                      <w:spacing w:val="5"/>
                      <w:position w:val="3"/>
                      <w:sz w:val="21"/>
                      <w:szCs w:val="21"/>
                      <w14:textFill>
                        <w14:solidFill>
                          <w14:schemeClr w14:val="tx1"/>
                        </w14:solidFill>
                      </w14:textFill>
                    </w:rPr>
                    <w:t>/L</w:t>
                  </w:r>
                </w:p>
              </w:tc>
            </w:tr>
            <w:tr w14:paraId="6A445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3" w:type="dxa"/>
                  <w:vMerge w:val="continue"/>
                  <w:vAlign w:val="center"/>
                </w:tcPr>
                <w:p w14:paraId="5CC6312F">
                  <w:pPr>
                    <w:spacing w:after="0" w:line="240" w:lineRule="auto"/>
                    <w:jc w:val="center"/>
                    <w:rPr>
                      <w:rFonts w:ascii="Arial"/>
                      <w:color w:val="000000" w:themeColor="text1"/>
                      <w:sz w:val="21"/>
                      <w:szCs w:val="21"/>
                      <w14:textFill>
                        <w14:solidFill>
                          <w14:schemeClr w14:val="tx1"/>
                        </w14:solidFill>
                      </w14:textFill>
                    </w:rPr>
                  </w:pPr>
                </w:p>
              </w:tc>
              <w:tc>
                <w:tcPr>
                  <w:tcW w:w="1185" w:type="dxa"/>
                  <w:vMerge w:val="restart"/>
                  <w:vAlign w:val="center"/>
                </w:tcPr>
                <w:p w14:paraId="0D391F0D">
                  <w:pPr>
                    <w:pStyle w:val="172"/>
                    <w:spacing w:after="0" w:line="240" w:lineRule="auto"/>
                    <w:jc w:val="center"/>
                    <w:rPr>
                      <w:rFonts w:hint="eastAsia"/>
                      <w:color w:val="000000" w:themeColor="text1"/>
                      <w:sz w:val="21"/>
                      <w:szCs w:val="21"/>
                      <w14:textFill>
                        <w14:solidFill>
                          <w14:schemeClr w14:val="tx1"/>
                        </w14:solidFill>
                      </w14:textFill>
                    </w:rPr>
                  </w:pPr>
                  <w:r>
                    <w:rPr>
                      <w:color w:val="000000" w:themeColor="text1"/>
                      <w:spacing w:val="1"/>
                      <w:sz w:val="21"/>
                      <w:szCs w:val="21"/>
                      <w14:textFill>
                        <w14:solidFill>
                          <w14:schemeClr w14:val="tx1"/>
                        </w14:solidFill>
                      </w14:textFill>
                    </w:rPr>
                    <w:t>Ⅳ类</w:t>
                  </w:r>
                </w:p>
              </w:tc>
              <w:tc>
                <w:tcPr>
                  <w:tcW w:w="2514" w:type="dxa"/>
                  <w:vAlign w:val="center"/>
                </w:tcPr>
                <w:p w14:paraId="36552B3D">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3"/>
                      <w:sz w:val="21"/>
                      <w:szCs w:val="21"/>
                      <w14:textFill>
                        <w14:solidFill>
                          <w14:schemeClr w14:val="tx1"/>
                        </w14:solidFill>
                      </w14:textFill>
                    </w:rPr>
                    <w:t>PH</w:t>
                  </w:r>
                </w:p>
              </w:tc>
              <w:tc>
                <w:tcPr>
                  <w:tcW w:w="2529" w:type="dxa"/>
                  <w:vAlign w:val="center"/>
                </w:tcPr>
                <w:p w14:paraId="16F4A1E7">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6-9</w:t>
                  </w:r>
                </w:p>
              </w:tc>
            </w:tr>
            <w:tr w14:paraId="68B53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3" w:type="dxa"/>
                  <w:vMerge w:val="continue"/>
                  <w:vAlign w:val="center"/>
                </w:tcPr>
                <w:p w14:paraId="0CF62021">
                  <w:pPr>
                    <w:spacing w:after="0" w:line="240" w:lineRule="auto"/>
                    <w:jc w:val="center"/>
                    <w:rPr>
                      <w:rFonts w:ascii="Arial"/>
                      <w:color w:val="000000" w:themeColor="text1"/>
                      <w:sz w:val="21"/>
                      <w:szCs w:val="21"/>
                      <w14:textFill>
                        <w14:solidFill>
                          <w14:schemeClr w14:val="tx1"/>
                        </w14:solidFill>
                      </w14:textFill>
                    </w:rPr>
                  </w:pPr>
                </w:p>
              </w:tc>
              <w:tc>
                <w:tcPr>
                  <w:tcW w:w="1185" w:type="dxa"/>
                  <w:vMerge w:val="continue"/>
                  <w:vAlign w:val="center"/>
                </w:tcPr>
                <w:p w14:paraId="3F33EE7A">
                  <w:pPr>
                    <w:spacing w:after="0" w:line="240" w:lineRule="auto"/>
                    <w:jc w:val="center"/>
                    <w:rPr>
                      <w:rFonts w:ascii="Arial"/>
                      <w:color w:val="000000" w:themeColor="text1"/>
                      <w:sz w:val="21"/>
                      <w:szCs w:val="21"/>
                      <w14:textFill>
                        <w14:solidFill>
                          <w14:schemeClr w14:val="tx1"/>
                        </w14:solidFill>
                      </w14:textFill>
                    </w:rPr>
                  </w:pPr>
                </w:p>
              </w:tc>
              <w:tc>
                <w:tcPr>
                  <w:tcW w:w="2514" w:type="dxa"/>
                  <w:vAlign w:val="center"/>
                </w:tcPr>
                <w:p w14:paraId="1295D6FE">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3"/>
                      <w:sz w:val="21"/>
                      <w:szCs w:val="21"/>
                      <w14:textFill>
                        <w14:solidFill>
                          <w14:schemeClr w14:val="tx1"/>
                        </w14:solidFill>
                      </w14:textFill>
                    </w:rPr>
                    <w:t>COD</w:t>
                  </w:r>
                </w:p>
              </w:tc>
              <w:tc>
                <w:tcPr>
                  <w:tcW w:w="2529" w:type="dxa"/>
                  <w:vAlign w:val="center"/>
                </w:tcPr>
                <w:p w14:paraId="5E8FD106">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6"/>
                      <w:position w:val="3"/>
                      <w:sz w:val="21"/>
                      <w:szCs w:val="21"/>
                      <w14:textFill>
                        <w14:solidFill>
                          <w14:schemeClr w14:val="tx1"/>
                        </w14:solidFill>
                      </w14:textFill>
                    </w:rPr>
                    <w:t>≤10</w:t>
                  </w:r>
                  <w:r>
                    <w:rPr>
                      <w:rFonts w:ascii="Times New Roman" w:hAnsi="Times New Roman" w:eastAsia="Times New Roman" w:cs="Times New Roman"/>
                      <w:color w:val="000000" w:themeColor="text1"/>
                      <w:position w:val="3"/>
                      <w:sz w:val="21"/>
                      <w:szCs w:val="21"/>
                      <w14:textFill>
                        <w14:solidFill>
                          <w14:schemeClr w14:val="tx1"/>
                        </w14:solidFill>
                      </w14:textFill>
                    </w:rPr>
                    <w:t>mg</w:t>
                  </w:r>
                  <w:r>
                    <w:rPr>
                      <w:rFonts w:ascii="Times New Roman" w:hAnsi="Times New Roman" w:eastAsia="Times New Roman" w:cs="Times New Roman"/>
                      <w:color w:val="000000" w:themeColor="text1"/>
                      <w:spacing w:val="6"/>
                      <w:position w:val="3"/>
                      <w:sz w:val="21"/>
                      <w:szCs w:val="21"/>
                      <w14:textFill>
                        <w14:solidFill>
                          <w14:schemeClr w14:val="tx1"/>
                        </w14:solidFill>
                      </w14:textFill>
                    </w:rPr>
                    <w:t>/L</w:t>
                  </w:r>
                </w:p>
              </w:tc>
            </w:tr>
            <w:tr w14:paraId="00B30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3" w:type="dxa"/>
                  <w:vMerge w:val="continue"/>
                  <w:vAlign w:val="center"/>
                </w:tcPr>
                <w:p w14:paraId="3DDDC69E">
                  <w:pPr>
                    <w:spacing w:after="0" w:line="240" w:lineRule="auto"/>
                    <w:jc w:val="center"/>
                    <w:rPr>
                      <w:rFonts w:ascii="Arial"/>
                      <w:color w:val="000000" w:themeColor="text1"/>
                      <w:sz w:val="21"/>
                      <w:szCs w:val="21"/>
                      <w14:textFill>
                        <w14:solidFill>
                          <w14:schemeClr w14:val="tx1"/>
                        </w14:solidFill>
                      </w14:textFill>
                    </w:rPr>
                  </w:pPr>
                </w:p>
              </w:tc>
              <w:tc>
                <w:tcPr>
                  <w:tcW w:w="1185" w:type="dxa"/>
                  <w:vMerge w:val="continue"/>
                  <w:vAlign w:val="center"/>
                </w:tcPr>
                <w:p w14:paraId="31CC89C5">
                  <w:pPr>
                    <w:spacing w:after="0" w:line="240" w:lineRule="auto"/>
                    <w:jc w:val="center"/>
                    <w:rPr>
                      <w:rFonts w:ascii="Arial"/>
                      <w:color w:val="000000" w:themeColor="text1"/>
                      <w:sz w:val="21"/>
                      <w:szCs w:val="21"/>
                      <w14:textFill>
                        <w14:solidFill>
                          <w14:schemeClr w14:val="tx1"/>
                        </w14:solidFill>
                      </w14:textFill>
                    </w:rPr>
                  </w:pPr>
                </w:p>
              </w:tc>
              <w:tc>
                <w:tcPr>
                  <w:tcW w:w="2514" w:type="dxa"/>
                  <w:vAlign w:val="center"/>
                </w:tcPr>
                <w:p w14:paraId="39E99F5C">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5"/>
                      <w:sz w:val="21"/>
                      <w:szCs w:val="21"/>
                      <w14:textFill>
                        <w14:solidFill>
                          <w14:schemeClr w14:val="tx1"/>
                        </w14:solidFill>
                      </w14:textFill>
                    </w:rPr>
                    <w:t>BOD</w:t>
                  </w:r>
                  <w:r>
                    <w:rPr>
                      <w:rFonts w:ascii="Times New Roman" w:hAnsi="Times New Roman" w:eastAsia="Times New Roman" w:cs="Times New Roman"/>
                      <w:color w:val="000000" w:themeColor="text1"/>
                      <w:spacing w:val="5"/>
                      <w:position w:val="-1"/>
                      <w:sz w:val="21"/>
                      <w:szCs w:val="21"/>
                      <w:vertAlign w:val="subscript"/>
                      <w14:textFill>
                        <w14:solidFill>
                          <w14:schemeClr w14:val="tx1"/>
                        </w14:solidFill>
                      </w14:textFill>
                    </w:rPr>
                    <w:t>5</w:t>
                  </w:r>
                </w:p>
              </w:tc>
              <w:tc>
                <w:tcPr>
                  <w:tcW w:w="2529" w:type="dxa"/>
                  <w:vAlign w:val="center"/>
                </w:tcPr>
                <w:p w14:paraId="56418275">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6"/>
                      <w:position w:val="3"/>
                      <w:sz w:val="21"/>
                      <w:szCs w:val="21"/>
                      <w14:textFill>
                        <w14:solidFill>
                          <w14:schemeClr w14:val="tx1"/>
                        </w14:solidFill>
                      </w14:textFill>
                    </w:rPr>
                    <w:t>≤6</w:t>
                  </w:r>
                  <w:r>
                    <w:rPr>
                      <w:rFonts w:ascii="Times New Roman" w:hAnsi="Times New Roman" w:eastAsia="Times New Roman" w:cs="Times New Roman"/>
                      <w:color w:val="000000" w:themeColor="text1"/>
                      <w:position w:val="3"/>
                      <w:sz w:val="21"/>
                      <w:szCs w:val="21"/>
                      <w14:textFill>
                        <w14:solidFill>
                          <w14:schemeClr w14:val="tx1"/>
                        </w14:solidFill>
                      </w14:textFill>
                    </w:rPr>
                    <w:t>mg</w:t>
                  </w:r>
                  <w:r>
                    <w:rPr>
                      <w:rFonts w:ascii="Times New Roman" w:hAnsi="Times New Roman" w:eastAsia="Times New Roman" w:cs="Times New Roman"/>
                      <w:color w:val="000000" w:themeColor="text1"/>
                      <w:spacing w:val="6"/>
                      <w:position w:val="3"/>
                      <w:sz w:val="21"/>
                      <w:szCs w:val="21"/>
                      <w14:textFill>
                        <w14:solidFill>
                          <w14:schemeClr w14:val="tx1"/>
                        </w14:solidFill>
                      </w14:textFill>
                    </w:rPr>
                    <w:t>/L</w:t>
                  </w:r>
                </w:p>
              </w:tc>
            </w:tr>
            <w:tr w14:paraId="34F3A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73" w:type="dxa"/>
                  <w:vMerge w:val="continue"/>
                  <w:vAlign w:val="center"/>
                </w:tcPr>
                <w:p w14:paraId="096CB46A">
                  <w:pPr>
                    <w:spacing w:after="0" w:line="240" w:lineRule="auto"/>
                    <w:jc w:val="center"/>
                    <w:rPr>
                      <w:rFonts w:ascii="Arial"/>
                      <w:color w:val="000000" w:themeColor="text1"/>
                      <w:sz w:val="21"/>
                      <w:szCs w:val="21"/>
                      <w14:textFill>
                        <w14:solidFill>
                          <w14:schemeClr w14:val="tx1"/>
                        </w14:solidFill>
                      </w14:textFill>
                    </w:rPr>
                  </w:pPr>
                </w:p>
              </w:tc>
              <w:tc>
                <w:tcPr>
                  <w:tcW w:w="1185" w:type="dxa"/>
                  <w:vMerge w:val="continue"/>
                  <w:vAlign w:val="center"/>
                </w:tcPr>
                <w:p w14:paraId="080DEBF8">
                  <w:pPr>
                    <w:spacing w:after="0" w:line="240" w:lineRule="auto"/>
                    <w:jc w:val="center"/>
                    <w:rPr>
                      <w:rFonts w:ascii="Arial"/>
                      <w:color w:val="000000" w:themeColor="text1"/>
                      <w:sz w:val="21"/>
                      <w:szCs w:val="21"/>
                      <w14:textFill>
                        <w14:solidFill>
                          <w14:schemeClr w14:val="tx1"/>
                        </w14:solidFill>
                      </w14:textFill>
                    </w:rPr>
                  </w:pPr>
                </w:p>
              </w:tc>
              <w:tc>
                <w:tcPr>
                  <w:tcW w:w="2514" w:type="dxa"/>
                  <w:vAlign w:val="center"/>
                </w:tcPr>
                <w:p w14:paraId="14C4F628">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NH</w:t>
                  </w:r>
                  <w:r>
                    <w:rPr>
                      <w:rFonts w:ascii="Times New Roman" w:hAnsi="Times New Roman" w:eastAsia="Times New Roman" w:cs="Times New Roman"/>
                      <w:color w:val="000000" w:themeColor="text1"/>
                      <w:spacing w:val="9"/>
                      <w:position w:val="-1"/>
                      <w:sz w:val="21"/>
                      <w:szCs w:val="21"/>
                      <w:vertAlign w:val="subscript"/>
                      <w14:textFill>
                        <w14:solidFill>
                          <w14:schemeClr w14:val="tx1"/>
                        </w14:solidFill>
                      </w14:textFill>
                    </w:rPr>
                    <w:t>3</w:t>
                  </w:r>
                  <w:r>
                    <w:rPr>
                      <w:rFonts w:ascii="Times New Roman" w:hAnsi="Times New Roman" w:eastAsia="Times New Roman" w:cs="Times New Roman"/>
                      <w:color w:val="000000" w:themeColor="text1"/>
                      <w:spacing w:val="9"/>
                      <w:sz w:val="21"/>
                      <w:szCs w:val="21"/>
                      <w14:textFill>
                        <w14:solidFill>
                          <w14:schemeClr w14:val="tx1"/>
                        </w14:solidFill>
                      </w14:textFill>
                    </w:rPr>
                    <w:t>-N</w:t>
                  </w:r>
                </w:p>
              </w:tc>
              <w:tc>
                <w:tcPr>
                  <w:tcW w:w="2529" w:type="dxa"/>
                  <w:vAlign w:val="center"/>
                </w:tcPr>
                <w:p w14:paraId="2B7331BD">
                  <w:pPr>
                    <w:spacing w:after="0" w:line="240" w:lineRule="auto"/>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5"/>
                      <w:position w:val="3"/>
                      <w:sz w:val="21"/>
                      <w:szCs w:val="21"/>
                      <w14:textFill>
                        <w14:solidFill>
                          <w14:schemeClr w14:val="tx1"/>
                        </w14:solidFill>
                      </w14:textFill>
                    </w:rPr>
                    <w:t>≤1.5</w:t>
                  </w:r>
                  <w:r>
                    <w:rPr>
                      <w:rFonts w:ascii="Times New Roman" w:hAnsi="Times New Roman" w:eastAsia="Times New Roman" w:cs="Times New Roman"/>
                      <w:color w:val="000000" w:themeColor="text1"/>
                      <w:position w:val="3"/>
                      <w:sz w:val="21"/>
                      <w:szCs w:val="21"/>
                      <w14:textFill>
                        <w14:solidFill>
                          <w14:schemeClr w14:val="tx1"/>
                        </w14:solidFill>
                      </w14:textFill>
                    </w:rPr>
                    <w:t>mg</w:t>
                  </w:r>
                  <w:r>
                    <w:rPr>
                      <w:rFonts w:ascii="Times New Roman" w:hAnsi="Times New Roman" w:eastAsia="Times New Roman" w:cs="Times New Roman"/>
                      <w:color w:val="000000" w:themeColor="text1"/>
                      <w:spacing w:val="5"/>
                      <w:position w:val="3"/>
                      <w:sz w:val="21"/>
                      <w:szCs w:val="21"/>
                      <w14:textFill>
                        <w14:solidFill>
                          <w14:schemeClr w14:val="tx1"/>
                        </w14:solidFill>
                      </w14:textFill>
                    </w:rPr>
                    <w:t>/L</w:t>
                  </w:r>
                </w:p>
              </w:tc>
            </w:tr>
          </w:tbl>
          <w:p w14:paraId="4A506430">
            <w:pPr>
              <w:pStyle w:val="223"/>
              <w:spacing w:before="120"/>
              <w:ind w:firstLine="480"/>
              <w:rPr>
                <w:b/>
                <w:bCs/>
                <w:spacing w:val="-4"/>
              </w:rPr>
            </w:pPr>
            <w:r>
              <w:t>（</w:t>
            </w:r>
            <w:r>
              <w:rPr>
                <w:rFonts w:eastAsia="Times New Roman"/>
              </w:rPr>
              <w:t>2</w:t>
            </w:r>
            <w:r>
              <w:t>）地表水环境质量现状</w:t>
            </w:r>
          </w:p>
          <w:p w14:paraId="4AA1A283">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根据《202</w:t>
            </w:r>
            <w:r>
              <w:rPr>
                <w:rFonts w:hint="eastAsia" w:ascii="Times New Roman" w:hAnsi="Times New Roman" w:eastAsia="宋体" w:cs="Times New Roman"/>
                <w:color w:val="000000" w:themeColor="text1"/>
                <w:szCs w:val="24"/>
                <w14:textFill>
                  <w14:solidFill>
                    <w14:schemeClr w14:val="tx1"/>
                  </w14:solidFill>
                </w14:textFill>
              </w:rPr>
              <w:t>4</w:t>
            </w:r>
            <w:r>
              <w:rPr>
                <w:rFonts w:ascii="Times New Roman" w:hAnsi="Times New Roman" w:eastAsia="宋体" w:cs="Times New Roman"/>
                <w:color w:val="000000" w:themeColor="text1"/>
                <w:szCs w:val="24"/>
                <w14:textFill>
                  <w14:solidFill>
                    <w14:schemeClr w14:val="tx1"/>
                  </w14:solidFill>
                </w14:textFill>
              </w:rPr>
              <w:t>年福州市环境状况公报》，2024年，福州市主要流域总体水质为优的水平。主要流域国省控断面和小流域省控断面优良水质比例、集中式饮用水水源地水质达标率保持100%，闽江干流4个国控断面“十四五”以来首次实现优质水比例100%。</w:t>
            </w:r>
            <w:r>
              <w:rPr>
                <w:color w:val="000000" w:themeColor="text1"/>
                <w:spacing w:val="16"/>
                <w14:textFill>
                  <w14:solidFill>
                    <w14:schemeClr w14:val="tx1"/>
                  </w14:solidFill>
                </w14:textFill>
              </w:rPr>
              <w:t>由此可知龙江水质可达到《</w:t>
            </w:r>
            <w:r>
              <w:rPr>
                <w:color w:val="000000" w:themeColor="text1"/>
                <w:spacing w:val="-56"/>
                <w14:textFill>
                  <w14:solidFill>
                    <w14:schemeClr w14:val="tx1"/>
                  </w14:solidFill>
                </w14:textFill>
              </w:rPr>
              <w:t xml:space="preserve"> </w:t>
            </w:r>
            <w:r>
              <w:rPr>
                <w:color w:val="000000" w:themeColor="text1"/>
                <w:spacing w:val="16"/>
                <w14:textFill>
                  <w14:solidFill>
                    <w14:schemeClr w14:val="tx1"/>
                  </w14:solidFill>
                </w14:textFill>
              </w:rPr>
              <w:t>地表</w:t>
            </w:r>
            <w:r>
              <w:rPr>
                <w:color w:val="000000" w:themeColor="text1"/>
                <w:spacing w:val="15"/>
                <w14:textFill>
                  <w14:solidFill>
                    <w14:schemeClr w14:val="tx1"/>
                  </w14:solidFill>
                </w14:textFill>
              </w:rPr>
              <w:t>水环境质量标准</w:t>
            </w:r>
            <w:r>
              <w:rPr>
                <w:color w:val="000000" w:themeColor="text1"/>
                <w:spacing w:val="-67"/>
                <w14:textFill>
                  <w14:solidFill>
                    <w14:schemeClr w14:val="tx1"/>
                  </w14:solidFill>
                </w14:textFill>
              </w:rPr>
              <w:t xml:space="preserve"> </w:t>
            </w:r>
            <w:r>
              <w:rPr>
                <w:color w:val="000000" w:themeColor="text1"/>
                <w:spacing w:val="15"/>
                <w14:textFill>
                  <w14:solidFill>
                    <w14:schemeClr w14:val="tx1"/>
                  </w14:solidFill>
                </w14:textFill>
              </w:rPr>
              <w:t>》</w:t>
            </w:r>
            <w:r>
              <w:rPr>
                <w:color w:val="000000" w:themeColor="text1"/>
                <w14:textFill>
                  <w14:solidFill>
                    <w14:schemeClr w14:val="tx1"/>
                  </w14:solidFill>
                </w14:textFill>
              </w:rPr>
              <w:t xml:space="preserve"> </w:t>
            </w:r>
            <w:r>
              <w:rPr>
                <w:rFonts w:ascii="Times New Roman" w:hAnsi="Times New Roman" w:eastAsia="Times New Roman" w:cs="Times New Roman"/>
                <w:color w:val="000000" w:themeColor="text1"/>
                <w:spacing w:val="-1"/>
                <w14:textFill>
                  <w14:solidFill>
                    <w14:schemeClr w14:val="tx1"/>
                  </w14:solidFill>
                </w14:textFill>
              </w:rPr>
              <w:t xml:space="preserve">(GB3838-2002) </w:t>
            </w:r>
            <w:r>
              <w:rPr>
                <w:rFonts w:hint="eastAsia" w:ascii="宋体" w:hAnsi="宋体" w:eastAsia="宋体" w:cs="宋体"/>
                <w:color w:val="000000" w:themeColor="text1"/>
                <w:spacing w:val="-1"/>
                <w14:textFill>
                  <w14:solidFill>
                    <w14:schemeClr w14:val="tx1"/>
                  </w14:solidFill>
                </w14:textFill>
              </w:rPr>
              <w:t>Ⅲ</w:t>
            </w:r>
            <w:r>
              <w:rPr>
                <w:color w:val="000000" w:themeColor="text1"/>
                <w:spacing w:val="-1"/>
                <w14:textFill>
                  <w14:solidFill>
                    <w14:schemeClr w14:val="tx1"/>
                  </w14:solidFill>
                </w14:textFill>
              </w:rPr>
              <w:t>类水标准。</w:t>
            </w:r>
          </w:p>
          <w:p w14:paraId="13AF7DF2">
            <w:pPr>
              <w:widowControl w:val="0"/>
              <w:topLinePunct/>
              <w:spacing w:after="0" w:line="360" w:lineRule="auto"/>
              <w:jc w:val="both"/>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 xml:space="preserve">3.1.3 声环境质量现状 </w:t>
            </w:r>
          </w:p>
          <w:p w14:paraId="0883D99D">
            <w:pPr>
              <w:widowControl w:val="0"/>
              <w:topLinePunct/>
              <w:spacing w:after="0" w:line="360" w:lineRule="auto"/>
              <w:jc w:val="both"/>
              <w:rPr>
                <w:rFonts w:ascii="Times New Roman" w:hAnsi="Times New Roman" w:eastAsia="宋体" w:cs="Times New Roman"/>
                <w:b/>
                <w:bCs/>
                <w:color w:val="000000" w:themeColor="text1"/>
                <w:szCs w:val="24"/>
                <w14:textFill>
                  <w14:solidFill>
                    <w14:schemeClr w14:val="tx1"/>
                  </w14:solidFill>
                </w14:textFill>
              </w:rPr>
            </w:pPr>
            <w:r>
              <w:rPr>
                <w:rFonts w:hint="eastAsia" w:ascii="Times New Roman" w:hAnsi="Times New Roman" w:eastAsia="宋体" w:cs="Times New Roman"/>
                <w:b/>
                <w:bCs/>
                <w:color w:val="000000" w:themeColor="text1"/>
                <w:szCs w:val="24"/>
                <w14:textFill>
                  <w14:solidFill>
                    <w14:schemeClr w14:val="tx1"/>
                  </w14:solidFill>
                </w14:textFill>
              </w:rPr>
              <w:t>（1）声环境功能区</w:t>
            </w:r>
          </w:p>
          <w:p w14:paraId="0CF6DB1D">
            <w:pPr>
              <w:pStyle w:val="225"/>
              <w:ind w:firstLine="480"/>
            </w:pPr>
            <w:r>
              <w:t>本项目位于福清融侨经济技术开发区</w:t>
            </w:r>
            <w:r>
              <w:rPr>
                <w:rFonts w:hint="eastAsia" w:cs="Calibri"/>
              </w:rPr>
              <w:t>(</w:t>
            </w:r>
            <w:r>
              <w:rPr>
                <w:rFonts w:hint="eastAsia" w:ascii="宋体" w:hAnsi="宋体"/>
              </w:rPr>
              <w:t>福建中能电气有限公司3#车间</w:t>
            </w:r>
            <w:r>
              <w:rPr>
                <w:rFonts w:hint="eastAsia" w:cs="Calibri"/>
              </w:rPr>
              <w:t>)</w:t>
            </w:r>
            <w:r>
              <w:t>，所在地为工业用地，</w:t>
            </w:r>
            <w:r>
              <w:rPr>
                <w:rFonts w:hint="eastAsia"/>
              </w:rPr>
              <w:t>项目周边以工业生产、仓储物流为主，</w:t>
            </w:r>
            <w:r>
              <w:t>声环境功能区为3类声环境功能区，声环境质量执行《声环境质量标准》（GB 3096-2008）中的3类标准</w:t>
            </w:r>
            <w:r>
              <w:rPr>
                <w:rFonts w:hint="eastAsia"/>
              </w:rPr>
              <w:t>，</w:t>
            </w:r>
            <w:r>
              <w:rPr>
                <w:spacing w:val="-5"/>
              </w:rPr>
              <w:t>西侧约</w:t>
            </w:r>
            <w:r>
              <w:rPr>
                <w:rFonts w:hint="eastAsia"/>
                <w:spacing w:val="-5"/>
              </w:rPr>
              <w:t>15m为G104国道福厦路，按《声环境功能区划分技术规范》GB/T15190-2014划分，相邻区域为3类声环境功能区，距离为20m</w:t>
            </w:r>
            <w:r>
              <w:rPr>
                <w:rFonts w:hint="eastAsia"/>
                <w:spacing w:val="-5"/>
                <w:u w:val="single"/>
              </w:rPr>
              <w:t>+</w:t>
            </w:r>
            <w:r>
              <w:rPr>
                <w:rFonts w:hint="eastAsia"/>
                <w:spacing w:val="-5"/>
              </w:rPr>
              <w:t>5m范围内执行4a类声环境功能区，因此厂界西侧应</w:t>
            </w:r>
            <w:r>
              <w:rPr>
                <w:spacing w:val="-5"/>
              </w:rPr>
              <w:t>执行《声环境质量标</w:t>
            </w:r>
            <w:r>
              <w:rPr>
                <w:spacing w:val="7"/>
              </w:rPr>
              <w:t>准》（</w:t>
            </w:r>
            <w:r>
              <w:rPr>
                <w:rFonts w:eastAsia="Times New Roman"/>
              </w:rPr>
              <w:t>GB</w:t>
            </w:r>
            <w:r>
              <w:rPr>
                <w:rFonts w:eastAsia="Times New Roman"/>
                <w:spacing w:val="7"/>
              </w:rPr>
              <w:t>3096-2008</w:t>
            </w:r>
            <w:r>
              <w:rPr>
                <w:spacing w:val="7"/>
              </w:rPr>
              <w:t>）</w:t>
            </w:r>
            <w:r>
              <w:rPr>
                <w:spacing w:val="-46"/>
              </w:rPr>
              <w:t xml:space="preserve"> </w:t>
            </w:r>
            <w:r>
              <w:rPr>
                <w:spacing w:val="7"/>
              </w:rPr>
              <w:t>中的</w:t>
            </w:r>
            <w:r>
              <w:rPr>
                <w:rFonts w:eastAsia="Times New Roman"/>
                <w:spacing w:val="7"/>
              </w:rPr>
              <w:t>4a</w:t>
            </w:r>
            <w:r>
              <w:rPr>
                <w:spacing w:val="7"/>
              </w:rPr>
              <w:t>类标准</w:t>
            </w:r>
            <w:r>
              <w:rPr>
                <w:spacing w:val="-63"/>
              </w:rPr>
              <w:t xml:space="preserve"> </w:t>
            </w:r>
            <w:r>
              <w:rPr>
                <w:spacing w:val="7"/>
              </w:rPr>
              <w:t>。村庄</w:t>
            </w:r>
            <w:r>
              <w:rPr>
                <w:rFonts w:hint="eastAsia"/>
                <w:spacing w:val="7"/>
              </w:rPr>
              <w:t>（周店村）</w:t>
            </w:r>
            <w:r>
              <w:rPr>
                <w:spacing w:val="7"/>
              </w:rPr>
              <w:t>声环境执行《声环境质量标准》</w:t>
            </w:r>
            <w:r>
              <w:rPr>
                <w:spacing w:val="-1"/>
              </w:rPr>
              <w:t>（</w:t>
            </w:r>
            <w:r>
              <w:rPr>
                <w:rFonts w:eastAsia="Times New Roman"/>
                <w:spacing w:val="-1"/>
              </w:rPr>
              <w:t>GB3096-2008</w:t>
            </w:r>
            <w:r>
              <w:rPr>
                <w:spacing w:val="-1"/>
              </w:rPr>
              <w:t>）中的</w:t>
            </w:r>
            <w:r>
              <w:rPr>
                <w:rFonts w:eastAsia="Times New Roman"/>
                <w:spacing w:val="-1"/>
              </w:rPr>
              <w:t>2</w:t>
            </w:r>
            <w:r>
              <w:rPr>
                <w:spacing w:val="-1"/>
              </w:rPr>
              <w:t>类标准</w:t>
            </w:r>
            <w:r>
              <w:t>。</w:t>
            </w:r>
          </w:p>
          <w:p w14:paraId="3FB351B9">
            <w:pPr>
              <w:pStyle w:val="172"/>
              <w:numPr>
                <w:ilvl w:val="0"/>
                <w:numId w:val="3"/>
              </w:numPr>
              <w:spacing w:before="29" w:line="220" w:lineRule="auto"/>
              <w:ind w:left="600"/>
              <w:rPr>
                <w:rFonts w:hint="eastAsia"/>
                <w:color w:val="000000" w:themeColor="text1"/>
                <w:spacing w:val="-3"/>
                <w14:textFill>
                  <w14:solidFill>
                    <w14:schemeClr w14:val="tx1"/>
                  </w14:solidFill>
                </w14:textFill>
              </w:rPr>
            </w:pPr>
            <w:r>
              <w:rPr>
                <w:color w:val="000000" w:themeColor="text1"/>
                <w:spacing w:val="-3"/>
                <w14:textFill>
                  <w14:solidFill>
                    <w14:schemeClr w14:val="tx1"/>
                  </w14:solidFill>
                </w14:textFill>
              </w:rPr>
              <w:t>声环境质量现状</w:t>
            </w:r>
          </w:p>
          <w:p w14:paraId="7E052594">
            <w:pPr>
              <w:pStyle w:val="225"/>
              <w:ind w:firstLine="480"/>
              <w:rPr>
                <w:spacing w:val="-2"/>
              </w:rPr>
            </w:pPr>
            <w:r>
              <w:rPr>
                <w:rFonts w:hint="eastAsia"/>
              </w:rPr>
              <w:t>福建中能电气有限公司委托福建九五检测技术服务有限公司对项目厂界四周和东侧周店村进行声环境质量的检测(报告编号：JWJC250328001)，敏感点监测点位与项目红线之间的直线距离约为20m，检测时间为2025年4月3日，检测频次均为一天，昼夜间各一次，具体的检测数据详见下表3.1-4，检测报告详见附件10，监测点位图见图3.1-1。</w:t>
            </w:r>
          </w:p>
          <w:p w14:paraId="6F511D72">
            <w:pPr>
              <w:pStyle w:val="223"/>
              <w:spacing w:before="120"/>
              <w:ind w:firstLine="480"/>
            </w:pPr>
            <w:r>
              <w:rPr>
                <w:rFonts w:hint="eastAsia"/>
              </w:rPr>
              <w:t>根据上表检测结果可知，项目四周厂界可达到《声环境质量标准》(GB3096-2008)中的3类区标准，其中西侧厂界可达到《声环境质量标准》(GB3096-2008)中的4a类区标准，项目西侧周店村的声环境质量可达到《声环境质量标准》(GB3096-2008)表1中2类区标准要求。</w:t>
            </w:r>
          </w:p>
          <w:p w14:paraId="632048A8">
            <w:pPr>
              <w:widowControl w:val="0"/>
              <w:topLinePunct/>
              <w:spacing w:after="0" w:line="360" w:lineRule="auto"/>
              <w:jc w:val="both"/>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3.1.4 生态环境质量现状</w:t>
            </w:r>
          </w:p>
          <w:p w14:paraId="6FF4CFAE">
            <w:pPr>
              <w:pStyle w:val="21"/>
              <w:widowControl w:val="0"/>
              <w:topLinePunct/>
              <w:spacing w:after="0" w:line="360" w:lineRule="auto"/>
              <w:ind w:firstLine="48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利用现有车间进行建设，评价区域内无珍稀濒危物种，无自然保护区、风景名胜区。该项目的生产运营不会造成评价区域内生物量和物种多样性的锐减，不会引起荒漠化、水和土地的理化性质恶化，对生态环境造成的影响很小，故本评价不进行生态环境现状调查。</w:t>
            </w:r>
          </w:p>
          <w:p w14:paraId="11655BE3">
            <w:pPr>
              <w:widowControl w:val="0"/>
              <w:topLinePunct/>
              <w:spacing w:after="0" w:line="360" w:lineRule="auto"/>
              <w:jc w:val="both"/>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3.1.5 电磁辐射质量现状</w:t>
            </w:r>
          </w:p>
          <w:p w14:paraId="3D0F4AF7">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本项目未涉及电磁辐射，故不需要开展电磁辐射现状调查。</w:t>
            </w:r>
          </w:p>
          <w:p w14:paraId="29706C95">
            <w:pPr>
              <w:widowControl w:val="0"/>
              <w:topLinePunct/>
              <w:spacing w:after="0" w:line="360" w:lineRule="auto"/>
              <w:jc w:val="both"/>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3.1.6 地下水、土壤环境质量现状</w:t>
            </w:r>
          </w:p>
          <w:p w14:paraId="2B628ACF">
            <w:pPr>
              <w:pStyle w:val="14"/>
              <w:widowControl w:val="0"/>
              <w:topLinePunct/>
              <w:spacing w:after="0"/>
              <w:ind w:firstLine="476"/>
              <w:jc w:val="both"/>
              <w:rPr>
                <w:rFonts w:ascii="Times New Roman" w:hAnsi="Times New Roman" w:eastAsia="宋体" w:cs="Times New Roman"/>
                <w:color w:val="000000" w:themeColor="text1"/>
                <w14:textFill>
                  <w14:solidFill>
                    <w14:schemeClr w14:val="tx1"/>
                  </w14:solidFill>
                </w14:textFill>
              </w:rPr>
            </w:pPr>
            <w:r>
              <w:rPr>
                <w:rFonts w:hint="eastAsia"/>
                <w:color w:val="000000" w:themeColor="text1"/>
                <w:spacing w:val="-1"/>
                <w14:textFill>
                  <w14:solidFill>
                    <w14:schemeClr w14:val="tx1"/>
                  </w14:solidFill>
                </w14:textFill>
              </w:rPr>
              <w:t>厂区内的地面已进行硬化且防腐防渗，不涉及地面漫流影响及入渗途径影响，</w:t>
            </w:r>
            <w:r>
              <w:rPr>
                <w:color w:val="000000" w:themeColor="text1"/>
                <w:spacing w:val="-1"/>
                <w14:textFill>
                  <w14:solidFill>
                    <w14:schemeClr w14:val="tx1"/>
                  </w14:solidFill>
                </w14:textFill>
              </w:rPr>
              <w:t>周边地下水、土壤环境不敏感，</w:t>
            </w:r>
            <w:r>
              <w:rPr>
                <w:rFonts w:ascii="Times New Roman" w:hAnsi="Times New Roman" w:eastAsia="宋体" w:cs="Times New Roman"/>
                <w:color w:val="000000" w:themeColor="text1"/>
                <w:szCs w:val="24"/>
                <w14:textFill>
                  <w14:solidFill>
                    <w14:schemeClr w14:val="tx1"/>
                  </w14:solidFill>
                </w14:textFill>
              </w:rPr>
              <w:t>因此本评价不对项目地下水、土壤环境质量进行补充监测。</w:t>
            </w:r>
          </w:p>
        </w:tc>
      </w:tr>
      <w:tr w14:paraId="727D2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456" w:type="dxa"/>
            <w:vAlign w:val="center"/>
          </w:tcPr>
          <w:p w14:paraId="707467E2">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环境</w:t>
            </w:r>
          </w:p>
          <w:p w14:paraId="71BFF1A4">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保护</w:t>
            </w:r>
          </w:p>
          <w:p w14:paraId="57F722DA">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目标</w:t>
            </w:r>
          </w:p>
        </w:tc>
        <w:tc>
          <w:tcPr>
            <w:tcW w:w="8833" w:type="dxa"/>
            <w:vAlign w:val="center"/>
          </w:tcPr>
          <w:p w14:paraId="4CE6B912">
            <w:pPr>
              <w:widowControl w:val="0"/>
              <w:topLinePunct/>
              <w:spacing w:after="0" w:line="360" w:lineRule="auto"/>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3.2 环境保护目标</w:t>
            </w:r>
          </w:p>
          <w:p w14:paraId="3CB4E188">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项目选址周边无文物古迹、风景名胜区，不在水源地保护区、自然保护区等敏感区域内。本项目的周边环境敏感目标详见表3.2-1，项目周边环境敏感目标分布图见附图2。</w:t>
            </w:r>
          </w:p>
          <w:p w14:paraId="2CC09F48">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p>
          <w:p w14:paraId="21DFAF56">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p>
          <w:p w14:paraId="73864725">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表3.2-1 项目周边环境敏感目标</w:t>
            </w:r>
          </w:p>
          <w:tbl>
            <w:tblPr>
              <w:tblStyle w:val="168"/>
              <w:tblW w:w="86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953"/>
              <w:gridCol w:w="1842"/>
              <w:gridCol w:w="1701"/>
              <w:gridCol w:w="141"/>
              <w:gridCol w:w="103"/>
              <w:gridCol w:w="2733"/>
            </w:tblGrid>
            <w:tr w14:paraId="1F7AC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Merge w:val="restart"/>
                  <w:vAlign w:val="center"/>
                </w:tcPr>
                <w:p w14:paraId="0407AEA1">
                  <w:pPr>
                    <w:pStyle w:val="221"/>
                    <w:rPr>
                      <w:color w:val="000000" w:themeColor="text1"/>
                      <w14:textFill>
                        <w14:solidFill>
                          <w14:schemeClr w14:val="tx1"/>
                        </w14:solidFill>
                      </w14:textFill>
                    </w:rPr>
                  </w:pPr>
                  <w:r>
                    <w:rPr>
                      <w:color w:val="000000" w:themeColor="text1"/>
                      <w14:textFill>
                        <w14:solidFill>
                          <w14:schemeClr w14:val="tx1"/>
                        </w14:solidFill>
                      </w14:textFill>
                    </w:rPr>
                    <w:t>敏感目标</w:t>
                  </w:r>
                </w:p>
              </w:tc>
              <w:tc>
                <w:tcPr>
                  <w:tcW w:w="4740" w:type="dxa"/>
                  <w:gridSpan w:val="5"/>
                  <w:vAlign w:val="center"/>
                </w:tcPr>
                <w:p w14:paraId="5439BC50">
                  <w:pPr>
                    <w:pStyle w:val="221"/>
                    <w:rPr>
                      <w:color w:val="000000" w:themeColor="text1"/>
                      <w:spacing w:val="8"/>
                      <w14:textFill>
                        <w14:solidFill>
                          <w14:schemeClr w14:val="tx1"/>
                        </w14:solidFill>
                      </w14:textFill>
                    </w:rPr>
                  </w:pPr>
                  <w:r>
                    <w:rPr>
                      <w:color w:val="000000" w:themeColor="text1"/>
                      <w:spacing w:val="8"/>
                      <w14:textFill>
                        <w14:solidFill>
                          <w14:schemeClr w14:val="tx1"/>
                        </w14:solidFill>
                      </w14:textFill>
                    </w:rPr>
                    <w:t>敏感目标</w:t>
                  </w:r>
                  <w:r>
                    <w:rPr>
                      <w:rFonts w:hint="eastAsia"/>
                      <w:color w:val="000000" w:themeColor="text1"/>
                      <w:spacing w:val="8"/>
                      <w14:textFill>
                        <w14:solidFill>
                          <w14:schemeClr w14:val="tx1"/>
                        </w14:solidFill>
                      </w14:textFill>
                    </w:rPr>
                    <w:t>情况</w:t>
                  </w:r>
                </w:p>
              </w:tc>
              <w:tc>
                <w:tcPr>
                  <w:tcW w:w="2733" w:type="dxa"/>
                  <w:vMerge w:val="restart"/>
                  <w:vAlign w:val="center"/>
                </w:tcPr>
                <w:p w14:paraId="4A2D4A62">
                  <w:pPr>
                    <w:pStyle w:val="221"/>
                    <w:rPr>
                      <w:color w:val="000000" w:themeColor="text1"/>
                      <w14:textFill>
                        <w14:solidFill>
                          <w14:schemeClr w14:val="tx1"/>
                        </w14:solidFill>
                      </w14:textFill>
                    </w:rPr>
                  </w:pPr>
                  <w:r>
                    <w:rPr>
                      <w:color w:val="000000" w:themeColor="text1"/>
                      <w:spacing w:val="8"/>
                      <w14:textFill>
                        <w14:solidFill>
                          <w14:schemeClr w14:val="tx1"/>
                        </w14:solidFill>
                      </w14:textFill>
                    </w:rPr>
                    <w:t>环境质量目标</w:t>
                  </w:r>
                </w:p>
              </w:tc>
            </w:tr>
            <w:tr w14:paraId="7C63F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Merge w:val="continue"/>
                  <w:vAlign w:val="center"/>
                </w:tcPr>
                <w:p w14:paraId="07E9E038">
                  <w:pPr>
                    <w:pStyle w:val="221"/>
                    <w:rPr>
                      <w:rFonts w:ascii="Arial"/>
                      <w:color w:val="000000" w:themeColor="text1"/>
                      <w14:textFill>
                        <w14:solidFill>
                          <w14:schemeClr w14:val="tx1"/>
                        </w14:solidFill>
                      </w14:textFill>
                    </w:rPr>
                  </w:pPr>
                </w:p>
              </w:tc>
              <w:tc>
                <w:tcPr>
                  <w:tcW w:w="953" w:type="dxa"/>
                  <w:vAlign w:val="center"/>
                </w:tcPr>
                <w:p w14:paraId="462349FD">
                  <w:pPr>
                    <w:pStyle w:val="221"/>
                    <w:rPr>
                      <w:color w:val="000000" w:themeColor="text1"/>
                      <w14:textFill>
                        <w14:solidFill>
                          <w14:schemeClr w14:val="tx1"/>
                        </w14:solidFill>
                      </w14:textFill>
                    </w:rPr>
                  </w:pPr>
                  <w:r>
                    <w:rPr>
                      <w:color w:val="000000" w:themeColor="text1"/>
                      <w:spacing w:val="4"/>
                      <w14:textFill>
                        <w14:solidFill>
                          <w14:schemeClr w14:val="tx1"/>
                        </w14:solidFill>
                      </w14:textFill>
                    </w:rPr>
                    <w:t>方位</w:t>
                  </w:r>
                </w:p>
              </w:tc>
              <w:tc>
                <w:tcPr>
                  <w:tcW w:w="1842" w:type="dxa"/>
                  <w:vAlign w:val="center"/>
                </w:tcPr>
                <w:p w14:paraId="3B27AF58">
                  <w:pPr>
                    <w:pStyle w:val="221"/>
                    <w:rPr>
                      <w:color w:val="000000" w:themeColor="text1"/>
                      <w14:textFill>
                        <w14:solidFill>
                          <w14:schemeClr w14:val="tx1"/>
                        </w14:solidFill>
                      </w14:textFill>
                    </w:rPr>
                  </w:pPr>
                  <w:r>
                    <w:rPr>
                      <w:rFonts w:hint="eastAsia"/>
                      <w:color w:val="000000" w:themeColor="text1"/>
                      <w:spacing w:val="6"/>
                      <w14:textFill>
                        <w14:solidFill>
                          <w14:schemeClr w14:val="tx1"/>
                        </w14:solidFill>
                      </w14:textFill>
                    </w:rPr>
                    <w:t>离厂界</w:t>
                  </w:r>
                  <w:r>
                    <w:rPr>
                      <w:color w:val="000000" w:themeColor="text1"/>
                      <w:spacing w:val="6"/>
                      <w14:textFill>
                        <w14:solidFill>
                          <w14:schemeClr w14:val="tx1"/>
                        </w14:solidFill>
                      </w14:textFill>
                    </w:rPr>
                    <w:t>最近距离</w:t>
                  </w:r>
                </w:p>
              </w:tc>
              <w:tc>
                <w:tcPr>
                  <w:tcW w:w="1945" w:type="dxa"/>
                  <w:gridSpan w:val="3"/>
                  <w:vAlign w:val="center"/>
                </w:tcPr>
                <w:p w14:paraId="4F0DF158">
                  <w:pPr>
                    <w:pStyle w:val="221"/>
                    <w:rPr>
                      <w:rFonts w:ascii="Arial"/>
                      <w:color w:val="000000" w:themeColor="text1"/>
                      <w14:textFill>
                        <w14:solidFill>
                          <w14:schemeClr w14:val="tx1"/>
                        </w14:solidFill>
                      </w14:textFill>
                    </w:rPr>
                  </w:pPr>
                  <w:r>
                    <w:rPr>
                      <w:rFonts w:hint="eastAsia"/>
                      <w:color w:val="000000" w:themeColor="text1"/>
                      <w:spacing w:val="8"/>
                      <w14:textFill>
                        <w14:solidFill>
                          <w14:schemeClr w14:val="tx1"/>
                        </w14:solidFill>
                      </w14:textFill>
                    </w:rPr>
                    <w:t>规模</w:t>
                  </w:r>
                </w:p>
              </w:tc>
              <w:tc>
                <w:tcPr>
                  <w:tcW w:w="2733" w:type="dxa"/>
                  <w:vMerge w:val="continue"/>
                  <w:vAlign w:val="center"/>
                </w:tcPr>
                <w:p w14:paraId="2B97E7FC">
                  <w:pPr>
                    <w:pStyle w:val="221"/>
                    <w:rPr>
                      <w:rFonts w:ascii="Arial"/>
                      <w:color w:val="000000" w:themeColor="text1"/>
                      <w14:textFill>
                        <w14:solidFill>
                          <w14:schemeClr w14:val="tx1"/>
                        </w14:solidFill>
                      </w14:textFill>
                    </w:rPr>
                  </w:pPr>
                </w:p>
              </w:tc>
            </w:tr>
            <w:tr w14:paraId="5714A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7" w:type="dxa"/>
                  <w:gridSpan w:val="7"/>
                  <w:vAlign w:val="center"/>
                </w:tcPr>
                <w:p w14:paraId="71990633">
                  <w:pPr>
                    <w:pStyle w:val="221"/>
                    <w:rPr>
                      <w:rFonts w:ascii="Arial"/>
                      <w:color w:val="000000" w:themeColor="text1"/>
                      <w14:textFill>
                        <w14:solidFill>
                          <w14:schemeClr w14:val="tx1"/>
                        </w14:solidFill>
                      </w14:textFill>
                    </w:rPr>
                  </w:pPr>
                  <w:r>
                    <w:rPr>
                      <w:rFonts w:hint="eastAsia" w:ascii="Arial"/>
                      <w:color w:val="000000" w:themeColor="text1"/>
                      <w14:textFill>
                        <w14:solidFill>
                          <w14:schemeClr w14:val="tx1"/>
                        </w14:solidFill>
                      </w14:textFill>
                    </w:rPr>
                    <w:t>环境空气</w:t>
                  </w:r>
                </w:p>
              </w:tc>
            </w:tr>
            <w:tr w14:paraId="6E7DF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Align w:val="center"/>
                </w:tcPr>
                <w:p w14:paraId="2B8099F2">
                  <w:pPr>
                    <w:pStyle w:val="221"/>
                    <w:rPr>
                      <w:color w:val="000000" w:themeColor="text1"/>
                      <w14:textFill>
                        <w14:solidFill>
                          <w14:schemeClr w14:val="tx1"/>
                        </w14:solidFill>
                      </w14:textFill>
                    </w:rPr>
                  </w:pPr>
                  <w:r>
                    <w:rPr>
                      <w:rFonts w:hint="eastAsia"/>
                      <w:color w:val="000000" w:themeColor="text1"/>
                      <w:spacing w:val="4"/>
                      <w14:textFill>
                        <w14:solidFill>
                          <w14:schemeClr w14:val="tx1"/>
                        </w14:solidFill>
                      </w14:textFill>
                    </w:rPr>
                    <w:t>周店村</w:t>
                  </w:r>
                </w:p>
              </w:tc>
              <w:tc>
                <w:tcPr>
                  <w:tcW w:w="953" w:type="dxa"/>
                  <w:vAlign w:val="center"/>
                </w:tcPr>
                <w:p w14:paraId="38BB3CC9">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E</w:t>
                  </w:r>
                </w:p>
              </w:tc>
              <w:tc>
                <w:tcPr>
                  <w:tcW w:w="1842" w:type="dxa"/>
                  <w:vAlign w:val="center"/>
                </w:tcPr>
                <w:p w14:paraId="7F5D5C35">
                  <w:pPr>
                    <w:pStyle w:val="221"/>
                    <w:rPr>
                      <w:rFonts w:eastAsia="Times New Roman"/>
                      <w:color w:val="000000" w:themeColor="text1"/>
                      <w14:textFill>
                        <w14:solidFill>
                          <w14:schemeClr w14:val="tx1"/>
                        </w14:solidFill>
                      </w14:textFill>
                    </w:rPr>
                  </w:pPr>
                  <w:r>
                    <w:rPr>
                      <w:rFonts w:hint="eastAsia" w:ascii="宋体" w:hAnsi="宋体" w:cs="宋体"/>
                      <w:color w:val="000000" w:themeColor="text1"/>
                      <w:spacing w:val="-1"/>
                      <w14:textFill>
                        <w14:solidFill>
                          <w14:schemeClr w14:val="tx1"/>
                        </w14:solidFill>
                      </w14:textFill>
                    </w:rPr>
                    <w:t>约</w:t>
                  </w:r>
                  <w:r>
                    <w:rPr>
                      <w:rFonts w:hint="eastAsia"/>
                      <w:color w:val="000000" w:themeColor="text1"/>
                      <w:spacing w:val="3"/>
                      <w14:textFill>
                        <w14:solidFill>
                          <w14:schemeClr w14:val="tx1"/>
                        </w14:solidFill>
                      </w14:textFill>
                    </w:rPr>
                    <w:t>20</w:t>
                  </w:r>
                  <w:r>
                    <w:rPr>
                      <w:rFonts w:eastAsia="Times New Roman"/>
                      <w:color w:val="000000" w:themeColor="text1"/>
                      <w:spacing w:val="3"/>
                      <w14:textFill>
                        <w14:solidFill>
                          <w14:schemeClr w14:val="tx1"/>
                        </w14:solidFill>
                      </w14:textFill>
                    </w:rPr>
                    <w:t>m</w:t>
                  </w:r>
                </w:p>
              </w:tc>
              <w:tc>
                <w:tcPr>
                  <w:tcW w:w="1945" w:type="dxa"/>
                  <w:gridSpan w:val="3"/>
                  <w:vAlign w:val="center"/>
                </w:tcPr>
                <w:p w14:paraId="7F9C4A80">
                  <w:pPr>
                    <w:pStyle w:val="221"/>
                    <w:rPr>
                      <w:color w:val="000000" w:themeColor="text1"/>
                      <w:spacing w:val="1"/>
                      <w14:textFill>
                        <w14:solidFill>
                          <w14:schemeClr w14:val="tx1"/>
                        </w14:solidFill>
                      </w14:textFill>
                    </w:rPr>
                  </w:pPr>
                  <w:r>
                    <w:rPr>
                      <w:color w:val="000000" w:themeColor="text1"/>
                      <w:spacing w:val="1"/>
                      <w14:textFill>
                        <w14:solidFill>
                          <w14:schemeClr w14:val="tx1"/>
                        </w14:solidFill>
                      </w14:textFill>
                    </w:rPr>
                    <w:t>约</w:t>
                  </w:r>
                  <w:r>
                    <w:rPr>
                      <w:rFonts w:hint="eastAsia"/>
                      <w:color w:val="000000" w:themeColor="text1"/>
                      <w:spacing w:val="1"/>
                      <w14:textFill>
                        <w14:solidFill>
                          <w14:schemeClr w14:val="tx1"/>
                        </w14:solidFill>
                      </w14:textFill>
                    </w:rPr>
                    <w:t>780户/2730人</w:t>
                  </w:r>
                </w:p>
              </w:tc>
              <w:tc>
                <w:tcPr>
                  <w:tcW w:w="2733" w:type="dxa"/>
                  <w:vMerge w:val="restart"/>
                  <w:vAlign w:val="center"/>
                </w:tcPr>
                <w:p w14:paraId="3C19A625">
                  <w:pPr>
                    <w:pStyle w:val="221"/>
                    <w:rPr>
                      <w:color w:val="000000" w:themeColor="text1"/>
                      <w14:textFill>
                        <w14:solidFill>
                          <w14:schemeClr w14:val="tx1"/>
                        </w14:solidFill>
                      </w14:textFill>
                    </w:rPr>
                  </w:pPr>
                  <w:r>
                    <w:rPr>
                      <w:color w:val="000000" w:themeColor="text1"/>
                      <w:spacing w:val="1"/>
                      <w14:textFill>
                        <w14:solidFill>
                          <w14:schemeClr w14:val="tx1"/>
                        </w14:solidFill>
                      </w14:textFill>
                    </w:rPr>
                    <w:t>《环境空气质量标准》（</w:t>
                  </w:r>
                  <w:r>
                    <w:rPr>
                      <w:rFonts w:eastAsia="Times New Roman"/>
                      <w:color w:val="000000" w:themeColor="text1"/>
                      <w14:textFill>
                        <w14:solidFill>
                          <w14:schemeClr w14:val="tx1"/>
                        </w14:solidFill>
                      </w14:textFill>
                    </w:rPr>
                    <w:t>GB</w:t>
                  </w:r>
                  <w:r>
                    <w:rPr>
                      <w:rFonts w:eastAsia="Times New Roman"/>
                      <w:color w:val="000000" w:themeColor="text1"/>
                      <w:spacing w:val="1"/>
                      <w14:textFill>
                        <w14:solidFill>
                          <w14:schemeClr w14:val="tx1"/>
                        </w14:solidFill>
                      </w14:textFill>
                    </w:rPr>
                    <w:t>3095-2012</w:t>
                  </w:r>
                  <w:r>
                    <w:rPr>
                      <w:color w:val="000000" w:themeColor="text1"/>
                      <w:spacing w:val="1"/>
                      <w14:textFill>
                        <w14:solidFill>
                          <w14:schemeClr w14:val="tx1"/>
                        </w14:solidFill>
                      </w14:textFill>
                    </w:rPr>
                    <w:t>）</w:t>
                  </w:r>
                  <w:r>
                    <w:rPr>
                      <w:color w:val="000000" w:themeColor="text1"/>
                      <w:spacing w:val="6"/>
                      <w14:textFill>
                        <w14:solidFill>
                          <w14:schemeClr w14:val="tx1"/>
                        </w14:solidFill>
                      </w14:textFill>
                    </w:rPr>
                    <w:t>二级标准</w:t>
                  </w:r>
                </w:p>
              </w:tc>
            </w:tr>
            <w:tr w14:paraId="005EC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Align w:val="center"/>
                </w:tcPr>
                <w:p w14:paraId="30BA1711">
                  <w:pPr>
                    <w:pStyle w:val="221"/>
                    <w:rPr>
                      <w:color w:val="000000" w:themeColor="text1"/>
                      <w:spacing w:val="6"/>
                      <w14:textFill>
                        <w14:solidFill>
                          <w14:schemeClr w14:val="tx1"/>
                        </w14:solidFill>
                      </w14:textFill>
                    </w:rPr>
                  </w:pPr>
                  <w:r>
                    <w:rPr>
                      <w:color w:val="000000" w:themeColor="text1"/>
                      <w:spacing w:val="6"/>
                      <w14:textFill>
                        <w14:solidFill>
                          <w14:schemeClr w14:val="tx1"/>
                        </w14:solidFill>
                      </w14:textFill>
                    </w:rPr>
                    <w:t>金印村</w:t>
                  </w:r>
                </w:p>
              </w:tc>
              <w:tc>
                <w:tcPr>
                  <w:tcW w:w="953" w:type="dxa"/>
                  <w:vAlign w:val="center"/>
                </w:tcPr>
                <w:p w14:paraId="4CF41F9C">
                  <w:pPr>
                    <w:pStyle w:val="221"/>
                    <w:rPr>
                      <w:rFonts w:eastAsiaTheme="minorEastAsia"/>
                      <w:color w:val="000000" w:themeColor="text1"/>
                      <w:spacing w:val="5"/>
                      <w14:textFill>
                        <w14:solidFill>
                          <w14:schemeClr w14:val="tx1"/>
                        </w14:solidFill>
                      </w14:textFill>
                    </w:rPr>
                  </w:pPr>
                  <w:r>
                    <w:rPr>
                      <w:rFonts w:eastAsia="Times New Roman"/>
                      <w:color w:val="000000" w:themeColor="text1"/>
                      <w:spacing w:val="5"/>
                      <w14:textFill>
                        <w14:solidFill>
                          <w14:schemeClr w14:val="tx1"/>
                        </w14:solidFill>
                      </w14:textFill>
                    </w:rPr>
                    <w:t>W</w:t>
                  </w:r>
                </w:p>
              </w:tc>
              <w:tc>
                <w:tcPr>
                  <w:tcW w:w="1842" w:type="dxa"/>
                  <w:vAlign w:val="center"/>
                </w:tcPr>
                <w:p w14:paraId="77EDF736">
                  <w:pPr>
                    <w:pStyle w:val="221"/>
                    <w:rPr>
                      <w:rFonts w:eastAsia="Times New Roman"/>
                      <w:color w:val="000000" w:themeColor="text1"/>
                      <w:spacing w:val="-1"/>
                      <w14:textFill>
                        <w14:solidFill>
                          <w14:schemeClr w14:val="tx1"/>
                        </w14:solidFill>
                      </w14:textFill>
                    </w:rPr>
                  </w:pPr>
                  <w:r>
                    <w:rPr>
                      <w:rFonts w:hint="eastAsia" w:ascii="宋体" w:hAnsi="宋体" w:cs="宋体"/>
                      <w:color w:val="000000" w:themeColor="text1"/>
                      <w:spacing w:val="-1"/>
                      <w14:textFill>
                        <w14:solidFill>
                          <w14:schemeClr w14:val="tx1"/>
                        </w14:solidFill>
                      </w14:textFill>
                    </w:rPr>
                    <w:t>约</w:t>
                  </w:r>
                  <w:r>
                    <w:rPr>
                      <w:rFonts w:eastAsia="Times New Roman"/>
                      <w:color w:val="000000" w:themeColor="text1"/>
                      <w:spacing w:val="-1"/>
                      <w14:textFill>
                        <w14:solidFill>
                          <w14:schemeClr w14:val="tx1"/>
                        </w14:solidFill>
                      </w14:textFill>
                    </w:rPr>
                    <w:t>18</w:t>
                  </w:r>
                  <w:r>
                    <w:rPr>
                      <w:rFonts w:hint="eastAsia" w:eastAsiaTheme="minorEastAsia"/>
                      <w:color w:val="000000" w:themeColor="text1"/>
                      <w:spacing w:val="-1"/>
                      <w14:textFill>
                        <w14:solidFill>
                          <w14:schemeClr w14:val="tx1"/>
                        </w14:solidFill>
                      </w14:textFill>
                    </w:rPr>
                    <w:t>0</w:t>
                  </w:r>
                  <w:r>
                    <w:rPr>
                      <w:rFonts w:eastAsia="Times New Roman"/>
                      <w:color w:val="000000" w:themeColor="text1"/>
                      <w:spacing w:val="-1"/>
                      <w14:textFill>
                        <w14:solidFill>
                          <w14:schemeClr w14:val="tx1"/>
                        </w14:solidFill>
                      </w14:textFill>
                    </w:rPr>
                    <w:t>m</w:t>
                  </w:r>
                </w:p>
              </w:tc>
              <w:tc>
                <w:tcPr>
                  <w:tcW w:w="1945" w:type="dxa"/>
                  <w:gridSpan w:val="3"/>
                  <w:vAlign w:val="center"/>
                </w:tcPr>
                <w:p w14:paraId="377E7B20">
                  <w:pPr>
                    <w:pStyle w:val="221"/>
                    <w:rPr>
                      <w:color w:val="000000" w:themeColor="text1"/>
                      <w:spacing w:val="1"/>
                      <w14:textFill>
                        <w14:solidFill>
                          <w14:schemeClr w14:val="tx1"/>
                        </w14:solidFill>
                      </w14:textFill>
                    </w:rPr>
                  </w:pPr>
                  <w:r>
                    <w:rPr>
                      <w:color w:val="000000" w:themeColor="text1"/>
                      <w:spacing w:val="1"/>
                      <w14:textFill>
                        <w14:solidFill>
                          <w14:schemeClr w14:val="tx1"/>
                        </w14:solidFill>
                      </w14:textFill>
                    </w:rPr>
                    <w:t>约</w:t>
                  </w:r>
                  <w:r>
                    <w:rPr>
                      <w:rFonts w:hint="eastAsia"/>
                      <w:color w:val="000000" w:themeColor="text1"/>
                      <w:spacing w:val="1"/>
                      <w14:textFill>
                        <w14:solidFill>
                          <w14:schemeClr w14:val="tx1"/>
                        </w14:solidFill>
                      </w14:textFill>
                    </w:rPr>
                    <w:t>820户/2560人</w:t>
                  </w:r>
                </w:p>
              </w:tc>
              <w:tc>
                <w:tcPr>
                  <w:tcW w:w="2733" w:type="dxa"/>
                  <w:vMerge w:val="continue"/>
                  <w:vAlign w:val="center"/>
                </w:tcPr>
                <w:p w14:paraId="093D0737">
                  <w:pPr>
                    <w:pStyle w:val="221"/>
                    <w:rPr>
                      <w:color w:val="000000" w:themeColor="text1"/>
                      <w:spacing w:val="1"/>
                      <w14:textFill>
                        <w14:solidFill>
                          <w14:schemeClr w14:val="tx1"/>
                        </w14:solidFill>
                      </w14:textFill>
                    </w:rPr>
                  </w:pPr>
                </w:p>
              </w:tc>
            </w:tr>
            <w:tr w14:paraId="3631E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Align w:val="center"/>
                </w:tcPr>
                <w:p w14:paraId="14DB4198">
                  <w:pPr>
                    <w:pStyle w:val="221"/>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周尧小学</w:t>
                  </w:r>
                </w:p>
              </w:tc>
              <w:tc>
                <w:tcPr>
                  <w:tcW w:w="953" w:type="dxa"/>
                  <w:vAlign w:val="center"/>
                </w:tcPr>
                <w:p w14:paraId="1B8A5D2C">
                  <w:pPr>
                    <w:pStyle w:val="221"/>
                    <w:rPr>
                      <w:color w:val="000000" w:themeColor="text1"/>
                      <w:spacing w:val="5"/>
                      <w14:textFill>
                        <w14:solidFill>
                          <w14:schemeClr w14:val="tx1"/>
                        </w14:solidFill>
                      </w14:textFill>
                    </w:rPr>
                  </w:pPr>
                  <w:r>
                    <w:rPr>
                      <w:rFonts w:hint="eastAsia"/>
                      <w:color w:val="000000" w:themeColor="text1"/>
                      <w:spacing w:val="5"/>
                      <w14:textFill>
                        <w14:solidFill>
                          <w14:schemeClr w14:val="tx1"/>
                        </w14:solidFill>
                      </w14:textFill>
                    </w:rPr>
                    <w:t>E</w:t>
                  </w:r>
                </w:p>
              </w:tc>
              <w:tc>
                <w:tcPr>
                  <w:tcW w:w="1842" w:type="dxa"/>
                  <w:vAlign w:val="center"/>
                </w:tcPr>
                <w:p w14:paraId="23EB0EE0">
                  <w:pPr>
                    <w:pStyle w:val="221"/>
                    <w:rPr>
                      <w:color w:val="000000" w:themeColor="text1"/>
                      <w14:textFill>
                        <w14:solidFill>
                          <w14:schemeClr w14:val="tx1"/>
                        </w14:solidFill>
                      </w14:textFill>
                    </w:rPr>
                  </w:pPr>
                  <w:r>
                    <w:rPr>
                      <w:rFonts w:hint="eastAsia" w:ascii="宋体" w:hAnsi="宋体" w:cs="宋体"/>
                      <w:color w:val="000000" w:themeColor="text1"/>
                      <w:spacing w:val="-1"/>
                      <w14:textFill>
                        <w14:solidFill>
                          <w14:schemeClr w14:val="tx1"/>
                        </w14:solidFill>
                      </w14:textFill>
                    </w:rPr>
                    <w:t>约</w:t>
                  </w:r>
                  <w:r>
                    <w:rPr>
                      <w:rFonts w:hint="eastAsia"/>
                      <w:color w:val="000000" w:themeColor="text1"/>
                      <w:spacing w:val="-1"/>
                      <w14:textFill>
                        <w14:solidFill>
                          <w14:schemeClr w14:val="tx1"/>
                        </w14:solidFill>
                      </w14:textFill>
                    </w:rPr>
                    <w:t>220</w:t>
                  </w:r>
                  <w:r>
                    <w:rPr>
                      <w:rFonts w:eastAsia="Times New Roman"/>
                      <w:color w:val="000000" w:themeColor="text1"/>
                      <w:spacing w:val="-1"/>
                      <w14:textFill>
                        <w14:solidFill>
                          <w14:schemeClr w14:val="tx1"/>
                        </w14:solidFill>
                      </w14:textFill>
                    </w:rPr>
                    <w:t>m</w:t>
                  </w:r>
                </w:p>
              </w:tc>
              <w:tc>
                <w:tcPr>
                  <w:tcW w:w="1945" w:type="dxa"/>
                  <w:gridSpan w:val="3"/>
                  <w:vAlign w:val="center"/>
                </w:tcPr>
                <w:p w14:paraId="316DB06E">
                  <w:pPr>
                    <w:pStyle w:val="221"/>
                    <w:rPr>
                      <w:color w:val="000000" w:themeColor="text1"/>
                      <w:spacing w:val="1"/>
                      <w14:textFill>
                        <w14:solidFill>
                          <w14:schemeClr w14:val="tx1"/>
                        </w14:solidFill>
                      </w14:textFill>
                    </w:rPr>
                  </w:pPr>
                  <w:r>
                    <w:rPr>
                      <w:color w:val="000000" w:themeColor="text1"/>
                      <w:spacing w:val="1"/>
                      <w14:textFill>
                        <w14:solidFill>
                          <w14:schemeClr w14:val="tx1"/>
                        </w14:solidFill>
                      </w14:textFill>
                    </w:rPr>
                    <w:t>约</w:t>
                  </w:r>
                  <w:r>
                    <w:rPr>
                      <w:rFonts w:hint="eastAsia"/>
                      <w:color w:val="000000" w:themeColor="text1"/>
                      <w:spacing w:val="1"/>
                      <w14:textFill>
                        <w14:solidFill>
                          <w14:schemeClr w14:val="tx1"/>
                        </w14:solidFill>
                      </w14:textFill>
                    </w:rPr>
                    <w:t>800人</w:t>
                  </w:r>
                </w:p>
              </w:tc>
              <w:tc>
                <w:tcPr>
                  <w:tcW w:w="2733" w:type="dxa"/>
                  <w:vMerge w:val="continue"/>
                  <w:vAlign w:val="center"/>
                </w:tcPr>
                <w:p w14:paraId="239C9268">
                  <w:pPr>
                    <w:pStyle w:val="221"/>
                    <w:rPr>
                      <w:color w:val="000000" w:themeColor="text1"/>
                      <w:spacing w:val="1"/>
                      <w14:textFill>
                        <w14:solidFill>
                          <w14:schemeClr w14:val="tx1"/>
                        </w14:solidFill>
                      </w14:textFill>
                    </w:rPr>
                  </w:pPr>
                </w:p>
              </w:tc>
            </w:tr>
            <w:tr w14:paraId="214DE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Align w:val="center"/>
                </w:tcPr>
                <w:p w14:paraId="3EAA9B7A">
                  <w:pPr>
                    <w:pStyle w:val="221"/>
                    <w:rPr>
                      <w:color w:val="000000" w:themeColor="text1"/>
                      <w14:textFill>
                        <w14:solidFill>
                          <w14:schemeClr w14:val="tx1"/>
                        </w14:solidFill>
                      </w14:textFill>
                    </w:rPr>
                  </w:pPr>
                  <w:r>
                    <w:rPr>
                      <w:color w:val="000000" w:themeColor="text1"/>
                      <w:spacing w:val="6"/>
                      <w14:textFill>
                        <w14:solidFill>
                          <w14:schemeClr w14:val="tx1"/>
                        </w14:solidFill>
                      </w14:textFill>
                    </w:rPr>
                    <w:t>宅角村</w:t>
                  </w:r>
                </w:p>
              </w:tc>
              <w:tc>
                <w:tcPr>
                  <w:tcW w:w="953" w:type="dxa"/>
                  <w:vAlign w:val="center"/>
                </w:tcPr>
                <w:p w14:paraId="45DD850A">
                  <w:pPr>
                    <w:pStyle w:val="221"/>
                    <w:rPr>
                      <w:rFonts w:eastAsia="Times New Roman"/>
                      <w:color w:val="000000" w:themeColor="text1"/>
                      <w14:textFill>
                        <w14:solidFill>
                          <w14:schemeClr w14:val="tx1"/>
                        </w14:solidFill>
                      </w14:textFill>
                    </w:rPr>
                  </w:pPr>
                  <w:r>
                    <w:rPr>
                      <w:rFonts w:eastAsia="Times New Roman"/>
                      <w:color w:val="000000" w:themeColor="text1"/>
                      <w:spacing w:val="5"/>
                      <w14:textFill>
                        <w14:solidFill>
                          <w14:schemeClr w14:val="tx1"/>
                        </w14:solidFill>
                      </w14:textFill>
                    </w:rPr>
                    <w:t>WN</w:t>
                  </w:r>
                </w:p>
              </w:tc>
              <w:tc>
                <w:tcPr>
                  <w:tcW w:w="1842" w:type="dxa"/>
                  <w:vAlign w:val="center"/>
                </w:tcPr>
                <w:p w14:paraId="2F6FA78D">
                  <w:pPr>
                    <w:pStyle w:val="221"/>
                    <w:rPr>
                      <w:rFonts w:eastAsia="Times New Roman"/>
                      <w:color w:val="000000" w:themeColor="text1"/>
                      <w14:textFill>
                        <w14:solidFill>
                          <w14:schemeClr w14:val="tx1"/>
                        </w14:solidFill>
                      </w14:textFill>
                    </w:rPr>
                  </w:pPr>
                  <w:r>
                    <w:rPr>
                      <w:rFonts w:hint="eastAsia" w:ascii="宋体" w:hAnsi="宋体" w:cs="宋体"/>
                      <w:color w:val="000000" w:themeColor="text1"/>
                      <w:spacing w:val="-1"/>
                      <w14:textFill>
                        <w14:solidFill>
                          <w14:schemeClr w14:val="tx1"/>
                        </w14:solidFill>
                      </w14:textFill>
                    </w:rPr>
                    <w:t>约</w:t>
                  </w:r>
                  <w:r>
                    <w:rPr>
                      <w:rFonts w:eastAsia="Times New Roman"/>
                      <w:color w:val="000000" w:themeColor="text1"/>
                      <w:spacing w:val="3"/>
                      <w14:textFill>
                        <w14:solidFill>
                          <w14:schemeClr w14:val="tx1"/>
                        </w14:solidFill>
                      </w14:textFill>
                    </w:rPr>
                    <w:t>32</w:t>
                  </w:r>
                  <w:r>
                    <w:rPr>
                      <w:rFonts w:hint="eastAsia"/>
                      <w:color w:val="000000" w:themeColor="text1"/>
                      <w:spacing w:val="3"/>
                      <w14:textFill>
                        <w14:solidFill>
                          <w14:schemeClr w14:val="tx1"/>
                        </w14:solidFill>
                      </w14:textFill>
                    </w:rPr>
                    <w:t>0</w:t>
                  </w:r>
                  <w:r>
                    <w:rPr>
                      <w:rFonts w:eastAsia="Times New Roman"/>
                      <w:color w:val="000000" w:themeColor="text1"/>
                      <w:spacing w:val="3"/>
                      <w14:textFill>
                        <w14:solidFill>
                          <w14:schemeClr w14:val="tx1"/>
                        </w14:solidFill>
                      </w14:textFill>
                    </w:rPr>
                    <w:t>m</w:t>
                  </w:r>
                </w:p>
              </w:tc>
              <w:tc>
                <w:tcPr>
                  <w:tcW w:w="1945" w:type="dxa"/>
                  <w:gridSpan w:val="3"/>
                  <w:vAlign w:val="center"/>
                </w:tcPr>
                <w:p w14:paraId="4F2423E7">
                  <w:pPr>
                    <w:pStyle w:val="221"/>
                    <w:rPr>
                      <w:rFonts w:ascii="Arial"/>
                      <w:color w:val="000000" w:themeColor="text1"/>
                      <w14:textFill>
                        <w14:solidFill>
                          <w14:schemeClr w14:val="tx1"/>
                        </w14:solidFill>
                      </w14:textFill>
                    </w:rPr>
                  </w:pPr>
                  <w:r>
                    <w:rPr>
                      <w:color w:val="000000" w:themeColor="text1"/>
                      <w:spacing w:val="1"/>
                      <w14:textFill>
                        <w14:solidFill>
                          <w14:schemeClr w14:val="tx1"/>
                        </w14:solidFill>
                      </w14:textFill>
                    </w:rPr>
                    <w:t>约</w:t>
                  </w:r>
                  <w:r>
                    <w:rPr>
                      <w:rFonts w:hint="eastAsia"/>
                      <w:color w:val="000000" w:themeColor="text1"/>
                      <w:spacing w:val="1"/>
                      <w14:textFill>
                        <w14:solidFill>
                          <w14:schemeClr w14:val="tx1"/>
                        </w14:solidFill>
                      </w14:textFill>
                    </w:rPr>
                    <w:t>300户/1000人</w:t>
                  </w:r>
                </w:p>
              </w:tc>
              <w:tc>
                <w:tcPr>
                  <w:tcW w:w="2733" w:type="dxa"/>
                  <w:vMerge w:val="continue"/>
                  <w:vAlign w:val="center"/>
                </w:tcPr>
                <w:p w14:paraId="36E12BEA">
                  <w:pPr>
                    <w:pStyle w:val="221"/>
                    <w:rPr>
                      <w:rFonts w:ascii="Arial"/>
                      <w:color w:val="000000" w:themeColor="text1"/>
                      <w14:textFill>
                        <w14:solidFill>
                          <w14:schemeClr w14:val="tx1"/>
                        </w14:solidFill>
                      </w14:textFill>
                    </w:rPr>
                  </w:pPr>
                </w:p>
              </w:tc>
            </w:tr>
            <w:tr w14:paraId="258CA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Align w:val="center"/>
                </w:tcPr>
                <w:p w14:paraId="79CB1E0E">
                  <w:pPr>
                    <w:pStyle w:val="221"/>
                    <w:rPr>
                      <w:color w:val="000000" w:themeColor="text1"/>
                      <w14:textFill>
                        <w14:solidFill>
                          <w14:schemeClr w14:val="tx1"/>
                        </w14:solidFill>
                      </w14:textFill>
                    </w:rPr>
                  </w:pPr>
                  <w:r>
                    <w:rPr>
                      <w:color w:val="000000" w:themeColor="text1"/>
                      <w:spacing w:val="6"/>
                      <w14:textFill>
                        <w14:solidFill>
                          <w14:schemeClr w14:val="tx1"/>
                        </w14:solidFill>
                      </w14:textFill>
                    </w:rPr>
                    <w:t>洋中厝</w:t>
                  </w:r>
                </w:p>
              </w:tc>
              <w:tc>
                <w:tcPr>
                  <w:tcW w:w="953" w:type="dxa"/>
                  <w:vAlign w:val="center"/>
                </w:tcPr>
                <w:p w14:paraId="7946256B">
                  <w:pPr>
                    <w:pStyle w:val="221"/>
                    <w:rPr>
                      <w:rFonts w:eastAsia="Times New Roman"/>
                      <w:color w:val="000000" w:themeColor="text1"/>
                      <w14:textFill>
                        <w14:solidFill>
                          <w14:schemeClr w14:val="tx1"/>
                        </w14:solidFill>
                      </w14:textFill>
                    </w:rPr>
                  </w:pPr>
                  <w:r>
                    <w:rPr>
                      <w:rFonts w:eastAsia="Times New Roman"/>
                      <w:color w:val="000000" w:themeColor="text1"/>
                      <w:spacing w:val="8"/>
                      <w14:textFill>
                        <w14:solidFill>
                          <w14:schemeClr w14:val="tx1"/>
                        </w14:solidFill>
                      </w14:textFill>
                    </w:rPr>
                    <w:t>N</w:t>
                  </w:r>
                </w:p>
              </w:tc>
              <w:tc>
                <w:tcPr>
                  <w:tcW w:w="1842" w:type="dxa"/>
                  <w:vAlign w:val="center"/>
                </w:tcPr>
                <w:p w14:paraId="6A570AF9">
                  <w:pPr>
                    <w:pStyle w:val="221"/>
                    <w:rPr>
                      <w:rFonts w:eastAsia="Times New Roman"/>
                      <w:color w:val="000000" w:themeColor="text1"/>
                      <w14:textFill>
                        <w14:solidFill>
                          <w14:schemeClr w14:val="tx1"/>
                        </w14:solidFill>
                      </w14:textFill>
                    </w:rPr>
                  </w:pPr>
                  <w:r>
                    <w:rPr>
                      <w:rFonts w:hint="eastAsia" w:ascii="宋体" w:hAnsi="宋体" w:cs="宋体"/>
                      <w:color w:val="000000" w:themeColor="text1"/>
                      <w:spacing w:val="-1"/>
                      <w14:textFill>
                        <w14:solidFill>
                          <w14:schemeClr w14:val="tx1"/>
                        </w14:solidFill>
                      </w14:textFill>
                    </w:rPr>
                    <w:t>约</w:t>
                  </w:r>
                  <w:r>
                    <w:rPr>
                      <w:rFonts w:eastAsia="Times New Roman"/>
                      <w:color w:val="000000" w:themeColor="text1"/>
                      <w:spacing w:val="3"/>
                      <w14:textFill>
                        <w14:solidFill>
                          <w14:schemeClr w14:val="tx1"/>
                        </w14:solidFill>
                      </w14:textFill>
                    </w:rPr>
                    <w:t>33</w:t>
                  </w:r>
                  <w:r>
                    <w:rPr>
                      <w:rFonts w:hint="eastAsia"/>
                      <w:color w:val="000000" w:themeColor="text1"/>
                      <w:spacing w:val="3"/>
                      <w14:textFill>
                        <w14:solidFill>
                          <w14:schemeClr w14:val="tx1"/>
                        </w14:solidFill>
                      </w14:textFill>
                    </w:rPr>
                    <w:t>0</w:t>
                  </w:r>
                  <w:r>
                    <w:rPr>
                      <w:rFonts w:eastAsia="Times New Roman"/>
                      <w:color w:val="000000" w:themeColor="text1"/>
                      <w:spacing w:val="3"/>
                      <w14:textFill>
                        <w14:solidFill>
                          <w14:schemeClr w14:val="tx1"/>
                        </w14:solidFill>
                      </w14:textFill>
                    </w:rPr>
                    <w:t>m</w:t>
                  </w:r>
                </w:p>
              </w:tc>
              <w:tc>
                <w:tcPr>
                  <w:tcW w:w="1945" w:type="dxa"/>
                  <w:gridSpan w:val="3"/>
                  <w:vAlign w:val="center"/>
                </w:tcPr>
                <w:p w14:paraId="5E9DA45A">
                  <w:pPr>
                    <w:pStyle w:val="221"/>
                    <w:rPr>
                      <w:rFonts w:ascii="Arial"/>
                      <w:color w:val="000000" w:themeColor="text1"/>
                      <w14:textFill>
                        <w14:solidFill>
                          <w14:schemeClr w14:val="tx1"/>
                        </w14:solidFill>
                      </w14:textFill>
                    </w:rPr>
                  </w:pPr>
                  <w:r>
                    <w:rPr>
                      <w:color w:val="000000" w:themeColor="text1"/>
                      <w:spacing w:val="1"/>
                      <w14:textFill>
                        <w14:solidFill>
                          <w14:schemeClr w14:val="tx1"/>
                        </w14:solidFill>
                      </w14:textFill>
                    </w:rPr>
                    <w:t>约</w:t>
                  </w:r>
                  <w:r>
                    <w:rPr>
                      <w:rFonts w:hint="eastAsia"/>
                      <w:color w:val="000000" w:themeColor="text1"/>
                      <w:spacing w:val="1"/>
                      <w14:textFill>
                        <w14:solidFill>
                          <w14:schemeClr w14:val="tx1"/>
                        </w14:solidFill>
                      </w14:textFill>
                    </w:rPr>
                    <w:t>30户/90人</w:t>
                  </w:r>
                </w:p>
              </w:tc>
              <w:tc>
                <w:tcPr>
                  <w:tcW w:w="2733" w:type="dxa"/>
                  <w:vMerge w:val="continue"/>
                  <w:vAlign w:val="center"/>
                </w:tcPr>
                <w:p w14:paraId="133A0AC2">
                  <w:pPr>
                    <w:pStyle w:val="221"/>
                    <w:rPr>
                      <w:rFonts w:ascii="Arial"/>
                      <w:color w:val="000000" w:themeColor="text1"/>
                      <w14:textFill>
                        <w14:solidFill>
                          <w14:schemeClr w14:val="tx1"/>
                        </w14:solidFill>
                      </w14:textFill>
                    </w:rPr>
                  </w:pPr>
                </w:p>
              </w:tc>
            </w:tr>
            <w:tr w14:paraId="633DB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Align w:val="center"/>
                </w:tcPr>
                <w:p w14:paraId="17F876F3">
                  <w:pPr>
                    <w:pStyle w:val="221"/>
                    <w:rPr>
                      <w:color w:val="000000" w:themeColor="text1"/>
                      <w14:textFill>
                        <w14:solidFill>
                          <w14:schemeClr w14:val="tx1"/>
                        </w14:solidFill>
                      </w14:textFill>
                    </w:rPr>
                  </w:pPr>
                  <w:r>
                    <w:rPr>
                      <w:color w:val="000000" w:themeColor="text1"/>
                      <w:spacing w:val="4"/>
                      <w14:textFill>
                        <w14:solidFill>
                          <w14:schemeClr w14:val="tx1"/>
                        </w14:solidFill>
                      </w14:textFill>
                    </w:rPr>
                    <w:t>下曹街</w:t>
                  </w:r>
                </w:p>
              </w:tc>
              <w:tc>
                <w:tcPr>
                  <w:tcW w:w="953" w:type="dxa"/>
                  <w:vAlign w:val="center"/>
                </w:tcPr>
                <w:p w14:paraId="55805269">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S</w:t>
                  </w:r>
                </w:p>
              </w:tc>
              <w:tc>
                <w:tcPr>
                  <w:tcW w:w="1842" w:type="dxa"/>
                  <w:vAlign w:val="center"/>
                </w:tcPr>
                <w:p w14:paraId="26F1BDB4">
                  <w:pPr>
                    <w:pStyle w:val="221"/>
                    <w:rPr>
                      <w:rFonts w:eastAsia="Times New Roman"/>
                      <w:color w:val="000000" w:themeColor="text1"/>
                      <w14:textFill>
                        <w14:solidFill>
                          <w14:schemeClr w14:val="tx1"/>
                        </w14:solidFill>
                      </w14:textFill>
                    </w:rPr>
                  </w:pPr>
                  <w:r>
                    <w:rPr>
                      <w:rFonts w:hint="eastAsia" w:ascii="宋体" w:hAnsi="宋体" w:cs="宋体"/>
                      <w:color w:val="000000" w:themeColor="text1"/>
                      <w:spacing w:val="-1"/>
                      <w14:textFill>
                        <w14:solidFill>
                          <w14:schemeClr w14:val="tx1"/>
                        </w14:solidFill>
                      </w14:textFill>
                    </w:rPr>
                    <w:t>约</w:t>
                  </w:r>
                  <w:r>
                    <w:rPr>
                      <w:rFonts w:eastAsia="Times New Roman"/>
                      <w:color w:val="000000" w:themeColor="text1"/>
                      <w:spacing w:val="4"/>
                      <w14:textFill>
                        <w14:solidFill>
                          <w14:schemeClr w14:val="tx1"/>
                        </w14:solidFill>
                      </w14:textFill>
                    </w:rPr>
                    <w:t>47</w:t>
                  </w:r>
                  <w:r>
                    <w:rPr>
                      <w:rFonts w:hint="eastAsia" w:eastAsiaTheme="minorEastAsia"/>
                      <w:color w:val="000000" w:themeColor="text1"/>
                      <w:spacing w:val="4"/>
                      <w14:textFill>
                        <w14:solidFill>
                          <w14:schemeClr w14:val="tx1"/>
                        </w14:solidFill>
                      </w14:textFill>
                    </w:rPr>
                    <w:t>0</w:t>
                  </w:r>
                  <w:r>
                    <w:rPr>
                      <w:rFonts w:eastAsia="Times New Roman"/>
                      <w:color w:val="000000" w:themeColor="text1"/>
                      <w:spacing w:val="4"/>
                      <w14:textFill>
                        <w14:solidFill>
                          <w14:schemeClr w14:val="tx1"/>
                        </w14:solidFill>
                      </w14:textFill>
                    </w:rPr>
                    <w:t>m</w:t>
                  </w:r>
                </w:p>
              </w:tc>
              <w:tc>
                <w:tcPr>
                  <w:tcW w:w="1945" w:type="dxa"/>
                  <w:gridSpan w:val="3"/>
                  <w:vAlign w:val="center"/>
                </w:tcPr>
                <w:p w14:paraId="312A4208">
                  <w:pPr>
                    <w:pStyle w:val="221"/>
                    <w:rPr>
                      <w:rFonts w:ascii="Arial"/>
                      <w:color w:val="000000" w:themeColor="text1"/>
                      <w14:textFill>
                        <w14:solidFill>
                          <w14:schemeClr w14:val="tx1"/>
                        </w14:solidFill>
                      </w14:textFill>
                    </w:rPr>
                  </w:pPr>
                  <w:r>
                    <w:rPr>
                      <w:color w:val="000000" w:themeColor="text1"/>
                      <w:spacing w:val="1"/>
                      <w14:textFill>
                        <w14:solidFill>
                          <w14:schemeClr w14:val="tx1"/>
                        </w14:solidFill>
                      </w14:textFill>
                    </w:rPr>
                    <w:t>约</w:t>
                  </w:r>
                  <w:r>
                    <w:rPr>
                      <w:rFonts w:hint="eastAsia"/>
                      <w:color w:val="000000" w:themeColor="text1"/>
                      <w:spacing w:val="1"/>
                      <w14:textFill>
                        <w14:solidFill>
                          <w14:schemeClr w14:val="tx1"/>
                        </w14:solidFill>
                      </w14:textFill>
                    </w:rPr>
                    <w:t>25户/80人</w:t>
                  </w:r>
                </w:p>
              </w:tc>
              <w:tc>
                <w:tcPr>
                  <w:tcW w:w="2733" w:type="dxa"/>
                  <w:vMerge w:val="continue"/>
                  <w:vAlign w:val="center"/>
                </w:tcPr>
                <w:p w14:paraId="25248D53">
                  <w:pPr>
                    <w:pStyle w:val="221"/>
                    <w:rPr>
                      <w:rFonts w:ascii="Arial"/>
                      <w:color w:val="000000" w:themeColor="text1"/>
                      <w14:textFill>
                        <w14:solidFill>
                          <w14:schemeClr w14:val="tx1"/>
                        </w14:solidFill>
                      </w14:textFill>
                    </w:rPr>
                  </w:pPr>
                </w:p>
              </w:tc>
            </w:tr>
            <w:tr w14:paraId="3B205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7" w:type="dxa"/>
                  <w:gridSpan w:val="7"/>
                  <w:vAlign w:val="center"/>
                </w:tcPr>
                <w:p w14:paraId="15D34379">
                  <w:pPr>
                    <w:pStyle w:val="221"/>
                    <w:rPr>
                      <w:rFonts w:ascii="Arial"/>
                      <w:color w:val="000000" w:themeColor="text1"/>
                      <w14:textFill>
                        <w14:solidFill>
                          <w14:schemeClr w14:val="tx1"/>
                        </w14:solidFill>
                      </w14:textFill>
                    </w:rPr>
                  </w:pPr>
                  <w:r>
                    <w:rPr>
                      <w:rFonts w:hint="eastAsia" w:ascii="Arial"/>
                      <w:color w:val="000000" w:themeColor="text1"/>
                      <w14:textFill>
                        <w14:solidFill>
                          <w14:schemeClr w14:val="tx1"/>
                        </w14:solidFill>
                      </w14:textFill>
                    </w:rPr>
                    <w:t>声环境</w:t>
                  </w:r>
                </w:p>
              </w:tc>
            </w:tr>
            <w:tr w14:paraId="5BAEA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Align w:val="center"/>
                </w:tcPr>
                <w:p w14:paraId="16F07D11">
                  <w:pPr>
                    <w:pStyle w:val="221"/>
                    <w:rPr>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周店村</w:t>
                  </w:r>
                </w:p>
              </w:tc>
              <w:tc>
                <w:tcPr>
                  <w:tcW w:w="953" w:type="dxa"/>
                  <w:vAlign w:val="center"/>
                </w:tcPr>
                <w:p w14:paraId="72F7840C">
                  <w:pPr>
                    <w:pStyle w:val="221"/>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E</w:t>
                  </w:r>
                </w:p>
              </w:tc>
              <w:tc>
                <w:tcPr>
                  <w:tcW w:w="1842" w:type="dxa"/>
                  <w:vAlign w:val="center"/>
                </w:tcPr>
                <w:p w14:paraId="7A9495CA">
                  <w:pPr>
                    <w:pStyle w:val="221"/>
                    <w:rPr>
                      <w:rFonts w:eastAsia="Times New Roman"/>
                      <w:color w:val="000000" w:themeColor="text1"/>
                      <w:spacing w:val="-1"/>
                      <w14:textFill>
                        <w14:solidFill>
                          <w14:schemeClr w14:val="tx1"/>
                        </w14:solidFill>
                      </w14:textFill>
                    </w:rPr>
                  </w:pPr>
                  <w:r>
                    <w:rPr>
                      <w:rFonts w:hint="eastAsia" w:ascii="宋体" w:hAnsi="宋体" w:cs="宋体"/>
                      <w:color w:val="000000" w:themeColor="text1"/>
                      <w:spacing w:val="-1"/>
                      <w14:textFill>
                        <w14:solidFill>
                          <w14:schemeClr w14:val="tx1"/>
                        </w14:solidFill>
                      </w14:textFill>
                    </w:rPr>
                    <w:t>约</w:t>
                  </w:r>
                  <w:r>
                    <w:rPr>
                      <w:rFonts w:hint="eastAsia"/>
                      <w:color w:val="000000" w:themeColor="text1"/>
                      <w:spacing w:val="3"/>
                      <w14:textFill>
                        <w14:solidFill>
                          <w14:schemeClr w14:val="tx1"/>
                        </w14:solidFill>
                      </w14:textFill>
                    </w:rPr>
                    <w:t>20</w:t>
                  </w:r>
                  <w:r>
                    <w:rPr>
                      <w:rFonts w:eastAsia="Times New Roman"/>
                      <w:color w:val="000000" w:themeColor="text1"/>
                      <w:spacing w:val="3"/>
                      <w14:textFill>
                        <w14:solidFill>
                          <w14:schemeClr w14:val="tx1"/>
                        </w14:solidFill>
                      </w14:textFill>
                    </w:rPr>
                    <w:t>m</w:t>
                  </w:r>
                </w:p>
              </w:tc>
              <w:tc>
                <w:tcPr>
                  <w:tcW w:w="1842" w:type="dxa"/>
                  <w:gridSpan w:val="2"/>
                  <w:vAlign w:val="center"/>
                </w:tcPr>
                <w:p w14:paraId="343A53F9">
                  <w:pPr>
                    <w:pStyle w:val="221"/>
                    <w:rPr>
                      <w:rFonts w:ascii="Arial"/>
                      <w:color w:val="000000" w:themeColor="text1"/>
                      <w14:textFill>
                        <w14:solidFill>
                          <w14:schemeClr w14:val="tx1"/>
                        </w14:solidFill>
                      </w14:textFill>
                    </w:rPr>
                  </w:pPr>
                  <w:r>
                    <w:rPr>
                      <w:color w:val="000000" w:themeColor="text1"/>
                      <w:spacing w:val="1"/>
                      <w14:textFill>
                        <w14:solidFill>
                          <w14:schemeClr w14:val="tx1"/>
                        </w14:solidFill>
                      </w14:textFill>
                    </w:rPr>
                    <w:t>约</w:t>
                  </w:r>
                  <w:r>
                    <w:rPr>
                      <w:rFonts w:hint="eastAsia"/>
                      <w:color w:val="000000" w:themeColor="text1"/>
                      <w:spacing w:val="1"/>
                      <w14:textFill>
                        <w14:solidFill>
                          <w14:schemeClr w14:val="tx1"/>
                        </w14:solidFill>
                      </w14:textFill>
                    </w:rPr>
                    <w:t>780户/2730人</w:t>
                  </w:r>
                </w:p>
              </w:tc>
              <w:tc>
                <w:tcPr>
                  <w:tcW w:w="2836" w:type="dxa"/>
                  <w:gridSpan w:val="2"/>
                  <w:vAlign w:val="center"/>
                </w:tcPr>
                <w:p w14:paraId="5F8D2809">
                  <w:pPr>
                    <w:pStyle w:val="221"/>
                    <w:rPr>
                      <w:color w:val="000000" w:themeColor="text1"/>
                      <w14:textFill>
                        <w14:solidFill>
                          <w14:schemeClr w14:val="tx1"/>
                        </w14:solidFill>
                      </w14:textFill>
                    </w:rPr>
                  </w:pPr>
                  <w:r>
                    <w:rPr>
                      <w:color w:val="000000" w:themeColor="text1"/>
                      <w14:textFill>
                        <w14:solidFill>
                          <w14:schemeClr w14:val="tx1"/>
                        </w14:solidFill>
                      </w14:textFill>
                    </w:rPr>
                    <w:t>《声环境质量标准》（GB3096-2008）2 类标准</w:t>
                  </w:r>
                </w:p>
              </w:tc>
            </w:tr>
            <w:tr w14:paraId="04878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7" w:type="dxa"/>
                  <w:gridSpan w:val="7"/>
                  <w:vAlign w:val="center"/>
                </w:tcPr>
                <w:p w14:paraId="3C27117F">
                  <w:pPr>
                    <w:pStyle w:val="221"/>
                    <w:rPr>
                      <w:rFonts w:ascii="Arial"/>
                      <w:color w:val="000000" w:themeColor="text1"/>
                      <w14:textFill>
                        <w14:solidFill>
                          <w14:schemeClr w14:val="tx1"/>
                        </w14:solidFill>
                      </w14:textFill>
                    </w:rPr>
                  </w:pPr>
                  <w:r>
                    <w:rPr>
                      <w:rFonts w:hint="eastAsia" w:ascii="Arial"/>
                      <w:color w:val="000000" w:themeColor="text1"/>
                      <w14:textFill>
                        <w14:solidFill>
                          <w14:schemeClr w14:val="tx1"/>
                        </w14:solidFill>
                      </w14:textFill>
                    </w:rPr>
                    <w:t>地表水环境</w:t>
                  </w:r>
                </w:p>
              </w:tc>
            </w:tr>
            <w:tr w14:paraId="3DD53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Align w:val="center"/>
                </w:tcPr>
                <w:p w14:paraId="657E8E4A">
                  <w:pPr>
                    <w:pStyle w:val="221"/>
                    <w:rPr>
                      <w:color w:val="000000" w:themeColor="text1"/>
                      <w14:textFill>
                        <w14:solidFill>
                          <w14:schemeClr w14:val="tx1"/>
                        </w14:solidFill>
                      </w14:textFill>
                    </w:rPr>
                  </w:pPr>
                  <w:r>
                    <w:rPr>
                      <w:color w:val="000000" w:themeColor="text1"/>
                      <w:spacing w:val="3"/>
                      <w14:textFill>
                        <w14:solidFill>
                          <w14:schemeClr w14:val="tx1"/>
                        </w14:solidFill>
                      </w14:textFill>
                    </w:rPr>
                    <w:t>关溪</w:t>
                  </w:r>
                </w:p>
              </w:tc>
              <w:tc>
                <w:tcPr>
                  <w:tcW w:w="953" w:type="dxa"/>
                  <w:vAlign w:val="center"/>
                </w:tcPr>
                <w:p w14:paraId="3AA513C2">
                  <w:pPr>
                    <w:pStyle w:val="221"/>
                    <w:rPr>
                      <w:rFonts w:eastAsia="Times New Roman"/>
                      <w:color w:val="000000" w:themeColor="text1"/>
                      <w14:textFill>
                        <w14:solidFill>
                          <w14:schemeClr w14:val="tx1"/>
                        </w14:solidFill>
                      </w14:textFill>
                    </w:rPr>
                  </w:pPr>
                  <w:r>
                    <w:rPr>
                      <w:rFonts w:eastAsia="Times New Roman"/>
                      <w:color w:val="000000" w:themeColor="text1"/>
                      <w:spacing w:val="8"/>
                      <w14:textFill>
                        <w14:solidFill>
                          <w14:schemeClr w14:val="tx1"/>
                        </w14:solidFill>
                      </w14:textFill>
                    </w:rPr>
                    <w:t>N</w:t>
                  </w:r>
                </w:p>
              </w:tc>
              <w:tc>
                <w:tcPr>
                  <w:tcW w:w="1842" w:type="dxa"/>
                  <w:vAlign w:val="center"/>
                </w:tcPr>
                <w:p w14:paraId="2C32D93E">
                  <w:pPr>
                    <w:pStyle w:val="221"/>
                    <w:rPr>
                      <w:rFonts w:eastAsia="Times New Roman"/>
                      <w:color w:val="000000" w:themeColor="text1"/>
                      <w14:textFill>
                        <w14:solidFill>
                          <w14:schemeClr w14:val="tx1"/>
                        </w14:solidFill>
                      </w14:textFill>
                    </w:rPr>
                  </w:pPr>
                  <w:r>
                    <w:rPr>
                      <w:rFonts w:hint="eastAsia" w:ascii="宋体" w:hAnsi="宋体" w:cs="宋体"/>
                      <w:color w:val="000000" w:themeColor="text1"/>
                      <w:spacing w:val="-1"/>
                      <w14:textFill>
                        <w14:solidFill>
                          <w14:schemeClr w14:val="tx1"/>
                        </w14:solidFill>
                      </w14:textFill>
                    </w:rPr>
                    <w:t>约</w:t>
                  </w:r>
                  <w:r>
                    <w:rPr>
                      <w:rFonts w:hint="eastAsia"/>
                      <w:color w:val="000000" w:themeColor="text1"/>
                      <w:spacing w:val="-1"/>
                      <w14:textFill>
                        <w14:solidFill>
                          <w14:schemeClr w14:val="tx1"/>
                        </w14:solidFill>
                      </w14:textFill>
                    </w:rPr>
                    <w:t>30</w:t>
                  </w:r>
                  <w:r>
                    <w:rPr>
                      <w:rFonts w:eastAsia="Times New Roman"/>
                      <w:color w:val="000000" w:themeColor="text1"/>
                      <w:spacing w:val="4"/>
                      <w14:textFill>
                        <w14:solidFill>
                          <w14:schemeClr w14:val="tx1"/>
                        </w14:solidFill>
                      </w14:textFill>
                    </w:rPr>
                    <w:t>m</w:t>
                  </w:r>
                </w:p>
              </w:tc>
              <w:tc>
                <w:tcPr>
                  <w:tcW w:w="1701" w:type="dxa"/>
                  <w:vAlign w:val="center"/>
                </w:tcPr>
                <w:p w14:paraId="56B9239C">
                  <w:pPr>
                    <w:pStyle w:val="221"/>
                    <w:rPr>
                      <w:color w:val="000000" w:themeColor="text1"/>
                      <w:spacing w:val="-1"/>
                      <w14:textFill>
                        <w14:solidFill>
                          <w14:schemeClr w14:val="tx1"/>
                        </w14:solidFill>
                      </w14:textFill>
                    </w:rPr>
                  </w:pPr>
                  <w:r>
                    <w:rPr>
                      <w:color w:val="000000" w:themeColor="text1"/>
                      <w:spacing w:val="-1"/>
                      <w14:textFill>
                        <w14:solidFill>
                          <w14:schemeClr w14:val="tx1"/>
                        </w14:solidFill>
                      </w14:textFill>
                    </w:rPr>
                    <w:t>小河流域</w:t>
                  </w:r>
                </w:p>
              </w:tc>
              <w:tc>
                <w:tcPr>
                  <w:tcW w:w="2977" w:type="dxa"/>
                  <w:gridSpan w:val="3"/>
                  <w:vAlign w:val="center"/>
                </w:tcPr>
                <w:p w14:paraId="1B742CD9">
                  <w:pPr>
                    <w:pStyle w:val="221"/>
                    <w:rPr>
                      <w:color w:val="000000" w:themeColor="text1"/>
                      <w14:textFill>
                        <w14:solidFill>
                          <w14:schemeClr w14:val="tx1"/>
                        </w14:solidFill>
                      </w14:textFill>
                    </w:rPr>
                  </w:pPr>
                  <w:r>
                    <w:rPr>
                      <w:color w:val="000000" w:themeColor="text1"/>
                      <w:spacing w:val="-1"/>
                      <w14:textFill>
                        <w14:solidFill>
                          <w14:schemeClr w14:val="tx1"/>
                        </w14:solidFill>
                      </w14:textFill>
                    </w:rPr>
                    <w:t>《地表水环境质量标准》（</w:t>
                  </w:r>
                  <w:r>
                    <w:rPr>
                      <w:rFonts w:eastAsia="Times New Roman"/>
                      <w:color w:val="000000" w:themeColor="text1"/>
                      <w:spacing w:val="-1"/>
                      <w14:textFill>
                        <w14:solidFill>
                          <w14:schemeClr w14:val="tx1"/>
                        </w14:solidFill>
                      </w14:textFill>
                    </w:rPr>
                    <w:t>GB3838-</w:t>
                  </w:r>
                  <w:r>
                    <w:rPr>
                      <w:rFonts w:eastAsia="Times New Roman"/>
                      <w:color w:val="000000" w:themeColor="text1"/>
                      <w:spacing w:val="-2"/>
                      <w14:textFill>
                        <w14:solidFill>
                          <w14:schemeClr w14:val="tx1"/>
                        </w14:solidFill>
                      </w14:textFill>
                    </w:rPr>
                    <w:t>2012</w:t>
                  </w:r>
                  <w:r>
                    <w:rPr>
                      <w:color w:val="000000" w:themeColor="text1"/>
                      <w:spacing w:val="-2"/>
                      <w14:textFill>
                        <w14:solidFill>
                          <w14:schemeClr w14:val="tx1"/>
                        </w14:solidFill>
                      </w14:textFill>
                    </w:rPr>
                    <w:t>）</w:t>
                  </w:r>
                  <w:r>
                    <w:rPr>
                      <w:color w:val="000000" w:themeColor="text1"/>
                      <w14:textFill>
                        <w14:solidFill>
                          <w14:schemeClr w14:val="tx1"/>
                        </w14:solidFill>
                      </w14:textFill>
                    </w:rPr>
                    <w:t xml:space="preserve"> Ⅲ水质标准</w:t>
                  </w:r>
                </w:p>
              </w:tc>
            </w:tr>
            <w:tr w14:paraId="1F1A1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Align w:val="center"/>
                </w:tcPr>
                <w:p w14:paraId="30987818">
                  <w:pPr>
                    <w:pStyle w:val="221"/>
                    <w:rPr>
                      <w:color w:val="000000" w:themeColor="text1"/>
                      <w14:textFill>
                        <w14:solidFill>
                          <w14:schemeClr w14:val="tx1"/>
                        </w14:solidFill>
                      </w14:textFill>
                    </w:rPr>
                  </w:pPr>
                  <w:r>
                    <w:rPr>
                      <w:color w:val="000000" w:themeColor="text1"/>
                      <w:spacing w:val="3"/>
                      <w14:textFill>
                        <w14:solidFill>
                          <w14:schemeClr w14:val="tx1"/>
                        </w14:solidFill>
                      </w14:textFill>
                    </w:rPr>
                    <w:t>龙江</w:t>
                  </w:r>
                </w:p>
              </w:tc>
              <w:tc>
                <w:tcPr>
                  <w:tcW w:w="953" w:type="dxa"/>
                  <w:vAlign w:val="center"/>
                </w:tcPr>
                <w:p w14:paraId="2F4257B2">
                  <w:pPr>
                    <w:pStyle w:val="221"/>
                    <w:rPr>
                      <w:rFonts w:eastAsia="Times New Roman"/>
                      <w:color w:val="000000" w:themeColor="text1"/>
                      <w14:textFill>
                        <w14:solidFill>
                          <w14:schemeClr w14:val="tx1"/>
                        </w14:solidFill>
                      </w14:textFill>
                    </w:rPr>
                  </w:pPr>
                  <w:r>
                    <w:rPr>
                      <w:rFonts w:eastAsia="Times New Roman"/>
                      <w:color w:val="000000" w:themeColor="text1"/>
                      <w:spacing w:val="8"/>
                      <w14:textFill>
                        <w14:solidFill>
                          <w14:schemeClr w14:val="tx1"/>
                        </w14:solidFill>
                      </w14:textFill>
                    </w:rPr>
                    <w:t>N</w:t>
                  </w:r>
                </w:p>
              </w:tc>
              <w:tc>
                <w:tcPr>
                  <w:tcW w:w="1842" w:type="dxa"/>
                  <w:vAlign w:val="center"/>
                </w:tcPr>
                <w:p w14:paraId="45841DE4">
                  <w:pPr>
                    <w:pStyle w:val="221"/>
                    <w:rPr>
                      <w:rFonts w:eastAsia="Times New Roman"/>
                      <w:color w:val="000000" w:themeColor="text1"/>
                      <w14:textFill>
                        <w14:solidFill>
                          <w14:schemeClr w14:val="tx1"/>
                        </w14:solidFill>
                      </w14:textFill>
                    </w:rPr>
                  </w:pPr>
                  <w:r>
                    <w:rPr>
                      <w:rFonts w:hint="eastAsia" w:ascii="宋体" w:hAnsi="宋体" w:cs="宋体"/>
                      <w:color w:val="000000" w:themeColor="text1"/>
                      <w:spacing w:val="-1"/>
                      <w14:textFill>
                        <w14:solidFill>
                          <w14:schemeClr w14:val="tx1"/>
                        </w14:solidFill>
                      </w14:textFill>
                    </w:rPr>
                    <w:t>约</w:t>
                  </w:r>
                  <w:r>
                    <w:rPr>
                      <w:rFonts w:eastAsia="Times New Roman"/>
                      <w:color w:val="000000" w:themeColor="text1"/>
                      <w:spacing w:val="3"/>
                      <w14:textFill>
                        <w14:solidFill>
                          <w14:schemeClr w14:val="tx1"/>
                        </w14:solidFill>
                      </w14:textFill>
                    </w:rPr>
                    <w:t>2110m</w:t>
                  </w:r>
                </w:p>
              </w:tc>
              <w:tc>
                <w:tcPr>
                  <w:tcW w:w="1701" w:type="dxa"/>
                  <w:vAlign w:val="center"/>
                </w:tcPr>
                <w:p w14:paraId="33D9978F">
                  <w:pPr>
                    <w:pStyle w:val="221"/>
                    <w:rPr>
                      <w:color w:val="000000" w:themeColor="text1"/>
                      <w:spacing w:val="-1"/>
                      <w14:textFill>
                        <w14:solidFill>
                          <w14:schemeClr w14:val="tx1"/>
                        </w14:solidFill>
                      </w14:textFill>
                    </w:rPr>
                  </w:pPr>
                  <w:r>
                    <w:rPr>
                      <w:color w:val="000000" w:themeColor="text1"/>
                      <w:spacing w:val="-1"/>
                      <w14:textFill>
                        <w14:solidFill>
                          <w14:schemeClr w14:val="tx1"/>
                        </w14:solidFill>
                      </w14:textFill>
                    </w:rPr>
                    <w:t>一般景观用水，大河流域</w:t>
                  </w:r>
                </w:p>
              </w:tc>
              <w:tc>
                <w:tcPr>
                  <w:tcW w:w="2977" w:type="dxa"/>
                  <w:gridSpan w:val="3"/>
                  <w:vAlign w:val="center"/>
                </w:tcPr>
                <w:p w14:paraId="18DF7C71">
                  <w:pPr>
                    <w:pStyle w:val="221"/>
                    <w:rPr>
                      <w:color w:val="000000" w:themeColor="text1"/>
                      <w14:textFill>
                        <w14:solidFill>
                          <w14:schemeClr w14:val="tx1"/>
                        </w14:solidFill>
                      </w14:textFill>
                    </w:rPr>
                  </w:pPr>
                  <w:r>
                    <w:rPr>
                      <w:color w:val="000000" w:themeColor="text1"/>
                      <w:spacing w:val="-1"/>
                      <w14:textFill>
                        <w14:solidFill>
                          <w14:schemeClr w14:val="tx1"/>
                        </w14:solidFill>
                      </w14:textFill>
                    </w:rPr>
                    <w:t>《地表水环境质量标准》（</w:t>
                  </w:r>
                  <w:r>
                    <w:rPr>
                      <w:rFonts w:eastAsia="Times New Roman"/>
                      <w:color w:val="000000" w:themeColor="text1"/>
                      <w:spacing w:val="-1"/>
                      <w14:textFill>
                        <w14:solidFill>
                          <w14:schemeClr w14:val="tx1"/>
                        </w14:solidFill>
                      </w14:textFill>
                    </w:rPr>
                    <w:t>GB3838-</w:t>
                  </w:r>
                  <w:r>
                    <w:rPr>
                      <w:rFonts w:eastAsia="Times New Roman"/>
                      <w:color w:val="000000" w:themeColor="text1"/>
                      <w:spacing w:val="-2"/>
                      <w14:textFill>
                        <w14:solidFill>
                          <w14:schemeClr w14:val="tx1"/>
                        </w14:solidFill>
                      </w14:textFill>
                    </w:rPr>
                    <w:t>2012</w:t>
                  </w:r>
                  <w:r>
                    <w:rPr>
                      <w:color w:val="000000" w:themeColor="text1"/>
                      <w:spacing w:val="-2"/>
                      <w14:textFill>
                        <w14:solidFill>
                          <w14:schemeClr w14:val="tx1"/>
                        </w14:solidFill>
                      </w14:textFill>
                    </w:rPr>
                    <w:t>）</w:t>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5 \* ROMAN</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V</w:t>
                  </w:r>
                  <w:r>
                    <w:rPr>
                      <w:color w:val="000000" w:themeColor="text1"/>
                      <w14:textFill>
                        <w14:solidFill>
                          <w14:schemeClr w14:val="tx1"/>
                        </w14:solidFill>
                      </w14:textFill>
                    </w:rPr>
                    <w:fldChar w:fldCharType="end"/>
                  </w:r>
                  <w:r>
                    <w:rPr>
                      <w:color w:val="000000" w:themeColor="text1"/>
                      <w:spacing w:val="6"/>
                      <w14:textFill>
                        <w14:solidFill>
                          <w14:schemeClr w14:val="tx1"/>
                        </w14:solidFill>
                      </w14:textFill>
                    </w:rPr>
                    <w:t>水质标准</w:t>
                  </w:r>
                </w:p>
              </w:tc>
            </w:tr>
          </w:tbl>
          <w:p w14:paraId="3CE9A685">
            <w:pPr>
              <w:pStyle w:val="14"/>
              <w:widowControl w:val="0"/>
              <w:topLinePunct/>
              <w:ind w:firstLine="0" w:firstLineChars="0"/>
              <w:rPr>
                <w:rFonts w:ascii="Times New Roman" w:hAnsi="Times New Roman" w:eastAsia="宋体" w:cs="Times New Roman"/>
                <w:color w:val="000000" w:themeColor="text1"/>
                <w:szCs w:val="21"/>
                <w14:textFill>
                  <w14:solidFill>
                    <w14:schemeClr w14:val="tx1"/>
                  </w14:solidFill>
                </w14:textFill>
              </w:rPr>
            </w:pPr>
          </w:p>
        </w:tc>
      </w:tr>
      <w:tr w14:paraId="02440C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56" w:type="dxa"/>
            <w:vAlign w:val="center"/>
          </w:tcPr>
          <w:p w14:paraId="701011DA">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污染</w:t>
            </w:r>
          </w:p>
          <w:p w14:paraId="790DD0AA">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物排</w:t>
            </w:r>
          </w:p>
          <w:p w14:paraId="20350E31">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放控</w:t>
            </w:r>
          </w:p>
          <w:p w14:paraId="37791896">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制标</w:t>
            </w:r>
          </w:p>
          <w:p w14:paraId="34EF7EDA">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准</w:t>
            </w:r>
          </w:p>
        </w:tc>
        <w:tc>
          <w:tcPr>
            <w:tcW w:w="8833" w:type="dxa"/>
            <w:vAlign w:val="center"/>
          </w:tcPr>
          <w:p w14:paraId="2A783847">
            <w:pPr>
              <w:widowControl w:val="0"/>
              <w:topLinePunct/>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3.3 污染物排放标准</w:t>
            </w:r>
          </w:p>
          <w:p w14:paraId="2454D0E4">
            <w:pPr>
              <w:widowControl w:val="0"/>
              <w:topLinePunct/>
              <w:spacing w:after="0" w:line="360" w:lineRule="auto"/>
              <w:jc w:val="both"/>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3.3.</w:t>
            </w:r>
            <w:r>
              <w:rPr>
                <w:rFonts w:hint="eastAsia" w:ascii="Times New Roman" w:hAnsi="Times New Roman" w:eastAsia="宋体" w:cs="Times New Roman"/>
                <w:b/>
                <w:bCs/>
                <w:color w:val="000000" w:themeColor="text1"/>
                <w:szCs w:val="24"/>
                <w14:textFill>
                  <w14:solidFill>
                    <w14:schemeClr w14:val="tx1"/>
                  </w14:solidFill>
                </w14:textFill>
              </w:rPr>
              <w:t>1</w:t>
            </w:r>
            <w:r>
              <w:rPr>
                <w:rFonts w:ascii="Times New Roman" w:hAnsi="Times New Roman" w:eastAsia="宋体" w:cs="Times New Roman"/>
                <w:b/>
                <w:bCs/>
                <w:color w:val="000000" w:themeColor="text1"/>
                <w:szCs w:val="24"/>
                <w14:textFill>
                  <w14:solidFill>
                    <w14:schemeClr w14:val="tx1"/>
                  </w14:solidFill>
                </w14:textFill>
              </w:rPr>
              <w:t xml:space="preserve"> 大气污染物排放标准</w:t>
            </w:r>
          </w:p>
          <w:p w14:paraId="2F7A3C6D">
            <w:pPr>
              <w:pStyle w:val="120"/>
              <w:widowControl w:val="0"/>
              <w:topLinePunct/>
              <w:spacing w:after="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项目排放的颗粒物执行《大气污染物综合排放标准》(GB16297-1996)表2中二级排放标准要求，</w:t>
            </w:r>
            <w:r>
              <w:rPr>
                <w:rFonts w:ascii="Times New Roman" w:hAnsi="Times New Roman" w:eastAsia="宋体" w:cs="Times New Roman"/>
                <w:color w:val="000000" w:themeColor="text1"/>
                <w:szCs w:val="24"/>
                <w14:textFill>
                  <w14:solidFill>
                    <w14:schemeClr w14:val="tx1"/>
                  </w14:solidFill>
                </w14:textFill>
              </w:rPr>
              <w:t>见表3.3-</w:t>
            </w:r>
            <w:r>
              <w:rPr>
                <w:rFonts w:hint="eastAsia" w:ascii="Times New Roman" w:hAnsi="Times New Roman" w:eastAsia="宋体" w:cs="Times New Roman"/>
                <w:color w:val="000000" w:themeColor="text1"/>
                <w:szCs w:val="24"/>
                <w14:textFill>
                  <w14:solidFill>
                    <w14:schemeClr w14:val="tx1"/>
                  </w14:solidFill>
                </w14:textFill>
              </w:rPr>
              <w:t>1</w:t>
            </w:r>
            <w:r>
              <w:rPr>
                <w:rFonts w:ascii="Times New Roman" w:hAnsi="Times New Roman" w:eastAsia="宋体" w:cs="Times New Roman"/>
                <w:color w:val="000000" w:themeColor="text1"/>
                <w:szCs w:val="24"/>
                <w14:textFill>
                  <w14:solidFill>
                    <w14:schemeClr w14:val="tx1"/>
                  </w14:solidFill>
                </w14:textFill>
              </w:rPr>
              <w:t>。</w:t>
            </w:r>
          </w:p>
          <w:p w14:paraId="37123DB5">
            <w:pPr>
              <w:pStyle w:val="222"/>
              <w:spacing w:before="120"/>
            </w:pPr>
            <w:r>
              <w:t>表3.3-</w:t>
            </w:r>
            <w:r>
              <w:rPr>
                <w:rFonts w:hint="eastAsia"/>
              </w:rPr>
              <w:t>1</w:t>
            </w:r>
            <w:r>
              <w:t xml:space="preserve"> 本项目大气污染物排放控制要求</w:t>
            </w:r>
          </w:p>
          <w:tbl>
            <w:tblPr>
              <w:tblStyle w:val="226"/>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129"/>
              <w:gridCol w:w="1613"/>
              <w:gridCol w:w="1218"/>
              <w:gridCol w:w="1222"/>
              <w:gridCol w:w="2213"/>
            </w:tblGrid>
            <w:tr w14:paraId="6E9A9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vMerge w:val="restart"/>
                  <w:vAlign w:val="center"/>
                </w:tcPr>
                <w:p w14:paraId="31C75C0B">
                  <w:pPr>
                    <w:pStyle w:val="221"/>
                  </w:pPr>
                  <w:r>
                    <w:rPr>
                      <w:rFonts w:hint="eastAsia"/>
                    </w:rPr>
                    <w:t>类别</w:t>
                  </w:r>
                </w:p>
              </w:tc>
              <w:tc>
                <w:tcPr>
                  <w:tcW w:w="1129" w:type="dxa"/>
                  <w:vMerge w:val="restart"/>
                  <w:vAlign w:val="center"/>
                </w:tcPr>
                <w:p w14:paraId="1BD67A69">
                  <w:pPr>
                    <w:pStyle w:val="221"/>
                  </w:pPr>
                  <w:r>
                    <w:t>污染物</w:t>
                  </w:r>
                </w:p>
                <w:p w14:paraId="495E1255">
                  <w:pPr>
                    <w:pStyle w:val="221"/>
                  </w:pPr>
                  <w:r>
                    <w:t>种类</w:t>
                  </w:r>
                </w:p>
              </w:tc>
              <w:tc>
                <w:tcPr>
                  <w:tcW w:w="4053" w:type="dxa"/>
                  <w:gridSpan w:val="3"/>
                  <w:vAlign w:val="center"/>
                </w:tcPr>
                <w:p w14:paraId="796BD428">
                  <w:pPr>
                    <w:pStyle w:val="221"/>
                  </w:pPr>
                  <w:r>
                    <w:t>排放限值</w:t>
                  </w:r>
                </w:p>
              </w:tc>
              <w:tc>
                <w:tcPr>
                  <w:tcW w:w="2213" w:type="dxa"/>
                  <w:vMerge w:val="restart"/>
                  <w:vAlign w:val="center"/>
                </w:tcPr>
                <w:p w14:paraId="2E64D091">
                  <w:pPr>
                    <w:pStyle w:val="221"/>
                  </w:pPr>
                  <w:r>
                    <w:t>标准</w:t>
                  </w:r>
                </w:p>
              </w:tc>
            </w:tr>
            <w:tr w14:paraId="19D3A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vMerge w:val="continue"/>
                  <w:vAlign w:val="center"/>
                </w:tcPr>
                <w:p w14:paraId="408EB593">
                  <w:pPr>
                    <w:pStyle w:val="221"/>
                  </w:pPr>
                </w:p>
              </w:tc>
              <w:tc>
                <w:tcPr>
                  <w:tcW w:w="1129" w:type="dxa"/>
                  <w:vMerge w:val="continue"/>
                  <w:vAlign w:val="center"/>
                </w:tcPr>
                <w:p w14:paraId="0BEAA298">
                  <w:pPr>
                    <w:pStyle w:val="221"/>
                  </w:pPr>
                </w:p>
              </w:tc>
              <w:tc>
                <w:tcPr>
                  <w:tcW w:w="1613" w:type="dxa"/>
                  <w:vAlign w:val="center"/>
                </w:tcPr>
                <w:p w14:paraId="6F1D203D">
                  <w:pPr>
                    <w:pStyle w:val="221"/>
                  </w:pPr>
                  <w:r>
                    <w:t>排放浓度限值</w:t>
                  </w:r>
                </w:p>
              </w:tc>
              <w:tc>
                <w:tcPr>
                  <w:tcW w:w="1218" w:type="dxa"/>
                  <w:vAlign w:val="center"/>
                </w:tcPr>
                <w:p w14:paraId="1EA8B57F">
                  <w:pPr>
                    <w:pStyle w:val="221"/>
                  </w:pPr>
                  <w:r>
                    <w:rPr>
                      <w:rFonts w:hint="eastAsia"/>
                    </w:rPr>
                    <w:t>排放速率限值</w:t>
                  </w:r>
                </w:p>
              </w:tc>
              <w:tc>
                <w:tcPr>
                  <w:tcW w:w="1222" w:type="dxa"/>
                  <w:vAlign w:val="center"/>
                </w:tcPr>
                <w:p w14:paraId="7303CD5B">
                  <w:pPr>
                    <w:pStyle w:val="221"/>
                  </w:pPr>
                  <w:r>
                    <w:t>排气筒高度</w:t>
                  </w:r>
                </w:p>
              </w:tc>
              <w:tc>
                <w:tcPr>
                  <w:tcW w:w="2213" w:type="dxa"/>
                  <w:vMerge w:val="continue"/>
                  <w:vAlign w:val="center"/>
                </w:tcPr>
                <w:p w14:paraId="1DC47C33">
                  <w:pPr>
                    <w:pStyle w:val="221"/>
                  </w:pPr>
                </w:p>
              </w:tc>
            </w:tr>
            <w:tr w14:paraId="556D2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vAlign w:val="center"/>
                </w:tcPr>
                <w:p w14:paraId="2973111E">
                  <w:pPr>
                    <w:pStyle w:val="221"/>
                  </w:pPr>
                  <w:r>
                    <w:rPr>
                      <w:rFonts w:hint="eastAsia"/>
                    </w:rPr>
                    <w:t>有组织</w:t>
                  </w:r>
                </w:p>
              </w:tc>
              <w:tc>
                <w:tcPr>
                  <w:tcW w:w="1129" w:type="dxa"/>
                  <w:vAlign w:val="center"/>
                </w:tcPr>
                <w:p w14:paraId="55802861">
                  <w:pPr>
                    <w:pStyle w:val="221"/>
                  </w:pPr>
                  <w:r>
                    <w:rPr>
                      <w:rFonts w:hint="eastAsia"/>
                    </w:rPr>
                    <w:t>颗粒物</w:t>
                  </w:r>
                </w:p>
              </w:tc>
              <w:tc>
                <w:tcPr>
                  <w:tcW w:w="1613" w:type="dxa"/>
                  <w:vAlign w:val="center"/>
                </w:tcPr>
                <w:p w14:paraId="3DB50876">
                  <w:pPr>
                    <w:pStyle w:val="221"/>
                  </w:pPr>
                  <w:r>
                    <w:rPr>
                      <w:rFonts w:hint="eastAsia"/>
                    </w:rPr>
                    <w:t>120</w:t>
                  </w:r>
                  <w:r>
                    <w:t>mg/m</w:t>
                  </w:r>
                  <w:r>
                    <w:rPr>
                      <w:vertAlign w:val="superscript"/>
                    </w:rPr>
                    <w:t>3</w:t>
                  </w:r>
                </w:p>
              </w:tc>
              <w:tc>
                <w:tcPr>
                  <w:tcW w:w="1218" w:type="dxa"/>
                  <w:vAlign w:val="center"/>
                </w:tcPr>
                <w:p w14:paraId="620C1CB5">
                  <w:pPr>
                    <w:pStyle w:val="221"/>
                  </w:pPr>
                  <w:r>
                    <w:rPr>
                      <w:rFonts w:hint="eastAsia"/>
                    </w:rPr>
                    <w:t>3.5kg/h</w:t>
                  </w:r>
                </w:p>
              </w:tc>
              <w:tc>
                <w:tcPr>
                  <w:tcW w:w="1222" w:type="dxa"/>
                  <w:vAlign w:val="center"/>
                </w:tcPr>
                <w:p w14:paraId="7DF4BD38">
                  <w:pPr>
                    <w:pStyle w:val="221"/>
                  </w:pPr>
                  <w:r>
                    <w:rPr>
                      <w:rFonts w:hint="eastAsia"/>
                    </w:rPr>
                    <w:t>15m</w:t>
                  </w:r>
                </w:p>
              </w:tc>
              <w:tc>
                <w:tcPr>
                  <w:tcW w:w="2213" w:type="dxa"/>
                  <w:vMerge w:val="restart"/>
                  <w:vAlign w:val="center"/>
                </w:tcPr>
                <w:p w14:paraId="7ABC01E0">
                  <w:pPr>
                    <w:pStyle w:val="221"/>
                  </w:pPr>
                  <w:r>
                    <w:rPr>
                      <w:rFonts w:hint="eastAsia"/>
                    </w:rPr>
                    <w:t>《大气污染物综合排放标准》(GB16297-1996)表2中二级排放标准</w:t>
                  </w:r>
                </w:p>
              </w:tc>
            </w:tr>
            <w:tr w14:paraId="5F85D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vAlign w:val="center"/>
                </w:tcPr>
                <w:p w14:paraId="230E9B9E">
                  <w:pPr>
                    <w:pStyle w:val="221"/>
                  </w:pPr>
                  <w:r>
                    <w:rPr>
                      <w:rFonts w:hint="eastAsia"/>
                    </w:rPr>
                    <w:t>无组织</w:t>
                  </w:r>
                </w:p>
              </w:tc>
              <w:tc>
                <w:tcPr>
                  <w:tcW w:w="1129" w:type="dxa"/>
                  <w:vAlign w:val="center"/>
                </w:tcPr>
                <w:p w14:paraId="77C57492">
                  <w:pPr>
                    <w:pStyle w:val="221"/>
                  </w:pPr>
                  <w:r>
                    <w:rPr>
                      <w:rFonts w:hint="eastAsia"/>
                    </w:rPr>
                    <w:t>颗粒物</w:t>
                  </w:r>
                </w:p>
              </w:tc>
              <w:tc>
                <w:tcPr>
                  <w:tcW w:w="1613" w:type="dxa"/>
                  <w:vAlign w:val="center"/>
                </w:tcPr>
                <w:p w14:paraId="166DC73A">
                  <w:pPr>
                    <w:pStyle w:val="221"/>
                  </w:pPr>
                  <w:r>
                    <w:rPr>
                      <w:rFonts w:hint="eastAsia"/>
                    </w:rPr>
                    <w:t>1.0</w:t>
                  </w:r>
                  <w:r>
                    <w:t>mg/m</w:t>
                  </w:r>
                  <w:r>
                    <w:rPr>
                      <w:vertAlign w:val="superscript"/>
                    </w:rPr>
                    <w:t>3</w:t>
                  </w:r>
                </w:p>
              </w:tc>
              <w:tc>
                <w:tcPr>
                  <w:tcW w:w="1218" w:type="dxa"/>
                  <w:vAlign w:val="center"/>
                </w:tcPr>
                <w:p w14:paraId="3C0D0DDB">
                  <w:pPr>
                    <w:pStyle w:val="221"/>
                  </w:pPr>
                  <w:r>
                    <w:rPr>
                      <w:rFonts w:hint="eastAsia"/>
                    </w:rPr>
                    <w:t>/</w:t>
                  </w:r>
                </w:p>
              </w:tc>
              <w:tc>
                <w:tcPr>
                  <w:tcW w:w="1222" w:type="dxa"/>
                  <w:vAlign w:val="center"/>
                </w:tcPr>
                <w:p w14:paraId="0698BBE3">
                  <w:pPr>
                    <w:pStyle w:val="221"/>
                  </w:pPr>
                  <w:r>
                    <w:rPr>
                      <w:rFonts w:hint="eastAsia"/>
                    </w:rPr>
                    <w:t>/</w:t>
                  </w:r>
                </w:p>
              </w:tc>
              <w:tc>
                <w:tcPr>
                  <w:tcW w:w="2213" w:type="dxa"/>
                  <w:vMerge w:val="continue"/>
                  <w:vAlign w:val="center"/>
                </w:tcPr>
                <w:p w14:paraId="739E2FF6">
                  <w:pPr>
                    <w:pStyle w:val="221"/>
                  </w:pPr>
                </w:p>
              </w:tc>
            </w:tr>
          </w:tbl>
          <w:p w14:paraId="54AF85A3">
            <w:pPr>
              <w:widowControl w:val="0"/>
              <w:topLinePunct/>
              <w:spacing w:before="120" w:beforeLines="50"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3.3.</w:t>
            </w:r>
            <w:r>
              <w:rPr>
                <w:rFonts w:hint="eastAsia" w:ascii="Times New Roman" w:hAnsi="Times New Roman" w:eastAsia="宋体" w:cs="Times New Roman"/>
                <w:b/>
                <w:bCs/>
                <w:color w:val="000000" w:themeColor="text1"/>
                <w:szCs w:val="24"/>
                <w14:textFill>
                  <w14:solidFill>
                    <w14:schemeClr w14:val="tx1"/>
                  </w14:solidFill>
                </w14:textFill>
              </w:rPr>
              <w:t>2</w:t>
            </w:r>
            <w:r>
              <w:rPr>
                <w:rFonts w:ascii="Times New Roman" w:hAnsi="Times New Roman" w:eastAsia="宋体" w:cs="Times New Roman"/>
                <w:b/>
                <w:bCs/>
                <w:color w:val="000000" w:themeColor="text1"/>
                <w:szCs w:val="24"/>
                <w14:textFill>
                  <w14:solidFill>
                    <w14:schemeClr w14:val="tx1"/>
                  </w14:solidFill>
                </w14:textFill>
              </w:rPr>
              <w:t xml:space="preserve"> 噪声污染物排放标准</w:t>
            </w:r>
          </w:p>
          <w:p w14:paraId="7B2D800C">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厂界</w:t>
            </w:r>
            <w:r>
              <w:rPr>
                <w:rFonts w:hint="eastAsia" w:ascii="Times New Roman" w:hAnsi="Times New Roman" w:eastAsia="宋体" w:cs="Times New Roman"/>
                <w:color w:val="000000" w:themeColor="text1"/>
                <w:szCs w:val="24"/>
                <w14:textFill>
                  <w14:solidFill>
                    <w14:schemeClr w14:val="tx1"/>
                  </w14:solidFill>
                </w14:textFill>
              </w:rPr>
              <w:t>（东、南、北侧）</w:t>
            </w:r>
            <w:r>
              <w:rPr>
                <w:rFonts w:ascii="Times New Roman" w:hAnsi="Times New Roman" w:eastAsia="宋体" w:cs="Times New Roman"/>
                <w:color w:val="000000" w:themeColor="text1"/>
                <w:szCs w:val="24"/>
                <w14:textFill>
                  <w14:solidFill>
                    <w14:schemeClr w14:val="tx1"/>
                  </w14:solidFill>
                </w14:textFill>
              </w:rPr>
              <w:t>的噪声执行《工业企业厂界环境噪声排放标准》（GB 12348-2008）3类标准，西侧执行《工业企业厂界环境噪声排放标准》（GB 12348-2008）中的4类标准。具体详见表3.3-</w:t>
            </w:r>
            <w:r>
              <w:rPr>
                <w:rFonts w:hint="eastAsia" w:ascii="Times New Roman" w:hAnsi="Times New Roman" w:eastAsia="宋体" w:cs="Times New Roman"/>
                <w:color w:val="000000" w:themeColor="text1"/>
                <w:szCs w:val="24"/>
                <w14:textFill>
                  <w14:solidFill>
                    <w14:schemeClr w14:val="tx1"/>
                  </w14:solidFill>
                </w14:textFill>
              </w:rPr>
              <w:t>2</w:t>
            </w:r>
            <w:r>
              <w:rPr>
                <w:rFonts w:ascii="Times New Roman" w:hAnsi="Times New Roman" w:eastAsia="宋体" w:cs="Times New Roman"/>
                <w:color w:val="000000" w:themeColor="text1"/>
                <w:szCs w:val="24"/>
                <w14:textFill>
                  <w14:solidFill>
                    <w14:schemeClr w14:val="tx1"/>
                  </w14:solidFill>
                </w14:textFill>
              </w:rPr>
              <w:t>。</w:t>
            </w:r>
          </w:p>
          <w:p w14:paraId="42C474A1">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p>
          <w:p w14:paraId="4FDA44BC">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p>
          <w:p w14:paraId="78D5202E">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p>
          <w:p w14:paraId="55097796">
            <w:pPr>
              <w:pStyle w:val="222"/>
              <w:spacing w:before="120"/>
            </w:pPr>
            <w:r>
              <w:t>表3.3-</w:t>
            </w:r>
            <w:r>
              <w:rPr>
                <w:rFonts w:hint="eastAsia"/>
              </w:rPr>
              <w:t>2</w:t>
            </w:r>
            <w:r>
              <w:t xml:space="preserve"> 《工业企业厂界环境噪声排放标准》（GB 12348-2008）</w:t>
            </w:r>
          </w:p>
          <w:tbl>
            <w:tblPr>
              <w:tblStyle w:val="226"/>
              <w:tblW w:w="86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01"/>
              <w:gridCol w:w="1918"/>
              <w:gridCol w:w="2047"/>
              <w:gridCol w:w="2048"/>
            </w:tblGrid>
            <w:tr w14:paraId="0CE47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1" w:type="dxa"/>
                  <w:vAlign w:val="center"/>
                </w:tcPr>
                <w:p w14:paraId="594DC8FA">
                  <w:pPr>
                    <w:pStyle w:val="128"/>
                    <w:widowControl w:val="0"/>
                    <w:topLinePunct/>
                    <w:spacing w:beforeLines="0" w:after="0" w:afterLines="0" w:line="240" w:lineRule="auto"/>
                    <w:jc w:val="center"/>
                    <w:rPr>
                      <w:rFonts w:ascii="Times New Roman" w:hAnsi="Times New Roman" w:eastAsia="宋体" w:cs="Times New Roman"/>
                      <w:b w:val="0"/>
                      <w:color w:val="000000" w:themeColor="text1"/>
                      <w:sz w:val="21"/>
                      <w:szCs w:val="21"/>
                      <w14:textFill>
                        <w14:solidFill>
                          <w14:schemeClr w14:val="tx1"/>
                        </w14:solidFill>
                      </w14:textFill>
                    </w:rPr>
                  </w:pPr>
                  <w:r>
                    <w:rPr>
                      <w:rFonts w:ascii="Times New Roman" w:hAnsi="Times New Roman" w:eastAsia="宋体" w:cs="Times New Roman"/>
                      <w:b w:val="0"/>
                      <w:color w:val="000000" w:themeColor="text1"/>
                      <w:sz w:val="21"/>
                      <w:szCs w:val="21"/>
                      <w14:textFill>
                        <w14:solidFill>
                          <w14:schemeClr w14:val="tx1"/>
                        </w14:solidFill>
                      </w14:textFill>
                    </w:rPr>
                    <w:t>项目</w:t>
                  </w:r>
                </w:p>
              </w:tc>
              <w:tc>
                <w:tcPr>
                  <w:tcW w:w="1918" w:type="dxa"/>
                  <w:vAlign w:val="center"/>
                </w:tcPr>
                <w:p w14:paraId="7E95BE68">
                  <w:pPr>
                    <w:pStyle w:val="128"/>
                    <w:widowControl w:val="0"/>
                    <w:topLinePunct/>
                    <w:snapToGrid w:val="0"/>
                    <w:spacing w:beforeLines="0" w:after="0" w:afterLines="0" w:line="240" w:lineRule="auto"/>
                    <w:jc w:val="center"/>
                    <w:rPr>
                      <w:rFonts w:ascii="Times New Roman" w:hAnsi="Times New Roman" w:eastAsia="宋体" w:cs="Times New Roman"/>
                      <w:b w:val="0"/>
                      <w:color w:val="000000" w:themeColor="text1"/>
                      <w:sz w:val="21"/>
                      <w:szCs w:val="21"/>
                      <w14:textFill>
                        <w14:solidFill>
                          <w14:schemeClr w14:val="tx1"/>
                        </w14:solidFill>
                      </w14:textFill>
                    </w:rPr>
                  </w:pPr>
                  <w:r>
                    <w:rPr>
                      <w:rFonts w:ascii="Times New Roman" w:hAnsi="Times New Roman" w:eastAsia="宋体" w:cs="Times New Roman"/>
                      <w:b w:val="0"/>
                      <w:color w:val="000000" w:themeColor="text1"/>
                      <w:sz w:val="21"/>
                      <w:szCs w:val="21"/>
                      <w14:textFill>
                        <w14:solidFill>
                          <w14:schemeClr w14:val="tx1"/>
                        </w14:solidFill>
                      </w14:textFill>
                    </w:rPr>
                    <w:t>执行标准</w:t>
                  </w:r>
                </w:p>
              </w:tc>
              <w:tc>
                <w:tcPr>
                  <w:tcW w:w="2047" w:type="dxa"/>
                  <w:vAlign w:val="center"/>
                </w:tcPr>
                <w:p w14:paraId="4F72F399">
                  <w:pPr>
                    <w:pStyle w:val="128"/>
                    <w:widowControl w:val="0"/>
                    <w:topLinePunct/>
                    <w:spacing w:beforeLines="0" w:after="0" w:afterLines="0" w:line="240" w:lineRule="auto"/>
                    <w:jc w:val="center"/>
                    <w:rPr>
                      <w:rFonts w:ascii="Times New Roman" w:hAnsi="Times New Roman" w:eastAsia="宋体" w:cs="Times New Roman"/>
                      <w:b w:val="0"/>
                      <w:color w:val="000000" w:themeColor="text1"/>
                      <w:sz w:val="21"/>
                      <w:szCs w:val="21"/>
                      <w14:textFill>
                        <w14:solidFill>
                          <w14:schemeClr w14:val="tx1"/>
                        </w14:solidFill>
                      </w14:textFill>
                    </w:rPr>
                  </w:pPr>
                  <w:r>
                    <w:rPr>
                      <w:rFonts w:ascii="Times New Roman" w:hAnsi="Times New Roman" w:eastAsia="宋体" w:cs="Times New Roman"/>
                      <w:b w:val="0"/>
                      <w:color w:val="000000" w:themeColor="text1"/>
                      <w:sz w:val="21"/>
                      <w:szCs w:val="21"/>
                      <w14:textFill>
                        <w14:solidFill>
                          <w14:schemeClr w14:val="tx1"/>
                        </w14:solidFill>
                      </w14:textFill>
                    </w:rPr>
                    <w:t>昼间</w:t>
                  </w:r>
                </w:p>
              </w:tc>
              <w:tc>
                <w:tcPr>
                  <w:tcW w:w="2048" w:type="dxa"/>
                  <w:vAlign w:val="center"/>
                </w:tcPr>
                <w:p w14:paraId="0D1AA23C">
                  <w:pPr>
                    <w:pStyle w:val="128"/>
                    <w:widowControl w:val="0"/>
                    <w:topLinePunct/>
                    <w:spacing w:beforeLines="0" w:after="0" w:afterLines="0" w:line="240" w:lineRule="auto"/>
                    <w:jc w:val="center"/>
                    <w:rPr>
                      <w:rFonts w:ascii="Times New Roman" w:hAnsi="Times New Roman" w:eastAsia="宋体" w:cs="Times New Roman"/>
                      <w:b w:val="0"/>
                      <w:color w:val="000000" w:themeColor="text1"/>
                      <w:sz w:val="21"/>
                      <w:szCs w:val="21"/>
                      <w14:textFill>
                        <w14:solidFill>
                          <w14:schemeClr w14:val="tx1"/>
                        </w14:solidFill>
                      </w14:textFill>
                    </w:rPr>
                  </w:pPr>
                  <w:r>
                    <w:rPr>
                      <w:rFonts w:ascii="Times New Roman" w:hAnsi="Times New Roman" w:eastAsia="宋体" w:cs="Times New Roman"/>
                      <w:b w:val="0"/>
                      <w:color w:val="000000" w:themeColor="text1"/>
                      <w:sz w:val="21"/>
                      <w:szCs w:val="21"/>
                      <w14:textFill>
                        <w14:solidFill>
                          <w14:schemeClr w14:val="tx1"/>
                        </w14:solidFill>
                      </w14:textFill>
                    </w:rPr>
                    <w:t>夜间</w:t>
                  </w:r>
                </w:p>
              </w:tc>
            </w:tr>
            <w:tr w14:paraId="1FB3D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1" w:type="dxa"/>
                  <w:vAlign w:val="center"/>
                </w:tcPr>
                <w:p w14:paraId="4245932D">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东侧、南侧、北侧</w:t>
                  </w:r>
                </w:p>
              </w:tc>
              <w:tc>
                <w:tcPr>
                  <w:tcW w:w="1918" w:type="dxa"/>
                  <w:vAlign w:val="center"/>
                </w:tcPr>
                <w:p w14:paraId="644F5CB6">
                  <w:pPr>
                    <w:pStyle w:val="128"/>
                    <w:widowControl w:val="0"/>
                    <w:topLinePunct/>
                    <w:snapToGrid w:val="0"/>
                    <w:spacing w:beforeLines="0" w:after="0" w:afterLines="0" w:line="240" w:lineRule="auto"/>
                    <w:jc w:val="center"/>
                    <w:rPr>
                      <w:rFonts w:ascii="Times New Roman" w:hAnsi="Times New Roman" w:eastAsia="宋体" w:cs="Times New Roman"/>
                      <w:b w:val="0"/>
                      <w:color w:val="000000" w:themeColor="text1"/>
                      <w:sz w:val="21"/>
                      <w:szCs w:val="21"/>
                      <w14:textFill>
                        <w14:solidFill>
                          <w14:schemeClr w14:val="tx1"/>
                        </w14:solidFill>
                      </w14:textFill>
                    </w:rPr>
                  </w:pPr>
                  <w:r>
                    <w:rPr>
                      <w:rFonts w:ascii="Times New Roman" w:hAnsi="Times New Roman" w:eastAsia="宋体" w:cs="Times New Roman"/>
                      <w:b w:val="0"/>
                      <w:color w:val="000000" w:themeColor="text1"/>
                      <w:sz w:val="21"/>
                      <w:szCs w:val="21"/>
                      <w14:textFill>
                        <w14:solidFill>
                          <w14:schemeClr w14:val="tx1"/>
                        </w14:solidFill>
                      </w14:textFill>
                    </w:rPr>
                    <w:t>3类</w:t>
                  </w:r>
                </w:p>
              </w:tc>
              <w:tc>
                <w:tcPr>
                  <w:tcW w:w="2047" w:type="dxa"/>
                  <w:vAlign w:val="center"/>
                </w:tcPr>
                <w:p w14:paraId="18941E16">
                  <w:pPr>
                    <w:pStyle w:val="128"/>
                    <w:widowControl w:val="0"/>
                    <w:topLinePunct/>
                    <w:spacing w:beforeLines="0" w:after="0" w:afterLines="0" w:line="240" w:lineRule="auto"/>
                    <w:jc w:val="center"/>
                    <w:rPr>
                      <w:rFonts w:ascii="Times New Roman" w:hAnsi="Times New Roman" w:eastAsia="宋体" w:cs="Times New Roman"/>
                      <w:b w:val="0"/>
                      <w:color w:val="000000" w:themeColor="text1"/>
                      <w:sz w:val="21"/>
                      <w:szCs w:val="21"/>
                      <w14:textFill>
                        <w14:solidFill>
                          <w14:schemeClr w14:val="tx1"/>
                        </w14:solidFill>
                      </w14:textFill>
                    </w:rPr>
                  </w:pPr>
                  <w:r>
                    <w:rPr>
                      <w:rFonts w:ascii="Times New Roman" w:hAnsi="Times New Roman" w:eastAsia="宋体" w:cs="Times New Roman"/>
                      <w:b w:val="0"/>
                      <w:color w:val="000000" w:themeColor="text1"/>
                      <w:sz w:val="21"/>
                      <w:szCs w:val="21"/>
                      <w14:textFill>
                        <w14:solidFill>
                          <w14:schemeClr w14:val="tx1"/>
                        </w14:solidFill>
                      </w14:textFill>
                    </w:rPr>
                    <w:t>≤65dB（A）</w:t>
                  </w:r>
                </w:p>
              </w:tc>
              <w:tc>
                <w:tcPr>
                  <w:tcW w:w="2048" w:type="dxa"/>
                  <w:vAlign w:val="center"/>
                </w:tcPr>
                <w:p w14:paraId="38282778">
                  <w:pPr>
                    <w:pStyle w:val="128"/>
                    <w:widowControl w:val="0"/>
                    <w:topLinePunct/>
                    <w:spacing w:beforeLines="0" w:after="0" w:afterLines="0" w:line="240" w:lineRule="auto"/>
                    <w:jc w:val="center"/>
                    <w:rPr>
                      <w:rFonts w:ascii="Times New Roman" w:hAnsi="Times New Roman" w:eastAsia="宋体" w:cs="Times New Roman"/>
                      <w:b w:val="0"/>
                      <w:color w:val="000000" w:themeColor="text1"/>
                      <w:sz w:val="21"/>
                      <w:szCs w:val="21"/>
                      <w14:textFill>
                        <w14:solidFill>
                          <w14:schemeClr w14:val="tx1"/>
                        </w14:solidFill>
                      </w14:textFill>
                    </w:rPr>
                  </w:pPr>
                  <w:r>
                    <w:rPr>
                      <w:rFonts w:ascii="Times New Roman" w:hAnsi="Times New Roman" w:eastAsia="宋体" w:cs="Times New Roman"/>
                      <w:b w:val="0"/>
                      <w:color w:val="000000" w:themeColor="text1"/>
                      <w:sz w:val="21"/>
                      <w:szCs w:val="21"/>
                      <w14:textFill>
                        <w14:solidFill>
                          <w14:schemeClr w14:val="tx1"/>
                        </w14:solidFill>
                      </w14:textFill>
                    </w:rPr>
                    <w:t>≤55dB（A）</w:t>
                  </w:r>
                </w:p>
              </w:tc>
            </w:tr>
            <w:tr w14:paraId="47E52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1" w:type="dxa"/>
                  <w:vAlign w:val="center"/>
                </w:tcPr>
                <w:p w14:paraId="0A7AC298">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西侧</w:t>
                  </w:r>
                </w:p>
              </w:tc>
              <w:tc>
                <w:tcPr>
                  <w:tcW w:w="1918" w:type="dxa"/>
                  <w:vAlign w:val="center"/>
                </w:tcPr>
                <w:p w14:paraId="5D5A5609">
                  <w:pPr>
                    <w:pStyle w:val="128"/>
                    <w:widowControl w:val="0"/>
                    <w:topLinePunct/>
                    <w:snapToGrid w:val="0"/>
                    <w:spacing w:beforeLines="0" w:after="0" w:afterLines="0" w:line="240" w:lineRule="auto"/>
                    <w:jc w:val="center"/>
                    <w:rPr>
                      <w:rFonts w:ascii="Times New Roman" w:hAnsi="Times New Roman" w:eastAsia="宋体" w:cs="Times New Roman"/>
                      <w:b w:val="0"/>
                      <w:color w:val="000000" w:themeColor="text1"/>
                      <w:sz w:val="21"/>
                      <w:szCs w:val="21"/>
                      <w14:textFill>
                        <w14:solidFill>
                          <w14:schemeClr w14:val="tx1"/>
                        </w14:solidFill>
                      </w14:textFill>
                    </w:rPr>
                  </w:pPr>
                  <w:r>
                    <w:rPr>
                      <w:rFonts w:hint="eastAsia" w:ascii="Times New Roman" w:hAnsi="Times New Roman" w:eastAsia="宋体" w:cs="Times New Roman"/>
                      <w:b w:val="0"/>
                      <w:color w:val="000000" w:themeColor="text1"/>
                      <w:sz w:val="21"/>
                      <w:szCs w:val="21"/>
                      <w14:textFill>
                        <w14:solidFill>
                          <w14:schemeClr w14:val="tx1"/>
                        </w14:solidFill>
                      </w14:textFill>
                    </w:rPr>
                    <w:t>4类</w:t>
                  </w:r>
                </w:p>
              </w:tc>
              <w:tc>
                <w:tcPr>
                  <w:tcW w:w="2047" w:type="dxa"/>
                  <w:vAlign w:val="center"/>
                </w:tcPr>
                <w:p w14:paraId="74554192">
                  <w:pPr>
                    <w:pStyle w:val="128"/>
                    <w:widowControl w:val="0"/>
                    <w:topLinePunct/>
                    <w:spacing w:beforeLines="0" w:after="0" w:afterLines="0" w:line="240" w:lineRule="auto"/>
                    <w:jc w:val="center"/>
                    <w:rPr>
                      <w:rFonts w:ascii="Times New Roman" w:hAnsi="Times New Roman" w:eastAsia="宋体" w:cs="Times New Roman"/>
                      <w:b w:val="0"/>
                      <w:color w:val="000000" w:themeColor="text1"/>
                      <w:sz w:val="21"/>
                      <w:szCs w:val="21"/>
                      <w14:textFill>
                        <w14:solidFill>
                          <w14:schemeClr w14:val="tx1"/>
                        </w14:solidFill>
                      </w14:textFill>
                    </w:rPr>
                  </w:pPr>
                  <w:r>
                    <w:rPr>
                      <w:rFonts w:ascii="Times New Roman" w:hAnsi="Times New Roman" w:eastAsia="宋体" w:cs="Times New Roman"/>
                      <w:b w:val="0"/>
                      <w:color w:val="000000" w:themeColor="text1"/>
                      <w:sz w:val="21"/>
                      <w:szCs w:val="21"/>
                      <w14:textFill>
                        <w14:solidFill>
                          <w14:schemeClr w14:val="tx1"/>
                        </w14:solidFill>
                      </w14:textFill>
                    </w:rPr>
                    <w:t>≤</w:t>
                  </w:r>
                  <w:r>
                    <w:rPr>
                      <w:rFonts w:hint="eastAsia" w:ascii="Times New Roman" w:hAnsi="Times New Roman" w:eastAsia="宋体" w:cs="Times New Roman"/>
                      <w:b w:val="0"/>
                      <w:color w:val="000000" w:themeColor="text1"/>
                      <w:sz w:val="21"/>
                      <w:szCs w:val="21"/>
                      <w14:textFill>
                        <w14:solidFill>
                          <w14:schemeClr w14:val="tx1"/>
                        </w14:solidFill>
                      </w14:textFill>
                    </w:rPr>
                    <w:t>70</w:t>
                  </w:r>
                  <w:r>
                    <w:rPr>
                      <w:rFonts w:ascii="Times New Roman" w:hAnsi="Times New Roman" w:eastAsia="宋体" w:cs="Times New Roman"/>
                      <w:b w:val="0"/>
                      <w:color w:val="000000" w:themeColor="text1"/>
                      <w:sz w:val="21"/>
                      <w:szCs w:val="21"/>
                      <w14:textFill>
                        <w14:solidFill>
                          <w14:schemeClr w14:val="tx1"/>
                        </w14:solidFill>
                      </w14:textFill>
                    </w:rPr>
                    <w:t>dB（A）</w:t>
                  </w:r>
                </w:p>
              </w:tc>
              <w:tc>
                <w:tcPr>
                  <w:tcW w:w="2048" w:type="dxa"/>
                  <w:vAlign w:val="center"/>
                </w:tcPr>
                <w:p w14:paraId="3F70F3D0">
                  <w:pPr>
                    <w:pStyle w:val="128"/>
                    <w:widowControl w:val="0"/>
                    <w:topLinePunct/>
                    <w:spacing w:beforeLines="0" w:after="0" w:afterLines="0" w:line="240" w:lineRule="auto"/>
                    <w:jc w:val="center"/>
                    <w:rPr>
                      <w:rFonts w:ascii="Times New Roman" w:hAnsi="Times New Roman" w:eastAsia="宋体" w:cs="Times New Roman"/>
                      <w:b w:val="0"/>
                      <w:color w:val="000000" w:themeColor="text1"/>
                      <w:sz w:val="21"/>
                      <w:szCs w:val="21"/>
                      <w14:textFill>
                        <w14:solidFill>
                          <w14:schemeClr w14:val="tx1"/>
                        </w14:solidFill>
                      </w14:textFill>
                    </w:rPr>
                  </w:pPr>
                  <w:r>
                    <w:rPr>
                      <w:rFonts w:ascii="Times New Roman" w:hAnsi="Times New Roman" w:eastAsia="宋体" w:cs="Times New Roman"/>
                      <w:b w:val="0"/>
                      <w:color w:val="000000" w:themeColor="text1"/>
                      <w:sz w:val="21"/>
                      <w:szCs w:val="21"/>
                      <w14:textFill>
                        <w14:solidFill>
                          <w14:schemeClr w14:val="tx1"/>
                        </w14:solidFill>
                      </w14:textFill>
                    </w:rPr>
                    <w:t>≤</w:t>
                  </w:r>
                  <w:r>
                    <w:rPr>
                      <w:rFonts w:hint="eastAsia" w:ascii="Times New Roman" w:hAnsi="Times New Roman" w:eastAsia="宋体" w:cs="Times New Roman"/>
                      <w:b w:val="0"/>
                      <w:color w:val="000000" w:themeColor="text1"/>
                      <w:sz w:val="21"/>
                      <w:szCs w:val="21"/>
                      <w14:textFill>
                        <w14:solidFill>
                          <w14:schemeClr w14:val="tx1"/>
                        </w14:solidFill>
                      </w14:textFill>
                    </w:rPr>
                    <w:t>55</w:t>
                  </w:r>
                  <w:r>
                    <w:rPr>
                      <w:rFonts w:ascii="Times New Roman" w:hAnsi="Times New Roman" w:eastAsia="宋体" w:cs="Times New Roman"/>
                      <w:b w:val="0"/>
                      <w:color w:val="000000" w:themeColor="text1"/>
                      <w:sz w:val="21"/>
                      <w:szCs w:val="21"/>
                      <w14:textFill>
                        <w14:solidFill>
                          <w14:schemeClr w14:val="tx1"/>
                        </w14:solidFill>
                      </w14:textFill>
                    </w:rPr>
                    <w:t>dB（A）</w:t>
                  </w:r>
                </w:p>
              </w:tc>
            </w:tr>
          </w:tbl>
          <w:p w14:paraId="71360532">
            <w:pPr>
              <w:widowControl w:val="0"/>
              <w:topLinePunct/>
              <w:spacing w:before="120" w:beforeLines="50"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3.3.</w:t>
            </w:r>
            <w:r>
              <w:rPr>
                <w:rFonts w:hint="eastAsia" w:ascii="Times New Roman" w:hAnsi="Times New Roman" w:eastAsia="宋体" w:cs="Times New Roman"/>
                <w:b/>
                <w:bCs/>
                <w:color w:val="000000" w:themeColor="text1"/>
                <w:szCs w:val="24"/>
                <w14:textFill>
                  <w14:solidFill>
                    <w14:schemeClr w14:val="tx1"/>
                  </w14:solidFill>
                </w14:textFill>
              </w:rPr>
              <w:t>3</w:t>
            </w:r>
            <w:r>
              <w:rPr>
                <w:rFonts w:ascii="Times New Roman" w:hAnsi="Times New Roman" w:eastAsia="宋体" w:cs="Times New Roman"/>
                <w:b/>
                <w:bCs/>
                <w:color w:val="000000" w:themeColor="text1"/>
                <w:szCs w:val="24"/>
                <w14:textFill>
                  <w14:solidFill>
                    <w14:schemeClr w14:val="tx1"/>
                  </w14:solidFill>
                </w14:textFill>
              </w:rPr>
              <w:t xml:space="preserve"> 固体废物污染物排放标准</w:t>
            </w:r>
          </w:p>
          <w:p w14:paraId="06395DE4">
            <w:pPr>
              <w:pStyle w:val="225"/>
              <w:ind w:firstLine="480"/>
            </w:pPr>
            <w:r>
              <w:t>一般固体废物在厂区内暂时贮存执行《一般工业固体废物贮存和填埋污染控制标准》（GB 18599-2020）</w:t>
            </w:r>
            <w:r>
              <w:rPr>
                <w:rFonts w:hint="eastAsia"/>
              </w:rPr>
              <w:t>和</w:t>
            </w:r>
            <w:r>
              <w:t>《中华人民共和国固体废物污染环境防治法》中的有关规定。</w:t>
            </w:r>
          </w:p>
        </w:tc>
      </w:tr>
      <w:tr w14:paraId="589D7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456" w:type="dxa"/>
            <w:vAlign w:val="center"/>
          </w:tcPr>
          <w:p w14:paraId="6175BE25">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总量</w:t>
            </w:r>
          </w:p>
          <w:p w14:paraId="12A22254">
            <w:pPr>
              <w:widowControl w:val="0"/>
              <w:topLinePunct/>
              <w:adjustRightInd w:val="0"/>
              <w:snapToGrid w:val="0"/>
              <w:spacing w:after="0" w:line="240" w:lineRule="auto"/>
              <w:jc w:val="center"/>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控制</w:t>
            </w:r>
          </w:p>
          <w:p w14:paraId="7F10F860">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指标</w:t>
            </w:r>
          </w:p>
        </w:tc>
        <w:tc>
          <w:tcPr>
            <w:tcW w:w="8833" w:type="dxa"/>
            <w:vAlign w:val="center"/>
          </w:tcPr>
          <w:p w14:paraId="4F23E103">
            <w:pPr>
              <w:widowControl w:val="0"/>
              <w:topLinePunct/>
              <w:spacing w:after="0" w:line="360" w:lineRule="auto"/>
              <w:jc w:val="both"/>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3.4 总量控制</w:t>
            </w:r>
          </w:p>
          <w:p w14:paraId="79853298">
            <w:pPr>
              <w:pStyle w:val="192"/>
              <w:widowControl w:val="0"/>
              <w:topLinePunct/>
              <w:spacing w:after="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根据国家“十四五”期间污染物总量控制要求及《福建省人民政府关于推进排污权有偿使用和交易工作的意见(试行)》（闽政[2014]24号）、《福建省环保厅关于贯彻落实&lt;推进排污权有偿使用和交易工作的意见（试行）&gt;的通知》（闽环发[2014]9号）、《福建省环保厅关于环评审批中落实排污权交易工作要求的通知》（闽环保评[2014]43号）等有关文件要求，需进行排放总量控制的污染物为COD、NH</w:t>
            </w:r>
            <w:r>
              <w:rPr>
                <w:rFonts w:ascii="Times New Roman" w:hAnsi="Times New Roman" w:eastAsia="宋体" w:cs="Times New Roman"/>
                <w:color w:val="000000" w:themeColor="text1"/>
                <w:szCs w:val="24"/>
                <w:vertAlign w:val="sub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-N、SO</w:t>
            </w:r>
            <w:r>
              <w:rPr>
                <w:rFonts w:ascii="Times New Roman" w:hAnsi="Times New Roman" w:eastAsia="宋体" w:cs="Times New Roman"/>
                <w:color w:val="000000" w:themeColor="text1"/>
                <w:szCs w:val="24"/>
                <w:vertAlign w:val="subscript"/>
                <w14:textFill>
                  <w14:solidFill>
                    <w14:schemeClr w14:val="tx1"/>
                  </w14:solidFill>
                </w14:textFill>
              </w:rPr>
              <w:t>2</w:t>
            </w:r>
            <w:r>
              <w:rPr>
                <w:rFonts w:ascii="Times New Roman" w:hAnsi="Times New Roman" w:eastAsia="宋体" w:cs="Times New Roman"/>
                <w:color w:val="000000" w:themeColor="text1"/>
                <w:szCs w:val="24"/>
                <w14:textFill>
                  <w14:solidFill>
                    <w14:schemeClr w14:val="tx1"/>
                  </w14:solidFill>
                </w14:textFill>
              </w:rPr>
              <w:t>、NO</w:t>
            </w:r>
            <w:r>
              <w:rPr>
                <w:rFonts w:ascii="Times New Roman" w:hAnsi="Times New Roman" w:eastAsia="宋体" w:cs="Times New Roman"/>
                <w:color w:val="000000" w:themeColor="text1"/>
                <w:szCs w:val="24"/>
                <w:vertAlign w:val="subscript"/>
                <w14:textFill>
                  <w14:solidFill>
                    <w14:schemeClr w14:val="tx1"/>
                  </w14:solidFill>
                </w14:textFill>
              </w:rPr>
              <w:t>X</w:t>
            </w:r>
            <w:r>
              <w:rPr>
                <w:rFonts w:ascii="Times New Roman" w:hAnsi="Times New Roman" w:eastAsia="宋体" w:cs="Times New Roman"/>
                <w:color w:val="000000" w:themeColor="text1"/>
                <w:szCs w:val="24"/>
                <w14:textFill>
                  <w14:solidFill>
                    <w14:schemeClr w14:val="tx1"/>
                  </w14:solidFill>
                </w14:textFill>
              </w:rPr>
              <w:t>。</w:t>
            </w:r>
          </w:p>
          <w:p w14:paraId="12523E0B">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（1）水污染物排放总量：</w:t>
            </w:r>
            <w:r>
              <w:rPr>
                <w:rFonts w:hint="eastAsia" w:ascii="Times New Roman" w:hAnsi="Times New Roman" w:eastAsia="宋体" w:cs="Times New Roman"/>
                <w:color w:val="000000" w:themeColor="text1"/>
                <w:szCs w:val="24"/>
                <w14:textFill>
                  <w14:solidFill>
                    <w14:schemeClr w14:val="tx1"/>
                  </w14:solidFill>
                </w14:textFill>
              </w:rPr>
              <w:t>本项目不新增员工生活污水和生产废水，因此无需申请购买废水污染物总量</w:t>
            </w:r>
            <w:r>
              <w:rPr>
                <w:rFonts w:ascii="Times New Roman" w:hAnsi="Times New Roman" w:eastAsia="宋体" w:cs="Times New Roman"/>
                <w:color w:val="000000" w:themeColor="text1"/>
                <w:szCs w:val="24"/>
                <w14:textFill>
                  <w14:solidFill>
                    <w14:schemeClr w14:val="tx1"/>
                  </w14:solidFill>
                </w14:textFill>
              </w:rPr>
              <w:t>。</w:t>
            </w:r>
          </w:p>
          <w:p w14:paraId="5796FC01">
            <w:pPr>
              <w:pStyle w:val="14"/>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（2）大气污染物排放总量：本项目废气</w:t>
            </w:r>
            <w:r>
              <w:rPr>
                <w:rFonts w:hint="eastAsia" w:ascii="Times New Roman" w:hAnsi="Times New Roman" w:eastAsia="宋体" w:cs="Times New Roman"/>
                <w:color w:val="000000" w:themeColor="text1"/>
                <w:szCs w:val="24"/>
                <w14:textFill>
                  <w14:solidFill>
                    <w14:schemeClr w14:val="tx1"/>
                  </w14:solidFill>
                </w14:textFill>
              </w:rPr>
              <w:t>仅</w:t>
            </w:r>
            <w:r>
              <w:rPr>
                <w:rFonts w:ascii="Times New Roman" w:hAnsi="Times New Roman" w:eastAsia="宋体" w:cs="Times New Roman"/>
                <w:color w:val="000000" w:themeColor="text1"/>
                <w:szCs w:val="24"/>
                <w14:textFill>
                  <w14:solidFill>
                    <w14:schemeClr w14:val="tx1"/>
                  </w14:solidFill>
                </w14:textFill>
              </w:rPr>
              <w:t>涉及颗粒物</w:t>
            </w:r>
            <w:r>
              <w:rPr>
                <w:rFonts w:hint="eastAsia" w:ascii="Times New Roman" w:hAnsi="Times New Roman" w:eastAsia="宋体" w:cs="Times New Roman"/>
                <w:color w:val="000000" w:themeColor="text1"/>
                <w:szCs w:val="24"/>
                <w14:textFill>
                  <w14:solidFill>
                    <w14:schemeClr w14:val="tx1"/>
                  </w14:solidFill>
                </w14:textFill>
              </w:rPr>
              <w:t>，无需设置总量控制指标</w:t>
            </w:r>
            <w:r>
              <w:rPr>
                <w:rFonts w:hint="eastAsia" w:ascii="Times New Roman" w:hAnsi="Times New Roman" w:cs="Times New Roman"/>
                <w:color w:val="000000" w:themeColor="text1"/>
                <w14:textFill>
                  <w14:solidFill>
                    <w14:schemeClr w14:val="tx1"/>
                  </w14:solidFill>
                </w14:textFill>
              </w:rPr>
              <w:t>。</w:t>
            </w:r>
          </w:p>
          <w:p w14:paraId="4E61BDBC">
            <w:pPr>
              <w:widowControl w:val="0"/>
              <w:spacing w:after="0" w:line="360" w:lineRule="auto"/>
              <w:ind w:firstLine="480"/>
              <w:jc w:val="both"/>
              <w:rPr>
                <w:rFonts w:ascii="Times New Roman" w:hAnsi="Times New Roman" w:eastAsia="宋体" w:cs="Times New Roman"/>
                <w:color w:val="000000" w:themeColor="text1"/>
                <w:szCs w:val="24"/>
                <w14:textFill>
                  <w14:solidFill>
                    <w14:schemeClr w14:val="tx1"/>
                  </w14:solidFill>
                </w14:textFill>
              </w:rPr>
            </w:pPr>
          </w:p>
        </w:tc>
      </w:tr>
    </w:tbl>
    <w:p w14:paraId="495E16BA">
      <w:pPr>
        <w:pStyle w:val="29"/>
        <w:widowControl w:val="0"/>
        <w:topLinePunct/>
        <w:spacing w:before="0" w:beforeAutospacing="0" w:after="0" w:afterAutospacing="0" w:line="360" w:lineRule="auto"/>
        <w:jc w:val="center"/>
        <w:outlineLvl w:val="0"/>
        <w:rPr>
          <w:rFonts w:ascii="Times New Roman" w:hAnsi="Times New Roman" w:eastAsia="宋体" w:cs="Times New Roman"/>
          <w:snapToGrid w:val="0"/>
          <w:color w:val="000000" w:themeColor="text1"/>
          <w:sz w:val="30"/>
          <w:szCs w:val="30"/>
          <w14:textFill>
            <w14:solidFill>
              <w14:schemeClr w14:val="tx1"/>
            </w14:solidFill>
          </w14:textFill>
        </w:rPr>
      </w:pPr>
      <w:r>
        <w:rPr>
          <w:rFonts w:ascii="Times New Roman" w:hAnsi="Times New Roman" w:eastAsia="宋体" w:cs="Times New Roman"/>
          <w:snapToGrid w:val="0"/>
          <w:color w:val="000000" w:themeColor="text1"/>
          <w:sz w:val="36"/>
          <w:szCs w:val="36"/>
          <w14:textFill>
            <w14:solidFill>
              <w14:schemeClr w14:val="tx1"/>
            </w14:solidFill>
          </w14:textFill>
        </w:rPr>
        <w:br w:type="page"/>
      </w:r>
      <w:bookmarkStart w:id="9" w:name="_Toc20477"/>
      <w:bookmarkStart w:id="10" w:name="_Toc643"/>
      <w:r>
        <w:rPr>
          <w:rFonts w:ascii="Times New Roman" w:hAnsi="Times New Roman" w:eastAsia="宋体" w:cs="Times New Roman"/>
          <w:b/>
          <w:bCs/>
          <w:snapToGrid w:val="0"/>
          <w:color w:val="000000" w:themeColor="text1"/>
          <w:sz w:val="32"/>
          <w:szCs w:val="32"/>
          <w14:textFill>
            <w14:solidFill>
              <w14:schemeClr w14:val="tx1"/>
            </w14:solidFill>
          </w14:textFill>
        </w:rPr>
        <w:t>四、主要环境影响和保护措施</w:t>
      </w:r>
      <w:bookmarkEnd w:id="9"/>
      <w:bookmarkEnd w:id="10"/>
    </w:p>
    <w:tbl>
      <w:tblPr>
        <w:tblStyle w:val="37"/>
        <w:tblW w:w="9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8913"/>
      </w:tblGrid>
      <w:tr w14:paraId="3A059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6" w:type="dxa"/>
            <w:tcMar>
              <w:left w:w="28" w:type="dxa"/>
              <w:right w:w="28" w:type="dxa"/>
            </w:tcMar>
            <w:vAlign w:val="center"/>
          </w:tcPr>
          <w:p w14:paraId="7724DA8B">
            <w:pPr>
              <w:pStyle w:val="29"/>
              <w:widowControl w:val="0"/>
              <w:topLinePunct/>
              <w:adjustRightInd w:val="0"/>
              <w:snapToGrid w:val="0"/>
              <w:spacing w:before="0" w:beforeAutospacing="0" w:after="0" w:afterAutospacing="0" w:line="240" w:lineRule="auto"/>
              <w:jc w:val="center"/>
              <w:rPr>
                <w:rFonts w:ascii="Times New Roman" w:hAnsi="Times New Roman" w:eastAsia="宋体" w:cs="Times New Roman"/>
                <w:color w:val="000000" w:themeColor="text1"/>
                <w:kern w:val="2"/>
                <w:szCs w:val="24"/>
                <w14:textFill>
                  <w14:solidFill>
                    <w14:schemeClr w14:val="tx1"/>
                  </w14:solidFill>
                </w14:textFill>
              </w:rPr>
            </w:pPr>
            <w:r>
              <w:rPr>
                <w:rFonts w:ascii="Times New Roman" w:hAnsi="Times New Roman" w:eastAsia="宋体" w:cs="Times New Roman"/>
                <w:color w:val="000000" w:themeColor="text1"/>
                <w:kern w:val="2"/>
                <w:szCs w:val="24"/>
                <w14:textFill>
                  <w14:solidFill>
                    <w14:schemeClr w14:val="tx1"/>
                  </w14:solidFill>
                </w14:textFill>
              </w:rPr>
              <w:t>施工</w:t>
            </w:r>
          </w:p>
          <w:p w14:paraId="01CF7EA2">
            <w:pPr>
              <w:pStyle w:val="29"/>
              <w:widowControl w:val="0"/>
              <w:topLinePunct/>
              <w:adjustRightInd w:val="0"/>
              <w:snapToGrid w:val="0"/>
              <w:spacing w:before="0" w:beforeAutospacing="0" w:after="0" w:afterAutospacing="0" w:line="240" w:lineRule="auto"/>
              <w:jc w:val="center"/>
              <w:rPr>
                <w:rFonts w:ascii="Times New Roman" w:hAnsi="Times New Roman" w:eastAsia="宋体" w:cs="Times New Roman"/>
                <w:color w:val="000000" w:themeColor="text1"/>
                <w:kern w:val="2"/>
                <w:szCs w:val="24"/>
                <w14:textFill>
                  <w14:solidFill>
                    <w14:schemeClr w14:val="tx1"/>
                  </w14:solidFill>
                </w14:textFill>
              </w:rPr>
            </w:pPr>
            <w:r>
              <w:rPr>
                <w:rFonts w:ascii="Times New Roman" w:hAnsi="Times New Roman" w:eastAsia="宋体" w:cs="Times New Roman"/>
                <w:color w:val="000000" w:themeColor="text1"/>
                <w:kern w:val="2"/>
                <w:szCs w:val="24"/>
                <w14:textFill>
                  <w14:solidFill>
                    <w14:schemeClr w14:val="tx1"/>
                  </w14:solidFill>
                </w14:textFill>
              </w:rPr>
              <w:t>期环</w:t>
            </w:r>
          </w:p>
          <w:p w14:paraId="3253B031">
            <w:pPr>
              <w:pStyle w:val="29"/>
              <w:widowControl w:val="0"/>
              <w:topLinePunct/>
              <w:adjustRightInd w:val="0"/>
              <w:snapToGrid w:val="0"/>
              <w:spacing w:before="0" w:beforeAutospacing="0" w:after="0" w:afterAutospacing="0" w:line="240" w:lineRule="auto"/>
              <w:jc w:val="center"/>
              <w:rPr>
                <w:rFonts w:ascii="Times New Roman" w:hAnsi="Times New Roman" w:eastAsia="宋体" w:cs="Times New Roman"/>
                <w:color w:val="000000" w:themeColor="text1"/>
                <w:kern w:val="2"/>
                <w:szCs w:val="24"/>
                <w14:textFill>
                  <w14:solidFill>
                    <w14:schemeClr w14:val="tx1"/>
                  </w14:solidFill>
                </w14:textFill>
              </w:rPr>
            </w:pPr>
            <w:r>
              <w:rPr>
                <w:rFonts w:ascii="Times New Roman" w:hAnsi="Times New Roman" w:eastAsia="宋体" w:cs="Times New Roman"/>
                <w:color w:val="000000" w:themeColor="text1"/>
                <w:kern w:val="2"/>
                <w:szCs w:val="24"/>
                <w14:textFill>
                  <w14:solidFill>
                    <w14:schemeClr w14:val="tx1"/>
                  </w14:solidFill>
                </w14:textFill>
              </w:rPr>
              <w:t>境保</w:t>
            </w:r>
          </w:p>
          <w:p w14:paraId="104868E8">
            <w:pPr>
              <w:pStyle w:val="29"/>
              <w:widowControl w:val="0"/>
              <w:topLinePunct/>
              <w:adjustRightInd w:val="0"/>
              <w:snapToGrid w:val="0"/>
              <w:spacing w:before="0" w:beforeAutospacing="0" w:after="0" w:afterAutospacing="0" w:line="240" w:lineRule="auto"/>
              <w:jc w:val="center"/>
              <w:rPr>
                <w:rFonts w:ascii="Times New Roman" w:hAnsi="Times New Roman" w:eastAsia="宋体" w:cs="Times New Roman"/>
                <w:color w:val="000000" w:themeColor="text1"/>
                <w:kern w:val="2"/>
                <w:szCs w:val="24"/>
                <w14:textFill>
                  <w14:solidFill>
                    <w14:schemeClr w14:val="tx1"/>
                  </w14:solidFill>
                </w14:textFill>
              </w:rPr>
            </w:pPr>
            <w:r>
              <w:rPr>
                <w:rFonts w:ascii="Times New Roman" w:hAnsi="Times New Roman" w:eastAsia="宋体" w:cs="Times New Roman"/>
                <w:color w:val="000000" w:themeColor="text1"/>
                <w:kern w:val="2"/>
                <w:szCs w:val="24"/>
                <w14:textFill>
                  <w14:solidFill>
                    <w14:schemeClr w14:val="tx1"/>
                  </w14:solidFill>
                </w14:textFill>
              </w:rPr>
              <w:t>护措</w:t>
            </w:r>
          </w:p>
          <w:p w14:paraId="179462C2">
            <w:pPr>
              <w:widowControl w:val="0"/>
              <w:topLinePunct/>
              <w:adjustRightInd w:val="0"/>
              <w:snapToGrid w:val="0"/>
              <w:spacing w:line="240" w:lineRule="auto"/>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施</w:t>
            </w:r>
          </w:p>
        </w:tc>
        <w:tc>
          <w:tcPr>
            <w:tcW w:w="8913" w:type="dxa"/>
            <w:vAlign w:val="center"/>
          </w:tcPr>
          <w:p w14:paraId="574210CE">
            <w:pPr>
              <w:widowControl w:val="0"/>
              <w:topLinePunct/>
              <w:spacing w:after="0" w:line="360" w:lineRule="auto"/>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4.1施工期环境保护措施</w:t>
            </w:r>
          </w:p>
          <w:p w14:paraId="5CE8BC3F">
            <w:pPr>
              <w:widowControl w:val="0"/>
              <w:topLinePunct/>
              <w:spacing w:after="0" w:line="360" w:lineRule="auto"/>
              <w:ind w:firstLine="480" w:firstLineChars="200"/>
              <w:jc w:val="both"/>
              <w:rPr>
                <w:rFonts w:ascii="Times New Roman" w:hAnsi="Times New Roman" w:eastAsia="宋体" w:cs="Times New Roman"/>
                <w:bCs/>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本次项目</w:t>
            </w:r>
            <w:r>
              <w:rPr>
                <w:rFonts w:hint="eastAsia" w:ascii="Times New Roman" w:hAnsi="Times New Roman" w:eastAsia="宋体" w:cs="Times New Roman"/>
                <w:color w:val="000000" w:themeColor="text1"/>
                <w:szCs w:val="24"/>
                <w14:textFill>
                  <w14:solidFill>
                    <w14:schemeClr w14:val="tx1"/>
                  </w14:solidFill>
                </w14:textFill>
              </w:rPr>
              <w:t>施工期主要在已有硬化地面基础上进行生产厂房的扩建，不涉及土地开挖</w:t>
            </w:r>
            <w:r>
              <w:rPr>
                <w:rFonts w:ascii="Times New Roman" w:hAnsi="Times New Roman" w:eastAsia="宋体" w:cs="Times New Roman"/>
                <w:bCs/>
                <w:color w:val="000000" w:themeColor="text1"/>
                <w:szCs w:val="24"/>
                <w14:textFill>
                  <w14:solidFill>
                    <w14:schemeClr w14:val="tx1"/>
                  </w14:solidFill>
                </w14:textFill>
              </w:rPr>
              <w:t>。</w:t>
            </w:r>
          </w:p>
          <w:p w14:paraId="1BF7CEC3">
            <w:pPr>
              <w:widowControl w:val="0"/>
              <w:spacing w:after="0" w:line="360" w:lineRule="auto"/>
              <w:ind w:firstLine="482" w:firstLineChars="200"/>
              <w:jc w:val="both"/>
              <w:rPr>
                <w:rFonts w:ascii="Times New Roman" w:hAnsi="Times New Roman" w:eastAsia="宋体" w:cs="Times New Roman"/>
                <w:b/>
                <w:bCs/>
                <w:color w:val="000000"/>
                <w:kern w:val="2"/>
              </w:rPr>
            </w:pPr>
            <w:r>
              <w:rPr>
                <w:rFonts w:hint="eastAsia" w:ascii="Times New Roman" w:hAnsi="Times New Roman" w:eastAsia="宋体" w:cs="Times New Roman"/>
                <w:b/>
                <w:bCs/>
                <w:color w:val="000000"/>
                <w:kern w:val="2"/>
              </w:rPr>
              <w:t>1、</w:t>
            </w:r>
            <w:r>
              <w:rPr>
                <w:rFonts w:ascii="Times New Roman" w:hAnsi="Times New Roman" w:eastAsia="宋体" w:cs="Times New Roman"/>
                <w:b/>
                <w:bCs/>
                <w:color w:val="000000"/>
                <w:kern w:val="2"/>
              </w:rPr>
              <w:t>施工废水</w:t>
            </w:r>
          </w:p>
          <w:p w14:paraId="32DDAAF2">
            <w:pPr>
              <w:widowControl w:val="0"/>
              <w:spacing w:after="0" w:line="360" w:lineRule="auto"/>
              <w:ind w:firstLine="480" w:firstLineChars="200"/>
              <w:jc w:val="both"/>
              <w:rPr>
                <w:rFonts w:ascii="Times New Roman" w:hAnsi="Times New Roman" w:eastAsia="宋体" w:cs="Times New Roman"/>
                <w:kern w:val="2"/>
                <w:szCs w:val="24"/>
              </w:rPr>
            </w:pPr>
            <w:r>
              <w:rPr>
                <w:rFonts w:ascii="Times New Roman" w:hAnsi="Times New Roman" w:eastAsia="宋体" w:cs="Times New Roman"/>
                <w:kern w:val="2"/>
                <w:szCs w:val="24"/>
              </w:rPr>
              <w:t>施工期生产废水主要来自机械设备冲洗产生的含油废水，施工机械跑、冒、滴、漏的油污以及运载车辆保养、混凝土养护等。产生量约为3m</w:t>
            </w:r>
            <w:r>
              <w:rPr>
                <w:rFonts w:ascii="Times New Roman" w:hAnsi="Times New Roman" w:eastAsia="宋体" w:cs="Times New Roman"/>
                <w:kern w:val="2"/>
                <w:szCs w:val="24"/>
                <w:vertAlign w:val="superscript"/>
              </w:rPr>
              <w:t>3</w:t>
            </w:r>
            <w:r>
              <w:rPr>
                <w:rFonts w:ascii="Times New Roman" w:hAnsi="Times New Roman" w:eastAsia="宋体" w:cs="Times New Roman"/>
                <w:kern w:val="2"/>
                <w:szCs w:val="24"/>
              </w:rPr>
              <w:t>/d，主要含COD、SS、石油类等，浓度大致为约为COD：300mg/L、SS：4000mg/L、石油类 30mg/L。</w:t>
            </w:r>
          </w:p>
          <w:p w14:paraId="74F2E4D9">
            <w:pPr>
              <w:widowControl w:val="0"/>
              <w:spacing w:after="0" w:line="360" w:lineRule="auto"/>
              <w:ind w:firstLine="480" w:firstLineChars="200"/>
              <w:jc w:val="both"/>
              <w:rPr>
                <w:rFonts w:ascii="Times New Roman" w:hAnsi="Times New Roman" w:eastAsia="宋体" w:cs="Times New Roman"/>
                <w:kern w:val="2"/>
                <w:szCs w:val="24"/>
              </w:rPr>
            </w:pPr>
            <w:r>
              <w:rPr>
                <w:rFonts w:ascii="Times New Roman" w:hAnsi="Times New Roman" w:eastAsia="宋体" w:cs="Times New Roman"/>
                <w:kern w:val="2"/>
                <w:szCs w:val="24"/>
              </w:rPr>
              <w:t>施工废水污染防治措施：</w:t>
            </w:r>
            <w:r>
              <w:rPr>
                <w:rFonts w:hint="eastAsia" w:ascii="宋体" w:hAnsi="宋体" w:eastAsia="宋体" w:cs="宋体"/>
                <w:kern w:val="2"/>
                <w:szCs w:val="24"/>
              </w:rPr>
              <w:t>①</w:t>
            </w:r>
            <w:r>
              <w:rPr>
                <w:rFonts w:ascii="Times New Roman" w:hAnsi="Times New Roman" w:eastAsia="宋体" w:cs="Times New Roman"/>
                <w:kern w:val="2"/>
                <w:szCs w:val="24"/>
              </w:rPr>
              <w:t>在项目施工时应加强对废料、油料等潜在水质污染的控制和管理，不能随意倾倒，避免被雨水冲刷进入水体，严禁将含油污水直接排入污水管道中。汽车清洗废水应先经隔油沉淀后用于场地洒水。</w:t>
            </w:r>
            <w:r>
              <w:rPr>
                <w:rFonts w:hint="eastAsia" w:ascii="宋体" w:hAnsi="宋体" w:eastAsia="宋体" w:cs="宋体"/>
                <w:kern w:val="2"/>
                <w:szCs w:val="24"/>
              </w:rPr>
              <w:t>②</w:t>
            </w:r>
            <w:r>
              <w:rPr>
                <w:rFonts w:ascii="Times New Roman" w:hAnsi="Times New Roman" w:eastAsia="宋体" w:cs="Times New Roman"/>
                <w:kern w:val="2"/>
                <w:szCs w:val="24"/>
              </w:rPr>
              <w:t>施工厂区使用的冲洗机具、设备等应同一位置，规划好临时施工生产废水的隔油池、沉淀池，使施工废水能得到处理回用。</w:t>
            </w:r>
            <w:r>
              <w:rPr>
                <w:rFonts w:hint="eastAsia" w:ascii="宋体" w:hAnsi="宋体" w:eastAsia="宋体" w:cs="宋体"/>
                <w:kern w:val="2"/>
                <w:szCs w:val="24"/>
              </w:rPr>
              <w:t>③</w:t>
            </w:r>
            <w:r>
              <w:rPr>
                <w:rFonts w:ascii="Times New Roman" w:hAnsi="Times New Roman" w:eastAsia="宋体" w:cs="Times New Roman"/>
                <w:kern w:val="2"/>
                <w:szCs w:val="24"/>
              </w:rPr>
              <w:t>在施工初期开挖过程弃土暂时堆放，如遇雨水冲刷，会产生水土流失，污染附近水体。因此应在对土场附近做好引水沟、沉淀池等防范措施，及时处理弃泥。</w:t>
            </w:r>
          </w:p>
          <w:p w14:paraId="7E63BAD2">
            <w:pPr>
              <w:widowControl w:val="0"/>
              <w:spacing w:after="0" w:line="360" w:lineRule="auto"/>
              <w:ind w:firstLine="480" w:firstLineChars="200"/>
              <w:jc w:val="both"/>
              <w:rPr>
                <w:rFonts w:ascii="Times New Roman" w:hAnsi="Times New Roman" w:eastAsia="宋体" w:cs="Times New Roman"/>
                <w:kern w:val="2"/>
                <w:szCs w:val="24"/>
              </w:rPr>
            </w:pPr>
            <w:r>
              <w:rPr>
                <w:rFonts w:ascii="Times New Roman" w:hAnsi="Times New Roman" w:eastAsia="宋体" w:cs="Times New Roman"/>
                <w:kern w:val="2"/>
                <w:szCs w:val="24"/>
              </w:rPr>
              <w:t>项目施工单位采取以上措施后，对周围水环境的影响较小。</w:t>
            </w:r>
          </w:p>
          <w:p w14:paraId="688EEC16">
            <w:pPr>
              <w:widowControl w:val="0"/>
              <w:spacing w:after="0" w:line="360" w:lineRule="auto"/>
              <w:ind w:firstLine="482" w:firstLineChars="200"/>
              <w:jc w:val="both"/>
              <w:rPr>
                <w:rFonts w:ascii="Times New Roman" w:hAnsi="Times New Roman" w:eastAsia="宋体" w:cs="Times New Roman"/>
                <w:b/>
                <w:bCs/>
                <w:color w:val="000000"/>
                <w:kern w:val="2"/>
              </w:rPr>
            </w:pPr>
            <w:r>
              <w:rPr>
                <w:rFonts w:hint="eastAsia" w:ascii="Times New Roman" w:hAnsi="Times New Roman" w:eastAsia="宋体" w:cs="Times New Roman"/>
                <w:b/>
                <w:bCs/>
                <w:color w:val="000000"/>
                <w:kern w:val="2"/>
              </w:rPr>
              <w:t>2、</w:t>
            </w:r>
            <w:r>
              <w:rPr>
                <w:rFonts w:ascii="Times New Roman" w:hAnsi="Times New Roman" w:eastAsia="宋体" w:cs="Times New Roman"/>
                <w:b/>
                <w:bCs/>
                <w:color w:val="000000"/>
                <w:kern w:val="2"/>
              </w:rPr>
              <w:t>施工生活污水</w:t>
            </w:r>
          </w:p>
          <w:p w14:paraId="0C31C627">
            <w:pPr>
              <w:widowControl w:val="0"/>
              <w:spacing w:after="0" w:line="360" w:lineRule="auto"/>
              <w:ind w:firstLine="480" w:firstLineChars="200"/>
              <w:jc w:val="both"/>
              <w:rPr>
                <w:rFonts w:ascii="Times New Roman" w:hAnsi="Times New Roman" w:eastAsia="宋体" w:cs="Times New Roman"/>
                <w:kern w:val="2"/>
                <w:szCs w:val="24"/>
              </w:rPr>
            </w:pPr>
            <w:r>
              <w:rPr>
                <w:rFonts w:ascii="Times New Roman" w:hAnsi="Times New Roman" w:eastAsia="宋体" w:cs="Times New Roman"/>
                <w:kern w:val="2"/>
                <w:szCs w:val="24"/>
              </w:rPr>
              <w:t>在整个施工期内施工人员的数量是变化的，一般情况下，在主体工程接近封顶的时候施工人数达到最高峰。根据本项目建设规模，高峰施工人员数为30人，用水系数为50L/m</w:t>
            </w:r>
            <w:r>
              <w:rPr>
                <w:rFonts w:ascii="Times New Roman" w:hAnsi="Times New Roman" w:eastAsia="宋体" w:cs="Times New Roman"/>
                <w:kern w:val="2"/>
                <w:szCs w:val="24"/>
                <w:vertAlign w:val="superscript"/>
              </w:rPr>
              <w:t>3</w:t>
            </w:r>
            <w:r>
              <w:rPr>
                <w:rFonts w:ascii="Times New Roman" w:hAnsi="Times New Roman" w:eastAsia="宋体" w:cs="Times New Roman"/>
                <w:kern w:val="2"/>
                <w:szCs w:val="24"/>
              </w:rPr>
              <w:t>/人计，则施工人员生活用水量为1.5t/d；污水排放系数取0.8，则施工生活污水产生量为1.2t/d，污染物产生浓度COD：250mg/L，BOD</w:t>
            </w:r>
            <w:r>
              <w:rPr>
                <w:rFonts w:ascii="Times New Roman" w:hAnsi="Times New Roman" w:eastAsia="宋体" w:cs="Times New Roman"/>
                <w:kern w:val="2"/>
                <w:szCs w:val="24"/>
                <w:vertAlign w:val="subscript"/>
              </w:rPr>
              <w:t>5</w:t>
            </w:r>
            <w:r>
              <w:rPr>
                <w:rFonts w:ascii="Times New Roman" w:hAnsi="Times New Roman" w:eastAsia="宋体" w:cs="Times New Roman"/>
                <w:kern w:val="2"/>
                <w:szCs w:val="24"/>
              </w:rPr>
              <w:t>：180mg/L，NH</w:t>
            </w:r>
            <w:r>
              <w:rPr>
                <w:rFonts w:ascii="Times New Roman" w:hAnsi="Times New Roman" w:eastAsia="宋体" w:cs="Times New Roman"/>
                <w:kern w:val="2"/>
                <w:szCs w:val="24"/>
                <w:vertAlign w:val="subscript"/>
              </w:rPr>
              <w:t>3</w:t>
            </w:r>
            <w:r>
              <w:rPr>
                <w:rFonts w:ascii="Times New Roman" w:hAnsi="Times New Roman" w:eastAsia="宋体" w:cs="Times New Roman"/>
                <w:kern w:val="2"/>
                <w:szCs w:val="24"/>
              </w:rPr>
              <w:t>-N：35mg/L，SS：200mg/L，生活污水及污染物产生量见表4.</w:t>
            </w:r>
            <w:r>
              <w:rPr>
                <w:rFonts w:hint="eastAsia" w:ascii="Times New Roman" w:hAnsi="Times New Roman" w:eastAsia="宋体" w:cs="Times New Roman"/>
                <w:kern w:val="2"/>
                <w:szCs w:val="24"/>
              </w:rPr>
              <w:t>1</w:t>
            </w:r>
            <w:r>
              <w:rPr>
                <w:rFonts w:ascii="Times New Roman" w:hAnsi="Times New Roman" w:eastAsia="宋体" w:cs="Times New Roman"/>
                <w:kern w:val="2"/>
                <w:szCs w:val="24"/>
              </w:rPr>
              <w:t>-1。</w:t>
            </w:r>
          </w:p>
          <w:p w14:paraId="52A5ABB6">
            <w:pPr>
              <w:pStyle w:val="222"/>
              <w:spacing w:before="120"/>
            </w:pPr>
            <w:r>
              <w:t>表4.</w:t>
            </w:r>
            <w:r>
              <w:rPr>
                <w:rFonts w:hint="eastAsia"/>
              </w:rPr>
              <w:t>1</w:t>
            </w:r>
            <w:r>
              <w:t xml:space="preserve">-1 </w:t>
            </w:r>
            <w:r>
              <w:rPr>
                <w:rFonts w:hint="eastAsia"/>
              </w:rPr>
              <w:t xml:space="preserve"> </w:t>
            </w:r>
            <w:r>
              <w:t>施工期生活污水浓度</w:t>
            </w:r>
          </w:p>
          <w:tbl>
            <w:tblPr>
              <w:tblStyle w:val="37"/>
              <w:tblW w:w="86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1298"/>
              <w:gridCol w:w="1295"/>
              <w:gridCol w:w="1235"/>
              <w:gridCol w:w="1339"/>
              <w:gridCol w:w="1242"/>
            </w:tblGrid>
            <w:tr w14:paraId="3C0C3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shd w:val="clear" w:color="auto" w:fill="auto"/>
                  <w:vAlign w:val="center"/>
                </w:tcPr>
                <w:p w14:paraId="4DD672F9">
                  <w:pPr>
                    <w:widowControl w:val="0"/>
                    <w:autoSpaceDE w:val="0"/>
                    <w:autoSpaceDN w:val="0"/>
                    <w:spacing w:after="0" w:line="240" w:lineRule="auto"/>
                    <w:jc w:val="center"/>
                    <w:rPr>
                      <w:rFonts w:hint="eastAsia" w:ascii="宋体" w:hAnsi="宋体" w:eastAsia="宋体" w:cs="宋体"/>
                      <w:sz w:val="21"/>
                      <w:lang w:eastAsia="en-US"/>
                    </w:rPr>
                  </w:pPr>
                  <w:r>
                    <w:rPr>
                      <w:rFonts w:ascii="宋体" w:hAnsi="宋体" w:eastAsia="宋体" w:cs="宋体"/>
                      <w:sz w:val="21"/>
                      <w:lang w:eastAsia="en-US"/>
                    </w:rPr>
                    <w:t>污染物类型</w:t>
                  </w:r>
                </w:p>
              </w:tc>
              <w:tc>
                <w:tcPr>
                  <w:tcW w:w="1298" w:type="dxa"/>
                  <w:shd w:val="clear" w:color="auto" w:fill="auto"/>
                  <w:vAlign w:val="center"/>
                </w:tcPr>
                <w:p w14:paraId="7F42553A">
                  <w:pPr>
                    <w:widowControl w:val="0"/>
                    <w:autoSpaceDE w:val="0"/>
                    <w:autoSpaceDN w:val="0"/>
                    <w:spacing w:after="0" w:line="240" w:lineRule="auto"/>
                    <w:jc w:val="center"/>
                    <w:rPr>
                      <w:rFonts w:hint="eastAsia" w:ascii="宋体" w:hAnsi="宋体" w:eastAsia="宋体" w:cs="宋体"/>
                      <w:sz w:val="21"/>
                      <w:lang w:eastAsia="en-US"/>
                    </w:rPr>
                  </w:pPr>
                  <w:r>
                    <w:rPr>
                      <w:rFonts w:ascii="宋体" w:hAnsi="宋体" w:eastAsia="宋体" w:cs="宋体"/>
                      <w:sz w:val="21"/>
                      <w:lang w:eastAsia="en-US"/>
                    </w:rPr>
                    <w:t>水量</w:t>
                  </w:r>
                </w:p>
              </w:tc>
              <w:tc>
                <w:tcPr>
                  <w:tcW w:w="1295" w:type="dxa"/>
                  <w:shd w:val="clear" w:color="auto" w:fill="auto"/>
                  <w:vAlign w:val="center"/>
                </w:tcPr>
                <w:p w14:paraId="281FD134">
                  <w:pPr>
                    <w:widowControl w:val="0"/>
                    <w:autoSpaceDE w:val="0"/>
                    <w:autoSpaceDN w:val="0"/>
                    <w:spacing w:after="0" w:line="240" w:lineRule="auto"/>
                    <w:jc w:val="center"/>
                    <w:rPr>
                      <w:rFonts w:hint="eastAsia" w:ascii="Times New Roman" w:hAnsi="宋体" w:eastAsia="宋体" w:cs="宋体"/>
                      <w:sz w:val="21"/>
                      <w:lang w:eastAsia="en-US"/>
                    </w:rPr>
                  </w:pPr>
                  <w:r>
                    <w:rPr>
                      <w:rFonts w:ascii="Times New Roman" w:hAnsi="宋体" w:eastAsia="宋体" w:cs="宋体"/>
                      <w:sz w:val="21"/>
                      <w:lang w:eastAsia="en-US"/>
                    </w:rPr>
                    <w:t>COD</w:t>
                  </w:r>
                </w:p>
              </w:tc>
              <w:tc>
                <w:tcPr>
                  <w:tcW w:w="1235" w:type="dxa"/>
                  <w:shd w:val="clear" w:color="auto" w:fill="auto"/>
                  <w:vAlign w:val="center"/>
                </w:tcPr>
                <w:p w14:paraId="20076A9C">
                  <w:pPr>
                    <w:widowControl w:val="0"/>
                    <w:autoSpaceDE w:val="0"/>
                    <w:autoSpaceDN w:val="0"/>
                    <w:spacing w:after="0" w:line="240" w:lineRule="auto"/>
                    <w:jc w:val="center"/>
                    <w:rPr>
                      <w:rFonts w:hint="eastAsia" w:ascii="Times New Roman" w:hAnsi="宋体" w:eastAsia="宋体" w:cs="宋体"/>
                      <w:sz w:val="21"/>
                      <w:lang w:eastAsia="en-US"/>
                    </w:rPr>
                  </w:pPr>
                  <w:r>
                    <w:rPr>
                      <w:rFonts w:ascii="Times New Roman" w:hAnsi="宋体" w:eastAsia="宋体" w:cs="宋体"/>
                      <w:position w:val="2"/>
                      <w:sz w:val="21"/>
                      <w:lang w:eastAsia="en-US"/>
                    </w:rPr>
                    <w:t>BOD</w:t>
                  </w:r>
                  <w:r>
                    <w:rPr>
                      <w:rFonts w:ascii="Times New Roman" w:hAnsi="宋体" w:eastAsia="宋体" w:cs="宋体"/>
                      <w:position w:val="2"/>
                      <w:sz w:val="21"/>
                      <w:vertAlign w:val="subscript"/>
                      <w:lang w:eastAsia="en-US"/>
                    </w:rPr>
                    <w:t>5</w:t>
                  </w:r>
                </w:p>
              </w:tc>
              <w:tc>
                <w:tcPr>
                  <w:tcW w:w="1339" w:type="dxa"/>
                  <w:shd w:val="clear" w:color="auto" w:fill="auto"/>
                  <w:vAlign w:val="center"/>
                </w:tcPr>
                <w:p w14:paraId="64E493AD">
                  <w:pPr>
                    <w:widowControl w:val="0"/>
                    <w:autoSpaceDE w:val="0"/>
                    <w:autoSpaceDN w:val="0"/>
                    <w:spacing w:after="0" w:line="240" w:lineRule="auto"/>
                    <w:jc w:val="center"/>
                    <w:rPr>
                      <w:rFonts w:hint="eastAsia" w:ascii="Times New Roman" w:hAnsi="宋体" w:eastAsia="宋体" w:cs="宋体"/>
                      <w:sz w:val="21"/>
                      <w:lang w:eastAsia="en-US"/>
                    </w:rPr>
                  </w:pPr>
                  <w:r>
                    <w:rPr>
                      <w:rFonts w:ascii="Times New Roman" w:hAnsi="宋体" w:eastAsia="宋体" w:cs="宋体"/>
                      <w:position w:val="2"/>
                      <w:sz w:val="21"/>
                      <w:lang w:eastAsia="en-US"/>
                    </w:rPr>
                    <w:t>NH</w:t>
                  </w:r>
                  <w:r>
                    <w:rPr>
                      <w:rFonts w:ascii="Times New Roman" w:hAnsi="宋体" w:eastAsia="宋体" w:cs="宋体"/>
                      <w:position w:val="2"/>
                      <w:sz w:val="21"/>
                      <w:vertAlign w:val="subscript"/>
                      <w:lang w:eastAsia="en-US"/>
                    </w:rPr>
                    <w:t>3</w:t>
                  </w:r>
                  <w:r>
                    <w:rPr>
                      <w:rFonts w:ascii="Times New Roman" w:hAnsi="宋体" w:eastAsia="宋体" w:cs="宋体"/>
                      <w:position w:val="2"/>
                      <w:sz w:val="21"/>
                      <w:lang w:eastAsia="en-US"/>
                    </w:rPr>
                    <w:t>-N</w:t>
                  </w:r>
                </w:p>
              </w:tc>
              <w:tc>
                <w:tcPr>
                  <w:tcW w:w="1242" w:type="dxa"/>
                  <w:shd w:val="clear" w:color="auto" w:fill="auto"/>
                  <w:vAlign w:val="center"/>
                </w:tcPr>
                <w:p w14:paraId="4F080DEA">
                  <w:pPr>
                    <w:widowControl w:val="0"/>
                    <w:autoSpaceDE w:val="0"/>
                    <w:autoSpaceDN w:val="0"/>
                    <w:spacing w:after="0" w:line="240" w:lineRule="auto"/>
                    <w:jc w:val="center"/>
                    <w:rPr>
                      <w:rFonts w:hint="eastAsia" w:ascii="Times New Roman" w:hAnsi="宋体" w:eastAsia="宋体" w:cs="宋体"/>
                      <w:sz w:val="21"/>
                      <w:lang w:eastAsia="en-US"/>
                    </w:rPr>
                  </w:pPr>
                  <w:r>
                    <w:rPr>
                      <w:rFonts w:ascii="Times New Roman" w:hAnsi="宋体" w:eastAsia="宋体" w:cs="宋体"/>
                      <w:sz w:val="21"/>
                      <w:lang w:eastAsia="en-US"/>
                    </w:rPr>
                    <w:t>SS</w:t>
                  </w:r>
                </w:p>
              </w:tc>
            </w:tr>
            <w:tr w14:paraId="3BB7F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shd w:val="clear" w:color="auto" w:fill="auto"/>
                  <w:vAlign w:val="center"/>
                </w:tcPr>
                <w:p w14:paraId="6E047933">
                  <w:pPr>
                    <w:widowControl w:val="0"/>
                    <w:autoSpaceDE w:val="0"/>
                    <w:autoSpaceDN w:val="0"/>
                    <w:spacing w:after="0" w:line="240" w:lineRule="auto"/>
                    <w:jc w:val="center"/>
                    <w:rPr>
                      <w:rFonts w:hint="eastAsia" w:ascii="宋体" w:hAnsi="宋体" w:eastAsia="宋体" w:cs="宋体"/>
                      <w:sz w:val="21"/>
                      <w:lang w:eastAsia="en-US"/>
                    </w:rPr>
                  </w:pPr>
                  <w:r>
                    <w:rPr>
                      <w:rFonts w:ascii="宋体" w:hAnsi="宋体" w:eastAsia="宋体" w:cs="宋体"/>
                      <w:sz w:val="21"/>
                      <w:lang w:eastAsia="en-US"/>
                    </w:rPr>
                    <w:t>浓度（</w:t>
                  </w:r>
                  <w:r>
                    <w:rPr>
                      <w:rFonts w:ascii="Times New Roman" w:hAnsi="宋体" w:eastAsia="Times New Roman" w:cs="宋体"/>
                      <w:sz w:val="21"/>
                      <w:lang w:eastAsia="en-US"/>
                    </w:rPr>
                    <w:t>mg/L</w:t>
                  </w:r>
                  <w:r>
                    <w:rPr>
                      <w:rFonts w:ascii="宋体" w:hAnsi="宋体" w:eastAsia="宋体" w:cs="宋体"/>
                      <w:sz w:val="21"/>
                      <w:lang w:eastAsia="en-US"/>
                    </w:rPr>
                    <w:t>）</w:t>
                  </w:r>
                </w:p>
              </w:tc>
              <w:tc>
                <w:tcPr>
                  <w:tcW w:w="1298" w:type="dxa"/>
                  <w:vMerge w:val="restart"/>
                  <w:shd w:val="clear" w:color="auto" w:fill="auto"/>
                  <w:vAlign w:val="center"/>
                </w:tcPr>
                <w:p w14:paraId="7A03C18C">
                  <w:pPr>
                    <w:widowControl w:val="0"/>
                    <w:autoSpaceDE w:val="0"/>
                    <w:autoSpaceDN w:val="0"/>
                    <w:spacing w:after="0" w:line="240" w:lineRule="auto"/>
                    <w:jc w:val="center"/>
                    <w:rPr>
                      <w:rFonts w:hint="eastAsia" w:ascii="Times New Roman" w:hAnsi="宋体" w:eastAsia="宋体" w:cs="宋体"/>
                      <w:sz w:val="21"/>
                      <w:lang w:eastAsia="en-US"/>
                    </w:rPr>
                  </w:pPr>
                  <w:r>
                    <w:rPr>
                      <w:rFonts w:ascii="Times New Roman" w:hAnsi="宋体" w:eastAsia="宋体" w:cs="宋体"/>
                      <w:sz w:val="21"/>
                      <w:lang w:eastAsia="en-US"/>
                    </w:rPr>
                    <w:t>1.2t/d</w:t>
                  </w:r>
                </w:p>
              </w:tc>
              <w:tc>
                <w:tcPr>
                  <w:tcW w:w="1295" w:type="dxa"/>
                  <w:shd w:val="clear" w:color="auto" w:fill="auto"/>
                  <w:vAlign w:val="center"/>
                </w:tcPr>
                <w:p w14:paraId="12A50326">
                  <w:pPr>
                    <w:widowControl w:val="0"/>
                    <w:autoSpaceDE w:val="0"/>
                    <w:autoSpaceDN w:val="0"/>
                    <w:spacing w:after="0" w:line="240" w:lineRule="auto"/>
                    <w:jc w:val="center"/>
                    <w:rPr>
                      <w:rFonts w:hint="eastAsia" w:ascii="Times New Roman" w:hAnsi="宋体" w:eastAsia="宋体" w:cs="宋体"/>
                      <w:sz w:val="21"/>
                      <w:lang w:eastAsia="en-US"/>
                    </w:rPr>
                  </w:pPr>
                  <w:r>
                    <w:rPr>
                      <w:rFonts w:ascii="Times New Roman" w:hAnsi="宋体" w:eastAsia="宋体" w:cs="宋体"/>
                      <w:sz w:val="21"/>
                      <w:lang w:eastAsia="en-US"/>
                    </w:rPr>
                    <w:t>250</w:t>
                  </w:r>
                </w:p>
              </w:tc>
              <w:tc>
                <w:tcPr>
                  <w:tcW w:w="1235" w:type="dxa"/>
                  <w:shd w:val="clear" w:color="auto" w:fill="auto"/>
                  <w:vAlign w:val="center"/>
                </w:tcPr>
                <w:p w14:paraId="1188DE55">
                  <w:pPr>
                    <w:widowControl w:val="0"/>
                    <w:autoSpaceDE w:val="0"/>
                    <w:autoSpaceDN w:val="0"/>
                    <w:spacing w:after="0" w:line="240" w:lineRule="auto"/>
                    <w:jc w:val="center"/>
                    <w:rPr>
                      <w:rFonts w:hint="eastAsia" w:ascii="Times New Roman" w:hAnsi="宋体" w:eastAsia="宋体" w:cs="宋体"/>
                      <w:sz w:val="21"/>
                      <w:lang w:eastAsia="en-US"/>
                    </w:rPr>
                  </w:pPr>
                  <w:r>
                    <w:rPr>
                      <w:rFonts w:ascii="Times New Roman" w:hAnsi="宋体" w:eastAsia="宋体" w:cs="宋体"/>
                      <w:sz w:val="21"/>
                      <w:lang w:eastAsia="en-US"/>
                    </w:rPr>
                    <w:t>180</w:t>
                  </w:r>
                </w:p>
              </w:tc>
              <w:tc>
                <w:tcPr>
                  <w:tcW w:w="1339" w:type="dxa"/>
                  <w:shd w:val="clear" w:color="auto" w:fill="auto"/>
                  <w:vAlign w:val="center"/>
                </w:tcPr>
                <w:p w14:paraId="09788975">
                  <w:pPr>
                    <w:widowControl w:val="0"/>
                    <w:autoSpaceDE w:val="0"/>
                    <w:autoSpaceDN w:val="0"/>
                    <w:spacing w:after="0" w:line="240" w:lineRule="auto"/>
                    <w:jc w:val="center"/>
                    <w:rPr>
                      <w:rFonts w:hint="eastAsia" w:ascii="Times New Roman" w:hAnsi="宋体" w:eastAsia="宋体" w:cs="宋体"/>
                      <w:sz w:val="21"/>
                      <w:lang w:eastAsia="en-US"/>
                    </w:rPr>
                  </w:pPr>
                  <w:r>
                    <w:rPr>
                      <w:rFonts w:ascii="Times New Roman" w:hAnsi="宋体" w:eastAsia="宋体" w:cs="宋体"/>
                      <w:sz w:val="21"/>
                      <w:lang w:eastAsia="en-US"/>
                    </w:rPr>
                    <w:t>35</w:t>
                  </w:r>
                </w:p>
              </w:tc>
              <w:tc>
                <w:tcPr>
                  <w:tcW w:w="1242" w:type="dxa"/>
                  <w:shd w:val="clear" w:color="auto" w:fill="auto"/>
                  <w:vAlign w:val="center"/>
                </w:tcPr>
                <w:p w14:paraId="6FEA59A6">
                  <w:pPr>
                    <w:widowControl w:val="0"/>
                    <w:autoSpaceDE w:val="0"/>
                    <w:autoSpaceDN w:val="0"/>
                    <w:spacing w:after="0" w:line="240" w:lineRule="auto"/>
                    <w:jc w:val="center"/>
                    <w:rPr>
                      <w:rFonts w:hint="eastAsia" w:ascii="Times New Roman" w:hAnsi="宋体" w:eastAsia="宋体" w:cs="宋体"/>
                      <w:sz w:val="21"/>
                      <w:lang w:eastAsia="en-US"/>
                    </w:rPr>
                  </w:pPr>
                  <w:r>
                    <w:rPr>
                      <w:rFonts w:ascii="Times New Roman" w:hAnsi="宋体" w:eastAsia="宋体" w:cs="宋体"/>
                      <w:sz w:val="21"/>
                      <w:lang w:eastAsia="en-US"/>
                    </w:rPr>
                    <w:t>200</w:t>
                  </w:r>
                </w:p>
              </w:tc>
            </w:tr>
            <w:tr w14:paraId="2B201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8" w:type="dxa"/>
                  <w:shd w:val="clear" w:color="auto" w:fill="auto"/>
                  <w:vAlign w:val="center"/>
                </w:tcPr>
                <w:p w14:paraId="5C56BE8C">
                  <w:pPr>
                    <w:widowControl w:val="0"/>
                    <w:autoSpaceDE w:val="0"/>
                    <w:autoSpaceDN w:val="0"/>
                    <w:spacing w:after="0" w:line="240" w:lineRule="auto"/>
                    <w:jc w:val="center"/>
                    <w:rPr>
                      <w:rFonts w:hint="eastAsia" w:ascii="宋体" w:hAnsi="宋体" w:eastAsia="宋体" w:cs="宋体"/>
                      <w:sz w:val="21"/>
                      <w:lang w:eastAsia="en-US"/>
                    </w:rPr>
                  </w:pPr>
                  <w:r>
                    <w:rPr>
                      <w:rFonts w:ascii="宋体" w:hAnsi="宋体" w:eastAsia="宋体" w:cs="宋体"/>
                      <w:sz w:val="21"/>
                      <w:lang w:eastAsia="en-US"/>
                    </w:rPr>
                    <w:t>污染物排放量（</w:t>
                  </w:r>
                  <w:r>
                    <w:rPr>
                      <w:rFonts w:ascii="Times New Roman" w:hAnsi="宋体" w:eastAsia="Times New Roman" w:cs="宋体"/>
                      <w:sz w:val="21"/>
                      <w:lang w:eastAsia="en-US"/>
                    </w:rPr>
                    <w:t>kg/d</w:t>
                  </w:r>
                  <w:r>
                    <w:rPr>
                      <w:rFonts w:ascii="宋体" w:hAnsi="宋体" w:eastAsia="宋体" w:cs="宋体"/>
                      <w:sz w:val="21"/>
                      <w:lang w:eastAsia="en-US"/>
                    </w:rPr>
                    <w:t>）</w:t>
                  </w:r>
                </w:p>
              </w:tc>
              <w:tc>
                <w:tcPr>
                  <w:tcW w:w="1298" w:type="dxa"/>
                  <w:vMerge w:val="continue"/>
                  <w:shd w:val="clear" w:color="auto" w:fill="auto"/>
                  <w:vAlign w:val="center"/>
                </w:tcPr>
                <w:p w14:paraId="0D054E43">
                  <w:pPr>
                    <w:widowControl w:val="0"/>
                    <w:autoSpaceDE w:val="0"/>
                    <w:autoSpaceDN w:val="0"/>
                    <w:spacing w:after="0" w:line="240" w:lineRule="auto"/>
                    <w:jc w:val="center"/>
                    <w:rPr>
                      <w:rFonts w:hint="eastAsia" w:ascii="宋体" w:hAnsi="宋体" w:eastAsia="宋体" w:cs="宋体"/>
                      <w:sz w:val="2"/>
                      <w:szCs w:val="2"/>
                      <w:lang w:eastAsia="en-US"/>
                    </w:rPr>
                  </w:pPr>
                </w:p>
              </w:tc>
              <w:tc>
                <w:tcPr>
                  <w:tcW w:w="1295" w:type="dxa"/>
                  <w:shd w:val="clear" w:color="auto" w:fill="auto"/>
                  <w:vAlign w:val="center"/>
                </w:tcPr>
                <w:p w14:paraId="73566D08">
                  <w:pPr>
                    <w:widowControl w:val="0"/>
                    <w:autoSpaceDE w:val="0"/>
                    <w:autoSpaceDN w:val="0"/>
                    <w:spacing w:after="0" w:line="240" w:lineRule="auto"/>
                    <w:jc w:val="center"/>
                    <w:rPr>
                      <w:rFonts w:hint="eastAsia" w:ascii="Times New Roman" w:hAnsi="宋体" w:eastAsia="宋体" w:cs="宋体"/>
                      <w:sz w:val="21"/>
                    </w:rPr>
                  </w:pPr>
                  <w:r>
                    <w:rPr>
                      <w:rFonts w:ascii="Times New Roman" w:hAnsi="宋体" w:eastAsia="宋体" w:cs="宋体"/>
                      <w:sz w:val="21"/>
                    </w:rPr>
                    <w:t>0.3</w:t>
                  </w:r>
                </w:p>
              </w:tc>
              <w:tc>
                <w:tcPr>
                  <w:tcW w:w="1235" w:type="dxa"/>
                  <w:shd w:val="clear" w:color="auto" w:fill="auto"/>
                  <w:vAlign w:val="center"/>
                </w:tcPr>
                <w:p w14:paraId="33F8EBF0">
                  <w:pPr>
                    <w:widowControl w:val="0"/>
                    <w:autoSpaceDE w:val="0"/>
                    <w:autoSpaceDN w:val="0"/>
                    <w:spacing w:after="0" w:line="240" w:lineRule="auto"/>
                    <w:jc w:val="center"/>
                    <w:rPr>
                      <w:rFonts w:hint="eastAsia" w:ascii="Times New Roman" w:hAnsi="宋体" w:eastAsia="宋体" w:cs="宋体"/>
                      <w:sz w:val="21"/>
                    </w:rPr>
                  </w:pPr>
                  <w:r>
                    <w:rPr>
                      <w:rFonts w:ascii="Times New Roman" w:hAnsi="宋体" w:eastAsia="宋体" w:cs="宋体"/>
                      <w:sz w:val="21"/>
                    </w:rPr>
                    <w:t>0.216</w:t>
                  </w:r>
                </w:p>
              </w:tc>
              <w:tc>
                <w:tcPr>
                  <w:tcW w:w="1339" w:type="dxa"/>
                  <w:shd w:val="clear" w:color="auto" w:fill="auto"/>
                  <w:vAlign w:val="center"/>
                </w:tcPr>
                <w:p w14:paraId="21E53014">
                  <w:pPr>
                    <w:widowControl w:val="0"/>
                    <w:autoSpaceDE w:val="0"/>
                    <w:autoSpaceDN w:val="0"/>
                    <w:spacing w:after="0" w:line="240" w:lineRule="auto"/>
                    <w:jc w:val="center"/>
                    <w:rPr>
                      <w:rFonts w:hint="eastAsia" w:ascii="Times New Roman" w:hAnsi="宋体" w:eastAsia="宋体" w:cs="宋体"/>
                      <w:sz w:val="21"/>
                    </w:rPr>
                  </w:pPr>
                  <w:r>
                    <w:rPr>
                      <w:rFonts w:ascii="Times New Roman" w:hAnsi="宋体" w:eastAsia="宋体" w:cs="宋体"/>
                      <w:w w:val="95"/>
                      <w:sz w:val="21"/>
                    </w:rPr>
                    <w:t>0.042</w:t>
                  </w:r>
                </w:p>
              </w:tc>
              <w:tc>
                <w:tcPr>
                  <w:tcW w:w="1242" w:type="dxa"/>
                  <w:shd w:val="clear" w:color="auto" w:fill="auto"/>
                  <w:vAlign w:val="center"/>
                </w:tcPr>
                <w:p w14:paraId="27B729F8">
                  <w:pPr>
                    <w:widowControl w:val="0"/>
                    <w:autoSpaceDE w:val="0"/>
                    <w:autoSpaceDN w:val="0"/>
                    <w:spacing w:after="0" w:line="240" w:lineRule="auto"/>
                    <w:jc w:val="center"/>
                    <w:rPr>
                      <w:rFonts w:hint="eastAsia" w:ascii="Times New Roman" w:hAnsi="宋体" w:eastAsia="宋体" w:cs="宋体"/>
                      <w:sz w:val="21"/>
                    </w:rPr>
                  </w:pPr>
                  <w:r>
                    <w:rPr>
                      <w:rFonts w:ascii="Times New Roman" w:hAnsi="宋体" w:eastAsia="宋体" w:cs="宋体"/>
                      <w:sz w:val="21"/>
                    </w:rPr>
                    <w:t>0.24</w:t>
                  </w:r>
                </w:p>
              </w:tc>
            </w:tr>
          </w:tbl>
          <w:p w14:paraId="3D6DEBC1">
            <w:pPr>
              <w:widowControl w:val="0"/>
              <w:spacing w:before="120" w:beforeLines="50" w:after="0" w:line="36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项目施工场地范围内不设置施工人员生活区，施工人员产生的生活污水处理依托厂区内现有的污水设施处理后排放至园区污水管网后进入污水处理厂处理，对周边水体产生的影响很小。</w:t>
            </w:r>
          </w:p>
          <w:p w14:paraId="38ADED0E">
            <w:pPr>
              <w:pStyle w:val="225"/>
              <w:ind w:firstLine="482"/>
              <w:rPr>
                <w:b/>
                <w:bCs/>
              </w:rPr>
            </w:pPr>
            <w:bookmarkStart w:id="11" w:name="_Toc533600582"/>
            <w:bookmarkStart w:id="12" w:name="_Toc529317076"/>
            <w:r>
              <w:rPr>
                <w:rFonts w:hint="eastAsia"/>
                <w:b/>
                <w:bCs/>
              </w:rPr>
              <w:t>3、</w:t>
            </w:r>
            <w:r>
              <w:rPr>
                <w:b/>
                <w:bCs/>
              </w:rPr>
              <w:t>施工期废气污染防治措施</w:t>
            </w:r>
            <w:bookmarkEnd w:id="11"/>
            <w:bookmarkEnd w:id="12"/>
            <w:r>
              <w:rPr>
                <w:rFonts w:hint="eastAsia"/>
                <w:b/>
                <w:bCs/>
              </w:rPr>
              <w:t>及影响分析</w:t>
            </w:r>
          </w:p>
          <w:p w14:paraId="0D9E7A7A">
            <w:pPr>
              <w:widowControl w:val="0"/>
              <w:tabs>
                <w:tab w:val="left" w:pos="432"/>
              </w:tabs>
              <w:adjustRightInd w:val="0"/>
              <w:snapToGrid w:val="0"/>
              <w:spacing w:after="0" w:line="360" w:lineRule="auto"/>
              <w:ind w:firstLine="480" w:firstLineChars="200"/>
              <w:rPr>
                <w:rFonts w:ascii="Times New Roman" w:hAnsi="Times New Roman" w:eastAsia="宋体" w:cs="Times New Roman"/>
                <w:kern w:val="2"/>
                <w:szCs w:val="24"/>
              </w:rPr>
            </w:pPr>
            <w:r>
              <w:rPr>
                <w:rFonts w:ascii="Times New Roman" w:hAnsi="Times New Roman" w:eastAsia="宋体" w:cs="Times New Roman"/>
                <w:kern w:val="2"/>
                <w:szCs w:val="24"/>
              </w:rPr>
              <w:t>施工过程中产生的大气污染物主要是施工扬尘、施工机械与车辆产生的尾气。</w:t>
            </w:r>
          </w:p>
          <w:p w14:paraId="7DE2BDE5">
            <w:pPr>
              <w:widowControl w:val="0"/>
              <w:tabs>
                <w:tab w:val="left" w:pos="432"/>
              </w:tabs>
              <w:adjustRightInd w:val="0"/>
              <w:snapToGrid w:val="0"/>
              <w:spacing w:after="0" w:line="360" w:lineRule="auto"/>
              <w:ind w:firstLine="480" w:firstLineChars="200"/>
              <w:rPr>
                <w:rFonts w:ascii="Times New Roman" w:hAnsi="Times New Roman" w:eastAsia="宋体" w:cs="Times New Roman"/>
                <w:kern w:val="2"/>
                <w:szCs w:val="24"/>
              </w:rPr>
            </w:pPr>
            <w:r>
              <w:rPr>
                <w:rFonts w:ascii="Times New Roman" w:hAnsi="Times New Roman" w:eastAsia="宋体" w:cs="Times New Roman"/>
                <w:kern w:val="2"/>
                <w:szCs w:val="24"/>
              </w:rPr>
              <w:t>（1）扬尘</w:t>
            </w:r>
          </w:p>
          <w:p w14:paraId="1569D011">
            <w:pPr>
              <w:widowControl w:val="0"/>
              <w:spacing w:after="0" w:line="360" w:lineRule="auto"/>
              <w:ind w:firstLine="480" w:firstLineChars="200"/>
              <w:jc w:val="both"/>
              <w:rPr>
                <w:rFonts w:ascii="Times New Roman" w:hAnsi="Times New Roman" w:eastAsia="宋体" w:cs="Times New Roman"/>
                <w:szCs w:val="24"/>
              </w:rPr>
            </w:pPr>
            <w:r>
              <w:rPr>
                <w:rFonts w:ascii="Times New Roman" w:hAnsi="Times New Roman" w:eastAsia="宋体" w:cs="Times New Roman"/>
                <w:kern w:val="2"/>
                <w:szCs w:val="24"/>
              </w:rPr>
              <w:t>施工阶段，扬尘污染对区域大气环境中的TSP、PM</w:t>
            </w:r>
            <w:r>
              <w:rPr>
                <w:rFonts w:ascii="Times New Roman" w:hAnsi="Times New Roman" w:eastAsia="宋体" w:cs="Times New Roman"/>
                <w:kern w:val="2"/>
                <w:szCs w:val="24"/>
                <w:vertAlign w:val="subscript"/>
              </w:rPr>
              <w:t>10</w:t>
            </w:r>
            <w:r>
              <w:rPr>
                <w:rFonts w:ascii="Times New Roman" w:hAnsi="Times New Roman" w:eastAsia="宋体" w:cs="Times New Roman"/>
                <w:kern w:val="2"/>
                <w:szCs w:val="24"/>
              </w:rPr>
              <w:t>浓度影响较大。</w:t>
            </w:r>
            <w:r>
              <w:rPr>
                <w:rFonts w:ascii="Times New Roman" w:hAnsi="Times New Roman" w:eastAsia="宋体" w:cs="Times New Roman"/>
                <w:spacing w:val="4"/>
                <w:kern w:val="2"/>
                <w:szCs w:val="24"/>
              </w:rPr>
              <w:t>施工扬尘量受泥土含水量、气候干燥程度、风速等因素影响较大。一般施工场地内受扬尘污染较重，超标程度2～5倍，对离施工现场150m外的区域影响小。</w:t>
            </w:r>
          </w:p>
          <w:p w14:paraId="4D3685F4">
            <w:pPr>
              <w:widowControl w:val="0"/>
              <w:tabs>
                <w:tab w:val="left" w:pos="720"/>
              </w:tabs>
              <w:adjustRightInd w:val="0"/>
              <w:snapToGrid w:val="0"/>
              <w:spacing w:after="0" w:line="360" w:lineRule="auto"/>
              <w:ind w:firstLine="480" w:firstLineChars="200"/>
              <w:rPr>
                <w:rFonts w:ascii="Times New Roman" w:hAnsi="Times New Roman" w:eastAsia="宋体" w:cs="Times New Roman"/>
                <w:kern w:val="2"/>
                <w:szCs w:val="24"/>
              </w:rPr>
            </w:pPr>
            <w:r>
              <w:rPr>
                <w:rFonts w:ascii="Times New Roman" w:hAnsi="Times New Roman" w:eastAsia="宋体" w:cs="Times New Roman"/>
                <w:kern w:val="2"/>
                <w:szCs w:val="24"/>
              </w:rPr>
              <w:t>行驶在施工现场的主要运输通道上的车辆来往频繁，产生的扬尘量较大，根据有关监测资料，行车道路两侧的扬尘浓度可达8~10mg/m³，但道路扬尘随离扬尘点的距离增加而迅速下降，影响范围一般在道路两侧60m内，对环境空气的影响范围相对较小。</w:t>
            </w:r>
          </w:p>
          <w:p w14:paraId="5E307D8B">
            <w:pPr>
              <w:widowControl w:val="0"/>
              <w:tabs>
                <w:tab w:val="left" w:pos="720"/>
              </w:tabs>
              <w:adjustRightInd w:val="0"/>
              <w:snapToGrid w:val="0"/>
              <w:spacing w:after="0" w:line="360" w:lineRule="auto"/>
              <w:ind w:firstLine="480" w:firstLineChars="200"/>
              <w:rPr>
                <w:rFonts w:ascii="Times New Roman" w:hAnsi="Times New Roman" w:eastAsia="宋体" w:cs="Times New Roman"/>
                <w:kern w:val="2"/>
                <w:szCs w:val="24"/>
              </w:rPr>
            </w:pPr>
            <w:r>
              <w:rPr>
                <w:rFonts w:ascii="Times New Roman" w:hAnsi="Times New Roman" w:eastAsia="宋体" w:cs="Times New Roman"/>
                <w:kern w:val="2"/>
                <w:szCs w:val="24"/>
              </w:rPr>
              <w:t>为使拟建项目在施工期扬尘对周围环境空气的影响减少到尽可能小的限度，建议采取以下防护措施：</w:t>
            </w:r>
          </w:p>
          <w:p w14:paraId="502A0AB0">
            <w:pPr>
              <w:widowControl w:val="0"/>
              <w:spacing w:after="0" w:line="360" w:lineRule="auto"/>
              <w:ind w:firstLine="480" w:firstLineChars="200"/>
              <w:jc w:val="both"/>
              <w:rPr>
                <w:rFonts w:ascii="Times New Roman" w:hAnsi="Times New Roman" w:eastAsia="宋体" w:cs="Times New Roman"/>
                <w:kern w:val="2"/>
                <w:szCs w:val="24"/>
              </w:rPr>
            </w:pPr>
            <w:r>
              <w:rPr>
                <w:rFonts w:hint="eastAsia" w:ascii="宋体" w:hAnsi="宋体" w:eastAsia="宋体" w:cs="宋体"/>
                <w:kern w:val="2"/>
                <w:szCs w:val="24"/>
              </w:rPr>
              <w:t>①</w:t>
            </w:r>
            <w:r>
              <w:rPr>
                <w:rFonts w:ascii="Times New Roman" w:hAnsi="Times New Roman" w:eastAsia="宋体" w:cs="Times New Roman"/>
                <w:kern w:val="2"/>
                <w:szCs w:val="24"/>
              </w:rPr>
              <w:t>运输车辆加蓬盖</w:t>
            </w:r>
            <w:r>
              <w:rPr>
                <w:rFonts w:hint="eastAsia" w:ascii="Times New Roman" w:hAnsi="Times New Roman" w:eastAsia="宋体" w:cs="Times New Roman"/>
                <w:kern w:val="2"/>
                <w:szCs w:val="24"/>
                <w:lang w:eastAsia="zh-CN"/>
              </w:rPr>
              <w:t>且</w:t>
            </w:r>
            <w:r>
              <w:rPr>
                <w:rFonts w:ascii="Times New Roman" w:hAnsi="Times New Roman" w:eastAsia="宋体" w:cs="Times New Roman"/>
                <w:kern w:val="2"/>
                <w:szCs w:val="24"/>
              </w:rPr>
              <w:t>离开装卸场前先将车辆冲洗干净，减少车轮、底盘等携带泥土散落路面。运输车辆进入施工场地应低速行驶和限速行驶，减少扬尘产尘量。</w:t>
            </w:r>
          </w:p>
          <w:p w14:paraId="4C158EBD">
            <w:pPr>
              <w:widowControl w:val="0"/>
              <w:spacing w:after="0" w:line="360" w:lineRule="auto"/>
              <w:ind w:firstLine="480" w:firstLineChars="200"/>
              <w:jc w:val="both"/>
              <w:rPr>
                <w:rFonts w:ascii="Times New Roman" w:hAnsi="Times New Roman" w:eastAsia="宋体" w:cs="Times New Roman"/>
                <w:kern w:val="2"/>
                <w:szCs w:val="24"/>
              </w:rPr>
            </w:pPr>
            <w:r>
              <w:rPr>
                <w:rFonts w:hint="eastAsia" w:ascii="宋体" w:hAnsi="宋体" w:eastAsia="宋体" w:cs="宋体"/>
                <w:kern w:val="2"/>
                <w:szCs w:val="24"/>
              </w:rPr>
              <w:t>②</w:t>
            </w:r>
            <w:r>
              <w:rPr>
                <w:rFonts w:ascii="Times New Roman" w:hAnsi="Times New Roman" w:eastAsia="宋体" w:cs="Times New Roman"/>
                <w:kern w:val="2"/>
                <w:szCs w:val="24"/>
              </w:rPr>
              <w:t>对运输过程中落在路面上的泥土要及时清扫，以减少运行过程中的扬尘。</w:t>
            </w:r>
          </w:p>
          <w:p w14:paraId="7697DCF8">
            <w:pPr>
              <w:widowControl w:val="0"/>
              <w:spacing w:after="0" w:line="360" w:lineRule="auto"/>
              <w:ind w:firstLine="480" w:firstLineChars="200"/>
              <w:jc w:val="both"/>
              <w:rPr>
                <w:rFonts w:ascii="Times New Roman" w:hAnsi="Times New Roman" w:eastAsia="宋体" w:cs="Times New Roman"/>
                <w:kern w:val="2"/>
                <w:szCs w:val="24"/>
              </w:rPr>
            </w:pPr>
            <w:r>
              <w:rPr>
                <w:rFonts w:hint="eastAsia" w:ascii="宋体" w:hAnsi="宋体" w:eastAsia="宋体" w:cs="宋体"/>
                <w:kern w:val="2"/>
                <w:szCs w:val="24"/>
              </w:rPr>
              <w:t>③</w:t>
            </w:r>
            <w:r>
              <w:rPr>
                <w:rFonts w:ascii="Times New Roman" w:hAnsi="Times New Roman" w:eastAsia="宋体" w:cs="Times New Roman"/>
                <w:kern w:val="2"/>
                <w:szCs w:val="24"/>
              </w:rPr>
              <w:t>采用商品混凝土，不单独设置混凝土搅拌站。</w:t>
            </w:r>
          </w:p>
          <w:p w14:paraId="029E1521">
            <w:pPr>
              <w:widowControl w:val="0"/>
              <w:spacing w:after="0" w:line="360" w:lineRule="auto"/>
              <w:ind w:firstLine="480" w:firstLineChars="200"/>
              <w:jc w:val="both"/>
              <w:rPr>
                <w:rFonts w:ascii="Times New Roman" w:hAnsi="Times New Roman" w:eastAsia="宋体" w:cs="Times New Roman"/>
                <w:kern w:val="2"/>
                <w:szCs w:val="24"/>
              </w:rPr>
            </w:pPr>
            <w:r>
              <w:rPr>
                <w:rFonts w:hint="eastAsia" w:ascii="宋体" w:hAnsi="宋体" w:eastAsia="宋体" w:cs="宋体"/>
                <w:kern w:val="2"/>
                <w:szCs w:val="24"/>
              </w:rPr>
              <w:t>④</w:t>
            </w:r>
            <w:r>
              <w:rPr>
                <w:rFonts w:ascii="Times New Roman" w:hAnsi="Times New Roman" w:eastAsia="宋体" w:cs="Times New Roman"/>
                <w:kern w:val="2"/>
                <w:szCs w:val="24"/>
              </w:rPr>
              <w:t>在施工现场必须采取防风遮盖措施及洒水降尘。</w:t>
            </w:r>
          </w:p>
          <w:p w14:paraId="54FF4299">
            <w:pPr>
              <w:widowControl w:val="0"/>
              <w:spacing w:after="0" w:line="360" w:lineRule="auto"/>
              <w:ind w:firstLine="480" w:firstLineChars="200"/>
              <w:jc w:val="both"/>
              <w:rPr>
                <w:rFonts w:ascii="Times New Roman" w:hAnsi="Times New Roman" w:eastAsia="宋体" w:cs="Times New Roman"/>
                <w:kern w:val="2"/>
                <w:szCs w:val="24"/>
              </w:rPr>
            </w:pPr>
            <w:r>
              <w:rPr>
                <w:rFonts w:hint="eastAsia" w:ascii="宋体" w:hAnsi="宋体" w:eastAsia="宋体" w:cs="宋体"/>
                <w:kern w:val="2"/>
                <w:szCs w:val="24"/>
              </w:rPr>
              <w:t>⑤</w:t>
            </w:r>
            <w:r>
              <w:rPr>
                <w:rFonts w:ascii="Times New Roman" w:hAnsi="Times New Roman" w:eastAsia="宋体" w:cs="Times New Roman"/>
                <w:kern w:val="2"/>
                <w:szCs w:val="24"/>
              </w:rPr>
              <w:t>施工结束时，应及时对施工占用场地进行清理，恢复地面道路及植被。</w:t>
            </w:r>
          </w:p>
          <w:p w14:paraId="1A6E40B7">
            <w:pPr>
              <w:widowControl w:val="0"/>
              <w:tabs>
                <w:tab w:val="left" w:pos="720"/>
              </w:tabs>
              <w:adjustRightInd w:val="0"/>
              <w:snapToGrid w:val="0"/>
              <w:spacing w:after="0" w:line="360" w:lineRule="auto"/>
              <w:ind w:firstLine="480" w:firstLineChars="200"/>
              <w:rPr>
                <w:rFonts w:ascii="Times New Roman" w:hAnsi="Times New Roman" w:eastAsia="宋体" w:cs="Times New Roman"/>
                <w:szCs w:val="24"/>
              </w:rPr>
            </w:pPr>
            <w:r>
              <w:rPr>
                <w:rFonts w:ascii="Times New Roman" w:hAnsi="Times New Roman" w:eastAsia="宋体" w:cs="Times New Roman"/>
                <w:kern w:val="2"/>
                <w:szCs w:val="24"/>
              </w:rPr>
              <w:t>只要加强管理、切实落实好上述相应措施，施工场地扬尘对周围大气环境的影响将会大大降低，同时其对环境的影响也将随施工的结束而消失。</w:t>
            </w:r>
            <w:r>
              <w:rPr>
                <w:rFonts w:hint="eastAsia" w:ascii="Times New Roman" w:hAnsi="Times New Roman" w:eastAsia="宋体" w:cs="Times New Roman"/>
                <w:szCs w:val="24"/>
              </w:rPr>
              <w:t>在</w:t>
            </w:r>
            <w:r>
              <w:rPr>
                <w:rFonts w:ascii="Times New Roman" w:hAnsi="Times New Roman" w:eastAsia="宋体" w:cs="Times New Roman"/>
                <w:szCs w:val="24"/>
              </w:rPr>
              <w:t>认真落实评价中提出的相关污染防治措施等前提下，一般工程施工扬尘</w:t>
            </w:r>
            <w:r>
              <w:rPr>
                <w:rFonts w:ascii="Times New Roman" w:hAnsi="Times New Roman" w:eastAsia="宋体" w:cs="Times New Roman"/>
                <w:kern w:val="2"/>
                <w:szCs w:val="24"/>
              </w:rPr>
              <w:t>浓度</w:t>
            </w:r>
            <w:r>
              <w:rPr>
                <w:rFonts w:ascii="Times New Roman" w:hAnsi="Times New Roman" w:eastAsia="宋体" w:cs="Times New Roman"/>
                <w:szCs w:val="24"/>
              </w:rPr>
              <w:t>能够满足</w:t>
            </w:r>
            <w:r>
              <w:rPr>
                <w:rFonts w:ascii="Times New Roman" w:hAnsi="Times New Roman" w:eastAsia="宋体" w:cs="Times New Roman"/>
                <w:kern w:val="2"/>
                <w:szCs w:val="24"/>
              </w:rPr>
              <w:t>《大气污染物综合排放标准》（GB16297-1996）二级标准中相应限值要求，</w:t>
            </w:r>
            <w:r>
              <w:rPr>
                <w:rFonts w:ascii="Times New Roman" w:hAnsi="Times New Roman" w:eastAsia="宋体" w:cs="Times New Roman"/>
                <w:szCs w:val="24"/>
              </w:rPr>
              <w:t>对周围环境</w:t>
            </w:r>
            <w:r>
              <w:rPr>
                <w:rFonts w:hint="eastAsia" w:ascii="Times New Roman" w:hAnsi="Times New Roman" w:eastAsia="宋体" w:cs="Times New Roman"/>
                <w:szCs w:val="24"/>
              </w:rPr>
              <w:t>保护</w:t>
            </w:r>
            <w:r>
              <w:rPr>
                <w:rFonts w:ascii="Times New Roman" w:hAnsi="Times New Roman" w:eastAsia="宋体" w:cs="Times New Roman"/>
                <w:szCs w:val="24"/>
              </w:rPr>
              <w:t>目标及大气环境影响较小。</w:t>
            </w:r>
          </w:p>
          <w:p w14:paraId="04A00CE5">
            <w:pPr>
              <w:widowControl w:val="0"/>
              <w:snapToGrid w:val="0"/>
              <w:spacing w:after="0" w:line="360" w:lineRule="auto"/>
              <w:ind w:firstLine="480" w:firstLineChars="200"/>
              <w:jc w:val="both"/>
              <w:rPr>
                <w:rFonts w:ascii="Times New Roman" w:hAnsi="Times New Roman" w:eastAsia="宋体" w:cs="Times New Roman"/>
                <w:bCs/>
                <w:kern w:val="2"/>
                <w:szCs w:val="24"/>
              </w:rPr>
            </w:pPr>
            <w:r>
              <w:rPr>
                <w:rFonts w:ascii="Times New Roman" w:hAnsi="Times New Roman" w:eastAsia="宋体" w:cs="Times New Roman"/>
                <w:bCs/>
                <w:kern w:val="2"/>
                <w:szCs w:val="24"/>
              </w:rPr>
              <w:t>（2）施工机械和</w:t>
            </w:r>
            <w:r>
              <w:rPr>
                <w:rFonts w:ascii="Times New Roman" w:hAnsi="Times New Roman" w:eastAsia="宋体" w:cs="Times New Roman"/>
                <w:spacing w:val="4"/>
                <w:kern w:val="2"/>
                <w:szCs w:val="24"/>
              </w:rPr>
              <w:t>运输车辆</w:t>
            </w:r>
            <w:r>
              <w:rPr>
                <w:rFonts w:ascii="Times New Roman" w:hAnsi="Times New Roman" w:eastAsia="宋体" w:cs="Times New Roman"/>
                <w:bCs/>
                <w:kern w:val="2"/>
                <w:szCs w:val="24"/>
              </w:rPr>
              <w:t>废气</w:t>
            </w:r>
          </w:p>
          <w:p w14:paraId="43445E9E">
            <w:pPr>
              <w:widowControl w:val="0"/>
              <w:snapToGrid w:val="0"/>
              <w:spacing w:after="0" w:line="360" w:lineRule="auto"/>
              <w:ind w:firstLine="496" w:firstLineChars="200"/>
              <w:jc w:val="both"/>
              <w:rPr>
                <w:rFonts w:ascii="Times New Roman" w:hAnsi="Times New Roman" w:eastAsia="宋体" w:cs="Times New Roman"/>
                <w:bCs/>
                <w:kern w:val="2"/>
                <w:szCs w:val="24"/>
              </w:rPr>
            </w:pPr>
            <w:r>
              <w:rPr>
                <w:rFonts w:ascii="Times New Roman" w:hAnsi="Times New Roman" w:eastAsia="宋体" w:cs="Times New Roman"/>
                <w:spacing w:val="4"/>
                <w:kern w:val="2"/>
                <w:szCs w:val="24"/>
              </w:rPr>
              <w:t>施工机械和材料运输车辆</w:t>
            </w:r>
            <w:r>
              <w:rPr>
                <w:rFonts w:ascii="Times New Roman" w:hAnsi="Times New Roman" w:eastAsia="宋体" w:cs="Times New Roman"/>
                <w:bCs/>
                <w:kern w:val="2"/>
                <w:szCs w:val="24"/>
              </w:rPr>
              <w:t>尾气中主要含CO、HC、NO</w:t>
            </w:r>
            <w:r>
              <w:rPr>
                <w:rFonts w:ascii="Times New Roman" w:hAnsi="Times New Roman" w:eastAsia="宋体" w:cs="Times New Roman"/>
                <w:bCs/>
                <w:kern w:val="2"/>
                <w:szCs w:val="24"/>
                <w:vertAlign w:val="subscript"/>
              </w:rPr>
              <w:t>X</w:t>
            </w:r>
            <w:r>
              <w:rPr>
                <w:rFonts w:ascii="Times New Roman" w:hAnsi="Times New Roman" w:eastAsia="宋体" w:cs="Times New Roman"/>
                <w:bCs/>
                <w:kern w:val="2"/>
                <w:szCs w:val="24"/>
              </w:rPr>
              <w:t>等污染物，影响对象主要为施工场现场作业工人和运输路线两侧一定范围内分布的敏感点。为降低该类影响，本评价建议施工单位加强设备维修保养工作；组织好施工现场交通，避免交通阻塞，减少怠速车辆废气排放量等。基于施工机械和</w:t>
            </w:r>
            <w:r>
              <w:rPr>
                <w:rFonts w:ascii="Times New Roman" w:hAnsi="Times New Roman" w:eastAsia="宋体" w:cs="Times New Roman"/>
                <w:spacing w:val="4"/>
                <w:kern w:val="2"/>
                <w:szCs w:val="24"/>
              </w:rPr>
              <w:t>运输车辆</w:t>
            </w:r>
            <w:r>
              <w:rPr>
                <w:rFonts w:ascii="Times New Roman" w:hAnsi="Times New Roman" w:eastAsia="宋体" w:cs="Times New Roman"/>
                <w:bCs/>
                <w:kern w:val="2"/>
                <w:szCs w:val="24"/>
              </w:rPr>
              <w:t>尾气的</w:t>
            </w:r>
            <w:r>
              <w:rPr>
                <w:rFonts w:ascii="Times New Roman" w:hAnsi="Times New Roman" w:eastAsia="宋体" w:cs="Times New Roman"/>
                <w:kern w:val="2"/>
                <w:szCs w:val="24"/>
              </w:rPr>
              <w:t>局域性、间歇性等特征，经大气稀释扩散后，</w:t>
            </w:r>
            <w:r>
              <w:rPr>
                <w:rFonts w:ascii="Times New Roman" w:hAnsi="Times New Roman" w:eastAsia="宋体" w:cs="Times New Roman"/>
                <w:bCs/>
                <w:kern w:val="2"/>
                <w:szCs w:val="24"/>
              </w:rPr>
              <w:t>对区域环境不会造成明显影响。</w:t>
            </w:r>
          </w:p>
          <w:p w14:paraId="17E4CBCC">
            <w:pPr>
              <w:pStyle w:val="225"/>
              <w:ind w:firstLine="482"/>
              <w:rPr>
                <w:b/>
                <w:bCs/>
              </w:rPr>
            </w:pPr>
            <w:bookmarkStart w:id="13" w:name="_Toc533600583"/>
            <w:bookmarkStart w:id="14" w:name="_Toc529317077"/>
            <w:r>
              <w:rPr>
                <w:rFonts w:hint="eastAsia"/>
                <w:b/>
                <w:bCs/>
              </w:rPr>
              <w:t>4、</w:t>
            </w:r>
            <w:r>
              <w:rPr>
                <w:b/>
                <w:bCs/>
              </w:rPr>
              <w:t>施工期噪声影响防治措施</w:t>
            </w:r>
            <w:bookmarkEnd w:id="13"/>
            <w:bookmarkEnd w:id="14"/>
            <w:r>
              <w:rPr>
                <w:rFonts w:hint="eastAsia"/>
                <w:b/>
                <w:bCs/>
              </w:rPr>
              <w:t>及影响分析</w:t>
            </w:r>
          </w:p>
          <w:p w14:paraId="2A51F9C4">
            <w:pPr>
              <w:widowControl w:val="0"/>
              <w:spacing w:after="0" w:line="360" w:lineRule="auto"/>
              <w:ind w:firstLine="480" w:firstLineChars="200"/>
              <w:jc w:val="both"/>
              <w:rPr>
                <w:rFonts w:ascii="Times New Roman" w:hAnsi="Times New Roman" w:eastAsia="宋体" w:cs="Times New Roman"/>
                <w:color w:val="000000"/>
                <w:kern w:val="2"/>
                <w:szCs w:val="24"/>
              </w:rPr>
            </w:pPr>
            <w:r>
              <w:rPr>
                <w:rFonts w:ascii="Times New Roman" w:hAnsi="Times New Roman" w:eastAsia="宋体" w:cs="Times New Roman"/>
                <w:color w:val="000000"/>
                <w:kern w:val="2"/>
                <w:szCs w:val="24"/>
              </w:rPr>
              <w:t>项目施工期间的噪声源主要是各种施工机械的声级值，施工设备噪声值依据福建省环保局闽环保总队【2006】4 号文中“福建省建筑施工噪声类比监测数据一览表（试行）”中相关数据，详见表 4.</w:t>
            </w:r>
            <w:r>
              <w:rPr>
                <w:rFonts w:hint="eastAsia" w:ascii="Times New Roman" w:hAnsi="Times New Roman" w:eastAsia="宋体" w:cs="Times New Roman"/>
                <w:color w:val="000000"/>
                <w:kern w:val="2"/>
                <w:szCs w:val="24"/>
              </w:rPr>
              <w:t>1</w:t>
            </w:r>
            <w:r>
              <w:rPr>
                <w:rFonts w:ascii="Times New Roman" w:hAnsi="Times New Roman" w:eastAsia="宋体" w:cs="Times New Roman"/>
                <w:color w:val="000000"/>
                <w:kern w:val="2"/>
                <w:szCs w:val="24"/>
              </w:rPr>
              <w:t>-2。</w:t>
            </w:r>
          </w:p>
          <w:p w14:paraId="4B039885">
            <w:pPr>
              <w:pStyle w:val="222"/>
              <w:spacing w:before="120"/>
            </w:pPr>
            <w:r>
              <w:t>表4.</w:t>
            </w:r>
            <w:r>
              <w:rPr>
                <w:rFonts w:hint="eastAsia"/>
              </w:rPr>
              <w:t>1</w:t>
            </w:r>
            <w:r>
              <w:t>-2  项目施工机械噪声声源源强</w:t>
            </w:r>
          </w:p>
          <w:tbl>
            <w:tblPr>
              <w:tblStyle w:val="37"/>
              <w:tblW w:w="86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846"/>
              <w:gridCol w:w="2148"/>
              <w:gridCol w:w="1792"/>
              <w:gridCol w:w="1313"/>
            </w:tblGrid>
            <w:tr w14:paraId="6FE84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shd w:val="clear" w:color="auto" w:fill="auto"/>
                  <w:vAlign w:val="center"/>
                </w:tcPr>
                <w:p w14:paraId="0B472FD2">
                  <w:pPr>
                    <w:widowControl w:val="0"/>
                    <w:autoSpaceDE w:val="0"/>
                    <w:autoSpaceDN w:val="0"/>
                    <w:spacing w:after="0" w:line="240" w:lineRule="auto"/>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工程阶段</w:t>
                  </w:r>
                </w:p>
              </w:tc>
              <w:tc>
                <w:tcPr>
                  <w:tcW w:w="1846" w:type="dxa"/>
                  <w:shd w:val="clear" w:color="auto" w:fill="auto"/>
                  <w:vAlign w:val="center"/>
                </w:tcPr>
                <w:p w14:paraId="10320B1B">
                  <w:pPr>
                    <w:widowControl w:val="0"/>
                    <w:autoSpaceDE w:val="0"/>
                    <w:autoSpaceDN w:val="0"/>
                    <w:spacing w:after="0" w:line="240" w:lineRule="auto"/>
                    <w:jc w:val="center"/>
                    <w:rPr>
                      <w:rFonts w:ascii="Times New Roman" w:hAnsi="Times New Roman" w:eastAsia="宋体" w:cs="Times New Roman"/>
                      <w:sz w:val="21"/>
                      <w:szCs w:val="21"/>
                      <w:lang w:eastAsia="en-US"/>
                    </w:rPr>
                  </w:pPr>
                  <w:r>
                    <w:rPr>
                      <w:rFonts w:ascii="Times New Roman" w:hAnsi="Times New Roman" w:eastAsia="宋体" w:cs="Times New Roman"/>
                      <w:sz w:val="21"/>
                      <w:szCs w:val="21"/>
                      <w:lang w:eastAsia="en-US"/>
                    </w:rPr>
                    <w:t>施工设备</w:t>
                  </w:r>
                </w:p>
              </w:tc>
              <w:tc>
                <w:tcPr>
                  <w:tcW w:w="2148" w:type="dxa"/>
                  <w:shd w:val="clear" w:color="auto" w:fill="auto"/>
                  <w:vAlign w:val="center"/>
                </w:tcPr>
                <w:p w14:paraId="50C655F8">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测点与设备距离（m）</w:t>
                  </w:r>
                </w:p>
              </w:tc>
              <w:tc>
                <w:tcPr>
                  <w:tcW w:w="1792" w:type="dxa"/>
                  <w:shd w:val="clear" w:color="auto" w:fill="auto"/>
                  <w:vAlign w:val="center"/>
                </w:tcPr>
                <w:p w14:paraId="6AB191BA">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近场声级dB（A）</w:t>
                  </w:r>
                </w:p>
              </w:tc>
              <w:tc>
                <w:tcPr>
                  <w:tcW w:w="1313" w:type="dxa"/>
                  <w:shd w:val="clear" w:color="auto" w:fill="auto"/>
                  <w:vAlign w:val="center"/>
                </w:tcPr>
                <w:p w14:paraId="57D360AB">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联合声级</w:t>
                  </w:r>
                </w:p>
              </w:tc>
            </w:tr>
            <w:tr w14:paraId="28854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vMerge w:val="restart"/>
                  <w:shd w:val="clear" w:color="auto" w:fill="auto"/>
                  <w:vAlign w:val="center"/>
                </w:tcPr>
                <w:p w14:paraId="56A740E1">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结构施工浇筑阶段</w:t>
                  </w:r>
                </w:p>
              </w:tc>
              <w:tc>
                <w:tcPr>
                  <w:tcW w:w="1846" w:type="dxa"/>
                  <w:shd w:val="clear" w:color="auto" w:fill="auto"/>
                  <w:vAlign w:val="center"/>
                </w:tcPr>
                <w:p w14:paraId="756A2684">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搅拌机</w:t>
                  </w:r>
                </w:p>
              </w:tc>
              <w:tc>
                <w:tcPr>
                  <w:tcW w:w="2148" w:type="dxa"/>
                  <w:shd w:val="clear" w:color="auto" w:fill="auto"/>
                  <w:vAlign w:val="center"/>
                </w:tcPr>
                <w:p w14:paraId="4F7EAA2D">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792" w:type="dxa"/>
                  <w:shd w:val="clear" w:color="auto" w:fill="auto"/>
                  <w:vAlign w:val="center"/>
                </w:tcPr>
                <w:p w14:paraId="5001BC93">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78</w:t>
                  </w:r>
                </w:p>
              </w:tc>
              <w:tc>
                <w:tcPr>
                  <w:tcW w:w="1313" w:type="dxa"/>
                  <w:vMerge w:val="restart"/>
                  <w:shd w:val="clear" w:color="auto" w:fill="auto"/>
                  <w:vAlign w:val="center"/>
                </w:tcPr>
                <w:p w14:paraId="1735E792">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83.5</w:t>
                  </w:r>
                </w:p>
              </w:tc>
            </w:tr>
            <w:tr w14:paraId="28C76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vMerge w:val="continue"/>
                  <w:shd w:val="clear" w:color="auto" w:fill="auto"/>
                  <w:vAlign w:val="center"/>
                </w:tcPr>
                <w:p w14:paraId="79789AC8">
                  <w:pPr>
                    <w:widowControl w:val="0"/>
                    <w:autoSpaceDE w:val="0"/>
                    <w:autoSpaceDN w:val="0"/>
                    <w:spacing w:after="0" w:line="240" w:lineRule="auto"/>
                    <w:jc w:val="center"/>
                    <w:rPr>
                      <w:rFonts w:ascii="Times New Roman" w:hAnsi="Times New Roman" w:eastAsia="宋体" w:cs="Times New Roman"/>
                      <w:sz w:val="21"/>
                      <w:szCs w:val="21"/>
                    </w:rPr>
                  </w:pPr>
                </w:p>
              </w:tc>
              <w:tc>
                <w:tcPr>
                  <w:tcW w:w="1846" w:type="dxa"/>
                  <w:shd w:val="clear" w:color="auto" w:fill="auto"/>
                  <w:vAlign w:val="center"/>
                </w:tcPr>
                <w:p w14:paraId="008CC5FC">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起重机</w:t>
                  </w:r>
                </w:p>
              </w:tc>
              <w:tc>
                <w:tcPr>
                  <w:tcW w:w="2148" w:type="dxa"/>
                  <w:shd w:val="clear" w:color="auto" w:fill="auto"/>
                  <w:vAlign w:val="center"/>
                </w:tcPr>
                <w:p w14:paraId="6719811B">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792" w:type="dxa"/>
                  <w:shd w:val="clear" w:color="auto" w:fill="auto"/>
                  <w:vAlign w:val="center"/>
                </w:tcPr>
                <w:p w14:paraId="22375F08">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80</w:t>
                  </w:r>
                </w:p>
              </w:tc>
              <w:tc>
                <w:tcPr>
                  <w:tcW w:w="1313" w:type="dxa"/>
                  <w:vMerge w:val="continue"/>
                  <w:shd w:val="clear" w:color="auto" w:fill="auto"/>
                  <w:vAlign w:val="center"/>
                </w:tcPr>
                <w:p w14:paraId="4F6EBE12">
                  <w:pPr>
                    <w:widowControl w:val="0"/>
                    <w:autoSpaceDE w:val="0"/>
                    <w:autoSpaceDN w:val="0"/>
                    <w:spacing w:after="0" w:line="240" w:lineRule="auto"/>
                    <w:jc w:val="center"/>
                    <w:rPr>
                      <w:rFonts w:ascii="Times New Roman" w:hAnsi="Times New Roman" w:eastAsia="宋体" w:cs="Times New Roman"/>
                      <w:sz w:val="21"/>
                      <w:szCs w:val="21"/>
                    </w:rPr>
                  </w:pPr>
                </w:p>
              </w:tc>
            </w:tr>
            <w:tr w14:paraId="6E85D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vMerge w:val="continue"/>
                  <w:shd w:val="clear" w:color="auto" w:fill="auto"/>
                  <w:vAlign w:val="center"/>
                </w:tcPr>
                <w:p w14:paraId="2789DAAA">
                  <w:pPr>
                    <w:widowControl w:val="0"/>
                    <w:autoSpaceDE w:val="0"/>
                    <w:autoSpaceDN w:val="0"/>
                    <w:spacing w:after="0" w:line="240" w:lineRule="auto"/>
                    <w:jc w:val="center"/>
                    <w:rPr>
                      <w:rFonts w:ascii="Times New Roman" w:hAnsi="Times New Roman" w:eastAsia="宋体" w:cs="Times New Roman"/>
                      <w:sz w:val="21"/>
                      <w:szCs w:val="21"/>
                    </w:rPr>
                  </w:pPr>
                </w:p>
              </w:tc>
              <w:tc>
                <w:tcPr>
                  <w:tcW w:w="1846" w:type="dxa"/>
                  <w:shd w:val="clear" w:color="auto" w:fill="auto"/>
                  <w:vAlign w:val="center"/>
                </w:tcPr>
                <w:p w14:paraId="5FE197D6">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振动机</w:t>
                  </w:r>
                </w:p>
              </w:tc>
              <w:tc>
                <w:tcPr>
                  <w:tcW w:w="2148" w:type="dxa"/>
                  <w:shd w:val="clear" w:color="auto" w:fill="auto"/>
                  <w:vAlign w:val="center"/>
                </w:tcPr>
                <w:p w14:paraId="69FADAFA">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792" w:type="dxa"/>
                  <w:shd w:val="clear" w:color="auto" w:fill="auto"/>
                  <w:vAlign w:val="center"/>
                </w:tcPr>
                <w:p w14:paraId="1C9DE73F">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78</w:t>
                  </w:r>
                </w:p>
              </w:tc>
              <w:tc>
                <w:tcPr>
                  <w:tcW w:w="1313" w:type="dxa"/>
                  <w:vMerge w:val="continue"/>
                  <w:shd w:val="clear" w:color="auto" w:fill="auto"/>
                  <w:vAlign w:val="center"/>
                </w:tcPr>
                <w:p w14:paraId="02C64A3E">
                  <w:pPr>
                    <w:widowControl w:val="0"/>
                    <w:autoSpaceDE w:val="0"/>
                    <w:autoSpaceDN w:val="0"/>
                    <w:spacing w:after="0" w:line="240" w:lineRule="auto"/>
                    <w:jc w:val="center"/>
                    <w:rPr>
                      <w:rFonts w:ascii="Times New Roman" w:hAnsi="Times New Roman" w:eastAsia="宋体" w:cs="Times New Roman"/>
                      <w:sz w:val="21"/>
                      <w:szCs w:val="21"/>
                    </w:rPr>
                  </w:pPr>
                </w:p>
              </w:tc>
            </w:tr>
            <w:tr w14:paraId="17892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vMerge w:val="restart"/>
                  <w:shd w:val="clear" w:color="auto" w:fill="auto"/>
                  <w:vAlign w:val="center"/>
                </w:tcPr>
                <w:p w14:paraId="6854073B">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装修工程</w:t>
                  </w:r>
                </w:p>
              </w:tc>
              <w:tc>
                <w:tcPr>
                  <w:tcW w:w="1846" w:type="dxa"/>
                  <w:shd w:val="clear" w:color="auto" w:fill="auto"/>
                  <w:vAlign w:val="center"/>
                </w:tcPr>
                <w:p w14:paraId="346B3A1D">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拉直切断机</w:t>
                  </w:r>
                </w:p>
              </w:tc>
              <w:tc>
                <w:tcPr>
                  <w:tcW w:w="2148" w:type="dxa"/>
                  <w:shd w:val="clear" w:color="auto" w:fill="auto"/>
                  <w:vAlign w:val="center"/>
                </w:tcPr>
                <w:p w14:paraId="14A70903">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792" w:type="dxa"/>
                  <w:shd w:val="clear" w:color="auto" w:fill="auto"/>
                  <w:vAlign w:val="center"/>
                </w:tcPr>
                <w:p w14:paraId="0C6163EB">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78</w:t>
                  </w:r>
                </w:p>
              </w:tc>
              <w:tc>
                <w:tcPr>
                  <w:tcW w:w="1313" w:type="dxa"/>
                  <w:vMerge w:val="restart"/>
                  <w:shd w:val="clear" w:color="auto" w:fill="auto"/>
                  <w:vAlign w:val="center"/>
                </w:tcPr>
                <w:p w14:paraId="5955DAD2">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82.8</w:t>
                  </w:r>
                </w:p>
              </w:tc>
            </w:tr>
            <w:tr w14:paraId="32EC0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8" w:type="dxa"/>
                  <w:vMerge w:val="continue"/>
                  <w:shd w:val="clear" w:color="auto" w:fill="auto"/>
                  <w:vAlign w:val="center"/>
                </w:tcPr>
                <w:p w14:paraId="4F161E7E">
                  <w:pPr>
                    <w:widowControl w:val="0"/>
                    <w:autoSpaceDE w:val="0"/>
                    <w:autoSpaceDN w:val="0"/>
                    <w:spacing w:after="0" w:line="240" w:lineRule="auto"/>
                    <w:jc w:val="center"/>
                    <w:rPr>
                      <w:rFonts w:ascii="Times New Roman" w:hAnsi="Times New Roman" w:eastAsia="宋体" w:cs="Times New Roman"/>
                      <w:sz w:val="21"/>
                      <w:szCs w:val="21"/>
                    </w:rPr>
                  </w:pPr>
                </w:p>
              </w:tc>
              <w:tc>
                <w:tcPr>
                  <w:tcW w:w="1846" w:type="dxa"/>
                  <w:shd w:val="clear" w:color="auto" w:fill="auto"/>
                  <w:vAlign w:val="center"/>
                </w:tcPr>
                <w:p w14:paraId="04C727E4">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冲击钻</w:t>
                  </w:r>
                </w:p>
              </w:tc>
              <w:tc>
                <w:tcPr>
                  <w:tcW w:w="2148" w:type="dxa"/>
                  <w:shd w:val="clear" w:color="auto" w:fill="auto"/>
                  <w:vAlign w:val="center"/>
                </w:tcPr>
                <w:p w14:paraId="324942F0">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792" w:type="dxa"/>
                  <w:shd w:val="clear" w:color="auto" w:fill="auto"/>
                  <w:vAlign w:val="center"/>
                </w:tcPr>
                <w:p w14:paraId="359503E0">
                  <w:pPr>
                    <w:widowControl w:val="0"/>
                    <w:autoSpaceDE w:val="0"/>
                    <w:autoSpaceDN w:val="0"/>
                    <w:spacing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81</w:t>
                  </w:r>
                </w:p>
              </w:tc>
              <w:tc>
                <w:tcPr>
                  <w:tcW w:w="1313" w:type="dxa"/>
                  <w:vMerge w:val="continue"/>
                  <w:shd w:val="clear" w:color="auto" w:fill="auto"/>
                  <w:vAlign w:val="center"/>
                </w:tcPr>
                <w:p w14:paraId="18471C68">
                  <w:pPr>
                    <w:widowControl w:val="0"/>
                    <w:spacing w:after="0" w:line="360" w:lineRule="auto"/>
                    <w:ind w:firstLine="420" w:firstLineChars="200"/>
                    <w:jc w:val="center"/>
                    <w:rPr>
                      <w:rFonts w:ascii="Times New Roman" w:hAnsi="Times New Roman" w:eastAsia="宋体" w:cs="Times New Roman"/>
                      <w:kern w:val="2"/>
                      <w:sz w:val="21"/>
                      <w:szCs w:val="21"/>
                    </w:rPr>
                  </w:pPr>
                </w:p>
              </w:tc>
            </w:tr>
          </w:tbl>
          <w:p w14:paraId="1849E7FB">
            <w:pPr>
              <w:widowControl w:val="0"/>
              <w:spacing w:before="120" w:beforeLines="50" w:after="0" w:line="360" w:lineRule="auto"/>
              <w:ind w:firstLine="480" w:firstLineChars="200"/>
              <w:jc w:val="both"/>
              <w:rPr>
                <w:rFonts w:ascii="Times New Roman" w:hAnsi="Times New Roman" w:eastAsia="宋体" w:cs="Times New Roman"/>
                <w:color w:val="000000"/>
                <w:kern w:val="2"/>
                <w:szCs w:val="24"/>
              </w:rPr>
            </w:pPr>
            <w:r>
              <w:rPr>
                <w:rFonts w:ascii="Times New Roman" w:hAnsi="Times New Roman" w:eastAsia="宋体" w:cs="Times New Roman"/>
                <w:color w:val="000000"/>
                <w:kern w:val="2"/>
                <w:szCs w:val="24"/>
              </w:rPr>
              <w:t>根据《</w:t>
            </w:r>
            <w:r>
              <w:rPr>
                <w:rFonts w:hint="eastAsia" w:ascii="Times New Roman" w:hAnsi="Times New Roman" w:eastAsia="宋体" w:cs="Times New Roman"/>
                <w:color w:val="000000"/>
                <w:kern w:val="2"/>
                <w:szCs w:val="24"/>
              </w:rPr>
              <w:t>福建省生态环境保护条例</w:t>
            </w:r>
            <w:r>
              <w:rPr>
                <w:rFonts w:ascii="Times New Roman" w:hAnsi="Times New Roman" w:eastAsia="宋体" w:cs="Times New Roman"/>
                <w:color w:val="000000"/>
                <w:kern w:val="2"/>
                <w:szCs w:val="24"/>
              </w:rPr>
              <w:t>》相关规定，禁止夜间在（22:00～次日 6:00）和午间（12:00～14:30）从事噪声、振动超标的建筑施工等活动。本项目施工应遵守以上条例规定，如需要连续作业或者特殊需要，明确要在 22:00～ 次日 6:00 时进行施工的，建设单位和施工单位应必须报经当地环境保护主管部门批准，并予以公告。</w:t>
            </w:r>
          </w:p>
          <w:p w14:paraId="74DED6B0">
            <w:pPr>
              <w:widowControl w:val="0"/>
              <w:spacing w:after="0" w:line="360" w:lineRule="auto"/>
              <w:ind w:firstLine="480" w:firstLineChars="200"/>
              <w:jc w:val="both"/>
              <w:rPr>
                <w:rFonts w:ascii="Times New Roman" w:hAnsi="Times New Roman" w:eastAsia="宋体" w:cs="Times New Roman"/>
                <w:color w:val="000000"/>
                <w:kern w:val="2"/>
                <w:szCs w:val="24"/>
              </w:rPr>
            </w:pPr>
            <w:r>
              <w:rPr>
                <w:rFonts w:ascii="Times New Roman" w:hAnsi="Times New Roman" w:eastAsia="宋体" w:cs="Times New Roman"/>
                <w:color w:val="000000"/>
                <w:kern w:val="2"/>
                <w:szCs w:val="24"/>
              </w:rPr>
              <w:t>尽量根据施工场地的特点，布置施工机械，使机械设备噪声远离并避免直对敏感目标。建议在施工周围设置简易的声屏障。可使施工场地噪声降低10dB 左右，另外应禁止在夜间施工，最大程度减小噪声对周边居民生活的影响。项目在施工时尽可能采用低噪声施工机械设备，并对施工设备做隔声减震措施：设备选型上尽量采用低噪声设备，如振捣器采用高频振捣器等。</w:t>
            </w:r>
          </w:p>
          <w:p w14:paraId="4AAC83C9">
            <w:pPr>
              <w:widowControl w:val="0"/>
              <w:spacing w:after="0" w:line="360" w:lineRule="auto"/>
              <w:ind w:firstLine="480" w:firstLineChars="200"/>
              <w:jc w:val="both"/>
              <w:rPr>
                <w:rFonts w:ascii="Times New Roman" w:hAnsi="Times New Roman" w:eastAsia="宋体" w:cs="Times New Roman"/>
                <w:color w:val="000000"/>
                <w:kern w:val="2"/>
                <w:szCs w:val="24"/>
              </w:rPr>
            </w:pPr>
            <w:r>
              <w:rPr>
                <w:rFonts w:ascii="Times New Roman" w:hAnsi="Times New Roman" w:eastAsia="宋体" w:cs="Times New Roman"/>
                <w:color w:val="000000"/>
                <w:kern w:val="2"/>
                <w:szCs w:val="24"/>
              </w:rPr>
              <w:t>项目采取上述相应措施后，厂界噪声能符合《建筑施工场界环境噪声排放标准》（GB12523-2011）的相关标准要求。</w:t>
            </w:r>
          </w:p>
          <w:p w14:paraId="2C34BC42">
            <w:pPr>
              <w:pStyle w:val="225"/>
              <w:ind w:firstLine="482"/>
              <w:rPr>
                <w:b/>
                <w:bCs/>
              </w:rPr>
            </w:pPr>
            <w:bookmarkStart w:id="15" w:name="_Toc533600584"/>
            <w:bookmarkStart w:id="16" w:name="_Toc529317078"/>
            <w:r>
              <w:rPr>
                <w:rFonts w:hint="eastAsia"/>
                <w:b/>
                <w:bCs/>
              </w:rPr>
              <w:t>5、</w:t>
            </w:r>
            <w:r>
              <w:rPr>
                <w:b/>
                <w:bCs/>
              </w:rPr>
              <w:t>施工期固体废物处置措施</w:t>
            </w:r>
            <w:bookmarkEnd w:id="15"/>
            <w:bookmarkEnd w:id="16"/>
            <w:r>
              <w:rPr>
                <w:rFonts w:hint="eastAsia"/>
                <w:b/>
                <w:bCs/>
              </w:rPr>
              <w:t>及影响分析</w:t>
            </w:r>
          </w:p>
          <w:p w14:paraId="57327397">
            <w:pPr>
              <w:widowControl w:val="0"/>
              <w:tabs>
                <w:tab w:val="left" w:pos="720"/>
              </w:tabs>
              <w:adjustRightInd w:val="0"/>
              <w:snapToGrid w:val="0"/>
              <w:spacing w:after="0" w:line="360" w:lineRule="auto"/>
              <w:ind w:firstLine="480" w:firstLineChars="200"/>
              <w:rPr>
                <w:rFonts w:ascii="Times New Roman" w:hAnsi="Times New Roman" w:eastAsia="宋体" w:cs="Times New Roman"/>
                <w:kern w:val="2"/>
                <w:szCs w:val="24"/>
              </w:rPr>
            </w:pPr>
            <w:r>
              <w:rPr>
                <w:rFonts w:ascii="Times New Roman" w:hAnsi="Times New Roman" w:eastAsia="宋体" w:cs="Times New Roman"/>
                <w:kern w:val="2"/>
                <w:szCs w:val="24"/>
              </w:rPr>
              <w:t>施工期固废主要是建筑垃圾和施工人员生活垃圾。</w:t>
            </w:r>
          </w:p>
          <w:p w14:paraId="02585CD9">
            <w:pPr>
              <w:widowControl w:val="0"/>
              <w:tabs>
                <w:tab w:val="left" w:pos="720"/>
              </w:tabs>
              <w:adjustRightInd w:val="0"/>
              <w:snapToGrid w:val="0"/>
              <w:spacing w:after="0" w:line="360" w:lineRule="auto"/>
              <w:ind w:firstLine="480" w:firstLineChars="200"/>
              <w:rPr>
                <w:rFonts w:ascii="Times New Roman" w:hAnsi="Times New Roman" w:eastAsia="宋体" w:cs="Times New Roman"/>
                <w:kern w:val="2"/>
                <w:szCs w:val="24"/>
              </w:rPr>
            </w:pPr>
            <w:r>
              <w:rPr>
                <w:rFonts w:ascii="Times New Roman" w:hAnsi="Times New Roman" w:eastAsia="宋体" w:cs="Times New Roman"/>
                <w:kern w:val="2"/>
                <w:szCs w:val="24"/>
              </w:rPr>
              <w:t>（</w:t>
            </w:r>
            <w:r>
              <w:rPr>
                <w:rFonts w:hint="eastAsia" w:ascii="Times New Roman" w:hAnsi="Times New Roman" w:eastAsia="宋体" w:cs="Times New Roman"/>
                <w:kern w:val="2"/>
                <w:szCs w:val="24"/>
              </w:rPr>
              <w:t>1</w:t>
            </w:r>
            <w:r>
              <w:rPr>
                <w:rFonts w:ascii="Times New Roman" w:hAnsi="Times New Roman" w:eastAsia="宋体" w:cs="Times New Roman"/>
                <w:kern w:val="2"/>
                <w:szCs w:val="24"/>
              </w:rPr>
              <w:t>）施工建筑垃圾：施工期建筑垃圾来自于建施工过程中产生的废砖、废瓷砖、废木料、废砼、废钢筋等及完工剩余的渣土、砂石等。有资料显示，不同结构形式的建筑其施工垃圾产生量在40~200kg/m</w:t>
            </w:r>
            <w:r>
              <w:rPr>
                <w:rFonts w:ascii="Times New Roman" w:hAnsi="Times New Roman" w:eastAsia="宋体" w:cs="Times New Roman"/>
                <w:kern w:val="2"/>
                <w:szCs w:val="24"/>
                <w:vertAlign w:val="superscript"/>
              </w:rPr>
              <w:t>2</w:t>
            </w:r>
            <w:r>
              <w:rPr>
                <w:rFonts w:ascii="Times New Roman" w:hAnsi="Times New Roman" w:eastAsia="宋体" w:cs="Times New Roman"/>
                <w:kern w:val="2"/>
                <w:szCs w:val="24"/>
              </w:rPr>
              <w:t>（建筑面积）之间。</w:t>
            </w:r>
          </w:p>
          <w:p w14:paraId="6283C027">
            <w:pPr>
              <w:widowControl w:val="0"/>
              <w:tabs>
                <w:tab w:val="left" w:pos="720"/>
              </w:tabs>
              <w:adjustRightInd w:val="0"/>
              <w:snapToGrid w:val="0"/>
              <w:spacing w:after="0" w:line="360" w:lineRule="auto"/>
              <w:ind w:firstLine="480" w:firstLineChars="200"/>
              <w:rPr>
                <w:rFonts w:ascii="Times New Roman" w:hAnsi="Times New Roman" w:eastAsia="宋体" w:cs="Times New Roman"/>
                <w:kern w:val="2"/>
                <w:szCs w:val="24"/>
              </w:rPr>
            </w:pPr>
            <w:r>
              <w:rPr>
                <w:rFonts w:ascii="Times New Roman" w:hAnsi="Times New Roman" w:eastAsia="宋体" w:cs="Times New Roman"/>
                <w:kern w:val="2"/>
                <w:szCs w:val="24"/>
              </w:rPr>
              <w:t>建筑垃圾中无毒的废碴土、废砖头等，可利用填地；对建筑废料进行分类处置，如废钢筋、废门窗、砖块等可由废物回收公司加以回收利用；没有利用价值的建筑废料，必须及时清运场外妥善处置。建筑垃圾及渣土数量较大，应统一规划安排，指定专人负责这项工作，应分门别类，场内临时堆放时应有序，避免过分占道，影响交通；严禁随意倾倒堆放，更不允许将垃圾置于周边居民楼附近。</w:t>
            </w:r>
          </w:p>
          <w:p w14:paraId="1466117D">
            <w:pPr>
              <w:widowControl w:val="0"/>
              <w:tabs>
                <w:tab w:val="left" w:pos="720"/>
              </w:tabs>
              <w:adjustRightInd w:val="0"/>
              <w:snapToGrid w:val="0"/>
              <w:spacing w:after="0" w:line="360" w:lineRule="auto"/>
              <w:ind w:firstLine="480" w:firstLineChars="200"/>
              <w:rPr>
                <w:rFonts w:ascii="Times New Roman" w:hAnsi="Times New Roman" w:eastAsia="宋体" w:cs="Times New Roman"/>
                <w:kern w:val="2"/>
                <w:szCs w:val="24"/>
              </w:rPr>
            </w:pPr>
            <w:r>
              <w:rPr>
                <w:rFonts w:ascii="Times New Roman" w:hAnsi="Times New Roman" w:eastAsia="宋体" w:cs="Times New Roman"/>
                <w:kern w:val="2"/>
                <w:szCs w:val="24"/>
              </w:rPr>
              <w:t>（</w:t>
            </w:r>
            <w:r>
              <w:rPr>
                <w:rFonts w:hint="eastAsia" w:ascii="Times New Roman" w:hAnsi="Times New Roman" w:eastAsia="宋体" w:cs="Times New Roman"/>
                <w:kern w:val="2"/>
                <w:szCs w:val="24"/>
              </w:rPr>
              <w:t>2</w:t>
            </w:r>
            <w:r>
              <w:rPr>
                <w:rFonts w:ascii="Times New Roman" w:hAnsi="Times New Roman" w:eastAsia="宋体" w:cs="Times New Roman"/>
                <w:kern w:val="2"/>
                <w:szCs w:val="24"/>
              </w:rPr>
              <w:t>）生活垃圾：施工期每天施工人数约30人，生活垃圾按0.5kg/人</w:t>
            </w:r>
            <w:r>
              <w:rPr>
                <w:rFonts w:hint="eastAsia" w:ascii="Times New Roman" w:hAnsi="Times New Roman" w:eastAsia="宋体" w:cs="Times New Roman"/>
                <w:kern w:val="2"/>
                <w:szCs w:val="24"/>
              </w:rPr>
              <w:t>·</w:t>
            </w:r>
            <w:r>
              <w:rPr>
                <w:rFonts w:ascii="Times New Roman" w:hAnsi="Times New Roman" w:eastAsia="宋体" w:cs="Times New Roman"/>
                <w:kern w:val="2"/>
                <w:szCs w:val="24"/>
              </w:rPr>
              <w:t>天计算，则产生的生活垃圾为15kg/d。主要成份有菜帮、果皮、食物残渣、废塑料袋、塑料快餐盒等。</w:t>
            </w:r>
          </w:p>
          <w:p w14:paraId="30ACB1C4">
            <w:pPr>
              <w:widowControl w:val="0"/>
              <w:topLinePunct/>
              <w:spacing w:after="0" w:line="360" w:lineRule="auto"/>
              <w:ind w:firstLine="480" w:firstLineChars="200"/>
              <w:jc w:val="both"/>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kern w:val="2"/>
                <w:szCs w:val="24"/>
              </w:rPr>
              <w:t>生活垃圾应集中收集，及时清运出场，由环卫部门处理。</w:t>
            </w:r>
          </w:p>
        </w:tc>
      </w:tr>
      <w:tr w14:paraId="6CC3B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1" w:hRule="atLeast"/>
          <w:jc w:val="center"/>
        </w:trPr>
        <w:tc>
          <w:tcPr>
            <w:tcW w:w="296" w:type="dxa"/>
            <w:tcMar>
              <w:left w:w="28" w:type="dxa"/>
              <w:right w:w="28" w:type="dxa"/>
            </w:tcMar>
            <w:vAlign w:val="center"/>
          </w:tcPr>
          <w:p w14:paraId="3CD2907E">
            <w:pPr>
              <w:widowControl w:val="0"/>
              <w:topLinePunct/>
              <w:adjustRightInd w:val="0"/>
              <w:snapToGrid w:val="0"/>
              <w:spacing w:after="0" w:line="240" w:lineRule="auto"/>
              <w:jc w:val="center"/>
              <w:rPr>
                <w:rFonts w:ascii="Times New Roman" w:hAnsi="Times New Roman" w:eastAsia="宋体" w:cs="Times New Roman"/>
                <w:bCs/>
                <w:color w:val="000000" w:themeColor="text1"/>
                <w:szCs w:val="24"/>
                <w14:textFill>
                  <w14:solidFill>
                    <w14:schemeClr w14:val="tx1"/>
                  </w14:solidFill>
                </w14:textFill>
              </w:rPr>
            </w:pPr>
            <w:r>
              <w:rPr>
                <w:rFonts w:ascii="Times New Roman" w:hAnsi="Times New Roman" w:eastAsia="宋体" w:cs="Times New Roman"/>
                <w:bCs/>
                <w:color w:val="000000" w:themeColor="text1"/>
                <w:szCs w:val="24"/>
                <w14:textFill>
                  <w14:solidFill>
                    <w14:schemeClr w14:val="tx1"/>
                  </w14:solidFill>
                </w14:textFill>
              </w:rPr>
              <w:t>运营</w:t>
            </w:r>
          </w:p>
          <w:p w14:paraId="2707D8E9">
            <w:pPr>
              <w:widowControl w:val="0"/>
              <w:topLinePunct/>
              <w:adjustRightInd w:val="0"/>
              <w:snapToGrid w:val="0"/>
              <w:spacing w:after="0" w:line="240" w:lineRule="auto"/>
              <w:jc w:val="center"/>
              <w:rPr>
                <w:rFonts w:ascii="Times New Roman" w:hAnsi="Times New Roman" w:eastAsia="宋体" w:cs="Times New Roman"/>
                <w:bCs/>
                <w:color w:val="000000" w:themeColor="text1"/>
                <w:szCs w:val="24"/>
                <w14:textFill>
                  <w14:solidFill>
                    <w14:schemeClr w14:val="tx1"/>
                  </w14:solidFill>
                </w14:textFill>
              </w:rPr>
            </w:pPr>
            <w:r>
              <w:rPr>
                <w:rFonts w:ascii="Times New Roman" w:hAnsi="Times New Roman" w:eastAsia="宋体" w:cs="Times New Roman"/>
                <w:bCs/>
                <w:color w:val="000000" w:themeColor="text1"/>
                <w:szCs w:val="24"/>
                <w14:textFill>
                  <w14:solidFill>
                    <w14:schemeClr w14:val="tx1"/>
                  </w14:solidFill>
                </w14:textFill>
              </w:rPr>
              <w:t>期环</w:t>
            </w:r>
          </w:p>
          <w:p w14:paraId="1A432947">
            <w:pPr>
              <w:widowControl w:val="0"/>
              <w:topLinePunct/>
              <w:adjustRightInd w:val="0"/>
              <w:snapToGrid w:val="0"/>
              <w:spacing w:after="0" w:line="240" w:lineRule="auto"/>
              <w:jc w:val="center"/>
              <w:rPr>
                <w:rFonts w:ascii="Times New Roman" w:hAnsi="Times New Roman" w:eastAsia="宋体" w:cs="Times New Roman"/>
                <w:bCs/>
                <w:color w:val="000000" w:themeColor="text1"/>
                <w:szCs w:val="24"/>
                <w14:textFill>
                  <w14:solidFill>
                    <w14:schemeClr w14:val="tx1"/>
                  </w14:solidFill>
                </w14:textFill>
              </w:rPr>
            </w:pPr>
            <w:r>
              <w:rPr>
                <w:rFonts w:ascii="Times New Roman" w:hAnsi="Times New Roman" w:eastAsia="宋体" w:cs="Times New Roman"/>
                <w:bCs/>
                <w:color w:val="000000" w:themeColor="text1"/>
                <w:szCs w:val="24"/>
                <w14:textFill>
                  <w14:solidFill>
                    <w14:schemeClr w14:val="tx1"/>
                  </w14:solidFill>
                </w14:textFill>
              </w:rPr>
              <w:t>境影</w:t>
            </w:r>
          </w:p>
          <w:p w14:paraId="2EDB6FD1">
            <w:pPr>
              <w:widowControl w:val="0"/>
              <w:topLinePunct/>
              <w:adjustRightInd w:val="0"/>
              <w:snapToGrid w:val="0"/>
              <w:spacing w:after="0" w:line="240" w:lineRule="auto"/>
              <w:jc w:val="center"/>
              <w:rPr>
                <w:rFonts w:ascii="Times New Roman" w:hAnsi="Times New Roman" w:eastAsia="宋体" w:cs="Times New Roman"/>
                <w:bCs/>
                <w:color w:val="000000" w:themeColor="text1"/>
                <w:szCs w:val="24"/>
                <w14:textFill>
                  <w14:solidFill>
                    <w14:schemeClr w14:val="tx1"/>
                  </w14:solidFill>
                </w14:textFill>
              </w:rPr>
            </w:pPr>
            <w:r>
              <w:rPr>
                <w:rFonts w:ascii="Times New Roman" w:hAnsi="Times New Roman" w:eastAsia="宋体" w:cs="Times New Roman"/>
                <w:bCs/>
                <w:color w:val="000000" w:themeColor="text1"/>
                <w:szCs w:val="24"/>
                <w14:textFill>
                  <w14:solidFill>
                    <w14:schemeClr w14:val="tx1"/>
                  </w14:solidFill>
                </w14:textFill>
              </w:rPr>
              <w:t>响和</w:t>
            </w:r>
          </w:p>
          <w:p w14:paraId="0D5340D2">
            <w:pPr>
              <w:widowControl w:val="0"/>
              <w:topLinePunct/>
              <w:adjustRightInd w:val="0"/>
              <w:snapToGrid w:val="0"/>
              <w:spacing w:after="0" w:line="240" w:lineRule="auto"/>
              <w:jc w:val="center"/>
              <w:rPr>
                <w:rFonts w:ascii="Times New Roman" w:hAnsi="Times New Roman" w:eastAsia="宋体" w:cs="Times New Roman"/>
                <w:bCs/>
                <w:color w:val="000000" w:themeColor="text1"/>
                <w:szCs w:val="24"/>
                <w14:textFill>
                  <w14:solidFill>
                    <w14:schemeClr w14:val="tx1"/>
                  </w14:solidFill>
                </w14:textFill>
              </w:rPr>
            </w:pPr>
            <w:r>
              <w:rPr>
                <w:rFonts w:ascii="Times New Roman" w:hAnsi="Times New Roman" w:eastAsia="宋体" w:cs="Times New Roman"/>
                <w:bCs/>
                <w:color w:val="000000" w:themeColor="text1"/>
                <w:szCs w:val="24"/>
                <w14:textFill>
                  <w14:solidFill>
                    <w14:schemeClr w14:val="tx1"/>
                  </w14:solidFill>
                </w14:textFill>
              </w:rPr>
              <w:t>保护</w:t>
            </w:r>
          </w:p>
          <w:p w14:paraId="6ABD8203">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Cs w:val="24"/>
                <w14:textFill>
                  <w14:solidFill>
                    <w14:schemeClr w14:val="tx1"/>
                  </w14:solidFill>
                </w14:textFill>
              </w:rPr>
              <w:t>措施</w:t>
            </w:r>
          </w:p>
        </w:tc>
        <w:tc>
          <w:tcPr>
            <w:tcW w:w="8913" w:type="dxa"/>
            <w:vAlign w:val="center"/>
          </w:tcPr>
          <w:p w14:paraId="512700D9">
            <w:pPr>
              <w:widowControl w:val="0"/>
              <w:topLinePunct/>
              <w:spacing w:after="0" w:line="360" w:lineRule="auto"/>
              <w:jc w:val="both"/>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4.2 运营期环境影响分析</w:t>
            </w:r>
          </w:p>
          <w:p w14:paraId="485B574C">
            <w:pPr>
              <w:pStyle w:val="4"/>
              <w:keepNext w:val="0"/>
              <w:keepLines w:val="0"/>
              <w:widowControl w:val="0"/>
              <w:topLinePunct/>
              <w:spacing w:before="0" w:line="360" w:lineRule="auto"/>
              <w:jc w:val="both"/>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4.2.</w:t>
            </w:r>
            <w:r>
              <w:rPr>
                <w:rFonts w:hint="eastAsia" w:ascii="Times New Roman" w:hAnsi="Times New Roman" w:eastAsia="宋体" w:cs="Times New Roman"/>
                <w:b/>
                <w:bCs/>
                <w:color w:val="000000" w:themeColor="text1"/>
                <w14:textFill>
                  <w14:solidFill>
                    <w14:schemeClr w14:val="tx1"/>
                  </w14:solidFill>
                </w14:textFill>
              </w:rPr>
              <w:t>1</w:t>
            </w:r>
            <w:r>
              <w:rPr>
                <w:rFonts w:ascii="Times New Roman" w:hAnsi="Times New Roman" w:eastAsia="宋体" w:cs="Times New Roman"/>
                <w:b/>
                <w:bCs/>
                <w:color w:val="000000" w:themeColor="text1"/>
                <w14:textFill>
                  <w14:solidFill>
                    <w14:schemeClr w14:val="tx1"/>
                  </w14:solidFill>
                </w14:textFill>
              </w:rPr>
              <w:t xml:space="preserve"> 大气环境影响和防范措施</w:t>
            </w:r>
          </w:p>
          <w:p w14:paraId="54101100">
            <w:pPr>
              <w:widowControl w:val="0"/>
              <w:tabs>
                <w:tab w:val="left" w:pos="3420"/>
              </w:tabs>
              <w:topLinePunct/>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1、污染物产排情况分析</w:t>
            </w:r>
          </w:p>
          <w:p w14:paraId="20FC5B70">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本项目产生的废气主要为喷砂时产生的金属粉尘，以颗粒物表征。项目设置有1个喷砂房，喷砂过程废气污染源强参考《排放源统计调查产排污核算方法和系数手册》“33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铁路、船舶、航空航天等运输设备修理（不包括电镀工艺）行业系数表”中预处理环节“抛丸、喷砂、打磨”工艺颗粒物产污系数为2.19 千克/吨-原料。根据建设单位提供的资料，本项目需要进行喷砂处理的组件量约为15万件/年（折算约1.2万t/a），则喷砂过程产生的金属粉尘量为26.28t/a。</w:t>
            </w:r>
          </w:p>
          <w:p w14:paraId="061DA205">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项目喷砂房设置有除尘系统，一部分粉尘随砂料回收系统收集后并入滤筒除尘器集气干管，另一部分粉尘经喷砂房内抽尘口收集进入滤筒除尘器集气干管，两部分粉尘一同经滤筒除尘器过滤净化，最终经排气筒排放，收集的粉尘定期清理。由于喷砂产生的金属粉尘比重较大，喷砂过程中约90%的粉尘直接落入地下格栅进入丸砂分离器分离。因此，未沉降分离的金属粉尘量为2.628t/a。</w:t>
            </w:r>
          </w:p>
          <w:p w14:paraId="79408F21">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参照《大型喷砂房除尘系统的优化设计》（盛亚光，北京工业职业技术学院学报），大型涂装工场在进行喷砂作业时，其内部的通风条件为每小时换气次数 10次。项目喷砂房尺寸为8.5m×5m×6m=255m</w:t>
            </w:r>
            <w:r>
              <w:rPr>
                <w:rFonts w:hint="eastAsia" w:ascii="Times New Roman" w:hAnsi="Times New Roman" w:eastAsia="宋体" w:cs="Times New Roman"/>
                <w:color w:val="000000" w:themeColor="text1"/>
                <w:szCs w:val="24"/>
                <w:vertAlign w:val="superscript"/>
                <w14:textFill>
                  <w14:solidFill>
                    <w14:schemeClr w14:val="tx1"/>
                  </w14:solidFill>
                </w14:textFill>
              </w:rPr>
              <w:t>3</w:t>
            </w:r>
            <w:r>
              <w:rPr>
                <w:rFonts w:hint="eastAsia" w:ascii="Times New Roman" w:hAnsi="Times New Roman" w:eastAsia="宋体" w:cs="Times New Roman"/>
                <w:color w:val="000000" w:themeColor="text1"/>
                <w:szCs w:val="24"/>
                <w14:textFill>
                  <w14:solidFill>
                    <w14:schemeClr w14:val="tx1"/>
                  </w14:solidFill>
                </w14:textFill>
              </w:rPr>
              <w:t>，喷砂房的换气次数取10次/h，则喷砂房理论所需风量为2550m³/h。为满足处理风量需求，考虑车间漏风及风量管道损失等因素，以保证喷砂房能在负压状态下生产运行，喷砂房拟配套处理风量约3000m</w:t>
            </w:r>
            <w:r>
              <w:rPr>
                <w:rFonts w:hint="eastAsia" w:ascii="Times New Roman" w:hAnsi="Times New Roman" w:eastAsia="宋体" w:cs="Times New Roman"/>
                <w:color w:val="000000" w:themeColor="text1"/>
                <w:szCs w:val="24"/>
                <w:vertAlign w:val="superscript"/>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/h</w:t>
            </w:r>
            <w:r>
              <w:rPr>
                <w:rFonts w:hint="eastAsia" w:ascii="Times New Roman" w:hAnsi="Times New Roman" w:eastAsia="宋体" w:cs="Times New Roman"/>
                <w:color w:val="000000" w:themeColor="text1"/>
                <w:szCs w:val="24"/>
                <w14:textFill>
                  <w14:solidFill>
                    <w14:schemeClr w14:val="tx1"/>
                  </w14:solidFill>
                </w14:textFill>
              </w:rPr>
              <w:t>的滤筒除尘器系统。喷砂房均为单层密闭负压设置，喷砂作业完成后工件留在喷砂房内静置一段时间，待粉尘沉降后再将工件运出，喷砂废气收集效率取98%。</w:t>
            </w:r>
          </w:p>
          <w:p w14:paraId="0B5E9C74">
            <w:pPr>
              <w:shd w:val="clear" w:color="auto" w:fill="FFFFFF"/>
              <w:spacing w:after="0" w:line="360" w:lineRule="auto"/>
              <w:ind w:firstLine="480" w:firstLineChars="200"/>
              <w:rPr>
                <w:rFonts w:ascii="Times New Roman" w:hAnsi="Times New Roman" w:eastAsia="宋体" w:cs="Times New Roman"/>
                <w:color w:val="000000" w:themeColor="text1"/>
                <w:szCs w:val="24"/>
                <w:lang w:bidi="zh-CN"/>
                <w14:textFill>
                  <w14:solidFill>
                    <w14:schemeClr w14:val="tx1"/>
                  </w14:solidFill>
                </w14:textFill>
              </w:rPr>
            </w:pPr>
            <w:r>
              <w:rPr>
                <w:rFonts w:hint="eastAsia" w:ascii="Times New Roman" w:hAnsi="Times New Roman" w:eastAsia="宋体" w:cs="Times New Roman"/>
                <w:color w:val="000000" w:themeColor="text1"/>
                <w:szCs w:val="24"/>
                <w:lang w:bidi="zh-CN"/>
                <w14:textFill>
                  <w14:solidFill>
                    <w14:schemeClr w14:val="tx1"/>
                  </w14:solidFill>
                </w14:textFill>
              </w:rPr>
              <w:t>丸砂分离器采用聚酯滤筒处理，可大量减少起尘量。喷砂房收集的粉尘经滤筒除尘器处理，根据《滤筒式除尘器》（JB/T 10341-2002），滤筒式除尘器除尘效率要求为≥99.5%，本项目滤筒除尘处理效率保守按95%计。</w:t>
            </w:r>
          </w:p>
          <w:p w14:paraId="6836F4D5">
            <w:pPr>
              <w:shd w:val="clear" w:color="auto" w:fill="FFFFFF"/>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项目废气污染源产排情况汇总如下：</w:t>
            </w:r>
          </w:p>
          <w:p w14:paraId="7C84260E">
            <w:pPr>
              <w:pStyle w:val="222"/>
              <w:spacing w:before="120"/>
            </w:pPr>
            <w:r>
              <w:rPr>
                <w:rFonts w:hint="eastAsia"/>
              </w:rPr>
              <w:t>表4.2-1  废气污染物产排情况汇总一览表</w:t>
            </w:r>
          </w:p>
          <w:tbl>
            <w:tblPr>
              <w:tblStyle w:val="37"/>
              <w:tblW w:w="869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2"/>
              <w:gridCol w:w="1012"/>
              <w:gridCol w:w="760"/>
              <w:gridCol w:w="846"/>
              <w:gridCol w:w="846"/>
              <w:gridCol w:w="1104"/>
              <w:gridCol w:w="846"/>
              <w:gridCol w:w="846"/>
              <w:gridCol w:w="1104"/>
              <w:gridCol w:w="661"/>
            </w:tblGrid>
            <w:tr w14:paraId="26138E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2" w:type="dxa"/>
                  <w:vMerge w:val="restart"/>
                  <w:vAlign w:val="center"/>
                </w:tcPr>
                <w:p w14:paraId="77D6B487">
                  <w:pPr>
                    <w:pStyle w:val="221"/>
                  </w:pPr>
                  <w:r>
                    <w:t>产污环节</w:t>
                  </w:r>
                </w:p>
              </w:tc>
              <w:tc>
                <w:tcPr>
                  <w:tcW w:w="1012" w:type="dxa"/>
                  <w:vMerge w:val="restart"/>
                  <w:vAlign w:val="center"/>
                </w:tcPr>
                <w:p w14:paraId="736B0B6B">
                  <w:pPr>
                    <w:pStyle w:val="221"/>
                  </w:pPr>
                  <w:r>
                    <w:rPr>
                      <w:rFonts w:hint="eastAsia"/>
                    </w:rPr>
                    <w:t>污染源</w:t>
                  </w:r>
                </w:p>
              </w:tc>
              <w:tc>
                <w:tcPr>
                  <w:tcW w:w="760" w:type="dxa"/>
                  <w:vMerge w:val="restart"/>
                  <w:vAlign w:val="center"/>
                </w:tcPr>
                <w:p w14:paraId="4F882A25">
                  <w:pPr>
                    <w:pStyle w:val="221"/>
                  </w:pPr>
                  <w:r>
                    <w:t>污染物种类</w:t>
                  </w:r>
                </w:p>
              </w:tc>
              <w:tc>
                <w:tcPr>
                  <w:tcW w:w="2796" w:type="dxa"/>
                  <w:gridSpan w:val="3"/>
                  <w:tcBorders>
                    <w:left w:val="single" w:color="auto" w:sz="4" w:space="0"/>
                  </w:tcBorders>
                  <w:vAlign w:val="center"/>
                </w:tcPr>
                <w:p w14:paraId="553F4C33">
                  <w:pPr>
                    <w:pStyle w:val="221"/>
                  </w:pPr>
                  <w:r>
                    <w:t>产生情况</w:t>
                  </w:r>
                </w:p>
              </w:tc>
              <w:tc>
                <w:tcPr>
                  <w:tcW w:w="2796" w:type="dxa"/>
                  <w:gridSpan w:val="3"/>
                  <w:tcBorders>
                    <w:left w:val="single" w:color="auto" w:sz="4" w:space="0"/>
                  </w:tcBorders>
                  <w:vAlign w:val="center"/>
                </w:tcPr>
                <w:p w14:paraId="0E46A56E">
                  <w:pPr>
                    <w:pStyle w:val="221"/>
                  </w:pPr>
                  <w:r>
                    <w:t>排放情况</w:t>
                  </w:r>
                </w:p>
              </w:tc>
              <w:tc>
                <w:tcPr>
                  <w:tcW w:w="661" w:type="dxa"/>
                  <w:vMerge w:val="restart"/>
                  <w:vAlign w:val="center"/>
                </w:tcPr>
                <w:p w14:paraId="6F65F7FC">
                  <w:pPr>
                    <w:pStyle w:val="221"/>
                  </w:pPr>
                  <w:r>
                    <w:t>排放时间h</w:t>
                  </w:r>
                </w:p>
              </w:tc>
            </w:tr>
            <w:tr w14:paraId="6634BC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2" w:type="dxa"/>
                  <w:vMerge w:val="continue"/>
                  <w:vAlign w:val="center"/>
                </w:tcPr>
                <w:p w14:paraId="133C5D7A">
                  <w:pPr>
                    <w:pStyle w:val="221"/>
                  </w:pPr>
                </w:p>
              </w:tc>
              <w:tc>
                <w:tcPr>
                  <w:tcW w:w="1012" w:type="dxa"/>
                  <w:vMerge w:val="continue"/>
                  <w:vAlign w:val="center"/>
                </w:tcPr>
                <w:p w14:paraId="2320CFB5">
                  <w:pPr>
                    <w:pStyle w:val="221"/>
                  </w:pPr>
                </w:p>
              </w:tc>
              <w:tc>
                <w:tcPr>
                  <w:tcW w:w="760" w:type="dxa"/>
                  <w:vMerge w:val="continue"/>
                  <w:vAlign w:val="center"/>
                </w:tcPr>
                <w:p w14:paraId="4BA8F1C3">
                  <w:pPr>
                    <w:pStyle w:val="221"/>
                  </w:pPr>
                </w:p>
              </w:tc>
              <w:tc>
                <w:tcPr>
                  <w:tcW w:w="846" w:type="dxa"/>
                  <w:tcBorders>
                    <w:left w:val="single" w:color="auto" w:sz="4" w:space="0"/>
                  </w:tcBorders>
                  <w:vAlign w:val="center"/>
                </w:tcPr>
                <w:p w14:paraId="75608629">
                  <w:pPr>
                    <w:pStyle w:val="221"/>
                  </w:pPr>
                  <w:r>
                    <w:t>产生量t/a</w:t>
                  </w:r>
                </w:p>
              </w:tc>
              <w:tc>
                <w:tcPr>
                  <w:tcW w:w="846" w:type="dxa"/>
                  <w:vAlign w:val="center"/>
                </w:tcPr>
                <w:p w14:paraId="7D3ABC47">
                  <w:pPr>
                    <w:pStyle w:val="221"/>
                  </w:pPr>
                  <w:r>
                    <w:t>产生速率kg/h</w:t>
                  </w:r>
                </w:p>
              </w:tc>
              <w:tc>
                <w:tcPr>
                  <w:tcW w:w="1104" w:type="dxa"/>
                  <w:vAlign w:val="center"/>
                </w:tcPr>
                <w:p w14:paraId="70A90EA4">
                  <w:pPr>
                    <w:pStyle w:val="221"/>
                  </w:pPr>
                  <w:r>
                    <w:t>产生浓度mg/m</w:t>
                  </w:r>
                  <w:r>
                    <w:rPr>
                      <w:vertAlign w:val="superscript"/>
                    </w:rPr>
                    <w:t>3</w:t>
                  </w:r>
                </w:p>
              </w:tc>
              <w:tc>
                <w:tcPr>
                  <w:tcW w:w="846" w:type="dxa"/>
                  <w:tcBorders>
                    <w:left w:val="single" w:color="auto" w:sz="4" w:space="0"/>
                  </w:tcBorders>
                  <w:vAlign w:val="center"/>
                </w:tcPr>
                <w:p w14:paraId="366BA5E8">
                  <w:pPr>
                    <w:pStyle w:val="221"/>
                  </w:pPr>
                  <w:r>
                    <w:t>排放量t/a</w:t>
                  </w:r>
                </w:p>
              </w:tc>
              <w:tc>
                <w:tcPr>
                  <w:tcW w:w="846" w:type="dxa"/>
                  <w:vAlign w:val="center"/>
                </w:tcPr>
                <w:p w14:paraId="4D18570F">
                  <w:pPr>
                    <w:pStyle w:val="221"/>
                  </w:pPr>
                  <w:r>
                    <w:t>排放速率kg/h</w:t>
                  </w:r>
                </w:p>
              </w:tc>
              <w:tc>
                <w:tcPr>
                  <w:tcW w:w="1104" w:type="dxa"/>
                  <w:vAlign w:val="center"/>
                </w:tcPr>
                <w:p w14:paraId="4A5867CC">
                  <w:pPr>
                    <w:pStyle w:val="221"/>
                  </w:pPr>
                  <w:r>
                    <w:t>排放浓度mg/m</w:t>
                  </w:r>
                  <w:r>
                    <w:rPr>
                      <w:vertAlign w:val="superscript"/>
                    </w:rPr>
                    <w:t>3</w:t>
                  </w:r>
                </w:p>
              </w:tc>
              <w:tc>
                <w:tcPr>
                  <w:tcW w:w="661" w:type="dxa"/>
                  <w:vMerge w:val="continue"/>
                  <w:vAlign w:val="center"/>
                </w:tcPr>
                <w:p w14:paraId="52CD6869">
                  <w:pPr>
                    <w:pStyle w:val="221"/>
                  </w:pPr>
                </w:p>
              </w:tc>
            </w:tr>
            <w:tr w14:paraId="7DD148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2" w:type="dxa"/>
                  <w:vMerge w:val="restart"/>
                  <w:vAlign w:val="center"/>
                </w:tcPr>
                <w:p w14:paraId="1094AFBC">
                  <w:pPr>
                    <w:pStyle w:val="221"/>
                  </w:pPr>
                  <w:r>
                    <w:rPr>
                      <w:rFonts w:hint="eastAsia"/>
                      <w:bCs/>
                    </w:rPr>
                    <w:t>喷砂废气</w:t>
                  </w:r>
                </w:p>
              </w:tc>
              <w:tc>
                <w:tcPr>
                  <w:tcW w:w="1012" w:type="dxa"/>
                  <w:vAlign w:val="center"/>
                </w:tcPr>
                <w:p w14:paraId="6414D3BD">
                  <w:pPr>
                    <w:pStyle w:val="221"/>
                  </w:pPr>
                  <w:r>
                    <w:t>排气筒DA00</w:t>
                  </w:r>
                  <w:r>
                    <w:rPr>
                      <w:rFonts w:hint="eastAsia"/>
                    </w:rPr>
                    <w:t>7</w:t>
                  </w:r>
                </w:p>
              </w:tc>
              <w:tc>
                <w:tcPr>
                  <w:tcW w:w="760" w:type="dxa"/>
                  <w:vAlign w:val="center"/>
                </w:tcPr>
                <w:p w14:paraId="0ECAFC2E">
                  <w:pPr>
                    <w:pStyle w:val="221"/>
                    <w:rPr>
                      <w:szCs w:val="18"/>
                      <w:lang w:bidi="ar"/>
                    </w:rPr>
                  </w:pPr>
                  <w:r>
                    <w:rPr>
                      <w:rFonts w:hint="eastAsia"/>
                    </w:rPr>
                    <w:t>颗粒物</w:t>
                  </w:r>
                </w:p>
              </w:tc>
              <w:tc>
                <w:tcPr>
                  <w:tcW w:w="846" w:type="dxa"/>
                  <w:vAlign w:val="center"/>
                </w:tcPr>
                <w:p w14:paraId="273C1C1C">
                  <w:pPr>
                    <w:pStyle w:val="221"/>
                  </w:pPr>
                  <w:r>
                    <w:rPr>
                      <w:color w:val="000000"/>
                    </w:rPr>
                    <w:t>2.575</w:t>
                  </w:r>
                </w:p>
              </w:tc>
              <w:tc>
                <w:tcPr>
                  <w:tcW w:w="846" w:type="dxa"/>
                  <w:vAlign w:val="center"/>
                </w:tcPr>
                <w:p w14:paraId="54557598">
                  <w:pPr>
                    <w:pStyle w:val="221"/>
                  </w:pPr>
                  <w:r>
                    <w:rPr>
                      <w:color w:val="000000"/>
                    </w:rPr>
                    <w:t>1.038</w:t>
                  </w:r>
                </w:p>
              </w:tc>
              <w:tc>
                <w:tcPr>
                  <w:tcW w:w="1104" w:type="dxa"/>
                  <w:vAlign w:val="center"/>
                </w:tcPr>
                <w:p w14:paraId="7F1FA296">
                  <w:pPr>
                    <w:pStyle w:val="221"/>
                  </w:pPr>
                  <w:r>
                    <w:rPr>
                      <w:color w:val="000000"/>
                    </w:rPr>
                    <w:t>346.2</w:t>
                  </w:r>
                </w:p>
              </w:tc>
              <w:tc>
                <w:tcPr>
                  <w:tcW w:w="846" w:type="dxa"/>
                  <w:vAlign w:val="center"/>
                </w:tcPr>
                <w:p w14:paraId="544D3FFE">
                  <w:pPr>
                    <w:pStyle w:val="221"/>
                  </w:pPr>
                  <w:r>
                    <w:rPr>
                      <w:color w:val="000000"/>
                    </w:rPr>
                    <w:t>0.129</w:t>
                  </w:r>
                </w:p>
              </w:tc>
              <w:tc>
                <w:tcPr>
                  <w:tcW w:w="846" w:type="dxa"/>
                  <w:vAlign w:val="center"/>
                </w:tcPr>
                <w:p w14:paraId="2A19FB86">
                  <w:pPr>
                    <w:pStyle w:val="221"/>
                  </w:pPr>
                  <w:r>
                    <w:rPr>
                      <w:color w:val="000000"/>
                    </w:rPr>
                    <w:t>0.052</w:t>
                  </w:r>
                </w:p>
              </w:tc>
              <w:tc>
                <w:tcPr>
                  <w:tcW w:w="1104" w:type="dxa"/>
                  <w:vAlign w:val="center"/>
                </w:tcPr>
                <w:p w14:paraId="7C478920">
                  <w:pPr>
                    <w:pStyle w:val="221"/>
                  </w:pPr>
                  <w:r>
                    <w:rPr>
                      <w:color w:val="000000"/>
                    </w:rPr>
                    <w:t>17.3</w:t>
                  </w:r>
                </w:p>
              </w:tc>
              <w:tc>
                <w:tcPr>
                  <w:tcW w:w="661" w:type="dxa"/>
                  <w:vMerge w:val="restart"/>
                  <w:vAlign w:val="center"/>
                </w:tcPr>
                <w:p w14:paraId="37B4965A">
                  <w:pPr>
                    <w:pStyle w:val="221"/>
                  </w:pPr>
                  <w:r>
                    <w:rPr>
                      <w:rFonts w:hint="eastAsia"/>
                    </w:rPr>
                    <w:t>2480</w:t>
                  </w:r>
                </w:p>
              </w:tc>
            </w:tr>
            <w:tr w14:paraId="1A6722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2" w:type="dxa"/>
                  <w:vMerge w:val="continue"/>
                  <w:vAlign w:val="center"/>
                </w:tcPr>
                <w:p w14:paraId="5C14CD5E">
                  <w:pPr>
                    <w:pStyle w:val="221"/>
                  </w:pPr>
                </w:p>
              </w:tc>
              <w:tc>
                <w:tcPr>
                  <w:tcW w:w="1012" w:type="dxa"/>
                  <w:vAlign w:val="center"/>
                </w:tcPr>
                <w:p w14:paraId="4E4B9998">
                  <w:pPr>
                    <w:pStyle w:val="221"/>
                  </w:pPr>
                  <w:r>
                    <w:rPr>
                      <w:rFonts w:hint="eastAsia"/>
                    </w:rPr>
                    <w:t>无组织</w:t>
                  </w:r>
                </w:p>
              </w:tc>
              <w:tc>
                <w:tcPr>
                  <w:tcW w:w="760" w:type="dxa"/>
                  <w:vAlign w:val="center"/>
                </w:tcPr>
                <w:p w14:paraId="75E5E9C9">
                  <w:pPr>
                    <w:pStyle w:val="221"/>
                  </w:pPr>
                  <w:r>
                    <w:rPr>
                      <w:rFonts w:hint="eastAsia"/>
                    </w:rPr>
                    <w:t>颗粒物</w:t>
                  </w:r>
                </w:p>
              </w:tc>
              <w:tc>
                <w:tcPr>
                  <w:tcW w:w="846" w:type="dxa"/>
                  <w:vAlign w:val="center"/>
                </w:tcPr>
                <w:p w14:paraId="57B58322">
                  <w:pPr>
                    <w:pStyle w:val="221"/>
                  </w:pPr>
                  <w:r>
                    <w:rPr>
                      <w:color w:val="000000"/>
                    </w:rPr>
                    <w:t xml:space="preserve">0.053 </w:t>
                  </w:r>
                </w:p>
              </w:tc>
              <w:tc>
                <w:tcPr>
                  <w:tcW w:w="846" w:type="dxa"/>
                  <w:vAlign w:val="center"/>
                </w:tcPr>
                <w:p w14:paraId="1053218F">
                  <w:pPr>
                    <w:pStyle w:val="221"/>
                  </w:pPr>
                  <w:r>
                    <w:rPr>
                      <w:color w:val="000000"/>
                    </w:rPr>
                    <w:t>0.021</w:t>
                  </w:r>
                </w:p>
              </w:tc>
              <w:tc>
                <w:tcPr>
                  <w:tcW w:w="1104" w:type="dxa"/>
                  <w:vAlign w:val="center"/>
                </w:tcPr>
                <w:p w14:paraId="1E23A0B1">
                  <w:pPr>
                    <w:pStyle w:val="221"/>
                  </w:pPr>
                  <w:r>
                    <w:rPr>
                      <w:color w:val="000000"/>
                    </w:rPr>
                    <w:t>/</w:t>
                  </w:r>
                </w:p>
              </w:tc>
              <w:tc>
                <w:tcPr>
                  <w:tcW w:w="846" w:type="dxa"/>
                  <w:vAlign w:val="center"/>
                </w:tcPr>
                <w:p w14:paraId="4C6B144A">
                  <w:pPr>
                    <w:pStyle w:val="221"/>
                  </w:pPr>
                  <w:r>
                    <w:rPr>
                      <w:color w:val="000000"/>
                    </w:rPr>
                    <w:t>0.053</w:t>
                  </w:r>
                </w:p>
              </w:tc>
              <w:tc>
                <w:tcPr>
                  <w:tcW w:w="846" w:type="dxa"/>
                  <w:vAlign w:val="center"/>
                </w:tcPr>
                <w:p w14:paraId="6CACFEE2">
                  <w:pPr>
                    <w:pStyle w:val="221"/>
                  </w:pPr>
                  <w:r>
                    <w:rPr>
                      <w:color w:val="000000"/>
                    </w:rPr>
                    <w:t>0.021</w:t>
                  </w:r>
                </w:p>
              </w:tc>
              <w:tc>
                <w:tcPr>
                  <w:tcW w:w="1104" w:type="dxa"/>
                  <w:vAlign w:val="center"/>
                </w:tcPr>
                <w:p w14:paraId="2F4E3655">
                  <w:pPr>
                    <w:pStyle w:val="221"/>
                  </w:pPr>
                  <w:r>
                    <w:rPr>
                      <w:color w:val="000000"/>
                    </w:rPr>
                    <w:t>/</w:t>
                  </w:r>
                </w:p>
              </w:tc>
              <w:tc>
                <w:tcPr>
                  <w:tcW w:w="661" w:type="dxa"/>
                  <w:vMerge w:val="continue"/>
                  <w:vAlign w:val="center"/>
                </w:tcPr>
                <w:p w14:paraId="68FD22C3">
                  <w:pPr>
                    <w:pStyle w:val="221"/>
                  </w:pPr>
                </w:p>
              </w:tc>
            </w:tr>
          </w:tbl>
          <w:p w14:paraId="6C7054A1">
            <w:pPr>
              <w:pStyle w:val="222"/>
              <w:spacing w:before="120"/>
            </w:pPr>
            <w:r>
              <w:t>表4</w:t>
            </w:r>
            <w:r>
              <w:rPr>
                <w:rFonts w:hint="eastAsia"/>
              </w:rPr>
              <w:t>.2-2</w:t>
            </w:r>
            <w:r>
              <w:t xml:space="preserve">  废气治理设施基本情况一览表</w:t>
            </w:r>
          </w:p>
          <w:tbl>
            <w:tblPr>
              <w:tblStyle w:val="37"/>
              <w:tblW w:w="86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359"/>
              <w:gridCol w:w="1376"/>
              <w:gridCol w:w="1427"/>
              <w:gridCol w:w="777"/>
              <w:gridCol w:w="714"/>
              <w:gridCol w:w="729"/>
              <w:gridCol w:w="1141"/>
            </w:tblGrid>
            <w:tr w14:paraId="459FA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74" w:type="dxa"/>
                  <w:vMerge w:val="restart"/>
                  <w:vAlign w:val="center"/>
                </w:tcPr>
                <w:p w14:paraId="3EB34BA0">
                  <w:pPr>
                    <w:pStyle w:val="221"/>
                  </w:pPr>
                  <w:r>
                    <w:t>产排污</w:t>
                  </w:r>
                </w:p>
                <w:p w14:paraId="7ADDE722">
                  <w:pPr>
                    <w:pStyle w:val="221"/>
                  </w:pPr>
                  <w:r>
                    <w:t>环节</w:t>
                  </w:r>
                </w:p>
              </w:tc>
              <w:tc>
                <w:tcPr>
                  <w:tcW w:w="1359" w:type="dxa"/>
                  <w:vMerge w:val="restart"/>
                  <w:vAlign w:val="center"/>
                </w:tcPr>
                <w:p w14:paraId="774E8DA7">
                  <w:pPr>
                    <w:pStyle w:val="221"/>
                  </w:pPr>
                  <w:r>
                    <w:t>污染物种类</w:t>
                  </w:r>
                </w:p>
              </w:tc>
              <w:tc>
                <w:tcPr>
                  <w:tcW w:w="6164" w:type="dxa"/>
                  <w:gridSpan w:val="6"/>
                  <w:vAlign w:val="center"/>
                </w:tcPr>
                <w:p w14:paraId="605CEE8E">
                  <w:pPr>
                    <w:pStyle w:val="221"/>
                  </w:pPr>
                  <w:r>
                    <w:t>治理设施</w:t>
                  </w:r>
                </w:p>
              </w:tc>
            </w:tr>
            <w:tr w14:paraId="70457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vMerge w:val="continue"/>
                  <w:vAlign w:val="center"/>
                </w:tcPr>
                <w:p w14:paraId="4A02EB22">
                  <w:pPr>
                    <w:pStyle w:val="221"/>
                  </w:pPr>
                </w:p>
              </w:tc>
              <w:tc>
                <w:tcPr>
                  <w:tcW w:w="1359" w:type="dxa"/>
                  <w:vMerge w:val="continue"/>
                  <w:vAlign w:val="center"/>
                </w:tcPr>
                <w:p w14:paraId="1C1436C0">
                  <w:pPr>
                    <w:pStyle w:val="221"/>
                  </w:pPr>
                </w:p>
              </w:tc>
              <w:tc>
                <w:tcPr>
                  <w:tcW w:w="1376" w:type="dxa"/>
                  <w:vAlign w:val="center"/>
                </w:tcPr>
                <w:p w14:paraId="0ED63121">
                  <w:pPr>
                    <w:pStyle w:val="221"/>
                  </w:pPr>
                  <w:r>
                    <w:t>排放方式</w:t>
                  </w:r>
                </w:p>
              </w:tc>
              <w:tc>
                <w:tcPr>
                  <w:tcW w:w="1427" w:type="dxa"/>
                  <w:vAlign w:val="center"/>
                </w:tcPr>
                <w:p w14:paraId="3D4A12EB">
                  <w:pPr>
                    <w:pStyle w:val="221"/>
                  </w:pPr>
                  <w:r>
                    <w:t>处理能力</w:t>
                  </w:r>
                  <w:r>
                    <w:rPr>
                      <w:rFonts w:hint="eastAsia"/>
                    </w:rPr>
                    <w:t>（</w:t>
                  </w:r>
                  <w:r>
                    <w:t>m</w:t>
                  </w:r>
                  <w:r>
                    <w:rPr>
                      <w:vertAlign w:val="superscript"/>
                    </w:rPr>
                    <w:t>3</w:t>
                  </w:r>
                  <w:r>
                    <w:t>/</w:t>
                  </w:r>
                  <w:r>
                    <w:rPr>
                      <w:rFonts w:hint="eastAsia"/>
                    </w:rPr>
                    <w:t>h）</w:t>
                  </w:r>
                </w:p>
              </w:tc>
              <w:tc>
                <w:tcPr>
                  <w:tcW w:w="777" w:type="dxa"/>
                  <w:vAlign w:val="center"/>
                </w:tcPr>
                <w:p w14:paraId="572D0A23">
                  <w:pPr>
                    <w:pStyle w:val="221"/>
                  </w:pPr>
                  <w:r>
                    <w:t>收集效率</w:t>
                  </w:r>
                </w:p>
              </w:tc>
              <w:tc>
                <w:tcPr>
                  <w:tcW w:w="714" w:type="dxa"/>
                  <w:vAlign w:val="center"/>
                </w:tcPr>
                <w:p w14:paraId="639F7481">
                  <w:pPr>
                    <w:pStyle w:val="221"/>
                  </w:pPr>
                  <w:r>
                    <w:t>治理</w:t>
                  </w:r>
                  <w:r>
                    <w:rPr>
                      <w:rFonts w:hint="eastAsia"/>
                    </w:rPr>
                    <w:t>设施</w:t>
                  </w:r>
                </w:p>
              </w:tc>
              <w:tc>
                <w:tcPr>
                  <w:tcW w:w="729" w:type="dxa"/>
                  <w:vAlign w:val="center"/>
                </w:tcPr>
                <w:p w14:paraId="38674D1C">
                  <w:pPr>
                    <w:pStyle w:val="221"/>
                  </w:pPr>
                  <w:r>
                    <w:t>去除率</w:t>
                  </w:r>
                </w:p>
              </w:tc>
              <w:tc>
                <w:tcPr>
                  <w:tcW w:w="1141" w:type="dxa"/>
                  <w:vAlign w:val="center"/>
                </w:tcPr>
                <w:p w14:paraId="0C70E28F">
                  <w:pPr>
                    <w:pStyle w:val="221"/>
                  </w:pPr>
                  <w:r>
                    <w:t>是否可行性技术</w:t>
                  </w:r>
                </w:p>
              </w:tc>
            </w:tr>
            <w:tr w14:paraId="15B34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dxa"/>
                  <w:vAlign w:val="center"/>
                </w:tcPr>
                <w:p w14:paraId="52AB8E8B">
                  <w:pPr>
                    <w:pStyle w:val="221"/>
                  </w:pPr>
                  <w:r>
                    <w:rPr>
                      <w:rFonts w:hint="eastAsia"/>
                      <w:bCs/>
                    </w:rPr>
                    <w:t>喷砂废气</w:t>
                  </w:r>
                </w:p>
              </w:tc>
              <w:tc>
                <w:tcPr>
                  <w:tcW w:w="1359" w:type="dxa"/>
                  <w:vAlign w:val="center"/>
                </w:tcPr>
                <w:p w14:paraId="2D84732B">
                  <w:pPr>
                    <w:pStyle w:val="221"/>
                  </w:pPr>
                  <w:r>
                    <w:t>颗粒物</w:t>
                  </w:r>
                </w:p>
              </w:tc>
              <w:tc>
                <w:tcPr>
                  <w:tcW w:w="1376" w:type="dxa"/>
                  <w:vAlign w:val="center"/>
                </w:tcPr>
                <w:p w14:paraId="157E83A0">
                  <w:pPr>
                    <w:pStyle w:val="221"/>
                  </w:pPr>
                  <w:r>
                    <w:t>有组织</w:t>
                  </w:r>
                </w:p>
              </w:tc>
              <w:tc>
                <w:tcPr>
                  <w:tcW w:w="1427" w:type="dxa"/>
                  <w:vAlign w:val="center"/>
                </w:tcPr>
                <w:p w14:paraId="38F351F3">
                  <w:pPr>
                    <w:pStyle w:val="221"/>
                  </w:pPr>
                  <w:r>
                    <w:rPr>
                      <w:rFonts w:hint="eastAsia"/>
                    </w:rPr>
                    <w:t>3000</w:t>
                  </w:r>
                </w:p>
              </w:tc>
              <w:tc>
                <w:tcPr>
                  <w:tcW w:w="777" w:type="dxa"/>
                  <w:vAlign w:val="center"/>
                </w:tcPr>
                <w:p w14:paraId="46F97B38">
                  <w:pPr>
                    <w:pStyle w:val="221"/>
                  </w:pPr>
                  <w:r>
                    <w:rPr>
                      <w:rFonts w:hint="eastAsia"/>
                    </w:rPr>
                    <w:t>98%</w:t>
                  </w:r>
                </w:p>
              </w:tc>
              <w:tc>
                <w:tcPr>
                  <w:tcW w:w="714" w:type="dxa"/>
                  <w:vAlign w:val="center"/>
                </w:tcPr>
                <w:p w14:paraId="07D905A7">
                  <w:pPr>
                    <w:pStyle w:val="221"/>
                  </w:pPr>
                  <w:r>
                    <w:rPr>
                      <w:rFonts w:hint="eastAsia"/>
                    </w:rPr>
                    <w:t>滤筒除尘器</w:t>
                  </w:r>
                </w:p>
              </w:tc>
              <w:tc>
                <w:tcPr>
                  <w:tcW w:w="729" w:type="dxa"/>
                  <w:vAlign w:val="center"/>
                </w:tcPr>
                <w:p w14:paraId="7F76B8E1">
                  <w:pPr>
                    <w:pStyle w:val="221"/>
                  </w:pPr>
                  <w:r>
                    <w:rPr>
                      <w:rFonts w:hint="eastAsia"/>
                    </w:rPr>
                    <w:t>95</w:t>
                  </w:r>
                  <w:r>
                    <w:t>%</w:t>
                  </w:r>
                </w:p>
              </w:tc>
              <w:tc>
                <w:tcPr>
                  <w:tcW w:w="1141" w:type="dxa"/>
                  <w:vAlign w:val="center"/>
                </w:tcPr>
                <w:p w14:paraId="00C5FCE7">
                  <w:pPr>
                    <w:pStyle w:val="221"/>
                  </w:pPr>
                  <w:r>
                    <w:t>是</w:t>
                  </w:r>
                </w:p>
              </w:tc>
            </w:tr>
          </w:tbl>
          <w:p w14:paraId="6A10B48F">
            <w:pPr>
              <w:pStyle w:val="222"/>
              <w:spacing w:before="120"/>
            </w:pPr>
            <w:r>
              <w:t>表4</w:t>
            </w:r>
            <w:r>
              <w:rPr>
                <w:rFonts w:hint="eastAsia"/>
              </w:rPr>
              <w:t>.2</w:t>
            </w:r>
            <w:r>
              <w:t>-</w:t>
            </w:r>
            <w:r>
              <w:rPr>
                <w:rFonts w:hint="eastAsia"/>
              </w:rPr>
              <w:t>3</w:t>
            </w:r>
            <w:r>
              <w:t xml:space="preserve">  废气排放口基本情况一览表</w:t>
            </w:r>
          </w:p>
          <w:tbl>
            <w:tblPr>
              <w:tblStyle w:val="37"/>
              <w:tblW w:w="869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45"/>
              <w:gridCol w:w="853"/>
              <w:gridCol w:w="997"/>
              <w:gridCol w:w="993"/>
              <w:gridCol w:w="1050"/>
              <w:gridCol w:w="1632"/>
              <w:gridCol w:w="1527"/>
            </w:tblGrid>
            <w:tr w14:paraId="2834C5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645" w:type="dxa"/>
                  <w:vMerge w:val="restart"/>
                  <w:vAlign w:val="center"/>
                </w:tcPr>
                <w:p w14:paraId="5B7D60DF">
                  <w:pPr>
                    <w:pStyle w:val="221"/>
                  </w:pPr>
                  <w:r>
                    <w:t>排气筒编号及名称</w:t>
                  </w:r>
                </w:p>
              </w:tc>
              <w:tc>
                <w:tcPr>
                  <w:tcW w:w="7052" w:type="dxa"/>
                  <w:gridSpan w:val="6"/>
                  <w:vAlign w:val="center"/>
                </w:tcPr>
                <w:p w14:paraId="7DF718CB">
                  <w:pPr>
                    <w:pStyle w:val="221"/>
                  </w:pPr>
                  <w:r>
                    <w:t>排放口基本情况</w:t>
                  </w:r>
                </w:p>
              </w:tc>
            </w:tr>
            <w:tr w14:paraId="3CCA7B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645" w:type="dxa"/>
                  <w:vMerge w:val="continue"/>
                  <w:vAlign w:val="center"/>
                </w:tcPr>
                <w:p w14:paraId="7CC906E7">
                  <w:pPr>
                    <w:pStyle w:val="221"/>
                  </w:pPr>
                </w:p>
              </w:tc>
              <w:tc>
                <w:tcPr>
                  <w:tcW w:w="853" w:type="dxa"/>
                  <w:vMerge w:val="restart"/>
                  <w:vAlign w:val="center"/>
                </w:tcPr>
                <w:p w14:paraId="5E27D842">
                  <w:pPr>
                    <w:pStyle w:val="221"/>
                  </w:pPr>
                  <w:r>
                    <w:t>高度m</w:t>
                  </w:r>
                </w:p>
              </w:tc>
              <w:tc>
                <w:tcPr>
                  <w:tcW w:w="997" w:type="dxa"/>
                  <w:vMerge w:val="restart"/>
                  <w:vAlign w:val="center"/>
                </w:tcPr>
                <w:p w14:paraId="629DB684">
                  <w:pPr>
                    <w:pStyle w:val="221"/>
                  </w:pPr>
                  <w:r>
                    <w:t>排气筒内径m</w:t>
                  </w:r>
                </w:p>
              </w:tc>
              <w:tc>
                <w:tcPr>
                  <w:tcW w:w="993" w:type="dxa"/>
                  <w:vMerge w:val="restart"/>
                  <w:vAlign w:val="center"/>
                </w:tcPr>
                <w:p w14:paraId="34F87831">
                  <w:pPr>
                    <w:pStyle w:val="221"/>
                  </w:pPr>
                  <w:r>
                    <w:t>烟气温度℃</w:t>
                  </w:r>
                </w:p>
              </w:tc>
              <w:tc>
                <w:tcPr>
                  <w:tcW w:w="1050" w:type="dxa"/>
                  <w:vMerge w:val="restart"/>
                  <w:vAlign w:val="center"/>
                </w:tcPr>
                <w:p w14:paraId="733C2E1B">
                  <w:pPr>
                    <w:pStyle w:val="221"/>
                  </w:pPr>
                  <w:r>
                    <w:t>类型</w:t>
                  </w:r>
                </w:p>
              </w:tc>
              <w:tc>
                <w:tcPr>
                  <w:tcW w:w="3159" w:type="dxa"/>
                  <w:gridSpan w:val="2"/>
                  <w:vAlign w:val="center"/>
                </w:tcPr>
                <w:p w14:paraId="3F931875">
                  <w:pPr>
                    <w:pStyle w:val="221"/>
                  </w:pPr>
                  <w:r>
                    <w:t>地理坐标</w:t>
                  </w:r>
                </w:p>
              </w:tc>
            </w:tr>
            <w:tr w14:paraId="6C9AA8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645" w:type="dxa"/>
                  <w:vMerge w:val="continue"/>
                  <w:vAlign w:val="center"/>
                </w:tcPr>
                <w:p w14:paraId="7BFC4093">
                  <w:pPr>
                    <w:pStyle w:val="221"/>
                  </w:pPr>
                </w:p>
              </w:tc>
              <w:tc>
                <w:tcPr>
                  <w:tcW w:w="853" w:type="dxa"/>
                  <w:vMerge w:val="continue"/>
                  <w:vAlign w:val="center"/>
                </w:tcPr>
                <w:p w14:paraId="0C1AC015">
                  <w:pPr>
                    <w:pStyle w:val="221"/>
                  </w:pPr>
                </w:p>
              </w:tc>
              <w:tc>
                <w:tcPr>
                  <w:tcW w:w="997" w:type="dxa"/>
                  <w:vMerge w:val="continue"/>
                  <w:vAlign w:val="center"/>
                </w:tcPr>
                <w:p w14:paraId="19BBC332">
                  <w:pPr>
                    <w:pStyle w:val="221"/>
                  </w:pPr>
                </w:p>
              </w:tc>
              <w:tc>
                <w:tcPr>
                  <w:tcW w:w="993" w:type="dxa"/>
                  <w:vMerge w:val="continue"/>
                  <w:vAlign w:val="center"/>
                </w:tcPr>
                <w:p w14:paraId="0995B87A">
                  <w:pPr>
                    <w:pStyle w:val="221"/>
                  </w:pPr>
                </w:p>
              </w:tc>
              <w:tc>
                <w:tcPr>
                  <w:tcW w:w="1050" w:type="dxa"/>
                  <w:vMerge w:val="continue"/>
                  <w:vAlign w:val="center"/>
                </w:tcPr>
                <w:p w14:paraId="6CF0E3A0">
                  <w:pPr>
                    <w:pStyle w:val="221"/>
                  </w:pPr>
                </w:p>
              </w:tc>
              <w:tc>
                <w:tcPr>
                  <w:tcW w:w="1632" w:type="dxa"/>
                  <w:vAlign w:val="center"/>
                </w:tcPr>
                <w:p w14:paraId="53965732">
                  <w:pPr>
                    <w:pStyle w:val="221"/>
                  </w:pPr>
                  <w:r>
                    <w:t>经度</w:t>
                  </w:r>
                </w:p>
              </w:tc>
              <w:tc>
                <w:tcPr>
                  <w:tcW w:w="1527" w:type="dxa"/>
                  <w:vAlign w:val="center"/>
                </w:tcPr>
                <w:p w14:paraId="79A62F53">
                  <w:pPr>
                    <w:pStyle w:val="221"/>
                  </w:pPr>
                  <w:r>
                    <w:t>纬度</w:t>
                  </w:r>
                </w:p>
              </w:tc>
            </w:tr>
            <w:tr w14:paraId="2EB317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645" w:type="dxa"/>
                  <w:vAlign w:val="center"/>
                </w:tcPr>
                <w:p w14:paraId="43D5D8C3">
                  <w:pPr>
                    <w:pStyle w:val="221"/>
                  </w:pPr>
                  <w:r>
                    <w:rPr>
                      <w:rFonts w:hint="eastAsia"/>
                      <w:bCs/>
                    </w:rPr>
                    <w:t>喷砂废气</w:t>
                  </w:r>
                  <w:r>
                    <w:rPr>
                      <w:rFonts w:hint="eastAsia"/>
                    </w:rPr>
                    <w:t>排气筒</w:t>
                  </w:r>
                  <w:r>
                    <w:t>DA00</w:t>
                  </w:r>
                  <w:r>
                    <w:rPr>
                      <w:rFonts w:hint="eastAsia"/>
                    </w:rPr>
                    <w:t>7</w:t>
                  </w:r>
                </w:p>
              </w:tc>
              <w:tc>
                <w:tcPr>
                  <w:tcW w:w="853" w:type="dxa"/>
                  <w:vAlign w:val="center"/>
                </w:tcPr>
                <w:p w14:paraId="2576E4B5">
                  <w:pPr>
                    <w:pStyle w:val="221"/>
                  </w:pPr>
                  <w:r>
                    <w:rPr>
                      <w:rFonts w:hint="eastAsia"/>
                    </w:rPr>
                    <w:t>15</w:t>
                  </w:r>
                </w:p>
              </w:tc>
              <w:tc>
                <w:tcPr>
                  <w:tcW w:w="997" w:type="dxa"/>
                  <w:vAlign w:val="center"/>
                </w:tcPr>
                <w:p w14:paraId="2EFC051B">
                  <w:pPr>
                    <w:pStyle w:val="221"/>
                  </w:pPr>
                  <w:r>
                    <w:rPr>
                      <w:rFonts w:hint="eastAsia"/>
                    </w:rPr>
                    <w:t>0.3</w:t>
                  </w:r>
                </w:p>
              </w:tc>
              <w:tc>
                <w:tcPr>
                  <w:tcW w:w="993" w:type="dxa"/>
                  <w:vAlign w:val="center"/>
                </w:tcPr>
                <w:p w14:paraId="17535F40">
                  <w:pPr>
                    <w:pStyle w:val="221"/>
                  </w:pPr>
                  <w:r>
                    <w:rPr>
                      <w:rFonts w:hint="eastAsia"/>
                    </w:rPr>
                    <w:t>常温</w:t>
                  </w:r>
                </w:p>
              </w:tc>
              <w:tc>
                <w:tcPr>
                  <w:tcW w:w="1050" w:type="dxa"/>
                  <w:vAlign w:val="center"/>
                </w:tcPr>
                <w:p w14:paraId="10A5C3C1">
                  <w:pPr>
                    <w:pStyle w:val="221"/>
                  </w:pPr>
                  <w:r>
                    <w:rPr>
                      <w:rFonts w:hint="eastAsia"/>
                    </w:rPr>
                    <w:t>一般</w:t>
                  </w:r>
                  <w:r>
                    <w:t>排放口</w:t>
                  </w:r>
                </w:p>
              </w:tc>
              <w:tc>
                <w:tcPr>
                  <w:tcW w:w="1632" w:type="dxa"/>
                  <w:vAlign w:val="center"/>
                </w:tcPr>
                <w:p w14:paraId="2C8C7ACB">
                  <w:pPr>
                    <w:pStyle w:val="221"/>
                  </w:pPr>
                  <w:r>
                    <w:t>119°18'49.5313"</w:t>
                  </w:r>
                </w:p>
              </w:tc>
              <w:tc>
                <w:tcPr>
                  <w:tcW w:w="1527" w:type="dxa"/>
                  <w:vAlign w:val="center"/>
                </w:tcPr>
                <w:p w14:paraId="5E8824EB">
                  <w:pPr>
                    <w:pStyle w:val="221"/>
                  </w:pPr>
                  <w:r>
                    <w:t>25°40'36.7631"</w:t>
                  </w:r>
                </w:p>
              </w:tc>
            </w:tr>
          </w:tbl>
          <w:p w14:paraId="3FC5A636">
            <w:pPr>
              <w:shd w:val="clear" w:color="auto" w:fill="FFFFFF"/>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p>
          <w:p w14:paraId="5320CE99">
            <w:pPr>
              <w:shd w:val="clear" w:color="auto" w:fill="FFFFFF"/>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p>
          <w:p w14:paraId="7F66764F">
            <w:pPr>
              <w:shd w:val="clear" w:color="auto" w:fill="FFFFFF"/>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p>
          <w:p w14:paraId="55DBBB58">
            <w:pPr>
              <w:shd w:val="clear" w:color="auto" w:fill="FFFFFF"/>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p>
          <w:p w14:paraId="60F69B0C">
            <w:pPr>
              <w:shd w:val="clear" w:color="auto" w:fill="FFFFFF"/>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p>
          <w:p w14:paraId="443C2419">
            <w:pPr>
              <w:shd w:val="clear" w:color="auto" w:fill="FFFFFF"/>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p>
          <w:p w14:paraId="6EE4ADCD">
            <w:pPr>
              <w:shd w:val="clear" w:color="auto" w:fill="FFFFFF"/>
              <w:spacing w:after="0" w:line="360" w:lineRule="auto"/>
              <w:rPr>
                <w:rFonts w:ascii="Times New Roman" w:hAnsi="Times New Roman" w:eastAsia="宋体" w:cs="Times New Roman"/>
                <w:color w:val="000000" w:themeColor="text1"/>
                <w:szCs w:val="24"/>
                <w14:textFill>
                  <w14:solidFill>
                    <w14:schemeClr w14:val="tx1"/>
                  </w14:solidFill>
                </w14:textFill>
              </w:rPr>
            </w:pPr>
          </w:p>
        </w:tc>
      </w:tr>
    </w:tbl>
    <w:p w14:paraId="46AAD71F">
      <w:pPr>
        <w:widowControl w:val="0"/>
        <w:topLinePunct/>
        <w:spacing w:line="360" w:lineRule="auto"/>
        <w:jc w:val="both"/>
        <w:rPr>
          <w:rFonts w:ascii="Times New Roman" w:hAnsi="Times New Roman" w:eastAsia="宋体" w:cs="Times New Roman"/>
          <w:b/>
          <w:bCs/>
          <w:color w:val="000000" w:themeColor="text1"/>
          <w:shd w:val="clear" w:color="auto" w:fill="FFFFFF"/>
          <w14:textFill>
            <w14:solidFill>
              <w14:schemeClr w14:val="tx1"/>
            </w14:solidFill>
          </w14:textFill>
        </w:rPr>
        <w:sectPr>
          <w:pgSz w:w="11907" w:h="16840"/>
          <w:pgMar w:top="1417" w:right="1417" w:bottom="1417" w:left="1417" w:header="992" w:footer="992" w:gutter="0"/>
          <w:cols w:space="720" w:num="1"/>
          <w:docGrid w:linePitch="312" w:charSpace="0"/>
        </w:sectPr>
      </w:pPr>
    </w:p>
    <w:tbl>
      <w:tblPr>
        <w:tblStyle w:val="37"/>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33"/>
      </w:tblGrid>
      <w:tr w14:paraId="6E3A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2" w:hRule="atLeast"/>
        </w:trPr>
        <w:tc>
          <w:tcPr>
            <w:tcW w:w="456" w:type="dxa"/>
            <w:vAlign w:val="center"/>
          </w:tcPr>
          <w:p w14:paraId="45CED142">
            <w:pPr>
              <w:pStyle w:val="30"/>
              <w:widowControl w:val="0"/>
              <w:topLinePunct/>
              <w:spacing w:after="0" w:line="240" w:lineRule="auto"/>
              <w:jc w:val="both"/>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4"/>
                <w14:textFill>
                  <w14:solidFill>
                    <w14:schemeClr w14:val="tx1"/>
                  </w14:solidFill>
                </w14:textFill>
              </w:rPr>
              <w:t>运营期环境影响和保护措施</w:t>
            </w:r>
          </w:p>
        </w:tc>
        <w:tc>
          <w:tcPr>
            <w:tcW w:w="8833" w:type="dxa"/>
            <w:vAlign w:val="center"/>
          </w:tcPr>
          <w:p w14:paraId="7FB24D08">
            <w:pPr>
              <w:widowControl w:val="0"/>
              <w:tabs>
                <w:tab w:val="left" w:pos="5400"/>
              </w:tabs>
              <w:topLinePunct/>
              <w:spacing w:after="0" w:line="360" w:lineRule="auto"/>
              <w:ind w:firstLine="480" w:firstLineChars="200"/>
              <w:jc w:val="both"/>
              <w:rPr>
                <w:rFonts w:ascii="Times New Roman" w:hAnsi="Times New Roman" w:eastAsia="宋体" w:cs="Times New Roman"/>
                <w:color w:val="000000" w:themeColor="text1"/>
                <w:szCs w:val="24"/>
                <w:lang w:val="en-GB"/>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2、</w:t>
            </w:r>
            <w:r>
              <w:rPr>
                <w:rFonts w:hint="eastAsia" w:ascii="Times New Roman" w:hAnsi="Times New Roman" w:eastAsia="宋体" w:cs="Times New Roman"/>
                <w:color w:val="000000" w:themeColor="text1"/>
                <w:szCs w:val="24"/>
                <w:lang w:val="en-GB"/>
                <w14:textFill>
                  <w14:solidFill>
                    <w14:schemeClr w14:val="tx1"/>
                  </w14:solidFill>
                </w14:textFill>
              </w:rPr>
              <w:t>治理措施可行性分析</w:t>
            </w:r>
          </w:p>
          <w:p w14:paraId="7364127C">
            <w:pPr>
              <w:widowControl w:val="0"/>
              <w:tabs>
                <w:tab w:val="left" w:pos="5400"/>
              </w:tabs>
              <w:topLinePunct/>
              <w:spacing w:after="0" w:line="360" w:lineRule="auto"/>
              <w:ind w:firstLine="480" w:firstLineChars="200"/>
              <w:jc w:val="both"/>
              <w:rPr>
                <w:rFonts w:ascii="Times New Roman" w:hAnsi="Times New Roman" w:eastAsia="宋体" w:cs="Times New Roman"/>
                <w:color w:val="000000" w:themeColor="text1"/>
                <w:szCs w:val="24"/>
                <w:lang w:val="en-GB"/>
                <w14:textFill>
                  <w14:solidFill>
                    <w14:schemeClr w14:val="tx1"/>
                  </w14:solidFill>
                </w14:textFill>
              </w:rPr>
            </w:pPr>
            <w:r>
              <w:rPr>
                <w:rFonts w:hint="eastAsia" w:ascii="Times New Roman" w:hAnsi="Times New Roman" w:eastAsia="宋体" w:cs="Times New Roman"/>
                <w:color w:val="000000" w:themeColor="text1"/>
                <w:szCs w:val="24"/>
                <w:lang w:val="en-GB"/>
                <w14:textFill>
                  <w14:solidFill>
                    <w14:schemeClr w14:val="tx1"/>
                  </w14:solidFill>
                </w14:textFill>
              </w:rPr>
              <w:t>（1）收集处理措施</w:t>
            </w:r>
          </w:p>
          <w:p w14:paraId="25E20C89">
            <w:pPr>
              <w:widowControl w:val="0"/>
              <w:tabs>
                <w:tab w:val="left" w:pos="5400"/>
              </w:tabs>
              <w:topLinePunct/>
              <w:spacing w:after="0" w:line="360" w:lineRule="auto"/>
              <w:ind w:firstLine="480" w:firstLineChars="200"/>
              <w:jc w:val="both"/>
              <w:rPr>
                <w:rFonts w:ascii="Times New Roman" w:hAnsi="Times New Roman" w:eastAsia="宋体" w:cs="Times New Roman"/>
                <w:color w:val="000000" w:themeColor="text1"/>
                <w:szCs w:val="24"/>
                <w:lang w:val="en-GB"/>
                <w14:textFill>
                  <w14:solidFill>
                    <w14:schemeClr w14:val="tx1"/>
                  </w14:solidFill>
                </w14:textFill>
              </w:rPr>
            </w:pPr>
            <w:r>
              <w:rPr>
                <w:rFonts w:hint="eastAsia" w:ascii="Times New Roman" w:hAnsi="Times New Roman" w:eastAsia="宋体" w:cs="Times New Roman"/>
                <w:color w:val="000000" w:themeColor="text1"/>
                <w:szCs w:val="24"/>
                <w:lang w:val="en-GB"/>
                <w14:textFill>
                  <w14:solidFill>
                    <w14:schemeClr w14:val="tx1"/>
                  </w14:solidFill>
                </w14:textFill>
              </w:rPr>
              <w:t>喷砂废气主要为金属粉尘，以颗粒物表征。项目设有独立密闭的喷砂房，喷砂房设置有丸砂分离器。工作人员把喷砂枪拉倒需要处理的工件位置进行喷砂处理，喷砂作业时，砂料、部分金属粉尘落到地面，喷砂房内清砂车将地面砂料及粉尘等物质收集投入收料舱，通过螺旋输送机及斗式提升机进入丸砂分离器，丸砂分离器将砂料（钢丸）、粉尘及金属渣分开，有用的钢丸进入设备砂罐内继续循环使用，金属粉尘则随气流</w:t>
            </w:r>
            <w:r>
              <w:rPr>
                <w:rFonts w:hint="eastAsia" w:ascii="Times New Roman" w:hAnsi="Times New Roman" w:eastAsia="宋体" w:cs="Times New Roman"/>
                <w:color w:val="000000" w:themeColor="text1"/>
                <w:szCs w:val="24"/>
                <w:lang w:val="en-GB" w:eastAsia="zh-CN"/>
                <w14:textFill>
                  <w14:solidFill>
                    <w14:schemeClr w14:val="tx1"/>
                  </w14:solidFill>
                </w14:textFill>
              </w:rPr>
              <w:t>进入</w:t>
            </w:r>
            <w:r>
              <w:rPr>
                <w:rFonts w:hint="eastAsia" w:ascii="Times New Roman" w:hAnsi="Times New Roman" w:eastAsia="宋体" w:cs="Times New Roman"/>
                <w:color w:val="000000" w:themeColor="text1"/>
                <w:szCs w:val="24"/>
                <w:lang w:val="en-GB"/>
                <w14:textFill>
                  <w14:solidFill>
                    <w14:schemeClr w14:val="tx1"/>
                  </w14:solidFill>
                </w14:textFill>
              </w:rPr>
              <w:t>滤筒除尘系统处理，车间内未沉降的粉尘经喷砂房内抽尘口收集进入滤筒除尘器集气干管，两部分粉尘一同经滤筒除尘器过滤净化，最终经相应排气筒排放。喷砂工序完成后工件留在喷砂房内静置一段时间，待粉尘沉降后再将工件运出。</w:t>
            </w:r>
          </w:p>
          <w:p w14:paraId="3A3E5BB0">
            <w:pPr>
              <w:widowControl w:val="0"/>
              <w:tabs>
                <w:tab w:val="left" w:pos="5400"/>
              </w:tabs>
              <w:topLinePunct/>
              <w:spacing w:after="0" w:line="360" w:lineRule="auto"/>
              <w:ind w:firstLine="480" w:firstLineChars="200"/>
              <w:jc w:val="both"/>
              <w:rPr>
                <w:rFonts w:ascii="Times New Roman" w:hAnsi="Times New Roman" w:eastAsia="宋体" w:cs="Times New Roman"/>
                <w:color w:val="000000" w:themeColor="text1"/>
                <w:szCs w:val="24"/>
                <w:lang w:val="en-GB"/>
                <w14:textFill>
                  <w14:solidFill>
                    <w14:schemeClr w14:val="tx1"/>
                  </w14:solidFill>
                </w14:textFill>
              </w:rPr>
            </w:pPr>
            <w:r>
              <w:rPr>
                <w:rFonts w:hint="eastAsia" w:ascii="Times New Roman" w:hAnsi="Times New Roman" w:eastAsia="宋体" w:cs="Times New Roman"/>
                <w:color w:val="000000" w:themeColor="text1"/>
                <w:szCs w:val="24"/>
                <w:lang w:val="en-GB"/>
                <w14:textFill>
                  <w14:solidFill>
                    <w14:schemeClr w14:val="tx1"/>
                  </w14:solidFill>
                </w14:textFill>
              </w:rPr>
              <w:t>（2）措施可行性分析</w:t>
            </w:r>
          </w:p>
          <w:p w14:paraId="54075D7C">
            <w:pPr>
              <w:widowControl w:val="0"/>
              <w:tabs>
                <w:tab w:val="left" w:pos="5400"/>
              </w:tabs>
              <w:topLinePunct/>
              <w:spacing w:after="0" w:line="360" w:lineRule="auto"/>
              <w:ind w:firstLine="480" w:firstLineChars="200"/>
              <w:jc w:val="both"/>
              <w:rPr>
                <w:rFonts w:ascii="Times New Roman" w:hAnsi="Times New Roman" w:eastAsia="宋体" w:cs="Times New Roman"/>
                <w:color w:val="000000" w:themeColor="text1"/>
                <w:szCs w:val="24"/>
                <w:lang w:val="en-GB"/>
                <w14:textFill>
                  <w14:solidFill>
                    <w14:schemeClr w14:val="tx1"/>
                  </w14:solidFill>
                </w14:textFill>
              </w:rPr>
            </w:pPr>
            <w:r>
              <w:rPr>
                <w:rFonts w:hint="eastAsia" w:ascii="Times New Roman" w:hAnsi="Times New Roman" w:eastAsia="宋体" w:cs="Times New Roman"/>
                <w:color w:val="000000" w:themeColor="text1"/>
                <w:szCs w:val="24"/>
                <w:lang w:val="en-GB"/>
                <w14:textFill>
                  <w14:solidFill>
                    <w14:schemeClr w14:val="tx1"/>
                  </w14:solidFill>
                </w14:textFill>
              </w:rPr>
              <w:t>根据《废气处理工程技术手册（新废气卷）》，滤筒式除尘器是利用脉冲滤筒作为过滤元件，在脉冲袋式除尘器的应用基础上，实现空气除尘和工业粉尘处理，具有高风量（≥10000m³/h）、高效率（≥99.5%）、低压（≥0.3MPa）、低阻损（≥800~1000Pa）的最佳运行参数，具有技术先进、结构紧凑、排放达标、运行费低等显著特点。其作用原理为：含尘气体进入除尘器灰斗后，由于气流断面突然扩大及气流分布板作用，气流中一部分粗大颗粒在动和惯性力作用下沉降在灰斗；粒度细、密度小的尘粒进入滤尘室后，通过布朗扩散和筛滤等组合效应，使粉尘沉积在滤料表面上，净化后的气体进入净气室由排气管经风机排出。</w:t>
            </w:r>
          </w:p>
          <w:p w14:paraId="55887F66">
            <w:pPr>
              <w:widowControl w:val="0"/>
              <w:tabs>
                <w:tab w:val="left" w:pos="5400"/>
              </w:tabs>
              <w:topLinePunct/>
              <w:spacing w:after="0" w:line="360" w:lineRule="auto"/>
              <w:ind w:firstLine="480" w:firstLineChars="200"/>
              <w:jc w:val="both"/>
              <w:rPr>
                <w:rFonts w:ascii="Times New Roman" w:hAnsi="Times New Roman" w:eastAsia="宋体" w:cs="Times New Roman"/>
                <w:color w:val="000000" w:themeColor="text1"/>
                <w:szCs w:val="24"/>
                <w:lang w:val="en-GB"/>
                <w14:textFill>
                  <w14:solidFill>
                    <w14:schemeClr w14:val="tx1"/>
                  </w14:solidFill>
                </w14:textFill>
              </w:rPr>
            </w:pPr>
            <w:r>
              <w:rPr>
                <w:rFonts w:hint="eastAsia" w:ascii="Times New Roman" w:hAnsi="Times New Roman" w:eastAsia="宋体" w:cs="Times New Roman"/>
                <w:color w:val="000000" w:themeColor="text1"/>
                <w:szCs w:val="24"/>
                <w:lang w:val="en-GB"/>
                <w14:textFill>
                  <w14:solidFill>
                    <w14:schemeClr w14:val="tx1"/>
                  </w14:solidFill>
                </w14:textFill>
              </w:rPr>
              <w:t>参照《排污许可证申请与核发技术规范铁路、船舶、航空航天和其他运输设备制造业》（HJ1124-2020）“表 A.6 表面处理（涂装）排污单位废气污染防治推荐可行技术”，该除尘工艺处理喷砂废气属于可行技术。</w:t>
            </w:r>
          </w:p>
          <w:p w14:paraId="039C0BEE">
            <w:pPr>
              <w:widowControl w:val="0"/>
              <w:adjustRightInd w:val="0"/>
              <w:snapToGrid w:val="0"/>
              <w:spacing w:after="0" w:line="360" w:lineRule="auto"/>
              <w:ind w:firstLine="48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非正常工况</w:t>
            </w:r>
          </w:p>
          <w:p w14:paraId="1EF441C6">
            <w:pPr>
              <w:pStyle w:val="19"/>
              <w:keepNext/>
              <w:widowControl w:val="0"/>
              <w:adjustRightInd w:val="0"/>
              <w:spacing w:after="0"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本项目应在主体设备开启之前运行废气收集治理设施</w:t>
            </w:r>
            <w:r>
              <w:rPr>
                <w:rFonts w:hint="eastAsia" w:ascii="Times New Roman" w:hAnsi="Times New Roman" w:eastAsia="宋体" w:cs="Times New Roman"/>
                <w:color w:val="000000" w:themeColor="text1"/>
                <w:sz w:val="24"/>
                <w:szCs w:val="24"/>
                <w:lang w:eastAsia="zh-CN"/>
                <w14:textFill>
                  <w14:solidFill>
                    <w14:schemeClr w14:val="tx1"/>
                  </w14:solidFill>
                </w14:textFill>
              </w:rPr>
              <w:t>且</w:t>
            </w:r>
            <w:r>
              <w:rPr>
                <w:rFonts w:hint="eastAsia" w:ascii="Times New Roman" w:hAnsi="Times New Roman" w:eastAsia="宋体" w:cs="Times New Roman"/>
                <w:color w:val="000000" w:themeColor="text1"/>
                <w:sz w:val="24"/>
                <w:szCs w:val="24"/>
                <w14:textFill>
                  <w14:solidFill>
                    <w14:schemeClr w14:val="tx1"/>
                  </w14:solidFill>
                </w14:textFill>
              </w:rPr>
              <w:t>在停车之后仍保持废气设施运转，确保设备内部的废气有效收集处理，因此，可避免开、停车状态下的非正常排放。主要分析</w:t>
            </w:r>
            <w:r>
              <w:rPr>
                <w:rFonts w:hint="eastAsia" w:ascii="Times New Roman" w:hAnsi="Times New Roman" w:eastAsia="宋体" w:cs="Times New Roman"/>
                <w:color w:val="000000" w:themeColor="text1"/>
                <w:sz w:val="24"/>
                <w:szCs w:val="24"/>
                <w:lang w:val="en-GB"/>
                <w14:textFill>
                  <w14:solidFill>
                    <w14:schemeClr w14:val="tx1"/>
                  </w14:solidFill>
                </w14:textFill>
              </w:rPr>
              <w:t>滤筒除尘器中的滤筒损坏，</w:t>
            </w:r>
            <w:r>
              <w:rPr>
                <w:rFonts w:hint="eastAsia" w:ascii="Times New Roman" w:hAnsi="Times New Roman" w:eastAsia="宋体" w:cs="Times New Roman"/>
                <w:color w:val="000000" w:themeColor="text1"/>
                <w:sz w:val="24"/>
                <w:szCs w:val="24"/>
                <w14:textFill>
                  <w14:solidFill>
                    <w14:schemeClr w14:val="tx1"/>
                  </w14:solidFill>
                </w14:textFill>
              </w:rPr>
              <w:t>导致的废气非正常排放情形，本评价按50%的处理率进行计算</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每年发生1次，持续时间1h。</w:t>
            </w:r>
          </w:p>
          <w:p w14:paraId="1C7CA976">
            <w:pPr>
              <w:pStyle w:val="19"/>
              <w:keepNext/>
              <w:widowControl w:val="0"/>
              <w:adjustRightInd w:val="0"/>
              <w:spacing w:after="0"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p>
          <w:p w14:paraId="7F2E2B6F">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表4.2-</w:t>
            </w:r>
            <w:r>
              <w:rPr>
                <w:rFonts w:hint="eastAsia"/>
                <w:color w:val="000000" w:themeColor="text1"/>
                <w14:textFill>
                  <w14:solidFill>
                    <w14:schemeClr w14:val="tx1"/>
                  </w14:solidFill>
                </w14:textFill>
              </w:rPr>
              <w:t xml:space="preserve">4  </w:t>
            </w:r>
            <w:r>
              <w:rPr>
                <w:color w:val="000000" w:themeColor="text1"/>
                <w14:textFill>
                  <w14:solidFill>
                    <w14:schemeClr w14:val="tx1"/>
                  </w14:solidFill>
                </w14:textFill>
              </w:rPr>
              <w:t>非正常工况污染源强排放情况</w:t>
            </w:r>
          </w:p>
          <w:tbl>
            <w:tblPr>
              <w:tblStyle w:val="226"/>
              <w:tblW w:w="86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05"/>
              <w:gridCol w:w="2122"/>
              <w:gridCol w:w="1001"/>
              <w:gridCol w:w="1109"/>
              <w:gridCol w:w="1118"/>
              <w:gridCol w:w="1256"/>
            </w:tblGrid>
            <w:tr w14:paraId="3B7AD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restart"/>
                  <w:vAlign w:val="center"/>
                </w:tcPr>
                <w:p w14:paraId="497E66A7">
                  <w:pPr>
                    <w:pStyle w:val="221"/>
                    <w:rPr>
                      <w:color w:val="000000" w:themeColor="text1"/>
                      <w14:textFill>
                        <w14:solidFill>
                          <w14:schemeClr w14:val="tx1"/>
                        </w14:solidFill>
                      </w14:textFill>
                    </w:rPr>
                  </w:pPr>
                  <w:r>
                    <w:rPr>
                      <w:color w:val="000000" w:themeColor="text1"/>
                      <w14:textFill>
                        <w14:solidFill>
                          <w14:schemeClr w14:val="tx1"/>
                        </w14:solidFill>
                      </w14:textFill>
                    </w:rPr>
                    <w:t>污染因子</w:t>
                  </w:r>
                </w:p>
              </w:tc>
              <w:tc>
                <w:tcPr>
                  <w:tcW w:w="1305" w:type="dxa"/>
                  <w:vMerge w:val="restart"/>
                  <w:vAlign w:val="center"/>
                </w:tcPr>
                <w:p w14:paraId="61823462">
                  <w:pPr>
                    <w:pStyle w:val="221"/>
                    <w:rPr>
                      <w:color w:val="000000" w:themeColor="text1"/>
                      <w14:textFill>
                        <w14:solidFill>
                          <w14:schemeClr w14:val="tx1"/>
                        </w14:solidFill>
                      </w14:textFill>
                    </w:rPr>
                  </w:pPr>
                  <w:r>
                    <w:rPr>
                      <w:color w:val="000000" w:themeColor="text1"/>
                      <w14:textFill>
                        <w14:solidFill>
                          <w14:schemeClr w14:val="tx1"/>
                        </w14:solidFill>
                      </w14:textFill>
                    </w:rPr>
                    <w:t>污染来源</w:t>
                  </w:r>
                </w:p>
              </w:tc>
              <w:tc>
                <w:tcPr>
                  <w:tcW w:w="2122" w:type="dxa"/>
                  <w:vMerge w:val="restart"/>
                  <w:vAlign w:val="center"/>
                </w:tcPr>
                <w:p w14:paraId="0471F911">
                  <w:pPr>
                    <w:pStyle w:val="221"/>
                    <w:rPr>
                      <w:color w:val="000000" w:themeColor="text1"/>
                      <w14:textFill>
                        <w14:solidFill>
                          <w14:schemeClr w14:val="tx1"/>
                        </w14:solidFill>
                      </w14:textFill>
                    </w:rPr>
                  </w:pPr>
                  <w:r>
                    <w:rPr>
                      <w:color w:val="000000" w:themeColor="text1"/>
                      <w14:textFill>
                        <w14:solidFill>
                          <w14:schemeClr w14:val="tx1"/>
                        </w14:solidFill>
                      </w14:textFill>
                    </w:rPr>
                    <w:t>治理设施</w:t>
                  </w:r>
                </w:p>
              </w:tc>
              <w:tc>
                <w:tcPr>
                  <w:tcW w:w="3228" w:type="dxa"/>
                  <w:gridSpan w:val="3"/>
                  <w:vAlign w:val="center"/>
                </w:tcPr>
                <w:p w14:paraId="74E9BAF4">
                  <w:pPr>
                    <w:pStyle w:val="221"/>
                    <w:rPr>
                      <w:color w:val="000000" w:themeColor="text1"/>
                      <w14:textFill>
                        <w14:solidFill>
                          <w14:schemeClr w14:val="tx1"/>
                        </w14:solidFill>
                      </w14:textFill>
                    </w:rPr>
                  </w:pPr>
                  <w:r>
                    <w:rPr>
                      <w:color w:val="000000" w:themeColor="text1"/>
                      <w14:textFill>
                        <w14:solidFill>
                          <w14:schemeClr w14:val="tx1"/>
                        </w14:solidFill>
                      </w14:textFill>
                    </w:rPr>
                    <w:t>排放情况</w:t>
                  </w:r>
                </w:p>
              </w:tc>
              <w:tc>
                <w:tcPr>
                  <w:tcW w:w="1256" w:type="dxa"/>
                  <w:vMerge w:val="restart"/>
                  <w:vAlign w:val="center"/>
                </w:tcPr>
                <w:p w14:paraId="5D543EC3">
                  <w:pPr>
                    <w:pStyle w:val="221"/>
                    <w:rPr>
                      <w:color w:val="000000" w:themeColor="text1"/>
                      <w14:textFill>
                        <w14:solidFill>
                          <w14:schemeClr w14:val="tx1"/>
                        </w14:solidFill>
                      </w14:textFill>
                    </w:rPr>
                  </w:pPr>
                  <w:r>
                    <w:rPr>
                      <w:color w:val="000000" w:themeColor="text1"/>
                      <w14:textFill>
                        <w14:solidFill>
                          <w14:schemeClr w14:val="tx1"/>
                        </w14:solidFill>
                      </w14:textFill>
                    </w:rPr>
                    <w:t>排放形式</w:t>
                  </w:r>
                </w:p>
              </w:tc>
            </w:tr>
            <w:tr w14:paraId="688BF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Merge w:val="continue"/>
                  <w:vAlign w:val="center"/>
                </w:tcPr>
                <w:p w14:paraId="6EBF307E">
                  <w:pPr>
                    <w:pStyle w:val="221"/>
                    <w:rPr>
                      <w:color w:val="000000" w:themeColor="text1"/>
                      <w14:textFill>
                        <w14:solidFill>
                          <w14:schemeClr w14:val="tx1"/>
                        </w14:solidFill>
                      </w14:textFill>
                    </w:rPr>
                  </w:pPr>
                </w:p>
              </w:tc>
              <w:tc>
                <w:tcPr>
                  <w:tcW w:w="1305" w:type="dxa"/>
                  <w:vMerge w:val="continue"/>
                  <w:vAlign w:val="center"/>
                </w:tcPr>
                <w:p w14:paraId="60351627">
                  <w:pPr>
                    <w:pStyle w:val="221"/>
                    <w:rPr>
                      <w:color w:val="000000" w:themeColor="text1"/>
                      <w14:textFill>
                        <w14:solidFill>
                          <w14:schemeClr w14:val="tx1"/>
                        </w14:solidFill>
                      </w14:textFill>
                    </w:rPr>
                  </w:pPr>
                </w:p>
              </w:tc>
              <w:tc>
                <w:tcPr>
                  <w:tcW w:w="2122" w:type="dxa"/>
                  <w:vMerge w:val="continue"/>
                  <w:vAlign w:val="center"/>
                </w:tcPr>
                <w:p w14:paraId="7835A334">
                  <w:pPr>
                    <w:pStyle w:val="221"/>
                    <w:rPr>
                      <w:color w:val="000000" w:themeColor="text1"/>
                      <w14:textFill>
                        <w14:solidFill>
                          <w14:schemeClr w14:val="tx1"/>
                        </w14:solidFill>
                      </w14:textFill>
                    </w:rPr>
                  </w:pPr>
                </w:p>
              </w:tc>
              <w:tc>
                <w:tcPr>
                  <w:tcW w:w="1001" w:type="dxa"/>
                  <w:vAlign w:val="center"/>
                </w:tcPr>
                <w:p w14:paraId="0307BF05">
                  <w:pPr>
                    <w:pStyle w:val="221"/>
                    <w:rPr>
                      <w:color w:val="000000" w:themeColor="text1"/>
                      <w14:textFill>
                        <w14:solidFill>
                          <w14:schemeClr w14:val="tx1"/>
                        </w14:solidFill>
                      </w14:textFill>
                    </w:rPr>
                  </w:pPr>
                  <w:r>
                    <w:rPr>
                      <w:color w:val="000000" w:themeColor="text1"/>
                      <w14:textFill>
                        <w14:solidFill>
                          <w14:schemeClr w14:val="tx1"/>
                        </w14:solidFill>
                      </w14:textFill>
                    </w:rPr>
                    <w:t>排放量（</w:t>
                  </w:r>
                  <w:r>
                    <w:rPr>
                      <w:rFonts w:hint="eastAsia"/>
                      <w:color w:val="000000" w:themeColor="text1"/>
                      <w14:textFill>
                        <w14:solidFill>
                          <w14:schemeClr w14:val="tx1"/>
                        </w14:solidFill>
                      </w14:textFill>
                    </w:rPr>
                    <w:t>kg</w:t>
                  </w:r>
                  <w:r>
                    <w:rPr>
                      <w:color w:val="000000" w:themeColor="text1"/>
                      <w14:textFill>
                        <w14:solidFill>
                          <w14:schemeClr w14:val="tx1"/>
                        </w14:solidFill>
                      </w14:textFill>
                    </w:rPr>
                    <w:t>）</w:t>
                  </w:r>
                </w:p>
              </w:tc>
              <w:tc>
                <w:tcPr>
                  <w:tcW w:w="1109" w:type="dxa"/>
                  <w:vAlign w:val="center"/>
                </w:tcPr>
                <w:p w14:paraId="5BC0483B">
                  <w:pPr>
                    <w:pStyle w:val="221"/>
                    <w:rPr>
                      <w:color w:val="000000" w:themeColor="text1"/>
                      <w14:textFill>
                        <w14:solidFill>
                          <w14:schemeClr w14:val="tx1"/>
                        </w14:solidFill>
                      </w14:textFill>
                    </w:rPr>
                  </w:pPr>
                  <w:r>
                    <w:rPr>
                      <w:color w:val="000000" w:themeColor="text1"/>
                      <w14:textFill>
                        <w14:solidFill>
                          <w14:schemeClr w14:val="tx1"/>
                        </w14:solidFill>
                      </w14:textFill>
                    </w:rPr>
                    <w:t>排放速率（kg/h）</w:t>
                  </w:r>
                </w:p>
              </w:tc>
              <w:tc>
                <w:tcPr>
                  <w:tcW w:w="1118" w:type="dxa"/>
                  <w:vAlign w:val="center"/>
                </w:tcPr>
                <w:p w14:paraId="5A98125C">
                  <w:pPr>
                    <w:pStyle w:val="221"/>
                    <w:rPr>
                      <w:color w:val="000000" w:themeColor="text1"/>
                      <w14:textFill>
                        <w14:solidFill>
                          <w14:schemeClr w14:val="tx1"/>
                        </w14:solidFill>
                      </w14:textFill>
                    </w:rPr>
                  </w:pPr>
                  <w:r>
                    <w:rPr>
                      <w:color w:val="000000" w:themeColor="text1"/>
                      <w14:textFill>
                        <w14:solidFill>
                          <w14:schemeClr w14:val="tx1"/>
                        </w14:solidFill>
                      </w14:textFill>
                    </w:rPr>
                    <w:t>排放浓度mg/m</w:t>
                  </w:r>
                  <w:r>
                    <w:rPr>
                      <w:color w:val="000000" w:themeColor="text1"/>
                      <w:vertAlign w:val="superscript"/>
                      <w14:textFill>
                        <w14:solidFill>
                          <w14:schemeClr w14:val="tx1"/>
                        </w14:solidFill>
                      </w14:textFill>
                    </w:rPr>
                    <w:t>3</w:t>
                  </w:r>
                </w:p>
              </w:tc>
              <w:tc>
                <w:tcPr>
                  <w:tcW w:w="1256" w:type="dxa"/>
                  <w:vMerge w:val="continue"/>
                  <w:vAlign w:val="center"/>
                </w:tcPr>
                <w:p w14:paraId="593EA527">
                  <w:pPr>
                    <w:pStyle w:val="221"/>
                    <w:rPr>
                      <w:color w:val="000000" w:themeColor="text1"/>
                      <w14:textFill>
                        <w14:solidFill>
                          <w14:schemeClr w14:val="tx1"/>
                        </w14:solidFill>
                      </w14:textFill>
                    </w:rPr>
                  </w:pPr>
                </w:p>
              </w:tc>
            </w:tr>
            <w:tr w14:paraId="7D69E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6C020ED2">
                  <w:pPr>
                    <w:pStyle w:val="221"/>
                    <w:rPr>
                      <w:color w:val="000000" w:themeColor="text1"/>
                      <w14:textFill>
                        <w14:solidFill>
                          <w14:schemeClr w14:val="tx1"/>
                        </w14:solidFill>
                      </w14:textFill>
                    </w:rPr>
                  </w:pPr>
                  <w:r>
                    <w:rPr>
                      <w:color w:val="000000" w:themeColor="text1"/>
                      <w14:textFill>
                        <w14:solidFill>
                          <w14:schemeClr w14:val="tx1"/>
                        </w14:solidFill>
                      </w14:textFill>
                    </w:rPr>
                    <w:t>颗</w:t>
                  </w:r>
                </w:p>
                <w:p w14:paraId="10E012F5">
                  <w:pPr>
                    <w:pStyle w:val="221"/>
                    <w:rPr>
                      <w:color w:val="000000" w:themeColor="text1"/>
                      <w14:textFill>
                        <w14:solidFill>
                          <w14:schemeClr w14:val="tx1"/>
                        </w14:solidFill>
                      </w14:textFill>
                    </w:rPr>
                  </w:pPr>
                  <w:r>
                    <w:rPr>
                      <w:color w:val="000000" w:themeColor="text1"/>
                      <w14:textFill>
                        <w14:solidFill>
                          <w14:schemeClr w14:val="tx1"/>
                        </w14:solidFill>
                      </w14:textFill>
                    </w:rPr>
                    <w:t>粒</w:t>
                  </w:r>
                </w:p>
                <w:p w14:paraId="6908B429">
                  <w:pPr>
                    <w:pStyle w:val="221"/>
                    <w:rPr>
                      <w:color w:val="000000" w:themeColor="text1"/>
                      <w14:textFill>
                        <w14:solidFill>
                          <w14:schemeClr w14:val="tx1"/>
                        </w14:solidFill>
                      </w14:textFill>
                    </w:rPr>
                  </w:pPr>
                  <w:r>
                    <w:rPr>
                      <w:color w:val="000000" w:themeColor="text1"/>
                      <w14:textFill>
                        <w14:solidFill>
                          <w14:schemeClr w14:val="tx1"/>
                        </w14:solidFill>
                      </w14:textFill>
                    </w:rPr>
                    <w:t>物</w:t>
                  </w:r>
                </w:p>
              </w:tc>
              <w:tc>
                <w:tcPr>
                  <w:tcW w:w="1305" w:type="dxa"/>
                  <w:vAlign w:val="center"/>
                </w:tcPr>
                <w:p w14:paraId="6F24509E">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喷砂</w:t>
                  </w:r>
                </w:p>
              </w:tc>
              <w:tc>
                <w:tcPr>
                  <w:tcW w:w="2122" w:type="dxa"/>
                  <w:vAlign w:val="center"/>
                </w:tcPr>
                <w:p w14:paraId="47815FFE">
                  <w:pPr>
                    <w:pStyle w:val="221"/>
                    <w:rPr>
                      <w:color w:val="000000" w:themeColor="text1"/>
                      <w14:textFill>
                        <w14:solidFill>
                          <w14:schemeClr w14:val="tx1"/>
                        </w14:solidFill>
                      </w14:textFill>
                    </w:rPr>
                  </w:pPr>
                  <w:r>
                    <w:rPr>
                      <w:rFonts w:hint="eastAsia"/>
                      <w:color w:val="000000" w:themeColor="text1"/>
                      <w:lang w:val="en-GB"/>
                      <w14:textFill>
                        <w14:solidFill>
                          <w14:schemeClr w14:val="tx1"/>
                        </w14:solidFill>
                      </w14:textFill>
                    </w:rPr>
                    <w:t>滤筒除尘器中的滤筒损坏，处理效率降至50%</w:t>
                  </w:r>
                </w:p>
              </w:tc>
              <w:tc>
                <w:tcPr>
                  <w:tcW w:w="1001" w:type="dxa"/>
                  <w:vAlign w:val="center"/>
                </w:tcPr>
                <w:p w14:paraId="00ED14D1">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0.519</w:t>
                  </w:r>
                </w:p>
              </w:tc>
              <w:tc>
                <w:tcPr>
                  <w:tcW w:w="1109" w:type="dxa"/>
                  <w:vAlign w:val="center"/>
                </w:tcPr>
                <w:p w14:paraId="62F7A13F">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0.519</w:t>
                  </w:r>
                </w:p>
              </w:tc>
              <w:tc>
                <w:tcPr>
                  <w:tcW w:w="1118" w:type="dxa"/>
                  <w:vAlign w:val="center"/>
                </w:tcPr>
                <w:p w14:paraId="13064FB7">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173.1</w:t>
                  </w:r>
                </w:p>
              </w:tc>
              <w:tc>
                <w:tcPr>
                  <w:tcW w:w="1256" w:type="dxa"/>
                  <w:vAlign w:val="center"/>
                </w:tcPr>
                <w:p w14:paraId="25D4C305">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有</w:t>
                  </w:r>
                  <w:r>
                    <w:rPr>
                      <w:color w:val="000000" w:themeColor="text1"/>
                      <w14:textFill>
                        <w14:solidFill>
                          <w14:schemeClr w14:val="tx1"/>
                        </w14:solidFill>
                      </w14:textFill>
                    </w:rPr>
                    <w:t>组织</w:t>
                  </w:r>
                </w:p>
              </w:tc>
            </w:tr>
          </w:tbl>
          <w:p w14:paraId="371924AD">
            <w:pPr>
              <w:pStyle w:val="223"/>
              <w:spacing w:before="120"/>
              <w:ind w:firstLine="480"/>
            </w:pPr>
            <w:r>
              <w:t>为预防此类工况发生，除确保生产设备和施工安装质量先进可靠外，还需要加强管理，做好设备的日常维护、保养工作，定期检查环保设施的运行情况，定期检测，确保污染物能够达标排放，同时严格按照操作规程生产，可减少此类非正常工况的发生。</w:t>
            </w:r>
          </w:p>
          <w:p w14:paraId="680A4567">
            <w:pPr>
              <w:pStyle w:val="225"/>
              <w:ind w:firstLine="480"/>
            </w:pPr>
            <w:r>
              <w:rPr>
                <w:rFonts w:hint="eastAsia"/>
              </w:rPr>
              <w:t>4、达标排放分析</w:t>
            </w:r>
          </w:p>
          <w:p w14:paraId="2109117B">
            <w:pPr>
              <w:pStyle w:val="225"/>
              <w:ind w:firstLine="480"/>
              <w:rPr>
                <w:rFonts w:hint="eastAsia" w:ascii="宋体" w:hAnsi="宋体" w:cs="宋体"/>
                <w:color w:val="000000" w:themeColor="text1"/>
                <w14:textFill>
                  <w14:solidFill>
                    <w14:schemeClr w14:val="tx1"/>
                  </w14:solidFill>
                </w14:textFill>
              </w:rPr>
            </w:pPr>
            <w:r>
              <w:rPr>
                <w:rFonts w:ascii="宋体" w:hAnsi="宋体" w:cs="宋体"/>
                <w:color w:val="000000" w:themeColor="text1"/>
                <w:lang w:val="en-US"/>
                <w14:textFill>
                  <w14:solidFill>
                    <w14:schemeClr w14:val="tx1"/>
                  </w14:solidFill>
                </w14:textFill>
              </w:rPr>
              <w:t>依据源强核算分析可知</w:t>
            </w:r>
            <w:r>
              <w:rPr>
                <w:rFonts w:hint="eastAsia" w:ascii="宋体" w:hAnsi="宋体" w:cs="宋体"/>
                <w:color w:val="000000" w:themeColor="text1"/>
                <w:lang w:val="en-US"/>
                <w14:textFill>
                  <w14:solidFill>
                    <w14:schemeClr w14:val="tx1"/>
                  </w14:solidFill>
                </w14:textFill>
              </w:rPr>
              <w:t>，项目粉尘经</w:t>
            </w:r>
            <w:r>
              <w:rPr>
                <w:rFonts w:hint="eastAsia" w:ascii="宋体" w:hAnsi="宋体" w:cs="宋体"/>
                <w:color w:val="000000" w:themeColor="text1"/>
                <w:lang w:val="en-GB"/>
                <w14:textFill>
                  <w14:solidFill>
                    <w14:schemeClr w14:val="tx1"/>
                  </w14:solidFill>
                </w14:textFill>
              </w:rPr>
              <w:t>滤筒</w:t>
            </w:r>
            <w:r>
              <w:rPr>
                <w:rFonts w:hint="eastAsia" w:ascii="宋体" w:hAnsi="宋体" w:cs="宋体"/>
                <w:color w:val="000000" w:themeColor="text1"/>
                <w:lang w:val="en-US"/>
                <w14:textFill>
                  <w14:solidFill>
                    <w14:schemeClr w14:val="tx1"/>
                  </w14:solidFill>
                </w14:textFill>
              </w:rPr>
              <w:t>除尘器处理后均可做到达标排放，</w:t>
            </w:r>
            <w:r>
              <w:rPr>
                <w:rFonts w:ascii="宋体" w:hAnsi="宋体" w:cs="宋体"/>
                <w:color w:val="000000" w:themeColor="text1"/>
                <w:lang w:val="en-US"/>
                <w14:textFill>
                  <w14:solidFill>
                    <w14:schemeClr w14:val="tx1"/>
                  </w14:solidFill>
                </w14:textFill>
              </w:rPr>
              <w:t>可以</w:t>
            </w:r>
            <w:r>
              <w:rPr>
                <w:rFonts w:hint="eastAsia" w:ascii="宋体" w:hAnsi="宋体" w:cs="宋体"/>
                <w:color w:val="000000" w:themeColor="text1"/>
                <w:lang w:val="en-US"/>
                <w14:textFill>
                  <w14:solidFill>
                    <w14:schemeClr w14:val="tx1"/>
                  </w14:solidFill>
                </w14:textFill>
              </w:rPr>
              <w:t>满足</w:t>
            </w:r>
            <w:r>
              <w:rPr>
                <w:rFonts w:ascii="宋体" w:hAnsi="宋体" w:cs="宋体"/>
                <w:color w:val="000000" w:themeColor="text1"/>
                <w:lang w:val="en-US"/>
                <w14:textFill>
                  <w14:solidFill>
                    <w14:schemeClr w14:val="tx1"/>
                  </w14:solidFill>
                </w14:textFill>
              </w:rPr>
              <w:t>《大气污染物综合排放标准》</w:t>
            </w:r>
            <w:r>
              <w:t>（GB16297-1996）</w:t>
            </w:r>
            <w:r>
              <w:rPr>
                <w:rFonts w:ascii="宋体" w:hAnsi="宋体" w:cs="宋体"/>
                <w:color w:val="000000" w:themeColor="text1"/>
                <w:lang w:val="en-US"/>
                <w14:textFill>
                  <w14:solidFill>
                    <w14:schemeClr w14:val="tx1"/>
                  </w14:solidFill>
                </w14:textFill>
              </w:rPr>
              <w:t>中表2新建污染源大气污染物排放限值</w:t>
            </w:r>
            <w:r>
              <w:rPr>
                <w:rFonts w:hint="eastAsia" w:ascii="宋体" w:hAnsi="宋体" w:cs="宋体"/>
                <w:color w:val="000000" w:themeColor="text1"/>
                <w:lang w:val="en-US"/>
                <w14:textFill>
                  <w14:solidFill>
                    <w14:schemeClr w14:val="tx1"/>
                  </w14:solidFill>
                </w14:textFill>
              </w:rPr>
              <w:t>。</w:t>
            </w:r>
          </w:p>
          <w:p w14:paraId="3E79AE10">
            <w:pPr>
              <w:widowControl w:val="0"/>
              <w:tabs>
                <w:tab w:val="left" w:pos="5400"/>
              </w:tabs>
              <w:topLinePunct/>
              <w:spacing w:after="0" w:line="360" w:lineRule="auto"/>
              <w:ind w:firstLine="480" w:firstLineChars="200"/>
              <w:jc w:val="both"/>
              <w:rPr>
                <w:rFonts w:ascii="Times New Roman" w:hAnsi="Times New Roman" w:eastAsia="宋体" w:cs="Times New Roman"/>
                <w:color w:val="000000" w:themeColor="text1"/>
                <w:szCs w:val="24"/>
                <w:lang w:val="en-GB"/>
                <w14:textFill>
                  <w14:solidFill>
                    <w14:schemeClr w14:val="tx1"/>
                  </w14:solidFill>
                </w14:textFill>
              </w:rPr>
            </w:pPr>
            <w:r>
              <w:rPr>
                <w:rFonts w:hint="eastAsia" w:ascii="Times New Roman" w:hAnsi="Times New Roman" w:eastAsia="宋体" w:cs="Times New Roman"/>
                <w:color w:val="000000" w:themeColor="text1"/>
                <w:szCs w:val="24"/>
                <w:lang w:val="en-GB"/>
                <w14:textFill>
                  <w14:solidFill>
                    <w14:schemeClr w14:val="tx1"/>
                  </w14:solidFill>
                </w14:textFill>
              </w:rPr>
              <w:t>5、</w:t>
            </w:r>
            <w:r>
              <w:rPr>
                <w:rFonts w:ascii="Times New Roman" w:hAnsi="Times New Roman" w:eastAsia="宋体" w:cs="Times New Roman"/>
                <w:color w:val="000000" w:themeColor="text1"/>
                <w:szCs w:val="24"/>
                <w:lang w:val="en-GB"/>
                <w14:textFill>
                  <w14:solidFill>
                    <w14:schemeClr w14:val="tx1"/>
                  </w14:solidFill>
                </w14:textFill>
              </w:rPr>
              <w:t>监测要求</w:t>
            </w:r>
          </w:p>
          <w:p w14:paraId="7B9379FB">
            <w:pPr>
              <w:pStyle w:val="175"/>
              <w:widowControl w:val="0"/>
              <w:topLinePunct/>
              <w:spacing w:after="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bCs/>
                <w:color w:val="000000" w:themeColor="text1"/>
                <w:szCs w:val="24"/>
                <w14:textFill>
                  <w14:solidFill>
                    <w14:schemeClr w14:val="tx1"/>
                  </w14:solidFill>
                </w14:textFill>
              </w:rPr>
              <w:t>根据《固定污染源排污许可分类管理名录》，项目属于登记管理，无需进行自行监测</w:t>
            </w:r>
            <w:r>
              <w:rPr>
                <w:rFonts w:ascii="Times New Roman" w:hAnsi="Times New Roman" w:eastAsia="宋体" w:cs="Times New Roman"/>
                <w:color w:val="000000" w:themeColor="text1"/>
                <w:szCs w:val="24"/>
                <w14:textFill>
                  <w14:solidFill>
                    <w14:schemeClr w14:val="tx1"/>
                  </w14:solidFill>
                </w14:textFill>
              </w:rPr>
              <w:t>。</w:t>
            </w:r>
          </w:p>
          <w:p w14:paraId="4B4D173C">
            <w:pPr>
              <w:pStyle w:val="4"/>
              <w:keepNext w:val="0"/>
              <w:keepLines w:val="0"/>
              <w:widowControl w:val="0"/>
              <w:topLinePunct/>
              <w:spacing w:before="0" w:line="360" w:lineRule="auto"/>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4.2.</w:t>
            </w:r>
            <w:r>
              <w:rPr>
                <w:rFonts w:hint="eastAsia" w:ascii="Times New Roman" w:hAnsi="Times New Roman" w:eastAsia="宋体" w:cs="Times New Roman"/>
                <w:b/>
                <w:bCs/>
                <w:color w:val="000000" w:themeColor="text1"/>
                <w14:textFill>
                  <w14:solidFill>
                    <w14:schemeClr w14:val="tx1"/>
                  </w14:solidFill>
                </w14:textFill>
              </w:rPr>
              <w:t>2</w:t>
            </w:r>
            <w:r>
              <w:rPr>
                <w:rFonts w:ascii="Times New Roman" w:hAnsi="Times New Roman" w:eastAsia="宋体" w:cs="Times New Roman"/>
                <w:b/>
                <w:bCs/>
                <w:color w:val="000000" w:themeColor="text1"/>
                <w14:textFill>
                  <w14:solidFill>
                    <w14:schemeClr w14:val="tx1"/>
                  </w14:solidFill>
                </w14:textFill>
              </w:rPr>
              <w:t xml:space="preserve"> 运营期噪声影响分析和防范措施</w:t>
            </w:r>
          </w:p>
          <w:p w14:paraId="14EFD12B">
            <w:pPr>
              <w:pStyle w:val="225"/>
              <w:ind w:firstLine="480"/>
            </w:pPr>
            <w:r>
              <w:rPr>
                <w:rFonts w:hint="eastAsia"/>
              </w:rPr>
              <w:t>1、</w:t>
            </w:r>
            <w:r>
              <w:t>噪声源强分析</w:t>
            </w:r>
          </w:p>
          <w:p w14:paraId="37EF306B">
            <w:pPr>
              <w:pStyle w:val="225"/>
              <w:ind w:firstLine="480"/>
            </w:pPr>
            <w:r>
              <w:rPr>
                <w:lang w:val="en-US"/>
              </w:rPr>
              <w:t>项目噪声源主要为</w:t>
            </w:r>
            <w:r>
              <w:rPr>
                <w:rFonts w:hint="eastAsia"/>
                <w:lang w:val="en-US"/>
              </w:rPr>
              <w:t>喷砂房运行时产生的噪声，由于喷漆项目正在建设，本次评价将喷漆项目各设备一起计算预测，</w:t>
            </w:r>
            <w:r>
              <w:t>各噪声源</w:t>
            </w:r>
            <w:r>
              <w:rPr>
                <w:rFonts w:hint="eastAsia"/>
              </w:rPr>
              <w:t>情况</w:t>
            </w:r>
            <w:r>
              <w:t>见表4.2-</w:t>
            </w:r>
            <w:r>
              <w:rPr>
                <w:rFonts w:hint="eastAsia"/>
              </w:rPr>
              <w:t>5</w:t>
            </w:r>
            <w:r>
              <w:t>。</w:t>
            </w:r>
          </w:p>
          <w:p w14:paraId="1107656D">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表4.2-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室内主要噪声设备声级特性 单位：dB（A）</w:t>
            </w:r>
          </w:p>
          <w:tbl>
            <w:tblPr>
              <w:tblStyle w:val="168"/>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
              <w:gridCol w:w="438"/>
              <w:gridCol w:w="1073"/>
              <w:gridCol w:w="708"/>
              <w:gridCol w:w="960"/>
              <w:gridCol w:w="1173"/>
              <w:gridCol w:w="563"/>
              <w:gridCol w:w="821"/>
              <w:gridCol w:w="584"/>
              <w:gridCol w:w="584"/>
              <w:gridCol w:w="682"/>
              <w:gridCol w:w="584"/>
            </w:tblGrid>
            <w:tr w14:paraId="02366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restart"/>
                  <w:vAlign w:val="center"/>
                </w:tcPr>
                <w:p w14:paraId="43DB84DF">
                  <w:pPr>
                    <w:pStyle w:val="221"/>
                  </w:pPr>
                  <w:r>
                    <w:t>序 号</w:t>
                  </w:r>
                </w:p>
              </w:tc>
              <w:tc>
                <w:tcPr>
                  <w:tcW w:w="438" w:type="dxa"/>
                  <w:vMerge w:val="restart"/>
                  <w:vAlign w:val="center"/>
                </w:tcPr>
                <w:p w14:paraId="49552F09">
                  <w:pPr>
                    <w:pStyle w:val="221"/>
                  </w:pPr>
                  <w:r>
                    <w:t>建 筑 物 名 称</w:t>
                  </w:r>
                </w:p>
              </w:tc>
              <w:tc>
                <w:tcPr>
                  <w:tcW w:w="1073" w:type="dxa"/>
                  <w:vMerge w:val="restart"/>
                  <w:vAlign w:val="center"/>
                </w:tcPr>
                <w:p w14:paraId="27E5B46A">
                  <w:pPr>
                    <w:pStyle w:val="221"/>
                  </w:pPr>
                  <w:r>
                    <w:t>声源名称</w:t>
                  </w:r>
                </w:p>
              </w:tc>
              <w:tc>
                <w:tcPr>
                  <w:tcW w:w="708" w:type="dxa"/>
                  <w:vMerge w:val="restart"/>
                  <w:vAlign w:val="center"/>
                </w:tcPr>
                <w:p w14:paraId="0A1B42CD">
                  <w:pPr>
                    <w:pStyle w:val="221"/>
                  </w:pPr>
                  <w:r>
                    <w:t>数 量</w:t>
                  </w:r>
                </w:p>
              </w:tc>
              <w:tc>
                <w:tcPr>
                  <w:tcW w:w="960" w:type="dxa"/>
                  <w:vMerge w:val="restart"/>
                  <w:vAlign w:val="center"/>
                </w:tcPr>
                <w:p w14:paraId="3AA3DCA9">
                  <w:pPr>
                    <w:pStyle w:val="221"/>
                  </w:pPr>
                  <w:r>
                    <w:t>声源强</w:t>
                  </w:r>
                  <w:r>
                    <w:rPr>
                      <w:rFonts w:hint="eastAsia"/>
                    </w:rPr>
                    <w:br w:type="textWrapping"/>
                  </w:r>
                  <w:r>
                    <w:t>/dB(A)</w:t>
                  </w:r>
                </w:p>
              </w:tc>
              <w:tc>
                <w:tcPr>
                  <w:tcW w:w="1173" w:type="dxa"/>
                  <w:vMerge w:val="restart"/>
                  <w:vAlign w:val="center"/>
                </w:tcPr>
                <w:p w14:paraId="58CAF2C3">
                  <w:pPr>
                    <w:pStyle w:val="221"/>
                  </w:pPr>
                  <w:r>
                    <w:t>声源控制措施</w:t>
                  </w:r>
                </w:p>
              </w:tc>
              <w:tc>
                <w:tcPr>
                  <w:tcW w:w="563" w:type="dxa"/>
                  <w:vMerge w:val="restart"/>
                  <w:vAlign w:val="center"/>
                </w:tcPr>
                <w:p w14:paraId="4B6335B8">
                  <w:pPr>
                    <w:pStyle w:val="221"/>
                  </w:pPr>
                  <w:r>
                    <w:t>运行 时段</w:t>
                  </w:r>
                </w:p>
              </w:tc>
              <w:tc>
                <w:tcPr>
                  <w:tcW w:w="821" w:type="dxa"/>
                  <w:vMerge w:val="restart"/>
                  <w:vAlign w:val="center"/>
                </w:tcPr>
                <w:p w14:paraId="02410C71">
                  <w:pPr>
                    <w:pStyle w:val="221"/>
                  </w:pPr>
                  <w:r>
                    <w:t>建筑物插入损失/dB(A)</w:t>
                  </w:r>
                </w:p>
              </w:tc>
              <w:tc>
                <w:tcPr>
                  <w:tcW w:w="2434" w:type="dxa"/>
                  <w:gridSpan w:val="4"/>
                  <w:vAlign w:val="center"/>
                </w:tcPr>
                <w:p w14:paraId="518DBD19">
                  <w:pPr>
                    <w:pStyle w:val="221"/>
                  </w:pPr>
                  <w:r>
                    <w:t>建筑物外噪声/dB(A)</w:t>
                  </w:r>
                </w:p>
              </w:tc>
            </w:tr>
            <w:tr w14:paraId="00E60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14:paraId="7AE379C7">
                  <w:pPr>
                    <w:pStyle w:val="221"/>
                  </w:pPr>
                </w:p>
              </w:tc>
              <w:tc>
                <w:tcPr>
                  <w:tcW w:w="438" w:type="dxa"/>
                  <w:vMerge w:val="continue"/>
                  <w:vAlign w:val="center"/>
                </w:tcPr>
                <w:p w14:paraId="5BC2E50F">
                  <w:pPr>
                    <w:pStyle w:val="221"/>
                  </w:pPr>
                </w:p>
              </w:tc>
              <w:tc>
                <w:tcPr>
                  <w:tcW w:w="1073" w:type="dxa"/>
                  <w:vMerge w:val="continue"/>
                  <w:vAlign w:val="center"/>
                </w:tcPr>
                <w:p w14:paraId="21442DBA">
                  <w:pPr>
                    <w:pStyle w:val="221"/>
                  </w:pPr>
                </w:p>
              </w:tc>
              <w:tc>
                <w:tcPr>
                  <w:tcW w:w="708" w:type="dxa"/>
                  <w:vMerge w:val="continue"/>
                  <w:vAlign w:val="center"/>
                </w:tcPr>
                <w:p w14:paraId="57B0E905">
                  <w:pPr>
                    <w:pStyle w:val="221"/>
                  </w:pPr>
                </w:p>
              </w:tc>
              <w:tc>
                <w:tcPr>
                  <w:tcW w:w="960" w:type="dxa"/>
                  <w:vMerge w:val="continue"/>
                  <w:vAlign w:val="center"/>
                </w:tcPr>
                <w:p w14:paraId="6176531D">
                  <w:pPr>
                    <w:pStyle w:val="221"/>
                  </w:pPr>
                </w:p>
              </w:tc>
              <w:tc>
                <w:tcPr>
                  <w:tcW w:w="1173" w:type="dxa"/>
                  <w:vMerge w:val="continue"/>
                  <w:vAlign w:val="center"/>
                </w:tcPr>
                <w:p w14:paraId="093D28F0">
                  <w:pPr>
                    <w:pStyle w:val="221"/>
                  </w:pPr>
                </w:p>
              </w:tc>
              <w:tc>
                <w:tcPr>
                  <w:tcW w:w="563" w:type="dxa"/>
                  <w:vMerge w:val="continue"/>
                  <w:vAlign w:val="center"/>
                </w:tcPr>
                <w:p w14:paraId="7C3A53FB">
                  <w:pPr>
                    <w:pStyle w:val="221"/>
                  </w:pPr>
                </w:p>
              </w:tc>
              <w:tc>
                <w:tcPr>
                  <w:tcW w:w="821" w:type="dxa"/>
                  <w:vMerge w:val="continue"/>
                  <w:vAlign w:val="center"/>
                </w:tcPr>
                <w:p w14:paraId="1C210302">
                  <w:pPr>
                    <w:pStyle w:val="221"/>
                  </w:pPr>
                </w:p>
              </w:tc>
              <w:tc>
                <w:tcPr>
                  <w:tcW w:w="584" w:type="dxa"/>
                  <w:vAlign w:val="center"/>
                </w:tcPr>
                <w:p w14:paraId="54904B44">
                  <w:pPr>
                    <w:pStyle w:val="221"/>
                  </w:pPr>
                  <w:r>
                    <w:t>东侧</w:t>
                  </w:r>
                </w:p>
              </w:tc>
              <w:tc>
                <w:tcPr>
                  <w:tcW w:w="584" w:type="dxa"/>
                  <w:vAlign w:val="center"/>
                </w:tcPr>
                <w:p w14:paraId="712B7A23">
                  <w:pPr>
                    <w:pStyle w:val="221"/>
                  </w:pPr>
                  <w:r>
                    <w:t>南侧</w:t>
                  </w:r>
                </w:p>
              </w:tc>
              <w:tc>
                <w:tcPr>
                  <w:tcW w:w="682" w:type="dxa"/>
                  <w:vAlign w:val="center"/>
                </w:tcPr>
                <w:p w14:paraId="7F233210">
                  <w:pPr>
                    <w:pStyle w:val="221"/>
                  </w:pPr>
                  <w:r>
                    <w:t>西 侧</w:t>
                  </w:r>
                </w:p>
              </w:tc>
              <w:tc>
                <w:tcPr>
                  <w:tcW w:w="584" w:type="dxa"/>
                  <w:vAlign w:val="center"/>
                </w:tcPr>
                <w:p w14:paraId="5151CB65">
                  <w:pPr>
                    <w:pStyle w:val="221"/>
                  </w:pPr>
                  <w:r>
                    <w:t>北 侧</w:t>
                  </w:r>
                </w:p>
              </w:tc>
            </w:tr>
            <w:tr w14:paraId="05689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Align w:val="center"/>
                </w:tcPr>
                <w:p w14:paraId="2A48D917">
                  <w:pPr>
                    <w:pStyle w:val="221"/>
                  </w:pPr>
                  <w:r>
                    <w:rPr>
                      <w:rFonts w:hint="eastAsia"/>
                    </w:rPr>
                    <w:t xml:space="preserve">1 </w:t>
                  </w:r>
                </w:p>
              </w:tc>
              <w:tc>
                <w:tcPr>
                  <w:tcW w:w="438" w:type="dxa"/>
                  <w:vMerge w:val="restart"/>
                  <w:vAlign w:val="center"/>
                </w:tcPr>
                <w:p w14:paraId="1906620F">
                  <w:pPr>
                    <w:pStyle w:val="221"/>
                  </w:pPr>
                  <w:r>
                    <w:t>生产 车 间</w:t>
                  </w:r>
                </w:p>
              </w:tc>
              <w:tc>
                <w:tcPr>
                  <w:tcW w:w="1073" w:type="dxa"/>
                  <w:vAlign w:val="center"/>
                </w:tcPr>
                <w:p w14:paraId="2AE51530">
                  <w:pPr>
                    <w:pStyle w:val="221"/>
                  </w:pPr>
                  <w:r>
                    <w:t>喷粉粉尘二级回收装置(旋风除尘器)</w:t>
                  </w:r>
                </w:p>
              </w:tc>
              <w:tc>
                <w:tcPr>
                  <w:tcW w:w="708" w:type="dxa"/>
                  <w:vAlign w:val="center"/>
                </w:tcPr>
                <w:p w14:paraId="1E72B95B">
                  <w:pPr>
                    <w:pStyle w:val="221"/>
                  </w:pPr>
                  <w:r>
                    <w:t>2台</w:t>
                  </w:r>
                </w:p>
              </w:tc>
              <w:tc>
                <w:tcPr>
                  <w:tcW w:w="960" w:type="dxa"/>
                  <w:vAlign w:val="center"/>
                </w:tcPr>
                <w:p w14:paraId="54D4DBF8">
                  <w:pPr>
                    <w:pStyle w:val="221"/>
                  </w:pPr>
                  <w:r>
                    <w:rPr>
                      <w:rFonts w:hint="eastAsia"/>
                    </w:rPr>
                    <w:t>75</w:t>
                  </w:r>
                </w:p>
              </w:tc>
              <w:tc>
                <w:tcPr>
                  <w:tcW w:w="1173" w:type="dxa"/>
                  <w:vAlign w:val="center"/>
                </w:tcPr>
                <w:p w14:paraId="18ABA1A8">
                  <w:pPr>
                    <w:pStyle w:val="221"/>
                  </w:pPr>
                  <w:r>
                    <w:t>车间墙体隔声和减振(-15dB(A))</w:t>
                  </w:r>
                </w:p>
              </w:tc>
              <w:tc>
                <w:tcPr>
                  <w:tcW w:w="563" w:type="dxa"/>
                  <w:vAlign w:val="center"/>
                </w:tcPr>
                <w:p w14:paraId="40791803">
                  <w:pPr>
                    <w:pStyle w:val="221"/>
                  </w:pPr>
                  <w:r>
                    <w:t>8h</w:t>
                  </w:r>
                </w:p>
              </w:tc>
              <w:tc>
                <w:tcPr>
                  <w:tcW w:w="821" w:type="dxa"/>
                  <w:vAlign w:val="center"/>
                </w:tcPr>
                <w:p w14:paraId="744CC2A9">
                  <w:pPr>
                    <w:pStyle w:val="221"/>
                  </w:pPr>
                  <w:r>
                    <w:rPr>
                      <w:rFonts w:hint="eastAsia"/>
                    </w:rPr>
                    <w:t xml:space="preserve">10 </w:t>
                  </w:r>
                </w:p>
              </w:tc>
              <w:tc>
                <w:tcPr>
                  <w:tcW w:w="584" w:type="dxa"/>
                  <w:vMerge w:val="restart"/>
                  <w:vAlign w:val="center"/>
                </w:tcPr>
                <w:p w14:paraId="63BDBA41">
                  <w:pPr>
                    <w:pStyle w:val="221"/>
                  </w:pPr>
                  <w:r>
                    <w:rPr>
                      <w:rFonts w:hint="eastAsia"/>
                    </w:rPr>
                    <w:t>47.6</w:t>
                  </w:r>
                </w:p>
              </w:tc>
              <w:tc>
                <w:tcPr>
                  <w:tcW w:w="584" w:type="dxa"/>
                  <w:vMerge w:val="restart"/>
                  <w:vAlign w:val="center"/>
                </w:tcPr>
                <w:p w14:paraId="7BDAC777">
                  <w:pPr>
                    <w:pStyle w:val="221"/>
                  </w:pPr>
                  <w:r>
                    <w:rPr>
                      <w:rFonts w:hint="eastAsia"/>
                    </w:rPr>
                    <w:t>71.9</w:t>
                  </w:r>
                </w:p>
              </w:tc>
              <w:tc>
                <w:tcPr>
                  <w:tcW w:w="682" w:type="dxa"/>
                  <w:vMerge w:val="restart"/>
                  <w:vAlign w:val="center"/>
                </w:tcPr>
                <w:p w14:paraId="24A58F56">
                  <w:pPr>
                    <w:pStyle w:val="221"/>
                  </w:pPr>
                  <w:r>
                    <w:rPr>
                      <w:rFonts w:hint="eastAsia"/>
                    </w:rPr>
                    <w:t>54.3</w:t>
                  </w:r>
                </w:p>
              </w:tc>
              <w:tc>
                <w:tcPr>
                  <w:tcW w:w="584" w:type="dxa"/>
                  <w:vMerge w:val="restart"/>
                  <w:vAlign w:val="center"/>
                </w:tcPr>
                <w:p w14:paraId="5E9DE760">
                  <w:pPr>
                    <w:pStyle w:val="221"/>
                  </w:pPr>
                  <w:r>
                    <w:rPr>
                      <w:rFonts w:hint="eastAsia"/>
                    </w:rPr>
                    <w:t>43.0</w:t>
                  </w:r>
                </w:p>
              </w:tc>
            </w:tr>
            <w:tr w14:paraId="6C79F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Align w:val="center"/>
                </w:tcPr>
                <w:p w14:paraId="4AB6824E">
                  <w:pPr>
                    <w:pStyle w:val="221"/>
                  </w:pPr>
                  <w:r>
                    <w:rPr>
                      <w:rFonts w:hint="eastAsia"/>
                    </w:rPr>
                    <w:t xml:space="preserve">2 </w:t>
                  </w:r>
                </w:p>
              </w:tc>
              <w:tc>
                <w:tcPr>
                  <w:tcW w:w="438" w:type="dxa"/>
                  <w:vMerge w:val="continue"/>
                  <w:vAlign w:val="center"/>
                </w:tcPr>
                <w:p w14:paraId="17853D19">
                  <w:pPr>
                    <w:pStyle w:val="221"/>
                  </w:pPr>
                </w:p>
              </w:tc>
              <w:tc>
                <w:tcPr>
                  <w:tcW w:w="1073" w:type="dxa"/>
                  <w:vAlign w:val="center"/>
                </w:tcPr>
                <w:p w14:paraId="52EA1C94">
                  <w:pPr>
                    <w:pStyle w:val="221"/>
                  </w:pPr>
                  <w:r>
                    <w:t>二级活性炭吸附装置</w:t>
                  </w:r>
                </w:p>
              </w:tc>
              <w:tc>
                <w:tcPr>
                  <w:tcW w:w="708" w:type="dxa"/>
                  <w:vAlign w:val="center"/>
                </w:tcPr>
                <w:p w14:paraId="129E0AAD">
                  <w:pPr>
                    <w:pStyle w:val="221"/>
                  </w:pPr>
                  <w:r>
                    <w:t>3套</w:t>
                  </w:r>
                </w:p>
              </w:tc>
              <w:tc>
                <w:tcPr>
                  <w:tcW w:w="960" w:type="dxa"/>
                  <w:vAlign w:val="center"/>
                </w:tcPr>
                <w:p w14:paraId="6621EF58">
                  <w:pPr>
                    <w:pStyle w:val="221"/>
                  </w:pPr>
                  <w:r>
                    <w:rPr>
                      <w:rFonts w:hint="eastAsia"/>
                    </w:rPr>
                    <w:t xml:space="preserve">70 </w:t>
                  </w:r>
                </w:p>
              </w:tc>
              <w:tc>
                <w:tcPr>
                  <w:tcW w:w="1173" w:type="dxa"/>
                  <w:vAlign w:val="center"/>
                </w:tcPr>
                <w:p w14:paraId="23340A95">
                  <w:pPr>
                    <w:pStyle w:val="221"/>
                  </w:pPr>
                  <w:r>
                    <w:t>车间墙体隔声(-10dB(A))</w:t>
                  </w:r>
                </w:p>
              </w:tc>
              <w:tc>
                <w:tcPr>
                  <w:tcW w:w="563" w:type="dxa"/>
                  <w:vAlign w:val="center"/>
                </w:tcPr>
                <w:p w14:paraId="654B3C05">
                  <w:pPr>
                    <w:pStyle w:val="221"/>
                  </w:pPr>
                  <w:r>
                    <w:t>8h</w:t>
                  </w:r>
                </w:p>
              </w:tc>
              <w:tc>
                <w:tcPr>
                  <w:tcW w:w="821" w:type="dxa"/>
                  <w:vAlign w:val="center"/>
                </w:tcPr>
                <w:p w14:paraId="2B3037E3">
                  <w:pPr>
                    <w:pStyle w:val="221"/>
                  </w:pPr>
                  <w:r>
                    <w:rPr>
                      <w:rFonts w:hint="eastAsia"/>
                    </w:rPr>
                    <w:t xml:space="preserve">10 </w:t>
                  </w:r>
                </w:p>
              </w:tc>
              <w:tc>
                <w:tcPr>
                  <w:tcW w:w="584" w:type="dxa"/>
                  <w:vMerge w:val="continue"/>
                  <w:vAlign w:val="center"/>
                </w:tcPr>
                <w:p w14:paraId="5EFBA4AD">
                  <w:pPr>
                    <w:pStyle w:val="221"/>
                  </w:pPr>
                </w:p>
              </w:tc>
              <w:tc>
                <w:tcPr>
                  <w:tcW w:w="584" w:type="dxa"/>
                  <w:vMerge w:val="continue"/>
                  <w:vAlign w:val="center"/>
                </w:tcPr>
                <w:p w14:paraId="424620A1">
                  <w:pPr>
                    <w:pStyle w:val="221"/>
                    <w:rPr>
                      <w:sz w:val="26"/>
                      <w:szCs w:val="26"/>
                    </w:rPr>
                  </w:pPr>
                </w:p>
              </w:tc>
              <w:tc>
                <w:tcPr>
                  <w:tcW w:w="682" w:type="dxa"/>
                  <w:vMerge w:val="continue"/>
                  <w:vAlign w:val="center"/>
                </w:tcPr>
                <w:p w14:paraId="5F505AB4">
                  <w:pPr>
                    <w:pStyle w:val="221"/>
                  </w:pPr>
                </w:p>
              </w:tc>
              <w:tc>
                <w:tcPr>
                  <w:tcW w:w="584" w:type="dxa"/>
                  <w:vMerge w:val="continue"/>
                  <w:vAlign w:val="center"/>
                </w:tcPr>
                <w:p w14:paraId="4FD73D46">
                  <w:pPr>
                    <w:pStyle w:val="221"/>
                  </w:pPr>
                </w:p>
              </w:tc>
            </w:tr>
            <w:tr w14:paraId="5B5F8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Align w:val="center"/>
                </w:tcPr>
                <w:p w14:paraId="7B954689">
                  <w:pPr>
                    <w:pStyle w:val="221"/>
                  </w:pPr>
                  <w:r>
                    <w:rPr>
                      <w:rFonts w:hint="eastAsia"/>
                    </w:rPr>
                    <w:t xml:space="preserve">3 </w:t>
                  </w:r>
                </w:p>
              </w:tc>
              <w:tc>
                <w:tcPr>
                  <w:tcW w:w="438" w:type="dxa"/>
                  <w:vMerge w:val="continue"/>
                  <w:vAlign w:val="center"/>
                </w:tcPr>
                <w:p w14:paraId="26633311">
                  <w:pPr>
                    <w:pStyle w:val="221"/>
                  </w:pPr>
                </w:p>
              </w:tc>
              <w:tc>
                <w:tcPr>
                  <w:tcW w:w="1073" w:type="dxa"/>
                  <w:vAlign w:val="center"/>
                </w:tcPr>
                <w:p w14:paraId="08E18D38">
                  <w:pPr>
                    <w:pStyle w:val="221"/>
                  </w:pPr>
                  <w:r>
                    <w:t>燃液化石油气烤炉(含低氮</w:t>
                  </w:r>
                  <w:r>
                    <w:rPr>
                      <w:rFonts w:hint="eastAsia"/>
                    </w:rPr>
                    <w:t>燃烧装置 )</w:t>
                  </w:r>
                </w:p>
              </w:tc>
              <w:tc>
                <w:tcPr>
                  <w:tcW w:w="708" w:type="dxa"/>
                  <w:vAlign w:val="center"/>
                </w:tcPr>
                <w:p w14:paraId="6E84CBA6">
                  <w:pPr>
                    <w:pStyle w:val="221"/>
                  </w:pPr>
                  <w:r>
                    <w:t>3台</w:t>
                  </w:r>
                </w:p>
              </w:tc>
              <w:tc>
                <w:tcPr>
                  <w:tcW w:w="960" w:type="dxa"/>
                  <w:vAlign w:val="center"/>
                </w:tcPr>
                <w:p w14:paraId="65ED8BFF">
                  <w:pPr>
                    <w:pStyle w:val="221"/>
                  </w:pPr>
                  <w:r>
                    <w:rPr>
                      <w:rFonts w:hint="eastAsia"/>
                    </w:rPr>
                    <w:t xml:space="preserve">75 </w:t>
                  </w:r>
                </w:p>
              </w:tc>
              <w:tc>
                <w:tcPr>
                  <w:tcW w:w="1173" w:type="dxa"/>
                  <w:vAlign w:val="center"/>
                </w:tcPr>
                <w:p w14:paraId="48F0301B">
                  <w:pPr>
                    <w:pStyle w:val="221"/>
                  </w:pPr>
                  <w:r>
                    <w:t>车间墙体隔声(-10dB(A))</w:t>
                  </w:r>
                </w:p>
              </w:tc>
              <w:tc>
                <w:tcPr>
                  <w:tcW w:w="563" w:type="dxa"/>
                  <w:vAlign w:val="center"/>
                </w:tcPr>
                <w:p w14:paraId="2F3B3313">
                  <w:pPr>
                    <w:pStyle w:val="221"/>
                  </w:pPr>
                  <w:r>
                    <w:t>8h</w:t>
                  </w:r>
                </w:p>
              </w:tc>
              <w:tc>
                <w:tcPr>
                  <w:tcW w:w="821" w:type="dxa"/>
                  <w:vAlign w:val="center"/>
                </w:tcPr>
                <w:p w14:paraId="0F87A3ED">
                  <w:pPr>
                    <w:pStyle w:val="221"/>
                  </w:pPr>
                  <w:r>
                    <w:rPr>
                      <w:rFonts w:hint="eastAsia"/>
                    </w:rPr>
                    <w:t xml:space="preserve">10 </w:t>
                  </w:r>
                </w:p>
              </w:tc>
              <w:tc>
                <w:tcPr>
                  <w:tcW w:w="584" w:type="dxa"/>
                  <w:vMerge w:val="continue"/>
                  <w:vAlign w:val="center"/>
                </w:tcPr>
                <w:p w14:paraId="5AA22F90">
                  <w:pPr>
                    <w:pStyle w:val="221"/>
                  </w:pPr>
                </w:p>
              </w:tc>
              <w:tc>
                <w:tcPr>
                  <w:tcW w:w="584" w:type="dxa"/>
                  <w:vMerge w:val="continue"/>
                  <w:vAlign w:val="center"/>
                </w:tcPr>
                <w:p w14:paraId="0B3D5E58">
                  <w:pPr>
                    <w:pStyle w:val="221"/>
                    <w:rPr>
                      <w:sz w:val="26"/>
                      <w:szCs w:val="26"/>
                    </w:rPr>
                  </w:pPr>
                </w:p>
              </w:tc>
              <w:tc>
                <w:tcPr>
                  <w:tcW w:w="682" w:type="dxa"/>
                  <w:vMerge w:val="continue"/>
                  <w:vAlign w:val="center"/>
                </w:tcPr>
                <w:p w14:paraId="667A2F25">
                  <w:pPr>
                    <w:pStyle w:val="221"/>
                  </w:pPr>
                </w:p>
              </w:tc>
              <w:tc>
                <w:tcPr>
                  <w:tcW w:w="584" w:type="dxa"/>
                  <w:vMerge w:val="continue"/>
                  <w:vAlign w:val="center"/>
                </w:tcPr>
                <w:p w14:paraId="6F09C490">
                  <w:pPr>
                    <w:pStyle w:val="221"/>
                  </w:pPr>
                </w:p>
              </w:tc>
            </w:tr>
            <w:tr w14:paraId="4F60E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Align w:val="center"/>
                </w:tcPr>
                <w:p w14:paraId="4C24D35D">
                  <w:pPr>
                    <w:pStyle w:val="221"/>
                  </w:pPr>
                  <w:r>
                    <w:rPr>
                      <w:rFonts w:hint="eastAsia"/>
                    </w:rPr>
                    <w:t>4</w:t>
                  </w:r>
                </w:p>
              </w:tc>
              <w:tc>
                <w:tcPr>
                  <w:tcW w:w="438" w:type="dxa"/>
                  <w:vMerge w:val="continue"/>
                  <w:vAlign w:val="center"/>
                </w:tcPr>
                <w:p w14:paraId="2D90B070">
                  <w:pPr>
                    <w:pStyle w:val="221"/>
                  </w:pPr>
                </w:p>
              </w:tc>
              <w:tc>
                <w:tcPr>
                  <w:tcW w:w="1073" w:type="dxa"/>
                  <w:vAlign w:val="center"/>
                </w:tcPr>
                <w:p w14:paraId="4848FBD7">
                  <w:pPr>
                    <w:pStyle w:val="221"/>
                  </w:pPr>
                  <w:r>
                    <w:rPr>
                      <w:rFonts w:hint="eastAsia"/>
                    </w:rPr>
                    <w:t>螺杆空压机</w:t>
                  </w:r>
                </w:p>
              </w:tc>
              <w:tc>
                <w:tcPr>
                  <w:tcW w:w="708" w:type="dxa"/>
                  <w:vAlign w:val="center"/>
                </w:tcPr>
                <w:p w14:paraId="26F0B32C">
                  <w:pPr>
                    <w:pStyle w:val="221"/>
                  </w:pPr>
                  <w:r>
                    <w:rPr>
                      <w:rStyle w:val="66"/>
                      <w:rFonts w:hint="default" w:ascii="Times New Roman" w:hAnsi="Times New Roman" w:cs="Times New Roman"/>
                      <w:color w:val="auto"/>
                      <w:szCs w:val="24"/>
                    </w:rPr>
                    <w:t>1</w:t>
                  </w:r>
                  <w:r>
                    <w:rPr>
                      <w:rStyle w:val="65"/>
                      <w:color w:val="auto"/>
                      <w:szCs w:val="24"/>
                      <w:vertAlign w:val="baseline"/>
                    </w:rPr>
                    <w:t>台</w:t>
                  </w:r>
                </w:p>
              </w:tc>
              <w:tc>
                <w:tcPr>
                  <w:tcW w:w="960" w:type="dxa"/>
                  <w:vAlign w:val="center"/>
                </w:tcPr>
                <w:p w14:paraId="6293A0E1">
                  <w:pPr>
                    <w:pStyle w:val="221"/>
                  </w:pPr>
                  <w:r>
                    <w:rPr>
                      <w:rFonts w:hint="eastAsia"/>
                    </w:rPr>
                    <w:t xml:space="preserve">85 </w:t>
                  </w:r>
                </w:p>
              </w:tc>
              <w:tc>
                <w:tcPr>
                  <w:tcW w:w="1173" w:type="dxa"/>
                  <w:vAlign w:val="center"/>
                </w:tcPr>
                <w:p w14:paraId="04F0F511">
                  <w:pPr>
                    <w:pStyle w:val="221"/>
                  </w:pPr>
                  <w:r>
                    <w:rPr>
                      <w:rStyle w:val="65"/>
                      <w:color w:val="auto"/>
                      <w:szCs w:val="24"/>
                      <w:vertAlign w:val="baseline"/>
                    </w:rPr>
                    <w:t>车间墙体隔声、减振、设置单独的空压机房(-15dB(A)</w:t>
                  </w:r>
                  <w:r>
                    <w:t>)</w:t>
                  </w:r>
                </w:p>
              </w:tc>
              <w:tc>
                <w:tcPr>
                  <w:tcW w:w="563" w:type="dxa"/>
                  <w:vAlign w:val="center"/>
                </w:tcPr>
                <w:p w14:paraId="358A2061">
                  <w:pPr>
                    <w:pStyle w:val="221"/>
                  </w:pPr>
                  <w:r>
                    <w:t>8h</w:t>
                  </w:r>
                </w:p>
              </w:tc>
              <w:tc>
                <w:tcPr>
                  <w:tcW w:w="821" w:type="dxa"/>
                  <w:vAlign w:val="center"/>
                </w:tcPr>
                <w:p w14:paraId="24DFBD43">
                  <w:pPr>
                    <w:pStyle w:val="221"/>
                  </w:pPr>
                  <w:r>
                    <w:rPr>
                      <w:rFonts w:hint="eastAsia"/>
                    </w:rPr>
                    <w:t>10</w:t>
                  </w:r>
                </w:p>
              </w:tc>
              <w:tc>
                <w:tcPr>
                  <w:tcW w:w="584" w:type="dxa"/>
                  <w:vMerge w:val="continue"/>
                  <w:vAlign w:val="center"/>
                </w:tcPr>
                <w:p w14:paraId="7208328D">
                  <w:pPr>
                    <w:pStyle w:val="221"/>
                  </w:pPr>
                </w:p>
              </w:tc>
              <w:tc>
                <w:tcPr>
                  <w:tcW w:w="584" w:type="dxa"/>
                  <w:vMerge w:val="continue"/>
                  <w:vAlign w:val="center"/>
                </w:tcPr>
                <w:p w14:paraId="338C0AA9">
                  <w:pPr>
                    <w:pStyle w:val="221"/>
                    <w:rPr>
                      <w:sz w:val="26"/>
                      <w:szCs w:val="26"/>
                    </w:rPr>
                  </w:pPr>
                </w:p>
              </w:tc>
              <w:tc>
                <w:tcPr>
                  <w:tcW w:w="682" w:type="dxa"/>
                  <w:vMerge w:val="continue"/>
                  <w:vAlign w:val="center"/>
                </w:tcPr>
                <w:p w14:paraId="0F29139D">
                  <w:pPr>
                    <w:pStyle w:val="221"/>
                  </w:pPr>
                </w:p>
              </w:tc>
              <w:tc>
                <w:tcPr>
                  <w:tcW w:w="584" w:type="dxa"/>
                  <w:vMerge w:val="continue"/>
                  <w:vAlign w:val="center"/>
                </w:tcPr>
                <w:p w14:paraId="3EDA947C">
                  <w:pPr>
                    <w:pStyle w:val="221"/>
                  </w:pPr>
                </w:p>
              </w:tc>
            </w:tr>
            <w:tr w14:paraId="785E4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Align w:val="center"/>
                </w:tcPr>
                <w:p w14:paraId="671D7582">
                  <w:pPr>
                    <w:pStyle w:val="221"/>
                  </w:pPr>
                  <w:r>
                    <w:rPr>
                      <w:rFonts w:hint="eastAsia"/>
                    </w:rPr>
                    <w:t>5</w:t>
                  </w:r>
                </w:p>
              </w:tc>
              <w:tc>
                <w:tcPr>
                  <w:tcW w:w="438" w:type="dxa"/>
                  <w:vMerge w:val="continue"/>
                  <w:vAlign w:val="center"/>
                </w:tcPr>
                <w:p w14:paraId="17693AAA">
                  <w:pPr>
                    <w:pStyle w:val="221"/>
                  </w:pPr>
                </w:p>
              </w:tc>
              <w:tc>
                <w:tcPr>
                  <w:tcW w:w="1073" w:type="dxa"/>
                  <w:vAlign w:val="center"/>
                </w:tcPr>
                <w:p w14:paraId="0B0E7EE5">
                  <w:pPr>
                    <w:pStyle w:val="221"/>
                  </w:pPr>
                  <w:r>
                    <w:rPr>
                      <w:rStyle w:val="66"/>
                      <w:rFonts w:hint="default" w:ascii="Times New Roman" w:hAnsi="Times New Roman" w:cs="Times New Roman"/>
                      <w:color w:val="auto"/>
                      <w:szCs w:val="24"/>
                    </w:rPr>
                    <w:t>生产流水线</w:t>
                  </w:r>
                </w:p>
              </w:tc>
              <w:tc>
                <w:tcPr>
                  <w:tcW w:w="708" w:type="dxa"/>
                  <w:vAlign w:val="center"/>
                </w:tcPr>
                <w:p w14:paraId="1C41E8D3">
                  <w:pPr>
                    <w:pStyle w:val="221"/>
                  </w:pPr>
                  <w:r>
                    <w:rPr>
                      <w:rStyle w:val="91"/>
                      <w:rFonts w:hint="default" w:ascii="Times New Roman" w:hAnsi="Times New Roman" w:eastAsia="宋体" w:cs="Times New Roman"/>
                      <w:color w:val="auto"/>
                      <w:sz w:val="21"/>
                    </w:rPr>
                    <w:t>3条</w:t>
                  </w:r>
                </w:p>
              </w:tc>
              <w:tc>
                <w:tcPr>
                  <w:tcW w:w="960" w:type="dxa"/>
                  <w:vAlign w:val="center"/>
                </w:tcPr>
                <w:p w14:paraId="0D11E975">
                  <w:pPr>
                    <w:pStyle w:val="221"/>
                  </w:pPr>
                  <w:r>
                    <w:rPr>
                      <w:rFonts w:hint="eastAsia"/>
                    </w:rPr>
                    <w:t>70</w:t>
                  </w:r>
                </w:p>
              </w:tc>
              <w:tc>
                <w:tcPr>
                  <w:tcW w:w="1173" w:type="dxa"/>
                  <w:vAlign w:val="center"/>
                </w:tcPr>
                <w:p w14:paraId="51EBFD34">
                  <w:pPr>
                    <w:pStyle w:val="221"/>
                  </w:pPr>
                  <w:r>
                    <w:rPr>
                      <w:rStyle w:val="66"/>
                      <w:rFonts w:hint="default" w:ascii="Times New Roman" w:hAnsi="Times New Roman" w:cs="Times New Roman"/>
                      <w:color w:val="auto"/>
                      <w:szCs w:val="24"/>
                    </w:rPr>
                    <w:t>车间墙体隔声(-10dB(A)</w:t>
                  </w:r>
                  <w:r>
                    <w:t>)</w:t>
                  </w:r>
                </w:p>
              </w:tc>
              <w:tc>
                <w:tcPr>
                  <w:tcW w:w="563" w:type="dxa"/>
                  <w:vAlign w:val="center"/>
                </w:tcPr>
                <w:p w14:paraId="4581D5F6">
                  <w:pPr>
                    <w:pStyle w:val="221"/>
                  </w:pPr>
                  <w:r>
                    <w:t>8h</w:t>
                  </w:r>
                </w:p>
              </w:tc>
              <w:tc>
                <w:tcPr>
                  <w:tcW w:w="821" w:type="dxa"/>
                  <w:vAlign w:val="center"/>
                </w:tcPr>
                <w:p w14:paraId="5F3B76DD">
                  <w:pPr>
                    <w:pStyle w:val="221"/>
                  </w:pPr>
                  <w:r>
                    <w:rPr>
                      <w:rFonts w:hint="eastAsia"/>
                    </w:rPr>
                    <w:t>10</w:t>
                  </w:r>
                </w:p>
              </w:tc>
              <w:tc>
                <w:tcPr>
                  <w:tcW w:w="584" w:type="dxa"/>
                  <w:vMerge w:val="continue"/>
                  <w:vAlign w:val="center"/>
                </w:tcPr>
                <w:p w14:paraId="76ADC47A">
                  <w:pPr>
                    <w:pStyle w:val="221"/>
                  </w:pPr>
                </w:p>
              </w:tc>
              <w:tc>
                <w:tcPr>
                  <w:tcW w:w="584" w:type="dxa"/>
                  <w:vMerge w:val="continue"/>
                  <w:vAlign w:val="center"/>
                </w:tcPr>
                <w:p w14:paraId="5846F8A8">
                  <w:pPr>
                    <w:pStyle w:val="221"/>
                    <w:rPr>
                      <w:sz w:val="26"/>
                      <w:szCs w:val="26"/>
                    </w:rPr>
                  </w:pPr>
                </w:p>
              </w:tc>
              <w:tc>
                <w:tcPr>
                  <w:tcW w:w="682" w:type="dxa"/>
                  <w:vMerge w:val="continue"/>
                  <w:vAlign w:val="center"/>
                </w:tcPr>
                <w:p w14:paraId="4E5D9197">
                  <w:pPr>
                    <w:pStyle w:val="221"/>
                  </w:pPr>
                </w:p>
              </w:tc>
              <w:tc>
                <w:tcPr>
                  <w:tcW w:w="584" w:type="dxa"/>
                  <w:vMerge w:val="continue"/>
                  <w:vAlign w:val="center"/>
                </w:tcPr>
                <w:p w14:paraId="021B1066">
                  <w:pPr>
                    <w:pStyle w:val="221"/>
                  </w:pPr>
                </w:p>
              </w:tc>
            </w:tr>
            <w:tr w14:paraId="64927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Align w:val="center"/>
                </w:tcPr>
                <w:p w14:paraId="3E2C86EC">
                  <w:pPr>
                    <w:pStyle w:val="221"/>
                  </w:pPr>
                  <w:r>
                    <w:rPr>
                      <w:rFonts w:hint="eastAsia"/>
                    </w:rPr>
                    <w:t>6</w:t>
                  </w:r>
                </w:p>
              </w:tc>
              <w:tc>
                <w:tcPr>
                  <w:tcW w:w="438" w:type="dxa"/>
                  <w:vMerge w:val="continue"/>
                  <w:vAlign w:val="center"/>
                </w:tcPr>
                <w:p w14:paraId="2F91335B">
                  <w:pPr>
                    <w:pStyle w:val="221"/>
                  </w:pPr>
                </w:p>
              </w:tc>
              <w:tc>
                <w:tcPr>
                  <w:tcW w:w="1073" w:type="dxa"/>
                  <w:vAlign w:val="center"/>
                </w:tcPr>
                <w:p w14:paraId="30EE548E">
                  <w:pPr>
                    <w:pStyle w:val="221"/>
                  </w:pPr>
                  <w:r>
                    <w:rPr>
                      <w:rStyle w:val="66"/>
                      <w:rFonts w:hint="default" w:ascii="Times New Roman" w:hAnsi="Times New Roman" w:cs="Times New Roman"/>
                      <w:color w:val="auto"/>
                      <w:szCs w:val="24"/>
                    </w:rPr>
                    <w:t>水帘喷漆台</w:t>
                  </w:r>
                </w:p>
              </w:tc>
              <w:tc>
                <w:tcPr>
                  <w:tcW w:w="708" w:type="dxa"/>
                  <w:vAlign w:val="center"/>
                </w:tcPr>
                <w:p w14:paraId="57A8070F">
                  <w:pPr>
                    <w:pStyle w:val="221"/>
                  </w:pPr>
                  <w:r>
                    <w:rPr>
                      <w:rStyle w:val="66"/>
                      <w:rFonts w:hint="default" w:ascii="Times New Roman" w:hAnsi="Times New Roman" w:cs="Times New Roman"/>
                      <w:color w:val="auto"/>
                      <w:szCs w:val="24"/>
                    </w:rPr>
                    <w:t>6个</w:t>
                  </w:r>
                </w:p>
              </w:tc>
              <w:tc>
                <w:tcPr>
                  <w:tcW w:w="960" w:type="dxa"/>
                  <w:vAlign w:val="center"/>
                </w:tcPr>
                <w:p w14:paraId="616371CF">
                  <w:pPr>
                    <w:pStyle w:val="221"/>
                  </w:pPr>
                  <w:r>
                    <w:rPr>
                      <w:rFonts w:hint="eastAsia"/>
                    </w:rPr>
                    <w:t>70</w:t>
                  </w:r>
                </w:p>
              </w:tc>
              <w:tc>
                <w:tcPr>
                  <w:tcW w:w="1173" w:type="dxa"/>
                  <w:vAlign w:val="center"/>
                </w:tcPr>
                <w:p w14:paraId="51E475B3">
                  <w:pPr>
                    <w:pStyle w:val="221"/>
                  </w:pPr>
                  <w:r>
                    <w:rPr>
                      <w:rStyle w:val="66"/>
                      <w:rFonts w:hint="default" w:ascii="Times New Roman" w:hAnsi="Times New Roman" w:cs="Times New Roman"/>
                      <w:color w:val="auto"/>
                      <w:szCs w:val="24"/>
                    </w:rPr>
                    <w:t>车间墙体隔声(-10dB(A)</w:t>
                  </w:r>
                  <w:r>
                    <w:t>)</w:t>
                  </w:r>
                </w:p>
              </w:tc>
              <w:tc>
                <w:tcPr>
                  <w:tcW w:w="563" w:type="dxa"/>
                  <w:vAlign w:val="center"/>
                </w:tcPr>
                <w:p w14:paraId="5F01E844">
                  <w:pPr>
                    <w:pStyle w:val="221"/>
                  </w:pPr>
                  <w:r>
                    <w:t>8h</w:t>
                  </w:r>
                </w:p>
              </w:tc>
              <w:tc>
                <w:tcPr>
                  <w:tcW w:w="821" w:type="dxa"/>
                  <w:vAlign w:val="center"/>
                </w:tcPr>
                <w:p w14:paraId="387122CB">
                  <w:pPr>
                    <w:pStyle w:val="221"/>
                  </w:pPr>
                  <w:r>
                    <w:rPr>
                      <w:rFonts w:hint="eastAsia"/>
                    </w:rPr>
                    <w:t>10</w:t>
                  </w:r>
                </w:p>
              </w:tc>
              <w:tc>
                <w:tcPr>
                  <w:tcW w:w="584" w:type="dxa"/>
                  <w:vMerge w:val="continue"/>
                  <w:vAlign w:val="center"/>
                </w:tcPr>
                <w:p w14:paraId="636CE60F">
                  <w:pPr>
                    <w:pStyle w:val="221"/>
                  </w:pPr>
                </w:p>
              </w:tc>
              <w:tc>
                <w:tcPr>
                  <w:tcW w:w="584" w:type="dxa"/>
                  <w:vMerge w:val="continue"/>
                  <w:vAlign w:val="center"/>
                </w:tcPr>
                <w:p w14:paraId="342C5183">
                  <w:pPr>
                    <w:pStyle w:val="221"/>
                    <w:rPr>
                      <w:sz w:val="26"/>
                      <w:szCs w:val="26"/>
                    </w:rPr>
                  </w:pPr>
                </w:p>
              </w:tc>
              <w:tc>
                <w:tcPr>
                  <w:tcW w:w="682" w:type="dxa"/>
                  <w:vMerge w:val="continue"/>
                  <w:vAlign w:val="center"/>
                </w:tcPr>
                <w:p w14:paraId="1A5EF76A">
                  <w:pPr>
                    <w:pStyle w:val="221"/>
                  </w:pPr>
                </w:p>
              </w:tc>
              <w:tc>
                <w:tcPr>
                  <w:tcW w:w="584" w:type="dxa"/>
                  <w:vMerge w:val="continue"/>
                  <w:vAlign w:val="center"/>
                </w:tcPr>
                <w:p w14:paraId="708844C8">
                  <w:pPr>
                    <w:pStyle w:val="221"/>
                  </w:pPr>
                </w:p>
              </w:tc>
            </w:tr>
            <w:tr w14:paraId="05227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Align w:val="center"/>
                </w:tcPr>
                <w:p w14:paraId="4374601A">
                  <w:pPr>
                    <w:pStyle w:val="221"/>
                  </w:pPr>
                  <w:r>
                    <w:rPr>
                      <w:rFonts w:hint="eastAsia"/>
                    </w:rPr>
                    <w:t>7</w:t>
                  </w:r>
                </w:p>
              </w:tc>
              <w:tc>
                <w:tcPr>
                  <w:tcW w:w="438" w:type="dxa"/>
                  <w:vMerge w:val="continue"/>
                  <w:vAlign w:val="center"/>
                </w:tcPr>
                <w:p w14:paraId="62DA5D07">
                  <w:pPr>
                    <w:pStyle w:val="221"/>
                  </w:pPr>
                </w:p>
              </w:tc>
              <w:tc>
                <w:tcPr>
                  <w:tcW w:w="1073" w:type="dxa"/>
                  <w:vAlign w:val="center"/>
                </w:tcPr>
                <w:p w14:paraId="11B00A1F">
                  <w:pPr>
                    <w:pStyle w:val="221"/>
                    <w:rPr>
                      <w:rStyle w:val="66"/>
                      <w:rFonts w:hint="default" w:ascii="Times New Roman" w:hAnsi="Times New Roman" w:cs="Times New Roman"/>
                      <w:color w:val="auto"/>
                      <w:szCs w:val="24"/>
                    </w:rPr>
                  </w:pPr>
                  <w:r>
                    <w:rPr>
                      <w:rStyle w:val="66"/>
                      <w:rFonts w:hint="default" w:ascii="Times New Roman" w:hAnsi="Times New Roman" w:cs="Times New Roman"/>
                      <w:color w:val="auto"/>
                      <w:szCs w:val="24"/>
                    </w:rPr>
                    <w:t>喷砂房</w:t>
                  </w:r>
                </w:p>
              </w:tc>
              <w:tc>
                <w:tcPr>
                  <w:tcW w:w="708" w:type="dxa"/>
                  <w:vAlign w:val="center"/>
                </w:tcPr>
                <w:p w14:paraId="74618041">
                  <w:pPr>
                    <w:pStyle w:val="221"/>
                    <w:rPr>
                      <w:rStyle w:val="66"/>
                      <w:rFonts w:hint="default" w:ascii="Times New Roman" w:hAnsi="Times New Roman" w:cs="Times New Roman"/>
                      <w:color w:val="auto"/>
                      <w:szCs w:val="24"/>
                    </w:rPr>
                  </w:pPr>
                  <w:r>
                    <w:rPr>
                      <w:rStyle w:val="66"/>
                      <w:rFonts w:hint="default" w:ascii="Times New Roman" w:hAnsi="Times New Roman" w:cs="Times New Roman"/>
                      <w:color w:val="auto"/>
                      <w:szCs w:val="24"/>
                    </w:rPr>
                    <w:t>1</w:t>
                  </w:r>
                  <w:r>
                    <w:rPr>
                      <w:rStyle w:val="66"/>
                      <w:rFonts w:hint="default"/>
                      <w:szCs w:val="24"/>
                    </w:rPr>
                    <w:t>套</w:t>
                  </w:r>
                </w:p>
              </w:tc>
              <w:tc>
                <w:tcPr>
                  <w:tcW w:w="960" w:type="dxa"/>
                  <w:vAlign w:val="center"/>
                </w:tcPr>
                <w:p w14:paraId="2C56ABC5">
                  <w:pPr>
                    <w:pStyle w:val="221"/>
                  </w:pPr>
                  <w:r>
                    <w:rPr>
                      <w:rFonts w:hint="eastAsia"/>
                    </w:rPr>
                    <w:t>85</w:t>
                  </w:r>
                </w:p>
              </w:tc>
              <w:tc>
                <w:tcPr>
                  <w:tcW w:w="1173" w:type="dxa"/>
                  <w:vAlign w:val="center"/>
                </w:tcPr>
                <w:p w14:paraId="24158860">
                  <w:pPr>
                    <w:pStyle w:val="221"/>
                    <w:rPr>
                      <w:rStyle w:val="66"/>
                      <w:rFonts w:hint="default" w:ascii="Times New Roman" w:hAnsi="Times New Roman" w:cs="Times New Roman"/>
                      <w:color w:val="auto"/>
                      <w:szCs w:val="24"/>
                    </w:rPr>
                  </w:pPr>
                  <w:r>
                    <w:t>车间墙体隔声(-10dB(A))</w:t>
                  </w:r>
                </w:p>
              </w:tc>
              <w:tc>
                <w:tcPr>
                  <w:tcW w:w="563" w:type="dxa"/>
                  <w:vAlign w:val="center"/>
                </w:tcPr>
                <w:p w14:paraId="54EF359A">
                  <w:pPr>
                    <w:pStyle w:val="221"/>
                  </w:pPr>
                  <w:r>
                    <w:rPr>
                      <w:rFonts w:hint="eastAsia"/>
                    </w:rPr>
                    <w:t>8h</w:t>
                  </w:r>
                </w:p>
              </w:tc>
              <w:tc>
                <w:tcPr>
                  <w:tcW w:w="821" w:type="dxa"/>
                  <w:vAlign w:val="center"/>
                </w:tcPr>
                <w:p w14:paraId="22775F8F">
                  <w:pPr>
                    <w:pStyle w:val="221"/>
                  </w:pPr>
                  <w:r>
                    <w:rPr>
                      <w:rFonts w:hint="eastAsia"/>
                    </w:rPr>
                    <w:t>10</w:t>
                  </w:r>
                </w:p>
              </w:tc>
              <w:tc>
                <w:tcPr>
                  <w:tcW w:w="584" w:type="dxa"/>
                  <w:vMerge w:val="continue"/>
                  <w:vAlign w:val="center"/>
                </w:tcPr>
                <w:p w14:paraId="246F8F62">
                  <w:pPr>
                    <w:pStyle w:val="221"/>
                  </w:pPr>
                </w:p>
              </w:tc>
              <w:tc>
                <w:tcPr>
                  <w:tcW w:w="584" w:type="dxa"/>
                  <w:vMerge w:val="continue"/>
                  <w:vAlign w:val="center"/>
                </w:tcPr>
                <w:p w14:paraId="382E1B83">
                  <w:pPr>
                    <w:pStyle w:val="221"/>
                    <w:rPr>
                      <w:sz w:val="26"/>
                      <w:szCs w:val="26"/>
                    </w:rPr>
                  </w:pPr>
                </w:p>
              </w:tc>
              <w:tc>
                <w:tcPr>
                  <w:tcW w:w="682" w:type="dxa"/>
                  <w:vMerge w:val="continue"/>
                  <w:vAlign w:val="center"/>
                </w:tcPr>
                <w:p w14:paraId="3F309560">
                  <w:pPr>
                    <w:pStyle w:val="221"/>
                  </w:pPr>
                </w:p>
              </w:tc>
              <w:tc>
                <w:tcPr>
                  <w:tcW w:w="584" w:type="dxa"/>
                  <w:vMerge w:val="continue"/>
                  <w:vAlign w:val="center"/>
                </w:tcPr>
                <w:p w14:paraId="350492B1">
                  <w:pPr>
                    <w:pStyle w:val="221"/>
                  </w:pPr>
                </w:p>
              </w:tc>
            </w:tr>
          </w:tbl>
          <w:p w14:paraId="19FCE908">
            <w:pPr>
              <w:pStyle w:val="223"/>
              <w:spacing w:before="120"/>
              <w:ind w:firstLine="480"/>
            </w:pPr>
            <w:r>
              <w:rPr>
                <w:rFonts w:hint="eastAsia"/>
              </w:rPr>
              <w:t>2、声环境影响分析</w:t>
            </w:r>
          </w:p>
          <w:p w14:paraId="07212027">
            <w:pPr>
              <w:pStyle w:val="225"/>
              <w:ind w:firstLine="480"/>
            </w:pPr>
            <w:r>
              <w:t>本评价根据《环境影响评价技术导则-声环境》（HJ2.4-2021）推荐的方法，预测工程边界噪声值。</w:t>
            </w:r>
          </w:p>
          <w:p w14:paraId="673E1DD1">
            <w:pPr>
              <w:pStyle w:val="225"/>
              <w:ind w:firstLine="480"/>
            </w:pPr>
            <w:r>
              <w:rPr>
                <w:rFonts w:hint="eastAsia" w:ascii="宋体" w:hAnsi="宋体" w:cs="宋体"/>
              </w:rPr>
              <w:t>①</w:t>
            </w:r>
            <w:r>
              <w:t>点声源衰减公式噪声室外传播声级衰减计算模式：</w:t>
            </w:r>
          </w:p>
          <w:p w14:paraId="70A610A2">
            <w:pPr>
              <w:widowControl w:val="0"/>
              <w:adjustRightInd w:val="0"/>
              <w:snapToGrid w:val="0"/>
              <w:spacing w:line="36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drawing>
                <wp:inline distT="0" distB="0" distL="114300" distR="114300">
                  <wp:extent cx="1783080" cy="264160"/>
                  <wp:effectExtent l="0" t="0" r="7620" b="2540"/>
                  <wp:docPr id="56"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72"/>
                          <pic:cNvPicPr>
                            <a:picLocks noChangeAspect="1"/>
                          </pic:cNvPicPr>
                        </pic:nvPicPr>
                        <pic:blipFill>
                          <a:blip r:embed="rId19"/>
                          <a:stretch>
                            <a:fillRect/>
                          </a:stretch>
                        </pic:blipFill>
                        <pic:spPr>
                          <a:xfrm>
                            <a:off x="0" y="0"/>
                            <a:ext cx="1783080" cy="264160"/>
                          </a:xfrm>
                          <a:prstGeom prst="rect">
                            <a:avLst/>
                          </a:prstGeom>
                          <a:noFill/>
                          <a:ln>
                            <a:noFill/>
                          </a:ln>
                        </pic:spPr>
                      </pic:pic>
                    </a:graphicData>
                  </a:graphic>
                </wp:inline>
              </w:drawing>
            </w:r>
          </w:p>
          <w:p w14:paraId="171F0FA7">
            <w:pPr>
              <w:pStyle w:val="225"/>
              <w:ind w:firstLine="480"/>
            </w:pPr>
            <w:r>
              <w:t>式中：LAi—i声源在预测点产生的A声级，dB(A)； r</w:t>
            </w:r>
            <w:r>
              <w:rPr>
                <w:vertAlign w:val="subscript"/>
              </w:rPr>
              <w:t>ij</w:t>
            </w:r>
            <w:r>
              <w:t>—i声源至预测点j的距离，m； L</w:t>
            </w:r>
            <w:r>
              <w:rPr>
                <w:vertAlign w:val="subscript"/>
              </w:rPr>
              <w:t>Wi</w:t>
            </w:r>
            <w:r>
              <w:t>——噪声源的等效声级，dB(A)；TL—大气吸收、屏障屏蔽、地面效应等引起的噪声衰减，本项目取5dB(A)。</w:t>
            </w:r>
          </w:p>
          <w:p w14:paraId="7345EED9">
            <w:pPr>
              <w:pStyle w:val="225"/>
              <w:ind w:firstLine="480"/>
            </w:pPr>
            <w:r>
              <w:rPr>
                <w:rFonts w:hint="eastAsia" w:ascii="宋体" w:hAnsi="宋体" w:cs="宋体"/>
              </w:rPr>
              <w:t>②</w:t>
            </w:r>
            <w:r>
              <w:t xml:space="preserve">噪声级的叠加公式 </w:t>
            </w:r>
          </w:p>
          <w:p w14:paraId="7029A314">
            <w:pPr>
              <w:pStyle w:val="225"/>
              <w:ind w:firstLine="480"/>
            </w:pPr>
            <w:r>
              <w:t>对于相距较远的两个或两个以上噪声源同时存在时，它们对远处某一点（预测点）的声压级必须按能量叠加，该点的总声压级可用下面的公式进行计算：</w:t>
            </w:r>
          </w:p>
          <w:p w14:paraId="1569CE23">
            <w:pPr>
              <w:widowControl w:val="0"/>
              <w:adjustRightInd w:val="0"/>
              <w:snapToGrid w:val="0"/>
              <w:spacing w:line="36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drawing>
                <wp:inline distT="0" distB="0" distL="114300" distR="114300">
                  <wp:extent cx="3152140" cy="584835"/>
                  <wp:effectExtent l="0" t="0" r="10160" b="5715"/>
                  <wp:docPr id="57"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73"/>
                          <pic:cNvPicPr>
                            <a:picLocks noChangeAspect="1"/>
                          </pic:cNvPicPr>
                        </pic:nvPicPr>
                        <pic:blipFill>
                          <a:blip r:embed="rId20"/>
                          <a:stretch>
                            <a:fillRect/>
                          </a:stretch>
                        </pic:blipFill>
                        <pic:spPr>
                          <a:xfrm>
                            <a:off x="0" y="0"/>
                            <a:ext cx="3152140" cy="584835"/>
                          </a:xfrm>
                          <a:prstGeom prst="rect">
                            <a:avLst/>
                          </a:prstGeom>
                          <a:noFill/>
                          <a:ln>
                            <a:noFill/>
                          </a:ln>
                        </pic:spPr>
                      </pic:pic>
                    </a:graphicData>
                  </a:graphic>
                </wp:inline>
              </w:drawing>
            </w:r>
          </w:p>
          <w:p w14:paraId="29A4696F">
            <w:pPr>
              <w:pStyle w:val="225"/>
              <w:ind w:firstLine="480"/>
            </w:pPr>
            <w:r>
              <w:t>式中：T为计算等效声级的时间，N为室外声源个数，M为等效室外声源个数。</w:t>
            </w:r>
          </w:p>
          <w:p w14:paraId="1D12A687">
            <w:pPr>
              <w:pStyle w:val="225"/>
              <w:ind w:firstLine="480"/>
            </w:pPr>
            <w:r>
              <w:rPr>
                <w:rFonts w:hint="eastAsia" w:ascii="宋体" w:hAnsi="宋体" w:cs="宋体"/>
              </w:rPr>
              <w:t>③</w:t>
            </w:r>
            <w:r>
              <w:t>预测点的预测等效声级Leq（A）计算公式</w:t>
            </w:r>
          </w:p>
          <w:p w14:paraId="5351C158">
            <w:pPr>
              <w:adjustRightInd w:val="0"/>
              <w:snapToGrid w:val="0"/>
              <w:spacing w:line="360" w:lineRule="auto"/>
              <w:ind w:firstLine="480" w:firstLineChars="20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drawing>
                <wp:inline distT="0" distB="0" distL="114300" distR="114300">
                  <wp:extent cx="2750820" cy="332105"/>
                  <wp:effectExtent l="0" t="0" r="11430" b="10795"/>
                  <wp:docPr id="58"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76"/>
                          <pic:cNvPicPr>
                            <a:picLocks noChangeAspect="1"/>
                          </pic:cNvPicPr>
                        </pic:nvPicPr>
                        <pic:blipFill>
                          <a:blip r:embed="rId21"/>
                          <a:stretch>
                            <a:fillRect/>
                          </a:stretch>
                        </pic:blipFill>
                        <pic:spPr>
                          <a:xfrm>
                            <a:off x="0" y="0"/>
                            <a:ext cx="2750820" cy="332105"/>
                          </a:xfrm>
                          <a:prstGeom prst="rect">
                            <a:avLst/>
                          </a:prstGeom>
                          <a:noFill/>
                          <a:ln>
                            <a:noFill/>
                          </a:ln>
                        </pic:spPr>
                      </pic:pic>
                    </a:graphicData>
                  </a:graphic>
                </wp:inline>
              </w:drawing>
            </w:r>
          </w:p>
          <w:p w14:paraId="18297B85">
            <w:pPr>
              <w:pStyle w:val="225"/>
              <w:ind w:firstLine="480"/>
            </w:pPr>
            <w:r>
              <w:t>式中：</w:t>
            </w:r>
            <w:r>
              <w:rPr>
                <w:i/>
                <w:iCs/>
              </w:rPr>
              <w:t>L</w:t>
            </w:r>
            <w:r>
              <w:rPr>
                <w:i/>
                <w:iCs/>
                <w:vertAlign w:val="subscript"/>
              </w:rPr>
              <w:t>eq</w:t>
            </w:r>
            <w:r>
              <w:t xml:space="preserve">（A）—建设项目声源在预测点的等效声级贡献值，dB(A)； </w:t>
            </w:r>
            <w:r>
              <w:rPr>
                <w:i/>
                <w:iCs/>
              </w:rPr>
              <w:t>Leqb</w:t>
            </w:r>
            <w:r>
              <w:t>—预测点背景值，dB(A)；</w:t>
            </w:r>
          </w:p>
          <w:p w14:paraId="560B80F7">
            <w:pPr>
              <w:pStyle w:val="225"/>
              <w:ind w:firstLine="480"/>
            </w:pPr>
            <w:r>
              <w:t>本项目声环境影响预测：厂界噪声影响预测结果见下表4.</w:t>
            </w:r>
            <w:r>
              <w:rPr>
                <w:rFonts w:hint="eastAsia"/>
              </w:rPr>
              <w:t>2-6</w:t>
            </w:r>
            <w:r>
              <w:t>。</w:t>
            </w:r>
          </w:p>
          <w:p w14:paraId="378CCE71">
            <w:pPr>
              <w:pStyle w:val="222"/>
              <w:spacing w:before="120"/>
            </w:pPr>
            <w:r>
              <w:rPr>
                <w:rFonts w:hint="eastAsia"/>
              </w:rPr>
              <w:t xml:space="preserve">表4.2-6  </w:t>
            </w:r>
            <w:r>
              <w:t>项目厂界噪声排放预测结果</w:t>
            </w:r>
          </w:p>
          <w:tbl>
            <w:tblPr>
              <w:tblStyle w:val="3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1327"/>
              <w:gridCol w:w="1327"/>
              <w:gridCol w:w="1327"/>
              <w:gridCol w:w="1327"/>
              <w:gridCol w:w="1651"/>
            </w:tblGrid>
            <w:tr w14:paraId="433DC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8" w:type="dxa"/>
                  <w:vMerge w:val="restart"/>
                  <w:vAlign w:val="center"/>
                </w:tcPr>
                <w:p w14:paraId="619D8CCD">
                  <w:pPr>
                    <w:pStyle w:val="221"/>
                    <w:rPr>
                      <w:lang w:val="en-GB"/>
                    </w:rPr>
                  </w:pPr>
                  <w:bookmarkStart w:id="17" w:name="_Hlk297299088"/>
                  <w:r>
                    <w:rPr>
                      <w:rFonts w:hint="eastAsia"/>
                      <w:lang w:val="en-GB"/>
                    </w:rPr>
                    <w:t>预测点</w:t>
                  </w:r>
                </w:p>
              </w:tc>
              <w:tc>
                <w:tcPr>
                  <w:tcW w:w="1327" w:type="dxa"/>
                  <w:vAlign w:val="center"/>
                </w:tcPr>
                <w:p w14:paraId="68EE377E">
                  <w:pPr>
                    <w:pStyle w:val="221"/>
                    <w:rPr>
                      <w:lang w:val="en-GB"/>
                    </w:rPr>
                  </w:pPr>
                  <w:r>
                    <w:rPr>
                      <w:lang w:val="en-GB"/>
                    </w:rPr>
                    <w:t>贡献值</w:t>
                  </w:r>
                </w:p>
              </w:tc>
              <w:tc>
                <w:tcPr>
                  <w:tcW w:w="1327" w:type="dxa"/>
                  <w:vAlign w:val="center"/>
                </w:tcPr>
                <w:p w14:paraId="120667CC">
                  <w:pPr>
                    <w:pStyle w:val="221"/>
                    <w:rPr>
                      <w:lang w:val="en-GB"/>
                    </w:rPr>
                  </w:pPr>
                  <w:r>
                    <w:rPr>
                      <w:rFonts w:hint="eastAsia"/>
                      <w:lang w:val="en-GB"/>
                    </w:rPr>
                    <w:t>现状值</w:t>
                  </w:r>
                </w:p>
              </w:tc>
              <w:tc>
                <w:tcPr>
                  <w:tcW w:w="1327" w:type="dxa"/>
                  <w:vAlign w:val="center"/>
                </w:tcPr>
                <w:p w14:paraId="78204B1A">
                  <w:pPr>
                    <w:pStyle w:val="221"/>
                    <w:rPr>
                      <w:lang w:val="en-GB"/>
                    </w:rPr>
                  </w:pPr>
                  <w:r>
                    <w:rPr>
                      <w:rFonts w:hint="eastAsia"/>
                      <w:lang w:val="en-GB"/>
                    </w:rPr>
                    <w:t>叠加贡献值</w:t>
                  </w:r>
                </w:p>
              </w:tc>
              <w:tc>
                <w:tcPr>
                  <w:tcW w:w="1327" w:type="dxa"/>
                  <w:vAlign w:val="center"/>
                </w:tcPr>
                <w:p w14:paraId="5573FA1A">
                  <w:pPr>
                    <w:pStyle w:val="221"/>
                    <w:rPr>
                      <w:lang w:val="en-GB"/>
                    </w:rPr>
                  </w:pPr>
                  <w:r>
                    <w:rPr>
                      <w:rFonts w:hint="eastAsia"/>
                      <w:lang w:val="en-GB"/>
                    </w:rPr>
                    <w:t>标准值</w:t>
                  </w:r>
                </w:p>
              </w:tc>
              <w:tc>
                <w:tcPr>
                  <w:tcW w:w="1651" w:type="dxa"/>
                  <w:vAlign w:val="center"/>
                </w:tcPr>
                <w:p w14:paraId="2403BC9B">
                  <w:pPr>
                    <w:pStyle w:val="221"/>
                    <w:rPr>
                      <w:lang w:val="en-GB"/>
                    </w:rPr>
                  </w:pPr>
                  <w:r>
                    <w:rPr>
                      <w:lang w:val="en-GB"/>
                    </w:rPr>
                    <w:t>达标情况</w:t>
                  </w:r>
                </w:p>
              </w:tc>
            </w:tr>
            <w:tr w14:paraId="69A54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8" w:type="dxa"/>
                  <w:vMerge w:val="continue"/>
                  <w:vAlign w:val="center"/>
                </w:tcPr>
                <w:p w14:paraId="5C72B66A">
                  <w:pPr>
                    <w:pStyle w:val="221"/>
                    <w:rPr>
                      <w:lang w:val="en-GB"/>
                    </w:rPr>
                  </w:pPr>
                </w:p>
              </w:tc>
              <w:tc>
                <w:tcPr>
                  <w:tcW w:w="1327" w:type="dxa"/>
                  <w:vAlign w:val="center"/>
                </w:tcPr>
                <w:p w14:paraId="750F6F29">
                  <w:pPr>
                    <w:pStyle w:val="221"/>
                    <w:rPr>
                      <w:lang w:val="en-GB"/>
                    </w:rPr>
                  </w:pPr>
                  <w:r>
                    <w:rPr>
                      <w:lang w:val="en-GB"/>
                    </w:rPr>
                    <w:t>昼间</w:t>
                  </w:r>
                </w:p>
              </w:tc>
              <w:tc>
                <w:tcPr>
                  <w:tcW w:w="1327" w:type="dxa"/>
                  <w:vAlign w:val="center"/>
                </w:tcPr>
                <w:p w14:paraId="2E946F64">
                  <w:pPr>
                    <w:pStyle w:val="221"/>
                    <w:rPr>
                      <w:lang w:val="en-GB"/>
                    </w:rPr>
                  </w:pPr>
                  <w:r>
                    <w:rPr>
                      <w:lang w:val="en-GB"/>
                    </w:rPr>
                    <w:t>昼间</w:t>
                  </w:r>
                </w:p>
              </w:tc>
              <w:tc>
                <w:tcPr>
                  <w:tcW w:w="1327" w:type="dxa"/>
                  <w:vAlign w:val="center"/>
                </w:tcPr>
                <w:p w14:paraId="2B1A7B18">
                  <w:pPr>
                    <w:pStyle w:val="221"/>
                    <w:rPr>
                      <w:lang w:val="en-GB"/>
                    </w:rPr>
                  </w:pPr>
                  <w:r>
                    <w:rPr>
                      <w:lang w:val="en-GB"/>
                    </w:rPr>
                    <w:t>昼间</w:t>
                  </w:r>
                </w:p>
              </w:tc>
              <w:tc>
                <w:tcPr>
                  <w:tcW w:w="1327" w:type="dxa"/>
                  <w:vAlign w:val="center"/>
                </w:tcPr>
                <w:p w14:paraId="095E0516">
                  <w:pPr>
                    <w:pStyle w:val="221"/>
                    <w:rPr>
                      <w:lang w:val="en-GB"/>
                    </w:rPr>
                  </w:pPr>
                  <w:r>
                    <w:rPr>
                      <w:lang w:val="en-GB"/>
                    </w:rPr>
                    <w:t>昼间</w:t>
                  </w:r>
                </w:p>
              </w:tc>
              <w:tc>
                <w:tcPr>
                  <w:tcW w:w="1651" w:type="dxa"/>
                  <w:vAlign w:val="center"/>
                </w:tcPr>
                <w:p w14:paraId="07608410">
                  <w:pPr>
                    <w:pStyle w:val="221"/>
                    <w:rPr>
                      <w:lang w:val="en-GB"/>
                    </w:rPr>
                  </w:pPr>
                  <w:r>
                    <w:rPr>
                      <w:lang w:val="en-GB"/>
                    </w:rPr>
                    <w:t>昼间</w:t>
                  </w:r>
                </w:p>
              </w:tc>
            </w:tr>
            <w:tr w14:paraId="5A39A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8" w:type="dxa"/>
                  <w:vAlign w:val="center"/>
                </w:tcPr>
                <w:p w14:paraId="2178F890">
                  <w:pPr>
                    <w:pStyle w:val="221"/>
                  </w:pPr>
                  <w:r>
                    <w:rPr>
                      <w:rFonts w:hint="eastAsia"/>
                    </w:rPr>
                    <w:t>东侧厂界</w:t>
                  </w:r>
                </w:p>
              </w:tc>
              <w:tc>
                <w:tcPr>
                  <w:tcW w:w="1327" w:type="dxa"/>
                  <w:vAlign w:val="center"/>
                </w:tcPr>
                <w:p w14:paraId="78F7EFC6">
                  <w:pPr>
                    <w:pStyle w:val="221"/>
                    <w:rPr>
                      <w:lang w:val="en-GB"/>
                    </w:rPr>
                  </w:pPr>
                  <w:r>
                    <w:rPr>
                      <w:rFonts w:hint="eastAsia"/>
                      <w:lang w:val="en-GB"/>
                    </w:rPr>
                    <w:t>10.1</w:t>
                  </w:r>
                </w:p>
              </w:tc>
              <w:tc>
                <w:tcPr>
                  <w:tcW w:w="1327" w:type="dxa"/>
                  <w:vAlign w:val="center"/>
                </w:tcPr>
                <w:p w14:paraId="38FB1997">
                  <w:pPr>
                    <w:pStyle w:val="221"/>
                    <w:rPr>
                      <w:lang w:val="en-GB"/>
                    </w:rPr>
                  </w:pPr>
                  <w:r>
                    <w:rPr>
                      <w:rFonts w:hint="eastAsia"/>
                      <w:lang w:val="en-GB"/>
                    </w:rPr>
                    <w:t>57.6</w:t>
                  </w:r>
                </w:p>
              </w:tc>
              <w:tc>
                <w:tcPr>
                  <w:tcW w:w="1327" w:type="dxa"/>
                  <w:vAlign w:val="center"/>
                </w:tcPr>
                <w:p w14:paraId="545A5FE2">
                  <w:pPr>
                    <w:pStyle w:val="221"/>
                    <w:rPr>
                      <w:lang w:val="en-GB"/>
                    </w:rPr>
                  </w:pPr>
                  <w:r>
                    <w:rPr>
                      <w:rFonts w:hint="eastAsia"/>
                      <w:lang w:val="en-GB"/>
                    </w:rPr>
                    <w:t>57.6</w:t>
                  </w:r>
                </w:p>
              </w:tc>
              <w:tc>
                <w:tcPr>
                  <w:tcW w:w="1327" w:type="dxa"/>
                  <w:vAlign w:val="center"/>
                </w:tcPr>
                <w:p w14:paraId="28EEA439">
                  <w:pPr>
                    <w:pStyle w:val="221"/>
                    <w:rPr>
                      <w:lang w:val="en-GB"/>
                    </w:rPr>
                  </w:pPr>
                  <w:r>
                    <w:rPr>
                      <w:rFonts w:hint="eastAsia"/>
                      <w:lang w:val="en-GB"/>
                    </w:rPr>
                    <w:t>65</w:t>
                  </w:r>
                </w:p>
              </w:tc>
              <w:tc>
                <w:tcPr>
                  <w:tcW w:w="1651" w:type="dxa"/>
                  <w:vAlign w:val="center"/>
                </w:tcPr>
                <w:p w14:paraId="6D75B513">
                  <w:pPr>
                    <w:pStyle w:val="221"/>
                    <w:rPr>
                      <w:lang w:val="en-GB"/>
                    </w:rPr>
                  </w:pPr>
                  <w:r>
                    <w:rPr>
                      <w:lang w:val="en-GB"/>
                    </w:rPr>
                    <w:t>达标</w:t>
                  </w:r>
                </w:p>
              </w:tc>
            </w:tr>
            <w:tr w14:paraId="63860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8" w:type="dxa"/>
                  <w:vAlign w:val="center"/>
                </w:tcPr>
                <w:p w14:paraId="303F404B">
                  <w:pPr>
                    <w:pStyle w:val="221"/>
                  </w:pPr>
                  <w:r>
                    <w:rPr>
                      <w:rFonts w:hint="eastAsia"/>
                    </w:rPr>
                    <w:t>南侧厂界</w:t>
                  </w:r>
                </w:p>
              </w:tc>
              <w:tc>
                <w:tcPr>
                  <w:tcW w:w="1327" w:type="dxa"/>
                  <w:vAlign w:val="center"/>
                </w:tcPr>
                <w:p w14:paraId="464CD7D1">
                  <w:pPr>
                    <w:pStyle w:val="221"/>
                    <w:rPr>
                      <w:lang w:val="en-GB"/>
                    </w:rPr>
                  </w:pPr>
                  <w:r>
                    <w:rPr>
                      <w:rFonts w:hint="eastAsia"/>
                      <w:lang w:val="en-GB"/>
                    </w:rPr>
                    <w:t>21.6</w:t>
                  </w:r>
                </w:p>
              </w:tc>
              <w:tc>
                <w:tcPr>
                  <w:tcW w:w="1327" w:type="dxa"/>
                  <w:vAlign w:val="center"/>
                </w:tcPr>
                <w:p w14:paraId="3B4DE47A">
                  <w:pPr>
                    <w:pStyle w:val="221"/>
                    <w:rPr>
                      <w:lang w:val="en-GB"/>
                    </w:rPr>
                  </w:pPr>
                  <w:r>
                    <w:rPr>
                      <w:rFonts w:hint="eastAsia"/>
                      <w:lang w:val="en-GB"/>
                    </w:rPr>
                    <w:t>51.7</w:t>
                  </w:r>
                </w:p>
              </w:tc>
              <w:tc>
                <w:tcPr>
                  <w:tcW w:w="1327" w:type="dxa"/>
                  <w:vAlign w:val="center"/>
                </w:tcPr>
                <w:p w14:paraId="127019EF">
                  <w:pPr>
                    <w:pStyle w:val="221"/>
                    <w:rPr>
                      <w:lang w:val="en-GB"/>
                    </w:rPr>
                  </w:pPr>
                  <w:r>
                    <w:rPr>
                      <w:rFonts w:hint="eastAsia"/>
                      <w:lang w:val="en-GB"/>
                    </w:rPr>
                    <w:t>51.7</w:t>
                  </w:r>
                </w:p>
              </w:tc>
              <w:tc>
                <w:tcPr>
                  <w:tcW w:w="1327" w:type="dxa"/>
                  <w:vAlign w:val="center"/>
                </w:tcPr>
                <w:p w14:paraId="1265D263">
                  <w:pPr>
                    <w:pStyle w:val="221"/>
                    <w:rPr>
                      <w:lang w:val="en-GB"/>
                    </w:rPr>
                  </w:pPr>
                  <w:r>
                    <w:rPr>
                      <w:rFonts w:hint="eastAsia"/>
                      <w:lang w:val="en-GB"/>
                    </w:rPr>
                    <w:t>65</w:t>
                  </w:r>
                </w:p>
              </w:tc>
              <w:tc>
                <w:tcPr>
                  <w:tcW w:w="1651" w:type="dxa"/>
                  <w:vAlign w:val="center"/>
                </w:tcPr>
                <w:p w14:paraId="7123CD18">
                  <w:pPr>
                    <w:pStyle w:val="221"/>
                    <w:rPr>
                      <w:lang w:val="en-GB"/>
                    </w:rPr>
                  </w:pPr>
                  <w:r>
                    <w:rPr>
                      <w:lang w:val="en-GB"/>
                    </w:rPr>
                    <w:t>达标</w:t>
                  </w:r>
                </w:p>
              </w:tc>
            </w:tr>
            <w:tr w14:paraId="22E68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8" w:type="dxa"/>
                  <w:vAlign w:val="center"/>
                </w:tcPr>
                <w:p w14:paraId="0B55B9F3">
                  <w:pPr>
                    <w:pStyle w:val="221"/>
                  </w:pPr>
                  <w:r>
                    <w:rPr>
                      <w:rFonts w:hint="eastAsia"/>
                    </w:rPr>
                    <w:t>西侧厂界</w:t>
                  </w:r>
                </w:p>
              </w:tc>
              <w:tc>
                <w:tcPr>
                  <w:tcW w:w="1327" w:type="dxa"/>
                  <w:vAlign w:val="center"/>
                </w:tcPr>
                <w:p w14:paraId="502EB588">
                  <w:pPr>
                    <w:pStyle w:val="221"/>
                    <w:rPr>
                      <w:lang w:val="en-GB"/>
                    </w:rPr>
                  </w:pPr>
                  <w:r>
                    <w:rPr>
                      <w:rFonts w:hint="eastAsia"/>
                      <w:lang w:val="en-GB"/>
                    </w:rPr>
                    <w:t>15.5</w:t>
                  </w:r>
                </w:p>
              </w:tc>
              <w:tc>
                <w:tcPr>
                  <w:tcW w:w="1327" w:type="dxa"/>
                  <w:vAlign w:val="center"/>
                </w:tcPr>
                <w:p w14:paraId="0D51A529">
                  <w:pPr>
                    <w:pStyle w:val="221"/>
                    <w:rPr>
                      <w:lang w:val="en-GB"/>
                    </w:rPr>
                  </w:pPr>
                  <w:r>
                    <w:rPr>
                      <w:rFonts w:hint="eastAsia"/>
                      <w:lang w:val="en-GB"/>
                    </w:rPr>
                    <w:t>58.3</w:t>
                  </w:r>
                </w:p>
              </w:tc>
              <w:tc>
                <w:tcPr>
                  <w:tcW w:w="1327" w:type="dxa"/>
                  <w:vAlign w:val="center"/>
                </w:tcPr>
                <w:p w14:paraId="47F460EB">
                  <w:pPr>
                    <w:pStyle w:val="221"/>
                    <w:rPr>
                      <w:lang w:val="en-GB"/>
                    </w:rPr>
                  </w:pPr>
                  <w:r>
                    <w:rPr>
                      <w:rFonts w:hint="eastAsia"/>
                      <w:lang w:val="en-GB"/>
                    </w:rPr>
                    <w:t>58.3</w:t>
                  </w:r>
                </w:p>
              </w:tc>
              <w:tc>
                <w:tcPr>
                  <w:tcW w:w="1327" w:type="dxa"/>
                  <w:vAlign w:val="center"/>
                </w:tcPr>
                <w:p w14:paraId="56B95D97">
                  <w:pPr>
                    <w:pStyle w:val="221"/>
                    <w:rPr>
                      <w:lang w:val="en-GB"/>
                    </w:rPr>
                  </w:pPr>
                  <w:r>
                    <w:rPr>
                      <w:rFonts w:hint="eastAsia"/>
                      <w:lang w:val="en-GB"/>
                    </w:rPr>
                    <w:t>70</w:t>
                  </w:r>
                </w:p>
              </w:tc>
              <w:tc>
                <w:tcPr>
                  <w:tcW w:w="1651" w:type="dxa"/>
                  <w:vAlign w:val="center"/>
                </w:tcPr>
                <w:p w14:paraId="5326E444">
                  <w:pPr>
                    <w:pStyle w:val="221"/>
                    <w:rPr>
                      <w:lang w:val="en-GB"/>
                    </w:rPr>
                  </w:pPr>
                  <w:r>
                    <w:rPr>
                      <w:lang w:val="en-GB"/>
                    </w:rPr>
                    <w:t>达标</w:t>
                  </w:r>
                </w:p>
              </w:tc>
            </w:tr>
            <w:tr w14:paraId="5D46C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8" w:type="dxa"/>
                  <w:vAlign w:val="center"/>
                </w:tcPr>
                <w:p w14:paraId="524A45FF">
                  <w:pPr>
                    <w:pStyle w:val="221"/>
                  </w:pPr>
                  <w:r>
                    <w:rPr>
                      <w:rFonts w:hint="eastAsia"/>
                    </w:rPr>
                    <w:t>北侧厂界</w:t>
                  </w:r>
                </w:p>
              </w:tc>
              <w:tc>
                <w:tcPr>
                  <w:tcW w:w="1327" w:type="dxa"/>
                  <w:vAlign w:val="center"/>
                </w:tcPr>
                <w:p w14:paraId="04D60AD5">
                  <w:pPr>
                    <w:pStyle w:val="221"/>
                    <w:rPr>
                      <w:lang w:val="en-GB"/>
                    </w:rPr>
                  </w:pPr>
                  <w:r>
                    <w:rPr>
                      <w:rFonts w:hint="eastAsia"/>
                      <w:lang w:val="en-GB"/>
                    </w:rPr>
                    <w:t>28.1</w:t>
                  </w:r>
                </w:p>
              </w:tc>
              <w:tc>
                <w:tcPr>
                  <w:tcW w:w="1327" w:type="dxa"/>
                  <w:vAlign w:val="center"/>
                </w:tcPr>
                <w:p w14:paraId="2703345E">
                  <w:pPr>
                    <w:pStyle w:val="221"/>
                    <w:rPr>
                      <w:lang w:val="en-GB"/>
                    </w:rPr>
                  </w:pPr>
                  <w:r>
                    <w:rPr>
                      <w:rFonts w:hint="eastAsia"/>
                      <w:lang w:val="en-GB"/>
                    </w:rPr>
                    <w:t>57.4</w:t>
                  </w:r>
                </w:p>
              </w:tc>
              <w:tc>
                <w:tcPr>
                  <w:tcW w:w="1327" w:type="dxa"/>
                  <w:vAlign w:val="center"/>
                </w:tcPr>
                <w:p w14:paraId="00B28F7B">
                  <w:pPr>
                    <w:pStyle w:val="221"/>
                    <w:rPr>
                      <w:lang w:val="en-GB"/>
                    </w:rPr>
                  </w:pPr>
                  <w:r>
                    <w:rPr>
                      <w:rFonts w:hint="eastAsia"/>
                      <w:lang w:val="en-GB"/>
                    </w:rPr>
                    <w:t>57.4</w:t>
                  </w:r>
                </w:p>
              </w:tc>
              <w:tc>
                <w:tcPr>
                  <w:tcW w:w="1327" w:type="dxa"/>
                  <w:vAlign w:val="center"/>
                </w:tcPr>
                <w:p w14:paraId="1A74DD71">
                  <w:pPr>
                    <w:pStyle w:val="221"/>
                    <w:rPr>
                      <w:lang w:val="en-GB"/>
                    </w:rPr>
                  </w:pPr>
                  <w:r>
                    <w:rPr>
                      <w:rFonts w:hint="eastAsia"/>
                      <w:lang w:val="en-GB"/>
                    </w:rPr>
                    <w:t>65</w:t>
                  </w:r>
                </w:p>
              </w:tc>
              <w:tc>
                <w:tcPr>
                  <w:tcW w:w="1651" w:type="dxa"/>
                  <w:vAlign w:val="center"/>
                </w:tcPr>
                <w:p w14:paraId="1D54CBC3">
                  <w:pPr>
                    <w:pStyle w:val="221"/>
                    <w:rPr>
                      <w:lang w:val="en-GB"/>
                    </w:rPr>
                  </w:pPr>
                  <w:r>
                    <w:rPr>
                      <w:lang w:val="en-GB"/>
                    </w:rPr>
                    <w:t>达标</w:t>
                  </w:r>
                </w:p>
              </w:tc>
            </w:tr>
            <w:bookmarkEnd w:id="17"/>
          </w:tbl>
          <w:p w14:paraId="5B4797FF">
            <w:pPr>
              <w:pStyle w:val="222"/>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表4.2-7  </w:t>
            </w:r>
            <w:r>
              <w:rPr>
                <w:color w:val="000000" w:themeColor="text1"/>
                <w14:textFill>
                  <w14:solidFill>
                    <w14:schemeClr w14:val="tx1"/>
                  </w14:solidFill>
                </w14:textFill>
              </w:rPr>
              <w:t>项目声环境</w:t>
            </w:r>
            <w:r>
              <w:rPr>
                <w:rFonts w:hint="eastAsia"/>
                <w:color w:val="000000" w:themeColor="text1"/>
                <w14:textFill>
                  <w14:solidFill>
                    <w14:schemeClr w14:val="tx1"/>
                  </w14:solidFill>
                </w14:textFill>
              </w:rPr>
              <w:t>保护目标</w:t>
            </w:r>
            <w:r>
              <w:rPr>
                <w:color w:val="000000" w:themeColor="text1"/>
                <w14:textFill>
                  <w14:solidFill>
                    <w14:schemeClr w14:val="tx1"/>
                  </w14:solidFill>
                </w14:textFill>
              </w:rPr>
              <w:t>处噪声排放预测结果</w:t>
            </w:r>
          </w:p>
          <w:tbl>
            <w:tblPr>
              <w:tblStyle w:val="3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0"/>
              <w:gridCol w:w="1293"/>
              <w:gridCol w:w="1293"/>
              <w:gridCol w:w="1294"/>
              <w:gridCol w:w="1150"/>
              <w:gridCol w:w="1287"/>
            </w:tblGrid>
            <w:tr w14:paraId="38B4B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0" w:type="dxa"/>
                  <w:vMerge w:val="restart"/>
                  <w:vAlign w:val="center"/>
                </w:tcPr>
                <w:p w14:paraId="6027EE42">
                  <w:pPr>
                    <w:pStyle w:val="221"/>
                    <w:rPr>
                      <w:lang w:val="en-GB"/>
                    </w:rPr>
                  </w:pPr>
                  <w:r>
                    <w:rPr>
                      <w:lang w:val="en-GB"/>
                    </w:rPr>
                    <w:t>预测点</w:t>
                  </w:r>
                </w:p>
              </w:tc>
              <w:tc>
                <w:tcPr>
                  <w:tcW w:w="1293" w:type="dxa"/>
                  <w:vAlign w:val="center"/>
                </w:tcPr>
                <w:p w14:paraId="177511BE">
                  <w:pPr>
                    <w:pStyle w:val="221"/>
                    <w:rPr>
                      <w:lang w:val="en-GB"/>
                    </w:rPr>
                  </w:pPr>
                  <w:r>
                    <w:rPr>
                      <w:lang w:val="en-GB"/>
                    </w:rPr>
                    <w:t>贡献值</w:t>
                  </w:r>
                </w:p>
              </w:tc>
              <w:tc>
                <w:tcPr>
                  <w:tcW w:w="1293" w:type="dxa"/>
                  <w:vAlign w:val="center"/>
                </w:tcPr>
                <w:p w14:paraId="3786C4A3">
                  <w:pPr>
                    <w:pStyle w:val="221"/>
                    <w:rPr>
                      <w:lang w:val="en-GB"/>
                    </w:rPr>
                  </w:pPr>
                  <w:r>
                    <w:rPr>
                      <w:lang w:val="en-GB"/>
                    </w:rPr>
                    <w:t>背景值</w:t>
                  </w:r>
                </w:p>
              </w:tc>
              <w:tc>
                <w:tcPr>
                  <w:tcW w:w="1294" w:type="dxa"/>
                  <w:vAlign w:val="center"/>
                </w:tcPr>
                <w:p w14:paraId="21ED541A">
                  <w:pPr>
                    <w:pStyle w:val="221"/>
                    <w:rPr>
                      <w:lang w:val="en-GB"/>
                    </w:rPr>
                  </w:pPr>
                  <w:r>
                    <w:rPr>
                      <w:rFonts w:hint="eastAsia"/>
                      <w:lang w:val="en-GB"/>
                    </w:rPr>
                    <w:t>预测值</w:t>
                  </w:r>
                </w:p>
              </w:tc>
              <w:tc>
                <w:tcPr>
                  <w:tcW w:w="1150" w:type="dxa"/>
                  <w:vAlign w:val="center"/>
                </w:tcPr>
                <w:p w14:paraId="59FBB8C7">
                  <w:pPr>
                    <w:pStyle w:val="221"/>
                    <w:rPr>
                      <w:lang w:val="en-GB"/>
                    </w:rPr>
                  </w:pPr>
                  <w:r>
                    <w:rPr>
                      <w:rFonts w:hint="eastAsia"/>
                      <w:lang w:val="en-GB"/>
                    </w:rPr>
                    <w:t>标准值</w:t>
                  </w:r>
                </w:p>
              </w:tc>
              <w:tc>
                <w:tcPr>
                  <w:tcW w:w="1287" w:type="dxa"/>
                  <w:vAlign w:val="center"/>
                </w:tcPr>
                <w:p w14:paraId="6E7A4DC0">
                  <w:pPr>
                    <w:pStyle w:val="221"/>
                    <w:rPr>
                      <w:lang w:val="en-GB"/>
                    </w:rPr>
                  </w:pPr>
                  <w:r>
                    <w:rPr>
                      <w:lang w:val="en-GB"/>
                    </w:rPr>
                    <w:t>达标情况</w:t>
                  </w:r>
                </w:p>
              </w:tc>
            </w:tr>
            <w:tr w14:paraId="2B794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0" w:type="dxa"/>
                  <w:vMerge w:val="continue"/>
                  <w:vAlign w:val="center"/>
                </w:tcPr>
                <w:p w14:paraId="30C8DE6D">
                  <w:pPr>
                    <w:pStyle w:val="221"/>
                    <w:rPr>
                      <w:lang w:val="en-GB"/>
                    </w:rPr>
                  </w:pPr>
                </w:p>
              </w:tc>
              <w:tc>
                <w:tcPr>
                  <w:tcW w:w="1293" w:type="dxa"/>
                  <w:vAlign w:val="center"/>
                </w:tcPr>
                <w:p w14:paraId="07159B96">
                  <w:pPr>
                    <w:pStyle w:val="221"/>
                    <w:rPr>
                      <w:lang w:val="en-GB"/>
                    </w:rPr>
                  </w:pPr>
                  <w:r>
                    <w:rPr>
                      <w:lang w:val="en-GB"/>
                    </w:rPr>
                    <w:t>昼间</w:t>
                  </w:r>
                </w:p>
              </w:tc>
              <w:tc>
                <w:tcPr>
                  <w:tcW w:w="1293" w:type="dxa"/>
                  <w:vAlign w:val="center"/>
                </w:tcPr>
                <w:p w14:paraId="376C1BE2">
                  <w:pPr>
                    <w:pStyle w:val="221"/>
                    <w:rPr>
                      <w:lang w:val="en-GB"/>
                    </w:rPr>
                  </w:pPr>
                  <w:r>
                    <w:rPr>
                      <w:lang w:val="en-GB"/>
                    </w:rPr>
                    <w:t>昼间</w:t>
                  </w:r>
                </w:p>
              </w:tc>
              <w:tc>
                <w:tcPr>
                  <w:tcW w:w="1294" w:type="dxa"/>
                  <w:vAlign w:val="center"/>
                </w:tcPr>
                <w:p w14:paraId="2498A5C2">
                  <w:pPr>
                    <w:pStyle w:val="221"/>
                    <w:rPr>
                      <w:lang w:val="en-GB"/>
                    </w:rPr>
                  </w:pPr>
                  <w:r>
                    <w:rPr>
                      <w:lang w:val="en-GB"/>
                    </w:rPr>
                    <w:t>昼间</w:t>
                  </w:r>
                </w:p>
              </w:tc>
              <w:tc>
                <w:tcPr>
                  <w:tcW w:w="1150" w:type="dxa"/>
                  <w:vAlign w:val="center"/>
                </w:tcPr>
                <w:p w14:paraId="6D4D4D5C">
                  <w:pPr>
                    <w:pStyle w:val="221"/>
                    <w:rPr>
                      <w:lang w:val="en-GB"/>
                    </w:rPr>
                  </w:pPr>
                  <w:r>
                    <w:rPr>
                      <w:lang w:val="en-GB"/>
                    </w:rPr>
                    <w:t>昼间</w:t>
                  </w:r>
                </w:p>
              </w:tc>
              <w:tc>
                <w:tcPr>
                  <w:tcW w:w="1287" w:type="dxa"/>
                  <w:vAlign w:val="center"/>
                </w:tcPr>
                <w:p w14:paraId="5FF6A768">
                  <w:pPr>
                    <w:pStyle w:val="221"/>
                    <w:rPr>
                      <w:lang w:val="en-GB"/>
                    </w:rPr>
                  </w:pPr>
                  <w:r>
                    <w:rPr>
                      <w:lang w:val="en-GB"/>
                    </w:rPr>
                    <w:t>昼间</w:t>
                  </w:r>
                </w:p>
              </w:tc>
            </w:tr>
            <w:tr w14:paraId="1CB89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0" w:type="dxa"/>
                  <w:vAlign w:val="center"/>
                </w:tcPr>
                <w:p w14:paraId="5AFE3787">
                  <w:pPr>
                    <w:pStyle w:val="221"/>
                  </w:pPr>
                  <w:r>
                    <w:rPr>
                      <w:rFonts w:hint="eastAsia"/>
                    </w:rPr>
                    <w:t>周店村</w:t>
                  </w:r>
                </w:p>
              </w:tc>
              <w:tc>
                <w:tcPr>
                  <w:tcW w:w="1293" w:type="dxa"/>
                  <w:vAlign w:val="center"/>
                </w:tcPr>
                <w:p w14:paraId="45F0FB05">
                  <w:pPr>
                    <w:pStyle w:val="221"/>
                    <w:rPr>
                      <w:lang w:val="en-GB"/>
                    </w:rPr>
                  </w:pPr>
                  <w:r>
                    <w:rPr>
                      <w:rFonts w:hint="eastAsia"/>
                      <w:lang w:val="en-GB"/>
                    </w:rPr>
                    <w:t>31.6</w:t>
                  </w:r>
                </w:p>
              </w:tc>
              <w:tc>
                <w:tcPr>
                  <w:tcW w:w="1293" w:type="dxa"/>
                  <w:vAlign w:val="center"/>
                </w:tcPr>
                <w:p w14:paraId="774905FD">
                  <w:pPr>
                    <w:pStyle w:val="221"/>
                    <w:rPr>
                      <w:lang w:val="en-GB"/>
                    </w:rPr>
                  </w:pPr>
                  <w:r>
                    <w:rPr>
                      <w:rFonts w:hint="eastAsia"/>
                      <w:lang w:val="en-GB"/>
                    </w:rPr>
                    <w:t>48</w:t>
                  </w:r>
                </w:p>
              </w:tc>
              <w:tc>
                <w:tcPr>
                  <w:tcW w:w="1294" w:type="dxa"/>
                  <w:vAlign w:val="center"/>
                </w:tcPr>
                <w:p w14:paraId="48273DA3">
                  <w:pPr>
                    <w:pStyle w:val="221"/>
                    <w:rPr>
                      <w:lang w:val="en-GB"/>
                    </w:rPr>
                  </w:pPr>
                  <w:r>
                    <w:rPr>
                      <w:rFonts w:hint="eastAsia"/>
                      <w:lang w:val="en-GB"/>
                    </w:rPr>
                    <w:t>48.1</w:t>
                  </w:r>
                </w:p>
              </w:tc>
              <w:tc>
                <w:tcPr>
                  <w:tcW w:w="1150" w:type="dxa"/>
                  <w:vAlign w:val="center"/>
                </w:tcPr>
                <w:p w14:paraId="286DF593">
                  <w:pPr>
                    <w:pStyle w:val="221"/>
                    <w:rPr>
                      <w:lang w:val="en-GB"/>
                    </w:rPr>
                  </w:pPr>
                  <w:r>
                    <w:rPr>
                      <w:rFonts w:hint="eastAsia"/>
                      <w:lang w:val="en-GB"/>
                    </w:rPr>
                    <w:t>60</w:t>
                  </w:r>
                </w:p>
              </w:tc>
              <w:tc>
                <w:tcPr>
                  <w:tcW w:w="1287" w:type="dxa"/>
                  <w:vAlign w:val="center"/>
                </w:tcPr>
                <w:p w14:paraId="59EE8EFB">
                  <w:pPr>
                    <w:pStyle w:val="221"/>
                    <w:rPr>
                      <w:lang w:val="en-GB"/>
                    </w:rPr>
                  </w:pPr>
                  <w:r>
                    <w:rPr>
                      <w:lang w:val="en-GB"/>
                    </w:rPr>
                    <w:t>达标</w:t>
                  </w:r>
                </w:p>
              </w:tc>
            </w:tr>
          </w:tbl>
          <w:p w14:paraId="0E522C22">
            <w:pPr>
              <w:pStyle w:val="223"/>
              <w:spacing w:before="120"/>
              <w:ind w:firstLine="480"/>
            </w:pPr>
            <w:r>
              <w:t>由上表可知，本项目投产后正常运行过程中对厂界的噪声预测值可以满足《工业企业厂界环境噪声排放标准》（GB12348-2008）3类标准，其中西侧可达《工业企业厂界环境噪声排放标准》（GB12348-2008）中的 4 类标准，敏感点噪声可达《声环境质量标准》（GB3096-2008）中的 2 类标准。正常生产时不会造成噪声污染，声环境影响可以接受。</w:t>
            </w:r>
          </w:p>
          <w:p w14:paraId="397C274D">
            <w:pPr>
              <w:widowControl w:val="0"/>
              <w:tabs>
                <w:tab w:val="left" w:pos="5400"/>
              </w:tabs>
              <w:topLinePunct/>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3、</w:t>
            </w:r>
            <w:r>
              <w:rPr>
                <w:rFonts w:ascii="Times New Roman" w:hAnsi="Times New Roman" w:eastAsia="宋体" w:cs="Times New Roman"/>
                <w:color w:val="000000" w:themeColor="text1"/>
                <w:szCs w:val="24"/>
                <w14:textFill>
                  <w14:solidFill>
                    <w14:schemeClr w14:val="tx1"/>
                  </w14:solidFill>
                </w14:textFill>
              </w:rPr>
              <w:t>噪声治理措施可行性分析</w:t>
            </w:r>
          </w:p>
          <w:p w14:paraId="656F5500">
            <w:pPr>
              <w:widowControl w:val="0"/>
              <w:topLinePunct/>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根据对本项目运营期噪声环境影响分析可得：各厂界可达到《工业企业厂界环境噪声排放标准》（GB 12348-2008）中相应标准限值。因此项目运营后产生的噪声对周边声环境产生影响较小。但厂方应对高噪声设备采取减震等综合措施进行降噪，加大设备用房的隔声效果，确保厂界噪声达标排放，特别是东南侧车间不得设置高噪声设备，减少对最近敏感保护目标的影响。本次环评建议厂方采取以下措施来减小噪声对外界环境的影响：</w:t>
            </w:r>
          </w:p>
          <w:p w14:paraId="10AD4360">
            <w:pPr>
              <w:widowControl w:val="0"/>
              <w:topLinePunct/>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（1）设备应合理布局，尽可能使高噪声设备远离居民敏感点，减少噪声对居民生活的影响。</w:t>
            </w:r>
          </w:p>
          <w:p w14:paraId="41FDAAE4">
            <w:pPr>
              <w:widowControl w:val="0"/>
              <w:topLinePunct/>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2）加强设备的安装、调试、使用和维护管理。建立设备使用档案，做好日常维护保养，使其处于良好的工况下运行。正确的安装、调试、使用，良好的润滑和合理有效的检修，积极应用各种设备状态监测和故障诊断技术，对运行的设备进行及时、合理而有效的维护保养，能有效防止零部件的松动、磨损和设备运转状态的劣化，从而减小摩擦和撞击振动所产生的噪声。综上，本项目运营期声防治措施基本可行。</w:t>
            </w:r>
          </w:p>
          <w:p w14:paraId="493C168E">
            <w:pPr>
              <w:widowControl w:val="0"/>
              <w:tabs>
                <w:tab w:val="left" w:pos="5400"/>
              </w:tabs>
              <w:topLinePunct/>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4、</w:t>
            </w:r>
            <w:r>
              <w:rPr>
                <w:rFonts w:ascii="Times New Roman" w:hAnsi="Times New Roman" w:eastAsia="宋体" w:cs="Times New Roman"/>
                <w:color w:val="000000" w:themeColor="text1"/>
                <w:szCs w:val="24"/>
                <w14:textFill>
                  <w14:solidFill>
                    <w14:schemeClr w14:val="tx1"/>
                  </w14:solidFill>
                </w14:textFill>
              </w:rPr>
              <w:t>监测要求</w:t>
            </w:r>
          </w:p>
          <w:p w14:paraId="4663E4A8">
            <w:pPr>
              <w:widowControl w:val="0"/>
              <w:tabs>
                <w:tab w:val="left" w:pos="5400"/>
              </w:tabs>
              <w:topLinePunct/>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bCs/>
                <w:color w:val="000000" w:themeColor="text1"/>
                <w:szCs w:val="24"/>
                <w14:textFill>
                  <w14:solidFill>
                    <w14:schemeClr w14:val="tx1"/>
                  </w14:solidFill>
                </w14:textFill>
              </w:rPr>
              <w:t>根据《固定污染源排污许可分类管理名录》，项目属于登记管理，无需进行自行监测</w:t>
            </w:r>
            <w:r>
              <w:rPr>
                <w:rFonts w:ascii="Times New Roman" w:hAnsi="Times New Roman" w:eastAsia="宋体" w:cs="Times New Roman"/>
                <w:color w:val="000000" w:themeColor="text1"/>
                <w:szCs w:val="24"/>
                <w14:textFill>
                  <w14:solidFill>
                    <w14:schemeClr w14:val="tx1"/>
                  </w14:solidFill>
                </w14:textFill>
              </w:rPr>
              <w:t>。</w:t>
            </w:r>
          </w:p>
          <w:p w14:paraId="32469954">
            <w:pPr>
              <w:pStyle w:val="4"/>
              <w:keepNext w:val="0"/>
              <w:keepLines w:val="0"/>
              <w:widowControl w:val="0"/>
              <w:topLinePunct/>
              <w:spacing w:before="0" w:line="360" w:lineRule="auto"/>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4.2.</w:t>
            </w:r>
            <w:r>
              <w:rPr>
                <w:rFonts w:hint="eastAsia" w:ascii="Times New Roman" w:hAnsi="Times New Roman" w:eastAsia="宋体" w:cs="Times New Roman"/>
                <w:b/>
                <w:bCs/>
                <w:color w:val="000000" w:themeColor="text1"/>
                <w14:textFill>
                  <w14:solidFill>
                    <w14:schemeClr w14:val="tx1"/>
                  </w14:solidFill>
                </w14:textFill>
              </w:rPr>
              <w:t>3</w:t>
            </w:r>
            <w:r>
              <w:rPr>
                <w:rFonts w:ascii="Times New Roman" w:hAnsi="Times New Roman" w:eastAsia="宋体" w:cs="Times New Roman"/>
                <w:b/>
                <w:bCs/>
                <w:color w:val="000000" w:themeColor="text1"/>
                <w14:textFill>
                  <w14:solidFill>
                    <w14:schemeClr w14:val="tx1"/>
                  </w14:solidFill>
                </w14:textFill>
              </w:rPr>
              <w:t xml:space="preserve"> 运营期固废影响分析和防范措施</w:t>
            </w:r>
          </w:p>
          <w:p w14:paraId="794109D0">
            <w:pPr>
              <w:widowControl w:val="0"/>
              <w:tabs>
                <w:tab w:val="left" w:pos="5400"/>
              </w:tabs>
              <w:topLinePunct/>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w:t>
            </w:r>
            <w:r>
              <w:rPr>
                <w:rFonts w:ascii="Times New Roman" w:hAnsi="Times New Roman" w:eastAsia="宋体" w:cs="Times New Roman"/>
                <w:color w:val="000000" w:themeColor="text1"/>
                <w:szCs w:val="24"/>
                <w14:textFill>
                  <w14:solidFill>
                    <w14:schemeClr w14:val="tx1"/>
                  </w14:solidFill>
                </w14:textFill>
              </w:rPr>
              <w:t>固废种类</w:t>
            </w:r>
          </w:p>
          <w:p w14:paraId="678F5140">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项目固废主要为生产过程中产生的一般工业固废</w:t>
            </w:r>
            <w:r>
              <w:rPr>
                <w:rFonts w:hint="eastAsia" w:ascii="Times New Roman" w:hAnsi="Times New Roman" w:eastAsia="宋体" w:cs="Times New Roman"/>
                <w:color w:val="000000" w:themeColor="text1"/>
                <w:szCs w:val="24"/>
                <w14:textFill>
                  <w14:solidFill>
                    <w14:schemeClr w14:val="tx1"/>
                  </w14:solidFill>
                </w14:textFill>
              </w:rPr>
              <w:t>，不产生危险废物</w:t>
            </w:r>
            <w:r>
              <w:rPr>
                <w:rFonts w:ascii="Times New Roman" w:hAnsi="Times New Roman" w:eastAsia="宋体" w:cs="Times New Roman"/>
                <w:color w:val="000000" w:themeColor="text1"/>
                <w:szCs w:val="24"/>
                <w14:textFill>
                  <w14:solidFill>
                    <w14:schemeClr w14:val="tx1"/>
                  </w14:solidFill>
                </w14:textFill>
              </w:rPr>
              <w:t>。</w:t>
            </w:r>
          </w:p>
          <w:p w14:paraId="69FE011D">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①</w:t>
            </w:r>
            <w:r>
              <w:rPr>
                <w:rFonts w:hint="eastAsia" w:ascii="Times New Roman" w:hAnsi="Times New Roman" w:eastAsia="宋体" w:cs="Times New Roman"/>
                <w:color w:val="000000" w:themeColor="text1"/>
                <w:szCs w:val="24"/>
                <w14:textFill>
                  <w14:solidFill>
                    <w14:schemeClr w14:val="tx1"/>
                  </w14:solidFill>
                </w14:textFill>
              </w:rPr>
              <w:t>废钢丸</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项目喷砂工序通过钢丸对工件进行打击摩擦，去除其表面的氧化锈皮及污物等，在喷砂过程钢砂丸会逐渐损耗变小，需要定期更换。根据建设单位提供的资料，喷砂工序废钢丸产生量为钢丸使用量的90%，项目钢丸年使用量为 10t/a，则废钢丸产生量约为9t/a，</w:t>
            </w:r>
            <w:r>
              <w:rPr>
                <w:rFonts w:ascii="Times New Roman" w:hAnsi="Times New Roman" w:eastAsia="宋体" w:cs="Times New Roman"/>
                <w:color w:val="000000" w:themeColor="text1"/>
                <w:szCs w:val="24"/>
                <w14:textFill>
                  <w14:solidFill>
                    <w14:schemeClr w14:val="tx1"/>
                  </w14:solidFill>
                </w14:textFill>
              </w:rPr>
              <w:t>暂存一般固废区，</w:t>
            </w:r>
            <w:r>
              <w:rPr>
                <w:rFonts w:hint="eastAsia" w:ascii="Times New Roman" w:hAnsi="Times New Roman" w:eastAsia="宋体" w:cs="Times New Roman"/>
                <w:color w:val="000000" w:themeColor="text1"/>
                <w:szCs w:val="24"/>
                <w14:textFill>
                  <w14:solidFill>
                    <w14:schemeClr w14:val="tx1"/>
                  </w14:solidFill>
                </w14:textFill>
              </w:rPr>
              <w:t>外售物资回收单位。</w:t>
            </w:r>
          </w:p>
          <w:p w14:paraId="734B6D4A">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②</w:t>
            </w:r>
            <w:r>
              <w:rPr>
                <w:rFonts w:hint="eastAsia" w:ascii="Times New Roman" w:hAnsi="Times New Roman" w:eastAsia="宋体" w:cs="Times New Roman"/>
                <w:color w:val="000000" w:themeColor="text1"/>
                <w:szCs w:val="24"/>
                <w14:textFill>
                  <w14:solidFill>
                    <w14:schemeClr w14:val="tx1"/>
                  </w14:solidFill>
                </w14:textFill>
              </w:rPr>
              <w:t>收集的金属粉尘</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本项目喷砂工序产生的喷砂粉尘经自然沉降后进入“丸砂分离器+滤筒除尘器系统”处理，根据污染源核算，喷砂工序自然沉降及处理设施收集的喷砂粉尘固废产生量约为26.176t/a，</w:t>
            </w:r>
            <w:r>
              <w:rPr>
                <w:rFonts w:ascii="Times New Roman" w:hAnsi="Times New Roman" w:eastAsia="宋体" w:cs="Times New Roman"/>
                <w:color w:val="000000" w:themeColor="text1"/>
                <w:szCs w:val="24"/>
                <w14:textFill>
                  <w14:solidFill>
                    <w14:schemeClr w14:val="tx1"/>
                  </w14:solidFill>
                </w14:textFill>
              </w:rPr>
              <w:t>暂存一般固废区，外售物资回收单位</w:t>
            </w:r>
            <w:r>
              <w:rPr>
                <w:rFonts w:hint="eastAsia" w:ascii="Times New Roman" w:hAnsi="Times New Roman" w:eastAsia="宋体" w:cs="Times New Roman"/>
                <w:color w:val="000000" w:themeColor="text1"/>
                <w:szCs w:val="24"/>
                <w14:textFill>
                  <w14:solidFill>
                    <w14:schemeClr w14:val="tx1"/>
                  </w14:solidFill>
                </w14:textFill>
              </w:rPr>
              <w:t>。</w:t>
            </w:r>
          </w:p>
          <w:p w14:paraId="29F5A0D9">
            <w:pPr>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③</w:t>
            </w:r>
            <w:r>
              <w:rPr>
                <w:rFonts w:hint="eastAsia" w:ascii="Times New Roman" w:hAnsi="Times New Roman" w:eastAsia="宋体" w:cs="Times New Roman"/>
                <w:color w:val="000000" w:themeColor="text1"/>
                <w:szCs w:val="24"/>
                <w14:textFill>
                  <w14:solidFill>
                    <w14:schemeClr w14:val="tx1"/>
                  </w14:solidFill>
                </w14:textFill>
              </w:rPr>
              <w:t>废滤筒</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项目滤筒除尘器在使用过程中需定期更换滤筒，更换量约0.01t/a，</w:t>
            </w:r>
            <w:r>
              <w:rPr>
                <w:rFonts w:ascii="Times New Roman" w:hAnsi="Times New Roman" w:eastAsia="宋体" w:cs="Times New Roman"/>
                <w:color w:val="000000" w:themeColor="text1"/>
                <w:szCs w:val="24"/>
                <w14:textFill>
                  <w14:solidFill>
                    <w14:schemeClr w14:val="tx1"/>
                  </w14:solidFill>
                </w14:textFill>
              </w:rPr>
              <w:t>暂存一般固废区，外售物资回收单位。</w:t>
            </w:r>
          </w:p>
          <w:p w14:paraId="3EF54EDA">
            <w:pPr>
              <w:spacing w:after="0" w:line="360" w:lineRule="auto"/>
              <w:ind w:firstLine="480" w:firstLineChars="200"/>
              <w:rPr>
                <w:rFonts w:ascii="Times New Roman" w:hAnsi="Times New Roman" w:eastAsia="宋体" w:cs="Times New Roman"/>
                <w:color w:val="000000" w:themeColor="text1"/>
                <w:szCs w:val="24"/>
                <w:lang w:bidi="ar"/>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 = 4 \* GB3 \* MERGEFORMAT </w:instrText>
            </w:r>
            <w:r>
              <w:rPr>
                <w:rFonts w:ascii="Times New Roman" w:hAnsi="Times New Roman" w:eastAsia="宋体" w:cs="Times New Roman"/>
                <w:color w:val="000000" w:themeColor="text1"/>
                <w:szCs w:val="24"/>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④</w:t>
            </w:r>
            <w:r>
              <w:rPr>
                <w:rFonts w:ascii="Times New Roman" w:hAnsi="Times New Roman" w:eastAsia="宋体" w:cs="Times New Roman"/>
                <w:color w:val="000000" w:themeColor="text1"/>
                <w:szCs w:val="24"/>
                <w14:textFill>
                  <w14:solidFill>
                    <w14:schemeClr w14:val="tx1"/>
                  </w14:solidFill>
                </w14:textFill>
              </w:rPr>
              <w:fldChar w:fldCharType="end"/>
            </w:r>
            <w:r>
              <w:rPr>
                <w:rFonts w:hint="eastAsia" w:ascii="Times New Roman" w:hAnsi="Times New Roman" w:eastAsia="宋体" w:cs="Times New Roman"/>
                <w:color w:val="000000" w:themeColor="text1"/>
                <w:szCs w:val="24"/>
                <w14:textFill>
                  <w14:solidFill>
                    <w14:schemeClr w14:val="tx1"/>
                  </w14:solidFill>
                </w14:textFill>
              </w:rPr>
              <w:t>废包装材料</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lang w:bidi="ar"/>
                <w14:textFill>
                  <w14:solidFill>
                    <w14:schemeClr w14:val="tx1"/>
                  </w14:solidFill>
                </w14:textFill>
              </w:rPr>
              <w:t>储充生产线采购成品配件进行组装，配件会自带包装袋，使用过程中产生废包装材料，产生量约1t/a，</w:t>
            </w:r>
            <w:r>
              <w:rPr>
                <w:rFonts w:ascii="Times New Roman" w:hAnsi="Times New Roman" w:eastAsia="宋体" w:cs="Times New Roman"/>
                <w:color w:val="000000" w:themeColor="text1"/>
                <w:szCs w:val="24"/>
                <w:lang w:bidi="ar"/>
                <w14:textFill>
                  <w14:solidFill>
                    <w14:schemeClr w14:val="tx1"/>
                  </w14:solidFill>
                </w14:textFill>
              </w:rPr>
              <w:t>暂存一般固废区，外售物资回收单位。</w:t>
            </w:r>
          </w:p>
          <w:p w14:paraId="128BAC55">
            <w:pPr>
              <w:spacing w:after="0" w:line="360" w:lineRule="auto"/>
              <w:ind w:firstLine="480" w:firstLineChars="200"/>
              <w:rPr>
                <w:rFonts w:ascii="Times New Roman" w:hAnsi="Times New Roman" w:eastAsia="宋体" w:cs="Times New Roman"/>
                <w:color w:val="000000" w:themeColor="text1"/>
                <w:szCs w:val="24"/>
                <w:lang w:bidi="ar"/>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fldChar w:fldCharType="begin"/>
            </w:r>
            <w:r>
              <w:rPr>
                <w:rFonts w:ascii="Times New Roman" w:hAnsi="Times New Roman" w:eastAsia="宋体" w:cs="Times New Roman"/>
                <w:color w:val="000000" w:themeColor="text1"/>
                <w:szCs w:val="24"/>
                <w14:textFill>
                  <w14:solidFill>
                    <w14:schemeClr w14:val="tx1"/>
                  </w14:solidFill>
                </w14:textFill>
              </w:rPr>
              <w:instrText xml:space="preserve"> = 5 \* GB3 \* MERGEFORMAT </w:instrText>
            </w:r>
            <w:r>
              <w:rPr>
                <w:rFonts w:ascii="Times New Roman" w:hAnsi="Times New Roman" w:eastAsia="宋体" w:cs="Times New Roman"/>
                <w:color w:val="000000" w:themeColor="text1"/>
                <w:szCs w:val="24"/>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⑤</w:t>
            </w:r>
            <w:r>
              <w:rPr>
                <w:rFonts w:ascii="Times New Roman" w:hAnsi="Times New Roman" w:eastAsia="宋体" w:cs="Times New Roman"/>
                <w:color w:val="000000" w:themeColor="text1"/>
                <w:szCs w:val="24"/>
                <w14:textFill>
                  <w14:solidFill>
                    <w14:schemeClr w14:val="tx1"/>
                  </w14:solidFill>
                </w14:textFill>
              </w:rPr>
              <w:fldChar w:fldCharType="end"/>
            </w:r>
            <w:r>
              <w:rPr>
                <w:rFonts w:hint="eastAsia" w:ascii="Times New Roman" w:hAnsi="Times New Roman" w:eastAsia="宋体" w:cs="Times New Roman"/>
                <w:color w:val="000000" w:themeColor="text1"/>
                <w:szCs w:val="24"/>
                <w14:textFill>
                  <w14:solidFill>
                    <w14:schemeClr w14:val="tx1"/>
                  </w14:solidFill>
                </w14:textFill>
              </w:rPr>
              <w:t>不合格品</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储充产品组装完成后需进行检测，可能会产生不合格零部件，产生量约为1t/a，暂存一般固废区</w:t>
            </w:r>
            <w:r>
              <w:rPr>
                <w:rFonts w:ascii="Times New Roman" w:hAnsi="Times New Roman" w:eastAsia="宋体" w:cs="Times New Roman"/>
                <w:color w:val="000000" w:themeColor="text1"/>
                <w:szCs w:val="24"/>
                <w14:textFill>
                  <w14:solidFill>
                    <w14:schemeClr w14:val="tx1"/>
                  </w14:solidFill>
                </w14:textFill>
              </w:rPr>
              <w:t>，外售物资回收单位。</w:t>
            </w:r>
          </w:p>
          <w:p w14:paraId="4E934653">
            <w:pPr>
              <w:widowControl w:val="0"/>
              <w:topLinePunct/>
              <w:spacing w:after="0" w:line="360" w:lineRule="auto"/>
              <w:ind w:firstLine="480" w:firstLineChars="20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本项目固废源强见表4.2-</w:t>
            </w:r>
            <w:r>
              <w:rPr>
                <w:rFonts w:hint="eastAsia" w:ascii="Times New Roman" w:hAnsi="Times New Roman" w:eastAsia="宋体" w:cs="Times New Roman"/>
                <w:color w:val="000000" w:themeColor="text1"/>
                <w:szCs w:val="24"/>
                <w14:textFill>
                  <w14:solidFill>
                    <w14:schemeClr w14:val="tx1"/>
                  </w14:solidFill>
                </w14:textFill>
              </w:rPr>
              <w:t>8</w:t>
            </w:r>
            <w:r>
              <w:rPr>
                <w:rFonts w:ascii="Times New Roman" w:hAnsi="Times New Roman" w:eastAsia="宋体" w:cs="Times New Roman"/>
                <w:color w:val="000000" w:themeColor="text1"/>
                <w:szCs w:val="24"/>
                <w14:textFill>
                  <w14:solidFill>
                    <w14:schemeClr w14:val="tx1"/>
                  </w14:solidFill>
                </w14:textFill>
              </w:rPr>
              <w:t>。</w:t>
            </w:r>
          </w:p>
          <w:p w14:paraId="79A83815">
            <w:pPr>
              <w:pStyle w:val="222"/>
              <w:spacing w:before="12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表4.2-</w:t>
            </w:r>
            <w:r>
              <w:rPr>
                <w:rFonts w:hint="eastAsia"/>
                <w:snapToGrid w:val="0"/>
                <w:color w:val="000000" w:themeColor="text1"/>
                <w14:textFill>
                  <w14:solidFill>
                    <w14:schemeClr w14:val="tx1"/>
                  </w14:solidFill>
                </w14:textFill>
              </w:rPr>
              <w:t>8</w:t>
            </w:r>
            <w:r>
              <w:rPr>
                <w:snapToGrid w:val="0"/>
                <w:color w:val="000000" w:themeColor="text1"/>
                <w14:textFill>
                  <w14:solidFill>
                    <w14:schemeClr w14:val="tx1"/>
                  </w14:solidFill>
                </w14:textFill>
              </w:rPr>
              <w:t xml:space="preserve">  固体污染源源强核算结果及相关参数一览表</w:t>
            </w:r>
          </w:p>
          <w:tbl>
            <w:tblPr>
              <w:tblStyle w:val="226"/>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457"/>
              <w:gridCol w:w="955"/>
              <w:gridCol w:w="1538"/>
              <w:gridCol w:w="1174"/>
              <w:gridCol w:w="869"/>
              <w:gridCol w:w="948"/>
              <w:gridCol w:w="965"/>
            </w:tblGrid>
            <w:tr w14:paraId="1E068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11" w:type="dxa"/>
                  <w:vAlign w:val="center"/>
                </w:tcPr>
                <w:p w14:paraId="49D4EFD9">
                  <w:pPr>
                    <w:pStyle w:val="221"/>
                    <w:rPr>
                      <w:color w:val="000000" w:themeColor="text1"/>
                      <w14:textFill>
                        <w14:solidFill>
                          <w14:schemeClr w14:val="tx1"/>
                        </w14:solidFill>
                      </w14:textFill>
                    </w:rPr>
                  </w:pPr>
                  <w:r>
                    <w:rPr>
                      <w:color w:val="000000" w:themeColor="text1"/>
                      <w:lang w:bidi="ar"/>
                      <w14:textFill>
                        <w14:solidFill>
                          <w14:schemeClr w14:val="tx1"/>
                        </w14:solidFill>
                      </w14:textFill>
                    </w:rPr>
                    <w:t>固废类别</w:t>
                  </w:r>
                </w:p>
              </w:tc>
              <w:tc>
                <w:tcPr>
                  <w:tcW w:w="1457" w:type="dxa"/>
                  <w:vAlign w:val="center"/>
                </w:tcPr>
                <w:p w14:paraId="3D159584">
                  <w:pPr>
                    <w:pStyle w:val="221"/>
                    <w:rPr>
                      <w:color w:val="000000" w:themeColor="text1"/>
                      <w:lang w:bidi="ar"/>
                      <w14:textFill>
                        <w14:solidFill>
                          <w14:schemeClr w14:val="tx1"/>
                        </w14:solidFill>
                      </w14:textFill>
                    </w:rPr>
                  </w:pPr>
                  <w:r>
                    <w:rPr>
                      <w:color w:val="000000" w:themeColor="text1"/>
                      <w:lang w:bidi="ar"/>
                      <w14:textFill>
                        <w14:solidFill>
                          <w14:schemeClr w14:val="tx1"/>
                        </w14:solidFill>
                      </w14:textFill>
                    </w:rPr>
                    <w:t>固体废物</w:t>
                  </w:r>
                </w:p>
                <w:p w14:paraId="1AB6C60B">
                  <w:pPr>
                    <w:pStyle w:val="221"/>
                    <w:rPr>
                      <w:color w:val="000000" w:themeColor="text1"/>
                      <w14:textFill>
                        <w14:solidFill>
                          <w14:schemeClr w14:val="tx1"/>
                        </w14:solidFill>
                      </w14:textFill>
                    </w:rPr>
                  </w:pPr>
                  <w:r>
                    <w:rPr>
                      <w:color w:val="000000" w:themeColor="text1"/>
                      <w:lang w:bidi="ar"/>
                      <w14:textFill>
                        <w14:solidFill>
                          <w14:schemeClr w14:val="tx1"/>
                        </w14:solidFill>
                      </w14:textFill>
                    </w:rPr>
                    <w:t>名称</w:t>
                  </w:r>
                </w:p>
              </w:tc>
              <w:tc>
                <w:tcPr>
                  <w:tcW w:w="955" w:type="dxa"/>
                  <w:vAlign w:val="center"/>
                </w:tcPr>
                <w:p w14:paraId="226B8609">
                  <w:pPr>
                    <w:pStyle w:val="221"/>
                    <w:rPr>
                      <w:color w:val="000000" w:themeColor="text1"/>
                      <w:lang w:bidi="ar"/>
                      <w14:textFill>
                        <w14:solidFill>
                          <w14:schemeClr w14:val="tx1"/>
                        </w14:solidFill>
                      </w14:textFill>
                    </w:rPr>
                  </w:pPr>
                  <w:r>
                    <w:rPr>
                      <w:color w:val="000000" w:themeColor="text1"/>
                      <w:lang w:bidi="ar"/>
                      <w14:textFill>
                        <w14:solidFill>
                          <w14:schemeClr w14:val="tx1"/>
                        </w14:solidFill>
                      </w14:textFill>
                    </w:rPr>
                    <w:t>产生</w:t>
                  </w:r>
                </w:p>
                <w:p w14:paraId="35B9BF91">
                  <w:pPr>
                    <w:pStyle w:val="221"/>
                    <w:rPr>
                      <w:color w:val="000000" w:themeColor="text1"/>
                      <w14:textFill>
                        <w14:solidFill>
                          <w14:schemeClr w14:val="tx1"/>
                        </w14:solidFill>
                      </w14:textFill>
                    </w:rPr>
                  </w:pPr>
                  <w:r>
                    <w:rPr>
                      <w:color w:val="000000" w:themeColor="text1"/>
                      <w:lang w:bidi="ar"/>
                      <w14:textFill>
                        <w14:solidFill>
                          <w14:schemeClr w14:val="tx1"/>
                        </w14:solidFill>
                      </w14:textFill>
                    </w:rPr>
                    <w:t>工序</w:t>
                  </w:r>
                </w:p>
              </w:tc>
              <w:tc>
                <w:tcPr>
                  <w:tcW w:w="1538" w:type="dxa"/>
                  <w:vAlign w:val="center"/>
                </w:tcPr>
                <w:p w14:paraId="78331EC3">
                  <w:pPr>
                    <w:pStyle w:val="221"/>
                    <w:rPr>
                      <w:color w:val="000000" w:themeColor="text1"/>
                      <w14:textFill>
                        <w14:solidFill>
                          <w14:schemeClr w14:val="tx1"/>
                        </w14:solidFill>
                      </w14:textFill>
                    </w:rPr>
                  </w:pPr>
                  <w:r>
                    <w:rPr>
                      <w:color w:val="000000" w:themeColor="text1"/>
                      <w:lang w:bidi="ar"/>
                      <w14:textFill>
                        <w14:solidFill>
                          <w14:schemeClr w14:val="tx1"/>
                        </w14:solidFill>
                      </w14:textFill>
                    </w:rPr>
                    <w:t>废物代码</w:t>
                  </w:r>
                </w:p>
              </w:tc>
              <w:tc>
                <w:tcPr>
                  <w:tcW w:w="1174" w:type="dxa"/>
                  <w:vAlign w:val="center"/>
                </w:tcPr>
                <w:p w14:paraId="588DB397">
                  <w:pPr>
                    <w:pStyle w:val="221"/>
                    <w:rPr>
                      <w:color w:val="000000" w:themeColor="text1"/>
                      <w14:textFill>
                        <w14:solidFill>
                          <w14:schemeClr w14:val="tx1"/>
                        </w14:solidFill>
                      </w14:textFill>
                    </w:rPr>
                  </w:pPr>
                  <w:r>
                    <w:rPr>
                      <w:color w:val="000000" w:themeColor="text1"/>
                      <w:lang w:bidi="ar"/>
                      <w14:textFill>
                        <w14:solidFill>
                          <w14:schemeClr w14:val="tx1"/>
                        </w14:solidFill>
                      </w14:textFill>
                    </w:rPr>
                    <w:t>主要成分</w:t>
                  </w:r>
                </w:p>
              </w:tc>
              <w:tc>
                <w:tcPr>
                  <w:tcW w:w="869" w:type="dxa"/>
                  <w:vAlign w:val="center"/>
                </w:tcPr>
                <w:p w14:paraId="7251A80C">
                  <w:pPr>
                    <w:pStyle w:val="221"/>
                    <w:rPr>
                      <w:color w:val="000000" w:themeColor="text1"/>
                      <w14:textFill>
                        <w14:solidFill>
                          <w14:schemeClr w14:val="tx1"/>
                        </w14:solidFill>
                      </w14:textFill>
                    </w:rPr>
                  </w:pPr>
                  <w:r>
                    <w:rPr>
                      <w:color w:val="000000" w:themeColor="text1"/>
                      <w:lang w:bidi="ar"/>
                      <w14:textFill>
                        <w14:solidFill>
                          <w14:schemeClr w14:val="tx1"/>
                        </w14:solidFill>
                      </w14:textFill>
                    </w:rPr>
                    <w:t>产生量t/a</w:t>
                  </w:r>
                </w:p>
              </w:tc>
              <w:tc>
                <w:tcPr>
                  <w:tcW w:w="948" w:type="dxa"/>
                  <w:vAlign w:val="center"/>
                </w:tcPr>
                <w:p w14:paraId="40D0A1A8">
                  <w:pPr>
                    <w:pStyle w:val="221"/>
                    <w:rPr>
                      <w:color w:val="000000" w:themeColor="text1"/>
                      <w14:textFill>
                        <w14:solidFill>
                          <w14:schemeClr w14:val="tx1"/>
                        </w14:solidFill>
                      </w14:textFill>
                    </w:rPr>
                  </w:pPr>
                  <w:r>
                    <w:rPr>
                      <w:color w:val="000000" w:themeColor="text1"/>
                      <w:lang w:bidi="ar"/>
                      <w14:textFill>
                        <w14:solidFill>
                          <w14:schemeClr w14:val="tx1"/>
                        </w14:solidFill>
                      </w14:textFill>
                    </w:rPr>
                    <w:t>利用处置措施</w:t>
                  </w:r>
                </w:p>
              </w:tc>
              <w:tc>
                <w:tcPr>
                  <w:tcW w:w="965" w:type="dxa"/>
                  <w:vAlign w:val="center"/>
                </w:tcPr>
                <w:p w14:paraId="6C923CB2">
                  <w:pPr>
                    <w:pStyle w:val="221"/>
                    <w:rPr>
                      <w:color w:val="000000" w:themeColor="text1"/>
                      <w14:textFill>
                        <w14:solidFill>
                          <w14:schemeClr w14:val="tx1"/>
                        </w14:solidFill>
                      </w14:textFill>
                    </w:rPr>
                  </w:pPr>
                  <w:r>
                    <w:rPr>
                      <w:color w:val="000000" w:themeColor="text1"/>
                      <w:lang w:bidi="ar"/>
                      <w14:textFill>
                        <w14:solidFill>
                          <w14:schemeClr w14:val="tx1"/>
                        </w14:solidFill>
                      </w14:textFill>
                    </w:rPr>
                    <w:t>最终去向</w:t>
                  </w:r>
                </w:p>
              </w:tc>
            </w:tr>
            <w:tr w14:paraId="30155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1" w:type="dxa"/>
                  <w:vMerge w:val="restart"/>
                  <w:vAlign w:val="center"/>
                </w:tcPr>
                <w:p w14:paraId="3726EBE2">
                  <w:pPr>
                    <w:pStyle w:val="221"/>
                    <w:rPr>
                      <w:color w:val="000000" w:themeColor="text1"/>
                      <w14:textFill>
                        <w14:solidFill>
                          <w14:schemeClr w14:val="tx1"/>
                        </w14:solidFill>
                      </w14:textFill>
                    </w:rPr>
                  </w:pPr>
                  <w:r>
                    <w:rPr>
                      <w:color w:val="000000" w:themeColor="text1"/>
                      <w:lang w:bidi="ar"/>
                      <w14:textFill>
                        <w14:solidFill>
                          <w14:schemeClr w14:val="tx1"/>
                        </w14:solidFill>
                      </w14:textFill>
                    </w:rPr>
                    <w:t>一般固废</w:t>
                  </w:r>
                </w:p>
              </w:tc>
              <w:tc>
                <w:tcPr>
                  <w:tcW w:w="1457" w:type="dxa"/>
                  <w:vAlign w:val="center"/>
                </w:tcPr>
                <w:p w14:paraId="1FF23127">
                  <w:pPr>
                    <w:pStyle w:val="221"/>
                    <w:rPr>
                      <w:color w:val="000000" w:themeColor="text1"/>
                      <w14:textFill>
                        <w14:solidFill>
                          <w14:schemeClr w14:val="tx1"/>
                        </w14:solidFill>
                      </w14:textFill>
                    </w:rPr>
                  </w:pPr>
                  <w:r>
                    <w:rPr>
                      <w:color w:val="000000" w:themeColor="text1"/>
                      <w14:textFill>
                        <w14:solidFill>
                          <w14:schemeClr w14:val="tx1"/>
                        </w14:solidFill>
                      </w14:textFill>
                    </w:rPr>
                    <w:t>废钢丸</w:t>
                  </w:r>
                </w:p>
              </w:tc>
              <w:tc>
                <w:tcPr>
                  <w:tcW w:w="955" w:type="dxa"/>
                  <w:vAlign w:val="center"/>
                </w:tcPr>
                <w:p w14:paraId="6CC3AFF4">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喷砂</w:t>
                  </w:r>
                </w:p>
              </w:tc>
              <w:tc>
                <w:tcPr>
                  <w:tcW w:w="1538" w:type="dxa"/>
                  <w:vAlign w:val="center"/>
                </w:tcPr>
                <w:p w14:paraId="03457CF1">
                  <w:pPr>
                    <w:pStyle w:val="221"/>
                    <w:rPr>
                      <w:color w:val="000000" w:themeColor="text1"/>
                      <w14:textFill>
                        <w14:solidFill>
                          <w14:schemeClr w14:val="tx1"/>
                        </w14:solidFill>
                      </w14:textFill>
                    </w:rPr>
                  </w:pPr>
                  <w:r>
                    <w:rPr>
                      <w:color w:val="000000" w:themeColor="text1"/>
                      <w14:textFill>
                        <w14:solidFill>
                          <w14:schemeClr w14:val="tx1"/>
                        </w14:solidFill>
                      </w14:textFill>
                    </w:rPr>
                    <w:t>900-001-S17</w:t>
                  </w:r>
                </w:p>
              </w:tc>
              <w:tc>
                <w:tcPr>
                  <w:tcW w:w="1174" w:type="dxa"/>
                  <w:vAlign w:val="center"/>
                </w:tcPr>
                <w:p w14:paraId="0D4AC1DB">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金属及金属氧化物</w:t>
                  </w:r>
                </w:p>
              </w:tc>
              <w:tc>
                <w:tcPr>
                  <w:tcW w:w="869" w:type="dxa"/>
                  <w:vAlign w:val="center"/>
                </w:tcPr>
                <w:p w14:paraId="0BDA6D33">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948" w:type="dxa"/>
                  <w:vMerge w:val="restart"/>
                  <w:vAlign w:val="center"/>
                </w:tcPr>
                <w:p w14:paraId="3DE04210">
                  <w:pPr>
                    <w:pStyle w:val="221"/>
                    <w:rPr>
                      <w:color w:val="000000" w:themeColor="text1"/>
                      <w14:textFill>
                        <w14:solidFill>
                          <w14:schemeClr w14:val="tx1"/>
                        </w14:solidFill>
                      </w14:textFill>
                    </w:rPr>
                  </w:pPr>
                  <w:r>
                    <w:rPr>
                      <w:color w:val="000000" w:themeColor="text1"/>
                      <w:lang w:bidi="ar"/>
                      <w14:textFill>
                        <w14:solidFill>
                          <w14:schemeClr w14:val="tx1"/>
                        </w14:solidFill>
                      </w14:textFill>
                    </w:rPr>
                    <w:t>一般固废间</w:t>
                  </w:r>
                </w:p>
              </w:tc>
              <w:tc>
                <w:tcPr>
                  <w:tcW w:w="965" w:type="dxa"/>
                  <w:vMerge w:val="restart"/>
                  <w:vAlign w:val="center"/>
                </w:tcPr>
                <w:p w14:paraId="6A9685CA">
                  <w:pPr>
                    <w:pStyle w:val="221"/>
                    <w:rPr>
                      <w:color w:val="000000" w:themeColor="text1"/>
                      <w14:textFill>
                        <w14:solidFill>
                          <w14:schemeClr w14:val="tx1"/>
                        </w14:solidFill>
                      </w14:textFill>
                    </w:rPr>
                  </w:pPr>
                  <w:r>
                    <w:rPr>
                      <w:color w:val="000000" w:themeColor="text1"/>
                      <w14:textFill>
                        <w14:solidFill>
                          <w14:schemeClr w14:val="tx1"/>
                        </w14:solidFill>
                      </w14:textFill>
                    </w:rPr>
                    <w:t>外售物资回收单位</w:t>
                  </w:r>
                </w:p>
              </w:tc>
            </w:tr>
            <w:tr w14:paraId="5EF95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1" w:type="dxa"/>
                  <w:vMerge w:val="continue"/>
                  <w:vAlign w:val="center"/>
                </w:tcPr>
                <w:p w14:paraId="5BCD195B">
                  <w:pPr>
                    <w:pStyle w:val="221"/>
                    <w:rPr>
                      <w:color w:val="000000" w:themeColor="text1"/>
                      <w14:textFill>
                        <w14:solidFill>
                          <w14:schemeClr w14:val="tx1"/>
                        </w14:solidFill>
                      </w14:textFill>
                    </w:rPr>
                  </w:pPr>
                </w:p>
              </w:tc>
              <w:tc>
                <w:tcPr>
                  <w:tcW w:w="1457" w:type="dxa"/>
                  <w:vAlign w:val="center"/>
                </w:tcPr>
                <w:p w14:paraId="42AB1CE9">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收集的金属粉尘</w:t>
                  </w:r>
                </w:p>
              </w:tc>
              <w:tc>
                <w:tcPr>
                  <w:tcW w:w="955" w:type="dxa"/>
                  <w:vAlign w:val="center"/>
                </w:tcPr>
                <w:p w14:paraId="191A2873">
                  <w:pPr>
                    <w:pStyle w:val="221"/>
                    <w:rPr>
                      <w:color w:val="000000" w:themeColor="text1"/>
                      <w14:textFill>
                        <w14:solidFill>
                          <w14:schemeClr w14:val="tx1"/>
                        </w14:solidFill>
                      </w14:textFill>
                    </w:rPr>
                  </w:pPr>
                  <w:r>
                    <w:rPr>
                      <w:color w:val="000000" w:themeColor="text1"/>
                      <w14:textFill>
                        <w14:solidFill>
                          <w14:schemeClr w14:val="tx1"/>
                        </w14:solidFill>
                      </w14:textFill>
                    </w:rPr>
                    <w:t>喷砂</w:t>
                  </w:r>
                </w:p>
              </w:tc>
              <w:tc>
                <w:tcPr>
                  <w:tcW w:w="1538" w:type="dxa"/>
                  <w:vAlign w:val="center"/>
                </w:tcPr>
                <w:p w14:paraId="6BBA34B2">
                  <w:pPr>
                    <w:pStyle w:val="221"/>
                    <w:rPr>
                      <w:color w:val="000000" w:themeColor="text1"/>
                      <w14:textFill>
                        <w14:solidFill>
                          <w14:schemeClr w14:val="tx1"/>
                        </w14:solidFill>
                      </w14:textFill>
                    </w:rPr>
                  </w:pPr>
                  <w:r>
                    <w:rPr>
                      <w:color w:val="000000" w:themeColor="text1"/>
                      <w14:textFill>
                        <w14:solidFill>
                          <w14:schemeClr w14:val="tx1"/>
                        </w14:solidFill>
                      </w14:textFill>
                    </w:rPr>
                    <w:t>900-099-S59</w:t>
                  </w:r>
                </w:p>
              </w:tc>
              <w:tc>
                <w:tcPr>
                  <w:tcW w:w="1174" w:type="dxa"/>
                  <w:vAlign w:val="center"/>
                </w:tcPr>
                <w:p w14:paraId="15DB9169">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金属及金属氧化物</w:t>
                  </w:r>
                </w:p>
              </w:tc>
              <w:tc>
                <w:tcPr>
                  <w:tcW w:w="869" w:type="dxa"/>
                  <w:vAlign w:val="center"/>
                </w:tcPr>
                <w:p w14:paraId="505AE148">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26.176</w:t>
                  </w:r>
                </w:p>
              </w:tc>
              <w:tc>
                <w:tcPr>
                  <w:tcW w:w="948" w:type="dxa"/>
                  <w:vMerge w:val="continue"/>
                  <w:vAlign w:val="center"/>
                </w:tcPr>
                <w:p w14:paraId="2EC101D0">
                  <w:pPr>
                    <w:pStyle w:val="221"/>
                    <w:rPr>
                      <w:color w:val="000000" w:themeColor="text1"/>
                      <w14:textFill>
                        <w14:solidFill>
                          <w14:schemeClr w14:val="tx1"/>
                        </w14:solidFill>
                      </w14:textFill>
                    </w:rPr>
                  </w:pPr>
                </w:p>
              </w:tc>
              <w:tc>
                <w:tcPr>
                  <w:tcW w:w="965" w:type="dxa"/>
                  <w:vMerge w:val="continue"/>
                  <w:vAlign w:val="center"/>
                </w:tcPr>
                <w:p w14:paraId="35D52D60">
                  <w:pPr>
                    <w:pStyle w:val="221"/>
                    <w:rPr>
                      <w:color w:val="000000" w:themeColor="text1"/>
                      <w14:textFill>
                        <w14:solidFill>
                          <w14:schemeClr w14:val="tx1"/>
                        </w14:solidFill>
                      </w14:textFill>
                    </w:rPr>
                  </w:pPr>
                </w:p>
              </w:tc>
            </w:tr>
            <w:tr w14:paraId="5ABEA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1" w:type="dxa"/>
                  <w:vMerge w:val="continue"/>
                  <w:vAlign w:val="center"/>
                </w:tcPr>
                <w:p w14:paraId="10F98C2A">
                  <w:pPr>
                    <w:pStyle w:val="221"/>
                    <w:rPr>
                      <w:color w:val="000000" w:themeColor="text1"/>
                      <w14:textFill>
                        <w14:solidFill>
                          <w14:schemeClr w14:val="tx1"/>
                        </w14:solidFill>
                      </w14:textFill>
                    </w:rPr>
                  </w:pPr>
                </w:p>
              </w:tc>
              <w:tc>
                <w:tcPr>
                  <w:tcW w:w="1457" w:type="dxa"/>
                  <w:vAlign w:val="center"/>
                </w:tcPr>
                <w:p w14:paraId="07954489">
                  <w:pPr>
                    <w:pStyle w:val="221"/>
                    <w:rPr>
                      <w:color w:val="000000" w:themeColor="text1"/>
                      <w:lang w:bidi="ar"/>
                      <w14:textFill>
                        <w14:solidFill>
                          <w14:schemeClr w14:val="tx1"/>
                        </w14:solidFill>
                      </w14:textFill>
                    </w:rPr>
                  </w:pPr>
                  <w:r>
                    <w:rPr>
                      <w:color w:val="000000" w:themeColor="text1"/>
                      <w:lang w:bidi="ar"/>
                      <w14:textFill>
                        <w14:solidFill>
                          <w14:schemeClr w14:val="tx1"/>
                        </w14:solidFill>
                      </w14:textFill>
                    </w:rPr>
                    <w:t>废滤筒</w:t>
                  </w:r>
                </w:p>
              </w:tc>
              <w:tc>
                <w:tcPr>
                  <w:tcW w:w="955" w:type="dxa"/>
                  <w:vAlign w:val="center"/>
                </w:tcPr>
                <w:p w14:paraId="2F5C9C1F">
                  <w:pPr>
                    <w:pStyle w:val="221"/>
                    <w:rPr>
                      <w:color w:val="000000" w:themeColor="text1"/>
                      <w:lang w:bidi="ar"/>
                      <w14:textFill>
                        <w14:solidFill>
                          <w14:schemeClr w14:val="tx1"/>
                        </w14:solidFill>
                      </w14:textFill>
                    </w:rPr>
                  </w:pPr>
                  <w:r>
                    <w:rPr>
                      <w:color w:val="000000" w:themeColor="text1"/>
                      <w:lang w:bidi="ar"/>
                      <w14:textFill>
                        <w14:solidFill>
                          <w14:schemeClr w14:val="tx1"/>
                        </w14:solidFill>
                      </w14:textFill>
                    </w:rPr>
                    <w:t>喷砂</w:t>
                  </w:r>
                </w:p>
              </w:tc>
              <w:tc>
                <w:tcPr>
                  <w:tcW w:w="1538" w:type="dxa"/>
                  <w:vAlign w:val="center"/>
                </w:tcPr>
                <w:p w14:paraId="64266693">
                  <w:pPr>
                    <w:pStyle w:val="221"/>
                    <w:rPr>
                      <w:color w:val="000000" w:themeColor="text1"/>
                      <w14:textFill>
                        <w14:solidFill>
                          <w14:schemeClr w14:val="tx1"/>
                        </w14:solidFill>
                      </w14:textFill>
                    </w:rPr>
                  </w:pPr>
                  <w:r>
                    <w:rPr>
                      <w:color w:val="000000" w:themeColor="text1"/>
                      <w14:textFill>
                        <w14:solidFill>
                          <w14:schemeClr w14:val="tx1"/>
                        </w14:solidFill>
                      </w14:textFill>
                    </w:rPr>
                    <w:t>900-009-S59</w:t>
                  </w:r>
                </w:p>
              </w:tc>
              <w:tc>
                <w:tcPr>
                  <w:tcW w:w="1174" w:type="dxa"/>
                  <w:vAlign w:val="center"/>
                </w:tcPr>
                <w:p w14:paraId="7CBE531A">
                  <w:pPr>
                    <w:pStyle w:val="221"/>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树脂</w:t>
                  </w:r>
                </w:p>
              </w:tc>
              <w:tc>
                <w:tcPr>
                  <w:tcW w:w="869" w:type="dxa"/>
                  <w:vAlign w:val="center"/>
                </w:tcPr>
                <w:p w14:paraId="5EBB71F9">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0.01</w:t>
                  </w:r>
                </w:p>
              </w:tc>
              <w:tc>
                <w:tcPr>
                  <w:tcW w:w="948" w:type="dxa"/>
                  <w:vMerge w:val="continue"/>
                  <w:vAlign w:val="center"/>
                </w:tcPr>
                <w:p w14:paraId="1CE94440">
                  <w:pPr>
                    <w:pStyle w:val="221"/>
                    <w:rPr>
                      <w:color w:val="000000" w:themeColor="text1"/>
                      <w14:textFill>
                        <w14:solidFill>
                          <w14:schemeClr w14:val="tx1"/>
                        </w14:solidFill>
                      </w14:textFill>
                    </w:rPr>
                  </w:pPr>
                </w:p>
              </w:tc>
              <w:tc>
                <w:tcPr>
                  <w:tcW w:w="965" w:type="dxa"/>
                  <w:vMerge w:val="continue"/>
                  <w:vAlign w:val="center"/>
                </w:tcPr>
                <w:p w14:paraId="5AF35964">
                  <w:pPr>
                    <w:pStyle w:val="221"/>
                    <w:rPr>
                      <w:color w:val="000000" w:themeColor="text1"/>
                      <w:lang w:bidi="ar"/>
                      <w14:textFill>
                        <w14:solidFill>
                          <w14:schemeClr w14:val="tx1"/>
                        </w14:solidFill>
                      </w14:textFill>
                    </w:rPr>
                  </w:pPr>
                </w:p>
              </w:tc>
            </w:tr>
            <w:tr w14:paraId="54401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1" w:type="dxa"/>
                  <w:vMerge w:val="continue"/>
                  <w:vAlign w:val="center"/>
                </w:tcPr>
                <w:p w14:paraId="7047F519">
                  <w:pPr>
                    <w:pStyle w:val="221"/>
                    <w:rPr>
                      <w:color w:val="000000" w:themeColor="text1"/>
                      <w14:textFill>
                        <w14:solidFill>
                          <w14:schemeClr w14:val="tx1"/>
                        </w14:solidFill>
                      </w14:textFill>
                    </w:rPr>
                  </w:pPr>
                </w:p>
              </w:tc>
              <w:tc>
                <w:tcPr>
                  <w:tcW w:w="1457" w:type="dxa"/>
                  <w:vAlign w:val="center"/>
                </w:tcPr>
                <w:p w14:paraId="30D5DC5A">
                  <w:pPr>
                    <w:pStyle w:val="221"/>
                    <w:rPr>
                      <w:color w:val="000000" w:themeColor="text1"/>
                      <w:lang w:bidi="ar"/>
                      <w14:textFill>
                        <w14:solidFill>
                          <w14:schemeClr w14:val="tx1"/>
                        </w14:solidFill>
                      </w14:textFill>
                    </w:rPr>
                  </w:pPr>
                  <w:r>
                    <w:rPr>
                      <w:color w:val="000000" w:themeColor="text1"/>
                      <w:lang w:bidi="ar"/>
                      <w14:textFill>
                        <w14:solidFill>
                          <w14:schemeClr w14:val="tx1"/>
                        </w14:solidFill>
                      </w14:textFill>
                    </w:rPr>
                    <w:t>废包装材料</w:t>
                  </w:r>
                </w:p>
              </w:tc>
              <w:tc>
                <w:tcPr>
                  <w:tcW w:w="955" w:type="dxa"/>
                  <w:vAlign w:val="center"/>
                </w:tcPr>
                <w:p w14:paraId="3A0BA3D0">
                  <w:pPr>
                    <w:pStyle w:val="221"/>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储充</w:t>
                  </w:r>
                  <w:r>
                    <w:rPr>
                      <w:color w:val="000000" w:themeColor="text1"/>
                      <w:lang w:bidi="ar"/>
                      <w14:textFill>
                        <w14:solidFill>
                          <w14:schemeClr w14:val="tx1"/>
                        </w14:solidFill>
                      </w14:textFill>
                    </w:rPr>
                    <w:t>生产线</w:t>
                  </w:r>
                </w:p>
              </w:tc>
              <w:tc>
                <w:tcPr>
                  <w:tcW w:w="1538" w:type="dxa"/>
                  <w:vAlign w:val="center"/>
                </w:tcPr>
                <w:p w14:paraId="05893636">
                  <w:pPr>
                    <w:pStyle w:val="221"/>
                    <w:rPr>
                      <w:color w:val="000000" w:themeColor="text1"/>
                      <w14:textFill>
                        <w14:solidFill>
                          <w14:schemeClr w14:val="tx1"/>
                        </w14:solidFill>
                      </w14:textFill>
                    </w:rPr>
                  </w:pPr>
                  <w:r>
                    <w:rPr>
                      <w:color w:val="000000" w:themeColor="text1"/>
                      <w14:textFill>
                        <w14:solidFill>
                          <w14:schemeClr w14:val="tx1"/>
                        </w14:solidFill>
                      </w14:textFill>
                    </w:rPr>
                    <w:t>900-003-S17</w:t>
                  </w:r>
                </w:p>
              </w:tc>
              <w:tc>
                <w:tcPr>
                  <w:tcW w:w="1174" w:type="dxa"/>
                  <w:vAlign w:val="center"/>
                </w:tcPr>
                <w:p w14:paraId="6F1DD320">
                  <w:pPr>
                    <w:pStyle w:val="221"/>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塑料</w:t>
                  </w:r>
                </w:p>
              </w:tc>
              <w:tc>
                <w:tcPr>
                  <w:tcW w:w="869" w:type="dxa"/>
                  <w:vAlign w:val="center"/>
                </w:tcPr>
                <w:p w14:paraId="056DDF20">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948" w:type="dxa"/>
                  <w:vMerge w:val="continue"/>
                  <w:vAlign w:val="center"/>
                </w:tcPr>
                <w:p w14:paraId="21EC9931">
                  <w:pPr>
                    <w:pStyle w:val="221"/>
                    <w:rPr>
                      <w:color w:val="000000" w:themeColor="text1"/>
                      <w14:textFill>
                        <w14:solidFill>
                          <w14:schemeClr w14:val="tx1"/>
                        </w14:solidFill>
                      </w14:textFill>
                    </w:rPr>
                  </w:pPr>
                </w:p>
              </w:tc>
              <w:tc>
                <w:tcPr>
                  <w:tcW w:w="965" w:type="dxa"/>
                  <w:vMerge w:val="continue"/>
                  <w:vAlign w:val="center"/>
                </w:tcPr>
                <w:p w14:paraId="035E971D">
                  <w:pPr>
                    <w:pStyle w:val="221"/>
                    <w:rPr>
                      <w:color w:val="000000" w:themeColor="text1"/>
                      <w:lang w:bidi="ar"/>
                      <w14:textFill>
                        <w14:solidFill>
                          <w14:schemeClr w14:val="tx1"/>
                        </w14:solidFill>
                      </w14:textFill>
                    </w:rPr>
                  </w:pPr>
                </w:p>
              </w:tc>
            </w:tr>
            <w:tr w14:paraId="25CBE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1" w:type="dxa"/>
                  <w:vMerge w:val="continue"/>
                  <w:vAlign w:val="center"/>
                </w:tcPr>
                <w:p w14:paraId="651DF0F9">
                  <w:pPr>
                    <w:pStyle w:val="221"/>
                    <w:rPr>
                      <w:color w:val="000000" w:themeColor="text1"/>
                      <w14:textFill>
                        <w14:solidFill>
                          <w14:schemeClr w14:val="tx1"/>
                        </w14:solidFill>
                      </w14:textFill>
                    </w:rPr>
                  </w:pPr>
                </w:p>
              </w:tc>
              <w:tc>
                <w:tcPr>
                  <w:tcW w:w="1457" w:type="dxa"/>
                  <w:vAlign w:val="center"/>
                </w:tcPr>
                <w:p w14:paraId="4F456DEC">
                  <w:pPr>
                    <w:pStyle w:val="221"/>
                    <w:rPr>
                      <w:color w:val="000000" w:themeColor="text1"/>
                      <w:lang w:bidi="ar"/>
                      <w14:textFill>
                        <w14:solidFill>
                          <w14:schemeClr w14:val="tx1"/>
                        </w14:solidFill>
                      </w14:textFill>
                    </w:rPr>
                  </w:pPr>
                  <w:r>
                    <w:rPr>
                      <w:color w:val="000000" w:themeColor="text1"/>
                      <w:lang w:bidi="ar"/>
                      <w14:textFill>
                        <w14:solidFill>
                          <w14:schemeClr w14:val="tx1"/>
                        </w14:solidFill>
                      </w14:textFill>
                    </w:rPr>
                    <w:t>不合格品</w:t>
                  </w:r>
                </w:p>
              </w:tc>
              <w:tc>
                <w:tcPr>
                  <w:tcW w:w="955" w:type="dxa"/>
                  <w:vAlign w:val="center"/>
                </w:tcPr>
                <w:p w14:paraId="3D3DCAC8">
                  <w:pPr>
                    <w:pStyle w:val="221"/>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储充</w:t>
                  </w:r>
                  <w:r>
                    <w:rPr>
                      <w:color w:val="000000" w:themeColor="text1"/>
                      <w:lang w:bidi="ar"/>
                      <w14:textFill>
                        <w14:solidFill>
                          <w14:schemeClr w14:val="tx1"/>
                        </w14:solidFill>
                      </w14:textFill>
                    </w:rPr>
                    <w:t>生产线</w:t>
                  </w:r>
                </w:p>
              </w:tc>
              <w:tc>
                <w:tcPr>
                  <w:tcW w:w="1538" w:type="dxa"/>
                  <w:vAlign w:val="center"/>
                </w:tcPr>
                <w:p w14:paraId="483C285E">
                  <w:pPr>
                    <w:pStyle w:val="221"/>
                    <w:rPr>
                      <w:color w:val="000000" w:themeColor="text1"/>
                      <w14:textFill>
                        <w14:solidFill>
                          <w14:schemeClr w14:val="tx1"/>
                        </w14:solidFill>
                      </w14:textFill>
                    </w:rPr>
                  </w:pPr>
                  <w:r>
                    <w:rPr>
                      <w:color w:val="000000" w:themeColor="text1"/>
                      <w14:textFill>
                        <w14:solidFill>
                          <w14:schemeClr w14:val="tx1"/>
                        </w14:solidFill>
                      </w14:textFill>
                    </w:rPr>
                    <w:t>900-099-S59</w:t>
                  </w:r>
                </w:p>
              </w:tc>
              <w:tc>
                <w:tcPr>
                  <w:tcW w:w="1174" w:type="dxa"/>
                  <w:vAlign w:val="center"/>
                </w:tcPr>
                <w:p w14:paraId="6279C713">
                  <w:pPr>
                    <w:pStyle w:val="221"/>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塑料、金属</w:t>
                  </w:r>
                </w:p>
              </w:tc>
              <w:tc>
                <w:tcPr>
                  <w:tcW w:w="869" w:type="dxa"/>
                  <w:vAlign w:val="center"/>
                </w:tcPr>
                <w:p w14:paraId="7F4ADAE9">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948" w:type="dxa"/>
                  <w:vMerge w:val="continue"/>
                  <w:vAlign w:val="center"/>
                </w:tcPr>
                <w:p w14:paraId="30E61AEC">
                  <w:pPr>
                    <w:pStyle w:val="221"/>
                    <w:rPr>
                      <w:color w:val="000000" w:themeColor="text1"/>
                      <w14:textFill>
                        <w14:solidFill>
                          <w14:schemeClr w14:val="tx1"/>
                        </w14:solidFill>
                      </w14:textFill>
                    </w:rPr>
                  </w:pPr>
                </w:p>
              </w:tc>
              <w:tc>
                <w:tcPr>
                  <w:tcW w:w="965" w:type="dxa"/>
                  <w:vMerge w:val="continue"/>
                  <w:vAlign w:val="center"/>
                </w:tcPr>
                <w:p w14:paraId="758F780C">
                  <w:pPr>
                    <w:pStyle w:val="221"/>
                    <w:rPr>
                      <w:color w:val="000000" w:themeColor="text1"/>
                      <w:lang w:bidi="ar"/>
                      <w14:textFill>
                        <w14:solidFill>
                          <w14:schemeClr w14:val="tx1"/>
                        </w14:solidFill>
                      </w14:textFill>
                    </w:rPr>
                  </w:pPr>
                </w:p>
              </w:tc>
            </w:tr>
          </w:tbl>
          <w:p w14:paraId="1172855C">
            <w:pPr>
              <w:pStyle w:val="223"/>
              <w:spacing w:before="120"/>
              <w:ind w:firstLine="480"/>
            </w:pPr>
          </w:p>
          <w:p w14:paraId="33A1A9C0">
            <w:pPr>
              <w:pStyle w:val="222"/>
              <w:spacing w:before="120"/>
            </w:pPr>
            <w:r>
              <w:rPr>
                <w:rFonts w:hint="eastAsia"/>
              </w:rPr>
              <w:t>表4.2-9  项目一般固废贮存场所（设施）基本情况一览表</w:t>
            </w:r>
          </w:p>
          <w:tbl>
            <w:tblPr>
              <w:tblStyle w:val="168"/>
              <w:tblW w:w="85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933"/>
              <w:gridCol w:w="1350"/>
              <w:gridCol w:w="1106"/>
              <w:gridCol w:w="1228"/>
              <w:gridCol w:w="1228"/>
              <w:gridCol w:w="1228"/>
            </w:tblGrid>
            <w:tr w14:paraId="01F9B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dxa"/>
                  <w:vAlign w:val="center"/>
                </w:tcPr>
                <w:p w14:paraId="760D4E90">
                  <w:pPr>
                    <w:pStyle w:val="221"/>
                  </w:pPr>
                  <w:r>
                    <w:rPr>
                      <w:rFonts w:hint="eastAsia"/>
                    </w:rPr>
                    <w:t>序号</w:t>
                  </w:r>
                </w:p>
              </w:tc>
              <w:tc>
                <w:tcPr>
                  <w:tcW w:w="1933" w:type="dxa"/>
                  <w:vAlign w:val="center"/>
                </w:tcPr>
                <w:p w14:paraId="294458BB">
                  <w:pPr>
                    <w:pStyle w:val="221"/>
                  </w:pPr>
                  <w:r>
                    <w:rPr>
                      <w:rFonts w:hint="eastAsia"/>
                    </w:rPr>
                    <w:t>一般固废贮存场所</w:t>
                  </w:r>
                </w:p>
                <w:p w14:paraId="605B98EC">
                  <w:pPr>
                    <w:pStyle w:val="221"/>
                  </w:pPr>
                  <w:r>
                    <w:rPr>
                      <w:rFonts w:hint="eastAsia"/>
                    </w:rPr>
                    <w:t>（设施）名称</w:t>
                  </w:r>
                </w:p>
              </w:tc>
              <w:tc>
                <w:tcPr>
                  <w:tcW w:w="1350" w:type="dxa"/>
                  <w:vAlign w:val="center"/>
                </w:tcPr>
                <w:p w14:paraId="4E78B4E1">
                  <w:pPr>
                    <w:pStyle w:val="221"/>
                  </w:pPr>
                  <w:r>
                    <w:rPr>
                      <w:rFonts w:hint="eastAsia"/>
                    </w:rPr>
                    <w:t>位置</w:t>
                  </w:r>
                </w:p>
              </w:tc>
              <w:tc>
                <w:tcPr>
                  <w:tcW w:w="1106" w:type="dxa"/>
                  <w:vAlign w:val="center"/>
                </w:tcPr>
                <w:p w14:paraId="7891ACE0">
                  <w:pPr>
                    <w:pStyle w:val="221"/>
                  </w:pPr>
                  <w:r>
                    <w:rPr>
                      <w:rFonts w:hint="eastAsia"/>
                    </w:rPr>
                    <w:t>占地面积</w:t>
                  </w:r>
                </w:p>
              </w:tc>
              <w:tc>
                <w:tcPr>
                  <w:tcW w:w="1228" w:type="dxa"/>
                  <w:vAlign w:val="center"/>
                </w:tcPr>
                <w:p w14:paraId="23C100FC">
                  <w:pPr>
                    <w:pStyle w:val="221"/>
                  </w:pPr>
                  <w:r>
                    <w:rPr>
                      <w:rFonts w:hint="eastAsia"/>
                    </w:rPr>
                    <w:t>贮存方式</w:t>
                  </w:r>
                </w:p>
              </w:tc>
              <w:tc>
                <w:tcPr>
                  <w:tcW w:w="1228" w:type="dxa"/>
                  <w:vAlign w:val="center"/>
                </w:tcPr>
                <w:p w14:paraId="127C9086">
                  <w:pPr>
                    <w:pStyle w:val="221"/>
                  </w:pPr>
                  <w:r>
                    <w:rPr>
                      <w:rFonts w:hint="eastAsia"/>
                    </w:rPr>
                    <w:t>贮存容积</w:t>
                  </w:r>
                </w:p>
              </w:tc>
              <w:tc>
                <w:tcPr>
                  <w:tcW w:w="1228" w:type="dxa"/>
                  <w:vAlign w:val="center"/>
                </w:tcPr>
                <w:p w14:paraId="48EB2D40">
                  <w:pPr>
                    <w:pStyle w:val="221"/>
                  </w:pPr>
                  <w:r>
                    <w:rPr>
                      <w:rFonts w:hint="eastAsia"/>
                    </w:rPr>
                    <w:t>贮存周期</w:t>
                  </w:r>
                </w:p>
              </w:tc>
            </w:tr>
            <w:tr w14:paraId="09A45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dxa"/>
                  <w:vAlign w:val="center"/>
                </w:tcPr>
                <w:p w14:paraId="6B69D51F">
                  <w:pPr>
                    <w:pStyle w:val="221"/>
                  </w:pPr>
                  <w:r>
                    <w:rPr>
                      <w:rFonts w:hint="eastAsia"/>
                    </w:rPr>
                    <w:t>1</w:t>
                  </w:r>
                </w:p>
              </w:tc>
              <w:tc>
                <w:tcPr>
                  <w:tcW w:w="1933" w:type="dxa"/>
                  <w:vAlign w:val="center"/>
                </w:tcPr>
                <w:p w14:paraId="374553C2">
                  <w:pPr>
                    <w:pStyle w:val="221"/>
                  </w:pPr>
                  <w:r>
                    <w:rPr>
                      <w:rFonts w:hint="eastAsia"/>
                    </w:rPr>
                    <w:t>一般固废暂存区</w:t>
                  </w:r>
                </w:p>
              </w:tc>
              <w:tc>
                <w:tcPr>
                  <w:tcW w:w="1350" w:type="dxa"/>
                  <w:vAlign w:val="center"/>
                </w:tcPr>
                <w:p w14:paraId="07AA49CA">
                  <w:pPr>
                    <w:pStyle w:val="221"/>
                  </w:pPr>
                  <w:r>
                    <w:rPr>
                      <w:rFonts w:hint="eastAsia"/>
                    </w:rPr>
                    <w:t>生产车间内</w:t>
                  </w:r>
                </w:p>
              </w:tc>
              <w:tc>
                <w:tcPr>
                  <w:tcW w:w="1106" w:type="dxa"/>
                  <w:vAlign w:val="center"/>
                </w:tcPr>
                <w:p w14:paraId="70A93B90">
                  <w:pPr>
                    <w:pStyle w:val="221"/>
                  </w:pPr>
                  <w:r>
                    <w:rPr>
                      <w:rFonts w:hint="eastAsia"/>
                    </w:rPr>
                    <w:t>20m</w:t>
                  </w:r>
                  <w:r>
                    <w:rPr>
                      <w:rFonts w:hint="eastAsia"/>
                      <w:vertAlign w:val="superscript"/>
                    </w:rPr>
                    <w:t>2</w:t>
                  </w:r>
                </w:p>
              </w:tc>
              <w:tc>
                <w:tcPr>
                  <w:tcW w:w="1228" w:type="dxa"/>
                  <w:vAlign w:val="center"/>
                </w:tcPr>
                <w:p w14:paraId="3396EAB4">
                  <w:pPr>
                    <w:pStyle w:val="221"/>
                  </w:pPr>
                  <w:r>
                    <w:rPr>
                      <w:rFonts w:hint="eastAsia"/>
                    </w:rPr>
                    <w:t>分类贮存</w:t>
                  </w:r>
                </w:p>
              </w:tc>
              <w:tc>
                <w:tcPr>
                  <w:tcW w:w="1228" w:type="dxa"/>
                  <w:vAlign w:val="center"/>
                </w:tcPr>
                <w:p w14:paraId="3E014108">
                  <w:pPr>
                    <w:pStyle w:val="221"/>
                  </w:pPr>
                  <w:r>
                    <w:rPr>
                      <w:rFonts w:hint="eastAsia"/>
                    </w:rPr>
                    <w:t>10t</w:t>
                  </w:r>
                </w:p>
              </w:tc>
              <w:tc>
                <w:tcPr>
                  <w:tcW w:w="1228" w:type="dxa"/>
                  <w:vAlign w:val="center"/>
                </w:tcPr>
                <w:p w14:paraId="5C9CCBF9">
                  <w:pPr>
                    <w:pStyle w:val="221"/>
                  </w:pPr>
                  <w:r>
                    <w:rPr>
                      <w:rFonts w:hint="eastAsia"/>
                    </w:rPr>
                    <w:t>一月</w:t>
                  </w:r>
                </w:p>
              </w:tc>
            </w:tr>
          </w:tbl>
          <w:p w14:paraId="779FBCAE">
            <w:pPr>
              <w:pStyle w:val="223"/>
              <w:spacing w:before="120"/>
              <w:ind w:firstLine="480"/>
            </w:pPr>
            <w:r>
              <w:rPr>
                <w:rFonts w:hint="eastAsia"/>
              </w:rPr>
              <w:t>2、</w:t>
            </w:r>
            <w:r>
              <w:t xml:space="preserve">固体废物环境影响分析及管理要求 </w:t>
            </w:r>
          </w:p>
          <w:p w14:paraId="77C0A622">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（1）贮存要求</w:t>
            </w:r>
          </w:p>
          <w:p w14:paraId="524FF7A6">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为了防止一般固废在贮存、处置过程中对环境产生影响，项目须设置一般固废暂存间（建筑面积20m</w:t>
            </w:r>
            <w:r>
              <w:rPr>
                <w:rFonts w:hint="eastAsia" w:ascii="Times New Roman" w:hAnsi="Times New Roman" w:eastAsia="宋体" w:cs="Times New Roman"/>
                <w:color w:val="000000" w:themeColor="text1"/>
                <w:szCs w:val="24"/>
                <w:vertAlign w:val="superscript"/>
                <w14:textFill>
                  <w14:solidFill>
                    <w14:schemeClr w14:val="tx1"/>
                  </w14:solidFill>
                </w14:textFill>
              </w:rPr>
              <w:t>2</w:t>
            </w:r>
            <w:r>
              <w:rPr>
                <w:rFonts w:hint="eastAsia" w:ascii="Times New Roman" w:hAnsi="Times New Roman" w:eastAsia="宋体" w:cs="Times New Roman"/>
                <w:color w:val="000000" w:themeColor="text1"/>
                <w:szCs w:val="24"/>
                <w14:textFill>
                  <w14:solidFill>
                    <w14:schemeClr w14:val="tx1"/>
                  </w14:solidFill>
                </w14:textFill>
              </w:rPr>
              <w:t>），其建设需满足《一般工业固体废物贮存和填埋污染控制标准》（GB18599-2020）相关规定，具体规定如下：</w:t>
            </w:r>
          </w:p>
          <w:p w14:paraId="707B6DD0">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①应选在满足承载力要求的地基上，以避免地基下沉的影响，特别是不均匀或局部下沉的影响。</w:t>
            </w:r>
          </w:p>
          <w:p w14:paraId="14446482">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②暂存场所应采取防雨措施，设置钢制防雨棚或混凝土防雨屋顶，并设置给排水系统。</w:t>
            </w:r>
          </w:p>
          <w:p w14:paraId="45EE26B4">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③暂存场所应采取防雨、防渗措施，应在贮存场所地表建设建筑物，将贮存场所建成室内贮存区域，同时采用防渗、防腐蚀（耐碱）的材料作地面。</w:t>
            </w:r>
          </w:p>
          <w:p w14:paraId="65C1BCBA">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（2）管理要求</w:t>
            </w:r>
          </w:p>
          <w:p w14:paraId="587D977D">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根据《中华人民共和国固体废物污染环境防治法》、《一般工业固体废物管理台账制定指南（试行）》，建设单位需采取措施，减少固体废物的产生量，促进固体废物的综合利用，降低固体废物的危害性。</w:t>
            </w:r>
          </w:p>
          <w:p w14:paraId="75CB13EC">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①监督管理</w:t>
            </w:r>
          </w:p>
          <w:p w14:paraId="0D3BD106">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加强对相关设施、设备和场所的管理和维护，保证其正常运行和使用。采取防扬散、防流失、防渗漏或者其他防止污染环境的措施，不得擅自倾倒、堆放、丢弃、遗撒固体废物。禁止向江河、湖泊、运河、渠道、水库及其最高水位线以下的滩地和岸坡以及法律法规规定的其他地点倾倒、堆放、贮存固体废物。依法及时公开固体废物污染环境防治信息，主动接受社会监督。</w:t>
            </w:r>
          </w:p>
          <w:p w14:paraId="35121037">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②工业固体废物</w:t>
            </w:r>
          </w:p>
          <w:p w14:paraId="0B735C8D">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委托他人运输、利用、处置工业固体废物的，应当对受托方的主体资格和技术能力进行核实，依法签订书面合同，在合同中约定污染防治要求。依法实施清洁生产审核，合理选择和利用原材料、能源和其他资源，采用先进的生产工艺和设备，减少工业固体废物的产生量，降低工业固体废物的危害性。依法取得排污许可证。根据经济、技术条件对工业固体废物加以利用；对暂时不利用或者不能利用的，需按照国务院生态环境等主管部门的规定建设贮存设施、场所，安全分类存放，或者采取无害化处置措施。</w:t>
            </w:r>
          </w:p>
          <w:p w14:paraId="61932D63">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③生活垃圾</w:t>
            </w:r>
          </w:p>
          <w:p w14:paraId="2E430409">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依法履行生活垃圾源头减量和分类投放义务，承担生活垃圾产生者责任。依法在指定的地点分类投放生活垃圾。禁止随意倾倒、抛撒、堆放或者焚烧生活垃圾。</w:t>
            </w:r>
          </w:p>
          <w:p w14:paraId="49F775C1">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④环境管理要求</w:t>
            </w:r>
          </w:p>
          <w:p w14:paraId="0B793067">
            <w:pPr>
              <w:widowControl w:val="0"/>
              <w:adjustRightInd w:val="0"/>
              <w:snapToGrid w:val="0"/>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对项目一般工业固体废物的收集、贮存、处置情况进行登记，并对其产生、收集、贮存和处置情况进行台账记录，台账保存期限不得少于5年。</w:t>
            </w:r>
          </w:p>
          <w:p w14:paraId="1991BB6B">
            <w:pPr>
              <w:widowControl w:val="0"/>
              <w:adjustRightInd w:val="0"/>
              <w:snapToGrid w:val="0"/>
              <w:spacing w:after="0" w:line="360" w:lineRule="auto"/>
              <w:ind w:firstLine="480" w:firstLineChars="200"/>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综上所述，项目固体废物严格按照国家规定的法律法规处理，固体废物均可得到妥善地处理和处置，处理措施合理可行；只要建设单位认真落实本环评提出的各项固体废物处置措施，并按照固体废物的相关管理要求，加强各类固体废物的收集、分类储存、转移和处置管理，本工程全厂产生的固体废物均不会造成二次污染，因此对环境的影响很小。</w:t>
            </w:r>
          </w:p>
          <w:p w14:paraId="48F2CF18">
            <w:pPr>
              <w:pStyle w:val="4"/>
              <w:keepNext w:val="0"/>
              <w:keepLines w:val="0"/>
              <w:widowControl w:val="0"/>
              <w:topLinePunct/>
              <w:spacing w:before="0" w:line="360" w:lineRule="auto"/>
              <w:jc w:val="both"/>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4.2.</w:t>
            </w:r>
            <w:r>
              <w:rPr>
                <w:rFonts w:hint="eastAsia" w:ascii="Times New Roman" w:hAnsi="Times New Roman" w:eastAsia="宋体" w:cs="Times New Roman"/>
                <w:b/>
                <w:bCs/>
                <w:color w:val="000000" w:themeColor="text1"/>
                <w14:textFill>
                  <w14:solidFill>
                    <w14:schemeClr w14:val="tx1"/>
                  </w14:solidFill>
                </w14:textFill>
              </w:rPr>
              <w:t>4</w:t>
            </w:r>
            <w:r>
              <w:rPr>
                <w:rFonts w:ascii="Times New Roman" w:hAnsi="Times New Roman" w:eastAsia="宋体" w:cs="Times New Roman"/>
                <w:b/>
                <w:bCs/>
                <w:color w:val="000000" w:themeColor="text1"/>
                <w14:textFill>
                  <w14:solidFill>
                    <w14:schemeClr w14:val="tx1"/>
                  </w14:solidFill>
                </w14:textFill>
              </w:rPr>
              <w:t xml:space="preserve"> 地下水、土壤环境影响分析</w:t>
            </w:r>
          </w:p>
          <w:p w14:paraId="1EE4DB14">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项目生产区地面均进行了硬化，本项目不使用化学品，不产生废水，废气仅排放颗粒物，不存在地下水、土壤污染途径，对地下水、土壤基本无影响。</w:t>
            </w:r>
          </w:p>
          <w:p w14:paraId="0667E19C">
            <w:pPr>
              <w:pStyle w:val="4"/>
              <w:keepNext w:val="0"/>
              <w:keepLines w:val="0"/>
              <w:widowControl w:val="0"/>
              <w:topLinePunct/>
              <w:spacing w:before="0" w:line="360" w:lineRule="auto"/>
              <w:jc w:val="both"/>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4.2.</w:t>
            </w:r>
            <w:r>
              <w:rPr>
                <w:rFonts w:hint="eastAsia" w:ascii="Times New Roman" w:hAnsi="Times New Roman" w:eastAsia="宋体" w:cs="Times New Roman"/>
                <w:b/>
                <w:bCs/>
                <w:color w:val="000000" w:themeColor="text1"/>
                <w14:textFill>
                  <w14:solidFill>
                    <w14:schemeClr w14:val="tx1"/>
                  </w14:solidFill>
                </w14:textFill>
              </w:rPr>
              <w:t>5</w:t>
            </w:r>
            <w:r>
              <w:rPr>
                <w:rFonts w:ascii="Times New Roman" w:hAnsi="Times New Roman" w:eastAsia="宋体" w:cs="Times New Roman"/>
                <w:b/>
                <w:bCs/>
                <w:color w:val="000000" w:themeColor="text1"/>
                <w14:textFill>
                  <w14:solidFill>
                    <w14:schemeClr w14:val="tx1"/>
                  </w14:solidFill>
                </w14:textFill>
              </w:rPr>
              <w:t xml:space="preserve"> 运营期环境风险影响分析和防范措施</w:t>
            </w:r>
          </w:p>
          <w:p w14:paraId="1FBF5F91">
            <w:pPr>
              <w:pStyle w:val="225"/>
              <w:ind w:firstLine="480"/>
            </w:pPr>
            <w:r>
              <w:rPr>
                <w:rFonts w:hint="eastAsia"/>
              </w:rPr>
              <w:t>项目不涉及使用环境风险物质，不产生生产废水和生活污水，可能的环境风险为车间发生火灾，塑料、木料等材料燃烧产生CO、SO</w:t>
            </w:r>
            <w:r>
              <w:rPr>
                <w:rFonts w:hint="eastAsia"/>
                <w:vertAlign w:val="subscript"/>
              </w:rPr>
              <w:t>2</w:t>
            </w:r>
            <w:r>
              <w:rPr>
                <w:rFonts w:hint="eastAsia"/>
              </w:rPr>
              <w:t>等对环境空气产生影响。</w:t>
            </w:r>
          </w:p>
          <w:p w14:paraId="52476684">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环境风险防范措施</w:t>
            </w:r>
            <w:r>
              <w:rPr>
                <w:rFonts w:hint="eastAsia" w:ascii="Times New Roman" w:hAnsi="Times New Roman" w:eastAsia="宋体" w:cs="Times New Roman"/>
                <w:color w:val="000000" w:themeColor="text1"/>
                <w:szCs w:val="24"/>
                <w14:textFill>
                  <w14:solidFill>
                    <w14:schemeClr w14:val="tx1"/>
                  </w14:solidFill>
                </w14:textFill>
              </w:rPr>
              <w:t>：</w:t>
            </w:r>
          </w:p>
          <w:p w14:paraId="2D19073F">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①项目总平面布置应严格执行《建筑设计防火规范》（GB50016-2018）中有关防火、防爆的规定，厂房和建筑物按规定划分等级，保证各建筑物之间留有足够的安全距离；且主要设备采用露天或半露天布置，有利于气体扩散，防火防爆区域内所有承重钢结构都应涂覆防火涂层；</w:t>
            </w:r>
          </w:p>
          <w:p w14:paraId="23B0F4D0">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②厂区内电气设施、装置应严格执行《爆炸和火灾危险环境电力装置设计规范》（GB50058-2014）规定要求；采用混凝土路面，主干道宽度应满足物料运输、设备检修、消防行车的要求，并与厂区外道路相连；</w:t>
            </w:r>
          </w:p>
          <w:p w14:paraId="055DE595">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③厂区内应严格进行防渗处理，避免事故状况造成对土壤及地下水环境的污染；且应设置备用电源，确保在事故状态下能迅速切换到备用电源，消防设计应经消防部门审查同意，建成后应进行消防验收；</w:t>
            </w:r>
          </w:p>
          <w:p w14:paraId="62485359">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④厂区选购的设备必须具有完备的检验手续（生产许可证、产品合格证、产品检验证等），并应符合国家现行的技术标准的要求；</w:t>
            </w:r>
          </w:p>
          <w:p w14:paraId="1FB6770D">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⑤建立健全全厂消防系统，并按规定设置室内室外消防栓；贮存区和生产区应按《建筑灭火器配置设计规范》（GB 50140-2005）配置灭火器；</w:t>
            </w:r>
          </w:p>
          <w:p w14:paraId="4D8970B1">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⑥项目应保证设备安装质量，经常检查各类设施运行情况，保证各类设施的正常运行</w:t>
            </w:r>
            <w:r>
              <w:rPr>
                <w:rFonts w:hint="eastAsia" w:ascii="Times New Roman" w:hAnsi="Times New Roman" w:eastAsia="宋体" w:cs="Times New Roman"/>
                <w:color w:val="000000" w:themeColor="text1"/>
                <w:szCs w:val="24"/>
                <w:lang w:eastAsia="zh-CN"/>
                <w14:textFill>
                  <w14:solidFill>
                    <w14:schemeClr w14:val="tx1"/>
                  </w14:solidFill>
                </w14:textFill>
              </w:rPr>
              <w:t>且</w:t>
            </w:r>
            <w:r>
              <w:rPr>
                <w:rFonts w:hint="eastAsia" w:ascii="Times New Roman" w:hAnsi="Times New Roman" w:eastAsia="宋体" w:cs="Times New Roman"/>
                <w:color w:val="000000" w:themeColor="text1"/>
                <w:szCs w:val="24"/>
                <w14:textFill>
                  <w14:solidFill>
                    <w14:schemeClr w14:val="tx1"/>
                  </w14:solidFill>
                </w14:textFill>
              </w:rPr>
              <w:t>对于工作不正常的设备，应该及时检修；采取技术、工艺、设备、管理等综合预防措施，避免危废废物泄漏事故发生；</w:t>
            </w:r>
          </w:p>
          <w:p w14:paraId="1E1FE031">
            <w:pPr>
              <w:pStyle w:val="171"/>
              <w:widowControl w:val="0"/>
              <w:topLinePunct/>
              <w:spacing w:after="0"/>
              <w:ind w:firstLine="480"/>
              <w:jc w:val="both"/>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t>⑦厂区应做好职工个人防护，如上岗按规定着装，戴好防护用具；严格按照工艺设计参数要求认真操作。</w:t>
            </w:r>
          </w:p>
          <w:p w14:paraId="07614531">
            <w:pPr>
              <w:keepNext/>
              <w:widowControl w:val="0"/>
              <w:tabs>
                <w:tab w:val="left" w:pos="1010"/>
              </w:tabs>
              <w:snapToGrid w:val="0"/>
              <w:spacing w:after="0" w:line="360" w:lineRule="auto"/>
              <w:rPr>
                <w:rFonts w:ascii="Times New Roman" w:hAnsi="Times New Roman" w:eastAsia="宋体" w:cs="Times New Roman"/>
                <w:b/>
                <w:color w:val="000000" w:themeColor="text1"/>
                <w:szCs w:val="24"/>
                <w14:textFill>
                  <w14:solidFill>
                    <w14:schemeClr w14:val="tx1"/>
                  </w14:solidFill>
                </w14:textFill>
              </w:rPr>
            </w:pPr>
            <w:r>
              <w:rPr>
                <w:rFonts w:ascii="Times New Roman" w:hAnsi="Times New Roman" w:eastAsia="宋体" w:cs="Times New Roman"/>
                <w:b/>
                <w:color w:val="000000" w:themeColor="text1"/>
                <w:szCs w:val="24"/>
                <w14:textFill>
                  <w14:solidFill>
                    <w14:schemeClr w14:val="tx1"/>
                  </w14:solidFill>
                </w14:textFill>
              </w:rPr>
              <w:t>4.2.</w:t>
            </w:r>
            <w:r>
              <w:rPr>
                <w:rFonts w:hint="eastAsia" w:ascii="Times New Roman" w:hAnsi="Times New Roman" w:eastAsia="宋体" w:cs="Times New Roman"/>
                <w:b/>
                <w:color w:val="000000" w:themeColor="text1"/>
                <w:szCs w:val="24"/>
                <w14:textFill>
                  <w14:solidFill>
                    <w14:schemeClr w14:val="tx1"/>
                  </w14:solidFill>
                </w14:textFill>
              </w:rPr>
              <w:t>6</w:t>
            </w:r>
            <w:r>
              <w:rPr>
                <w:rFonts w:ascii="Times New Roman" w:hAnsi="Times New Roman" w:eastAsia="宋体" w:cs="Times New Roman"/>
                <w:b/>
                <w:color w:val="000000" w:themeColor="text1"/>
                <w:szCs w:val="24"/>
                <w14:textFill>
                  <w14:solidFill>
                    <w14:schemeClr w14:val="tx1"/>
                  </w14:solidFill>
                </w14:textFill>
              </w:rPr>
              <w:t>排污口规范化</w:t>
            </w:r>
          </w:p>
          <w:p w14:paraId="249355FE">
            <w:pPr>
              <w:keepNext/>
              <w:widowControl w:val="0"/>
              <w:snapToGrid w:val="0"/>
              <w:spacing w:line="360" w:lineRule="auto"/>
              <w:ind w:firstLine="480" w:firstLineChars="200"/>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color w:val="000000" w:themeColor="text1"/>
                <w:szCs w:val="24"/>
                <w14:textFill>
                  <w14:solidFill>
                    <w14:schemeClr w14:val="tx1"/>
                  </w14:solidFill>
                </w14:textFill>
              </w:rPr>
              <w:t>各污染源排放口应设置专项图标，建设单位按照《关于开展排放口规范化整治工作的通知》（环发〔1999〕24 号）和《排污口规范化整治技术要求（试行）》（环监〔1996〕470号）等文件要求，进行排污口规范化设置工作，详见表4.</w:t>
            </w:r>
            <w:r>
              <w:rPr>
                <w:rFonts w:hint="eastAsia" w:ascii="Times New Roman" w:hAnsi="Times New Roman" w:eastAsia="宋体" w:cs="Times New Roman"/>
                <w:color w:val="000000" w:themeColor="text1"/>
                <w:szCs w:val="24"/>
                <w14:textFill>
                  <w14:solidFill>
                    <w14:schemeClr w14:val="tx1"/>
                  </w14:solidFill>
                </w14:textFill>
              </w:rPr>
              <w:t>2</w:t>
            </w:r>
            <w:r>
              <w:rPr>
                <w:rFonts w:ascii="Times New Roman" w:hAnsi="Times New Roman" w:eastAsia="宋体" w:cs="Times New Roman"/>
                <w:color w:val="000000" w:themeColor="text1"/>
                <w:szCs w:val="24"/>
                <w14:textFill>
                  <w14:solidFill>
                    <w14:schemeClr w14:val="tx1"/>
                  </w14:solidFill>
                </w14:textFill>
              </w:rPr>
              <w:t>-</w:t>
            </w:r>
            <w:r>
              <w:rPr>
                <w:rFonts w:hint="eastAsia" w:ascii="Times New Roman" w:hAnsi="Times New Roman" w:eastAsia="宋体" w:cs="Times New Roman"/>
                <w:color w:val="000000" w:themeColor="text1"/>
                <w:szCs w:val="24"/>
                <w14:textFill>
                  <w14:solidFill>
                    <w14:schemeClr w14:val="tx1"/>
                  </w14:solidFill>
                </w14:textFill>
              </w:rPr>
              <w:t>10</w:t>
            </w:r>
            <w:r>
              <w:rPr>
                <w:rFonts w:ascii="Times New Roman" w:hAnsi="Times New Roman" w:eastAsia="宋体" w:cs="Times New Roman"/>
                <w:color w:val="000000" w:themeColor="text1"/>
                <w:szCs w:val="24"/>
                <w14:textFill>
                  <w14:solidFill>
                    <w14:schemeClr w14:val="tx1"/>
                  </w14:solidFill>
                </w14:textFill>
              </w:rPr>
              <w:t>。标志牌应设在与之功能相应的醒目处，并保持清晰、完整。</w:t>
            </w:r>
          </w:p>
          <w:p w14:paraId="374359FF">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表4.2</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 xml:space="preserve"> 各排污口（源）标志牌设置示意图</w:t>
            </w:r>
          </w:p>
          <w:tbl>
            <w:tblPr>
              <w:tblStyle w:val="226"/>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2576"/>
              <w:gridCol w:w="2555"/>
              <w:gridCol w:w="2449"/>
            </w:tblGrid>
            <w:tr w14:paraId="1416A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37" w:type="dxa"/>
                  <w:vAlign w:val="center"/>
                </w:tcPr>
                <w:p w14:paraId="7A4D90DB">
                  <w:pPr>
                    <w:pStyle w:val="218"/>
                    <w:keepNext/>
                    <w:widowControl w:val="0"/>
                    <w:adjustRightInd w:val="0"/>
                    <w:snapToGrid w:val="0"/>
                    <w:spacing w:before="0" w:after="0" w:line="240" w:lineRule="auto"/>
                    <w:ind w:firstLine="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排放口</w:t>
                  </w:r>
                </w:p>
              </w:tc>
              <w:tc>
                <w:tcPr>
                  <w:tcW w:w="2576" w:type="dxa"/>
                  <w:vAlign w:val="center"/>
                </w:tcPr>
                <w:p w14:paraId="50C9D696">
                  <w:pPr>
                    <w:pStyle w:val="218"/>
                    <w:keepNext/>
                    <w:widowControl w:val="0"/>
                    <w:adjustRightInd w:val="0"/>
                    <w:snapToGrid w:val="0"/>
                    <w:spacing w:before="0" w:after="0" w:line="240" w:lineRule="auto"/>
                    <w:ind w:firstLine="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废气排放</w:t>
                  </w:r>
                </w:p>
              </w:tc>
              <w:tc>
                <w:tcPr>
                  <w:tcW w:w="2555" w:type="dxa"/>
                  <w:vAlign w:val="center"/>
                </w:tcPr>
                <w:p w14:paraId="724ADD2C">
                  <w:pPr>
                    <w:pStyle w:val="218"/>
                    <w:keepNext/>
                    <w:widowControl w:val="0"/>
                    <w:adjustRightInd w:val="0"/>
                    <w:snapToGrid w:val="0"/>
                    <w:spacing w:before="0" w:after="0" w:line="240" w:lineRule="auto"/>
                    <w:ind w:firstLine="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一般固废</w:t>
                  </w:r>
                </w:p>
              </w:tc>
              <w:tc>
                <w:tcPr>
                  <w:tcW w:w="2449" w:type="dxa"/>
                  <w:vAlign w:val="center"/>
                </w:tcPr>
                <w:p w14:paraId="7970E2C2">
                  <w:pPr>
                    <w:pStyle w:val="218"/>
                    <w:keepNext/>
                    <w:widowControl w:val="0"/>
                    <w:adjustRightInd w:val="0"/>
                    <w:snapToGrid w:val="0"/>
                    <w:spacing w:before="0" w:after="0" w:line="240" w:lineRule="auto"/>
                    <w:ind w:firstLine="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噪声源</w:t>
                  </w:r>
                </w:p>
              </w:tc>
            </w:tr>
            <w:tr w14:paraId="230DD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Align w:val="center"/>
                </w:tcPr>
                <w:p w14:paraId="76C6169A">
                  <w:pPr>
                    <w:pStyle w:val="218"/>
                    <w:keepNext/>
                    <w:widowControl w:val="0"/>
                    <w:adjustRightInd w:val="0"/>
                    <w:snapToGrid w:val="0"/>
                    <w:spacing w:before="0" w:after="0" w:line="240" w:lineRule="auto"/>
                    <w:ind w:firstLine="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图形符号</w:t>
                  </w:r>
                </w:p>
              </w:tc>
              <w:tc>
                <w:tcPr>
                  <w:tcW w:w="2576" w:type="dxa"/>
                  <w:vAlign w:val="center"/>
                </w:tcPr>
                <w:p w14:paraId="6BFA5CDE">
                  <w:pPr>
                    <w:pStyle w:val="219"/>
                    <w:keepNext/>
                    <w:widowControl w:val="0"/>
                    <w:snapToGrid w:val="0"/>
                    <w:rPr>
                      <w:rFonts w:eastAsia="宋体"/>
                      <w:bCs/>
                      <w:color w:val="000000" w:themeColor="text1"/>
                      <w:szCs w:val="21"/>
                      <w14:textFill>
                        <w14:solidFill>
                          <w14:schemeClr w14:val="tx1"/>
                        </w14:solidFill>
                      </w14:textFill>
                    </w:rPr>
                  </w:pPr>
                  <w:r>
                    <w:rPr>
                      <w:rFonts w:eastAsia="宋体"/>
                      <w:color w:val="000000" w:themeColor="text1"/>
                      <w14:textFill>
                        <w14:solidFill>
                          <w14:schemeClr w14:val="tx1"/>
                        </w14:solidFill>
                      </w14:textFill>
                    </w:rPr>
                    <w:drawing>
                      <wp:inline distT="0" distB="0" distL="114300" distR="114300">
                        <wp:extent cx="1133475" cy="838835"/>
                        <wp:effectExtent l="0" t="0" r="9525" b="18415"/>
                        <wp:docPr id="61"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2"/>
                                <pic:cNvPicPr>
                                  <a:picLocks noChangeAspect="1"/>
                                </pic:cNvPicPr>
                              </pic:nvPicPr>
                              <pic:blipFill>
                                <a:blip r:embed="rId22"/>
                                <a:stretch>
                                  <a:fillRect/>
                                </a:stretch>
                              </pic:blipFill>
                              <pic:spPr>
                                <a:xfrm>
                                  <a:off x="0" y="0"/>
                                  <a:ext cx="1133475" cy="838835"/>
                                </a:xfrm>
                                <a:prstGeom prst="rect">
                                  <a:avLst/>
                                </a:prstGeom>
                                <a:noFill/>
                                <a:ln>
                                  <a:noFill/>
                                </a:ln>
                              </pic:spPr>
                            </pic:pic>
                          </a:graphicData>
                        </a:graphic>
                      </wp:inline>
                    </w:drawing>
                  </w:r>
                </w:p>
              </w:tc>
              <w:tc>
                <w:tcPr>
                  <w:tcW w:w="2555" w:type="dxa"/>
                  <w:vAlign w:val="center"/>
                </w:tcPr>
                <w:p w14:paraId="57A4B9C2">
                  <w:pPr>
                    <w:pStyle w:val="219"/>
                    <w:keepNext/>
                    <w:widowControl w:val="0"/>
                    <w:snapToGrid w:val="0"/>
                    <w:rPr>
                      <w:rFonts w:eastAsia="宋体"/>
                      <w:bCs/>
                      <w:color w:val="000000" w:themeColor="text1"/>
                      <w:szCs w:val="21"/>
                      <w14:textFill>
                        <w14:solidFill>
                          <w14:schemeClr w14:val="tx1"/>
                        </w14:solidFill>
                      </w14:textFill>
                    </w:rPr>
                  </w:pPr>
                  <w:r>
                    <w:rPr>
                      <w:rFonts w:eastAsia="宋体"/>
                      <w:color w:val="000000" w:themeColor="text1"/>
                      <w14:textFill>
                        <w14:solidFill>
                          <w14:schemeClr w14:val="tx1"/>
                        </w14:solidFill>
                      </w14:textFill>
                    </w:rPr>
                    <w:drawing>
                      <wp:inline distT="0" distB="0" distL="114300" distR="114300">
                        <wp:extent cx="1105535" cy="872490"/>
                        <wp:effectExtent l="0" t="0" r="18415" b="3810"/>
                        <wp:docPr id="62"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3"/>
                                <pic:cNvPicPr>
                                  <a:picLocks noChangeAspect="1"/>
                                </pic:cNvPicPr>
                              </pic:nvPicPr>
                              <pic:blipFill>
                                <a:blip r:embed="rId23"/>
                                <a:stretch>
                                  <a:fillRect/>
                                </a:stretch>
                              </pic:blipFill>
                              <pic:spPr>
                                <a:xfrm>
                                  <a:off x="0" y="0"/>
                                  <a:ext cx="1105535" cy="872490"/>
                                </a:xfrm>
                                <a:prstGeom prst="rect">
                                  <a:avLst/>
                                </a:prstGeom>
                                <a:noFill/>
                                <a:ln>
                                  <a:noFill/>
                                </a:ln>
                              </pic:spPr>
                            </pic:pic>
                          </a:graphicData>
                        </a:graphic>
                      </wp:inline>
                    </w:drawing>
                  </w:r>
                </w:p>
              </w:tc>
              <w:tc>
                <w:tcPr>
                  <w:tcW w:w="2449" w:type="dxa"/>
                  <w:vAlign w:val="center"/>
                </w:tcPr>
                <w:p w14:paraId="252DB287">
                  <w:pPr>
                    <w:pStyle w:val="219"/>
                    <w:keepNext/>
                    <w:widowControl w:val="0"/>
                    <w:snapToGrid w:val="0"/>
                    <w:rPr>
                      <w:rFonts w:eastAsia="宋体"/>
                      <w:bCs/>
                      <w:color w:val="000000" w:themeColor="text1"/>
                      <w:szCs w:val="21"/>
                      <w14:textFill>
                        <w14:solidFill>
                          <w14:schemeClr w14:val="tx1"/>
                        </w14:solidFill>
                      </w14:textFill>
                    </w:rPr>
                  </w:pPr>
                  <w:r>
                    <w:rPr>
                      <w:rFonts w:eastAsia="宋体"/>
                      <w:bCs/>
                      <w:color w:val="000000" w:themeColor="text1"/>
                      <w:szCs w:val="21"/>
                      <w14:textFill>
                        <w14:solidFill>
                          <w14:schemeClr w14:val="tx1"/>
                        </w14:solidFill>
                      </w14:textFill>
                    </w:rPr>
                    <w:drawing>
                      <wp:inline distT="0" distB="0" distL="114300" distR="114300">
                        <wp:extent cx="1010285" cy="838200"/>
                        <wp:effectExtent l="0" t="0" r="18415" b="0"/>
                        <wp:docPr id="63" name="图片 689" descr="13005_disp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89" descr="13005_disp100"/>
                                <pic:cNvPicPr>
                                  <a:picLocks noChangeAspect="1"/>
                                </pic:cNvPicPr>
                              </pic:nvPicPr>
                              <pic:blipFill>
                                <a:blip r:embed="rId24"/>
                                <a:stretch>
                                  <a:fillRect/>
                                </a:stretch>
                              </pic:blipFill>
                              <pic:spPr>
                                <a:xfrm>
                                  <a:off x="0" y="0"/>
                                  <a:ext cx="1010285" cy="838200"/>
                                </a:xfrm>
                                <a:prstGeom prst="rect">
                                  <a:avLst/>
                                </a:prstGeom>
                                <a:noFill/>
                                <a:ln>
                                  <a:noFill/>
                                </a:ln>
                              </pic:spPr>
                            </pic:pic>
                          </a:graphicData>
                        </a:graphic>
                      </wp:inline>
                    </w:drawing>
                  </w:r>
                </w:p>
              </w:tc>
            </w:tr>
          </w:tbl>
          <w:p w14:paraId="6ABAA944">
            <w:pPr>
              <w:keepNext/>
              <w:widowControl w:val="0"/>
              <w:snapToGrid w:val="0"/>
              <w:spacing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4.2.</w:t>
            </w:r>
            <w:r>
              <w:rPr>
                <w:rFonts w:hint="eastAsia" w:ascii="Times New Roman" w:hAnsi="Times New Roman" w:eastAsia="宋体" w:cs="Times New Roman"/>
                <w:b/>
                <w:bCs/>
                <w:color w:val="000000" w:themeColor="text1"/>
                <w:szCs w:val="24"/>
                <w14:textFill>
                  <w14:solidFill>
                    <w14:schemeClr w14:val="tx1"/>
                  </w14:solidFill>
                </w14:textFill>
              </w:rPr>
              <w:t>7</w:t>
            </w:r>
            <w:r>
              <w:rPr>
                <w:rFonts w:ascii="Times New Roman" w:hAnsi="Times New Roman" w:eastAsia="宋体" w:cs="Times New Roman"/>
                <w:b/>
                <w:bCs/>
                <w:color w:val="000000" w:themeColor="text1"/>
                <w:szCs w:val="24"/>
                <w14:textFill>
                  <w14:solidFill>
                    <w14:schemeClr w14:val="tx1"/>
                  </w14:solidFill>
                </w14:textFill>
              </w:rPr>
              <w:t>竣工环保验收</w:t>
            </w:r>
          </w:p>
          <w:p w14:paraId="4B9A4672">
            <w:pPr>
              <w:pStyle w:val="225"/>
              <w:ind w:firstLine="480"/>
            </w:pPr>
            <w:r>
              <w:t>建设单位应按照国家及本市有关法律法规、建设项目竣工环境保护验收技术规范、建设项目环境影响报告书(表)和审批决定等要求，自主开展相关验收工作。建设项目配套建设的环境保护设施经验收合格，方可投入生产或者使用；未经验收或者验收不合格的，不得投入生产或者使用。</w:t>
            </w:r>
          </w:p>
          <w:p w14:paraId="11AB9F0F">
            <w:pPr>
              <w:pStyle w:val="225"/>
              <w:ind w:firstLine="480"/>
            </w:pPr>
          </w:p>
          <w:p w14:paraId="553F0A24">
            <w:pPr>
              <w:keepNext/>
              <w:widowControl w:val="0"/>
              <w:snapToGrid w:val="0"/>
              <w:spacing w:after="0" w:line="360" w:lineRule="auto"/>
              <w:rPr>
                <w:rFonts w:ascii="Times New Roman" w:hAnsi="Times New Roman" w:eastAsia="宋体" w:cs="Times New Roman"/>
                <w:b/>
                <w:bCs/>
                <w:color w:val="000000" w:themeColor="text1"/>
                <w:szCs w:val="24"/>
                <w14:textFill>
                  <w14:solidFill>
                    <w14:schemeClr w14:val="tx1"/>
                  </w14:solidFill>
                </w14:textFill>
              </w:rPr>
            </w:pPr>
            <w:r>
              <w:rPr>
                <w:rFonts w:ascii="Times New Roman" w:hAnsi="Times New Roman" w:eastAsia="宋体" w:cs="Times New Roman"/>
                <w:b/>
                <w:bCs/>
                <w:color w:val="000000" w:themeColor="text1"/>
                <w:szCs w:val="24"/>
                <w14:textFill>
                  <w14:solidFill>
                    <w14:schemeClr w14:val="tx1"/>
                  </w14:solidFill>
                </w14:textFill>
              </w:rPr>
              <w:t>4.2.</w:t>
            </w:r>
            <w:r>
              <w:rPr>
                <w:rFonts w:hint="eastAsia" w:ascii="Times New Roman" w:hAnsi="Times New Roman" w:eastAsia="宋体" w:cs="Times New Roman"/>
                <w:b/>
                <w:bCs/>
                <w:color w:val="000000" w:themeColor="text1"/>
                <w:szCs w:val="24"/>
                <w14:textFill>
                  <w14:solidFill>
                    <w14:schemeClr w14:val="tx1"/>
                  </w14:solidFill>
                </w14:textFill>
              </w:rPr>
              <w:t>8</w:t>
            </w:r>
            <w:r>
              <w:rPr>
                <w:rFonts w:ascii="Times New Roman" w:hAnsi="Times New Roman" w:eastAsia="宋体" w:cs="Times New Roman"/>
                <w:b/>
                <w:bCs/>
                <w:color w:val="000000" w:themeColor="text1"/>
                <w:szCs w:val="24"/>
                <w14:textFill>
                  <w14:solidFill>
                    <w14:schemeClr w14:val="tx1"/>
                  </w14:solidFill>
                </w14:textFill>
              </w:rPr>
              <w:t>环保投资估算</w:t>
            </w:r>
          </w:p>
          <w:p w14:paraId="3F4E8867">
            <w:pPr>
              <w:pStyle w:val="19"/>
              <w:keepNext/>
              <w:widowControl w:val="0"/>
              <w:spacing w:before="0" w:after="0" w:line="360" w:lineRule="auto"/>
              <w:ind w:right="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本项目环保投资</w:t>
            </w:r>
            <w:r>
              <w:rPr>
                <w:rFonts w:hint="eastAsia" w:ascii="Times New Roman" w:hAnsi="Times New Roman" w:cs="Times New Roman"/>
                <w:color w:val="000000" w:themeColor="text1"/>
                <w:sz w:val="24"/>
                <w:szCs w:val="24"/>
                <w14:textFill>
                  <w14:solidFill>
                    <w14:schemeClr w14:val="tx1"/>
                  </w14:solidFill>
                </w14:textFill>
              </w:rPr>
              <w:t>10</w:t>
            </w:r>
            <w:r>
              <w:rPr>
                <w:rFonts w:ascii="Times New Roman" w:hAnsi="Times New Roman" w:eastAsia="宋体" w:cs="Times New Roman"/>
                <w:color w:val="000000" w:themeColor="text1"/>
                <w:sz w:val="24"/>
                <w:szCs w:val="24"/>
                <w14:textFill>
                  <w14:solidFill>
                    <w14:schemeClr w14:val="tx1"/>
                  </w14:solidFill>
                </w14:textFill>
              </w:rPr>
              <w:t>万元，占项目总投资</w:t>
            </w:r>
            <w:r>
              <w:rPr>
                <w:rFonts w:hint="eastAsia" w:ascii="Times New Roman" w:hAnsi="Times New Roman" w:cs="Times New Roman"/>
                <w:color w:val="000000" w:themeColor="text1"/>
                <w:sz w:val="24"/>
                <w:szCs w:val="24"/>
                <w14:textFill>
                  <w14:solidFill>
                    <w14:schemeClr w14:val="tx1"/>
                  </w14:solidFill>
                </w14:textFill>
              </w:rPr>
              <w:t>450</w:t>
            </w:r>
            <w:r>
              <w:rPr>
                <w:rFonts w:ascii="Times New Roman" w:hAnsi="Times New Roman" w:eastAsia="宋体" w:cs="Times New Roman"/>
                <w:color w:val="000000" w:themeColor="text1"/>
                <w:sz w:val="24"/>
                <w:szCs w:val="24"/>
                <w14:textFill>
                  <w14:solidFill>
                    <w14:schemeClr w14:val="tx1"/>
                  </w14:solidFill>
                </w14:textFill>
              </w:rPr>
              <w:t>万元的</w:t>
            </w:r>
            <w:r>
              <w:rPr>
                <w:rFonts w:hint="eastAsia" w:ascii="Times New Roman" w:hAnsi="Times New Roman" w:cs="Times New Roman"/>
                <w:color w:val="000000" w:themeColor="text1"/>
                <w:sz w:val="24"/>
                <w:szCs w:val="24"/>
                <w14:textFill>
                  <w14:solidFill>
                    <w14:schemeClr w14:val="tx1"/>
                  </w14:solidFill>
                </w14:textFill>
              </w:rPr>
              <w:t>2.2</w:t>
            </w:r>
            <w:r>
              <w:rPr>
                <w:rFonts w:ascii="Times New Roman" w:hAnsi="Times New Roman" w:eastAsia="宋体" w:cs="Times New Roman"/>
                <w:color w:val="000000" w:themeColor="text1"/>
                <w:sz w:val="24"/>
                <w:szCs w:val="24"/>
                <w14:textFill>
                  <w14:solidFill>
                    <w14:schemeClr w14:val="tx1"/>
                  </w14:solidFill>
                </w14:textFill>
              </w:rPr>
              <w:t>%。项目的环保投资主要用于处理废气和噪声等，建设单位在环保方面进行投资后可将环境污染降至最低，以促进环境资源的可持续发展。项目环保投资详情见下表。</w:t>
            </w:r>
          </w:p>
          <w:p w14:paraId="4CB3F794">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4.2-11</w:t>
            </w:r>
            <w:r>
              <w:rPr>
                <w:color w:val="000000" w:themeColor="text1"/>
                <w14:textFill>
                  <w14:solidFill>
                    <w14:schemeClr w14:val="tx1"/>
                  </w14:solidFill>
                </w14:textFill>
              </w:rPr>
              <w:t xml:space="preserve"> 环保投资一览表</w:t>
            </w:r>
          </w:p>
          <w:tbl>
            <w:tblPr>
              <w:tblStyle w:val="226"/>
              <w:tblW w:w="85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855"/>
              <w:gridCol w:w="2497"/>
              <w:gridCol w:w="1099"/>
              <w:gridCol w:w="1170"/>
              <w:gridCol w:w="1201"/>
            </w:tblGrid>
            <w:tr w14:paraId="5B4B5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14:paraId="63BF785B">
                  <w:pPr>
                    <w:pStyle w:val="221"/>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855" w:type="dxa"/>
                  <w:vAlign w:val="center"/>
                </w:tcPr>
                <w:p w14:paraId="68D9AD67">
                  <w:pPr>
                    <w:pStyle w:val="221"/>
                    <w:rPr>
                      <w:color w:val="000000" w:themeColor="text1"/>
                      <w14:textFill>
                        <w14:solidFill>
                          <w14:schemeClr w14:val="tx1"/>
                        </w14:solidFill>
                      </w14:textFill>
                    </w:rPr>
                  </w:pPr>
                  <w:r>
                    <w:rPr>
                      <w:color w:val="000000" w:themeColor="text1"/>
                      <w14:textFill>
                        <w14:solidFill>
                          <w14:schemeClr w14:val="tx1"/>
                        </w14:solidFill>
                      </w14:textFill>
                    </w:rPr>
                    <w:t>设备名称</w:t>
                  </w:r>
                </w:p>
              </w:tc>
              <w:tc>
                <w:tcPr>
                  <w:tcW w:w="2497" w:type="dxa"/>
                  <w:vAlign w:val="center"/>
                </w:tcPr>
                <w:p w14:paraId="0F531FAB">
                  <w:pPr>
                    <w:pStyle w:val="221"/>
                    <w:rPr>
                      <w:color w:val="000000" w:themeColor="text1"/>
                      <w14:textFill>
                        <w14:solidFill>
                          <w14:schemeClr w14:val="tx1"/>
                        </w14:solidFill>
                      </w14:textFill>
                    </w:rPr>
                  </w:pPr>
                  <w:r>
                    <w:rPr>
                      <w:color w:val="000000" w:themeColor="text1"/>
                      <w14:textFill>
                        <w14:solidFill>
                          <w14:schemeClr w14:val="tx1"/>
                        </w14:solidFill>
                      </w14:textFill>
                    </w:rPr>
                    <w:t>功能</w:t>
                  </w:r>
                </w:p>
              </w:tc>
              <w:tc>
                <w:tcPr>
                  <w:tcW w:w="1099" w:type="dxa"/>
                  <w:vAlign w:val="center"/>
                </w:tcPr>
                <w:p w14:paraId="409EC4D5">
                  <w:pPr>
                    <w:pStyle w:val="221"/>
                    <w:rPr>
                      <w:color w:val="000000" w:themeColor="text1"/>
                      <w14:textFill>
                        <w14:solidFill>
                          <w14:schemeClr w14:val="tx1"/>
                        </w14:solidFill>
                      </w14:textFill>
                    </w:rPr>
                  </w:pPr>
                  <w:r>
                    <w:rPr>
                      <w:color w:val="000000" w:themeColor="text1"/>
                      <w14:textFill>
                        <w14:solidFill>
                          <w14:schemeClr w14:val="tx1"/>
                        </w14:solidFill>
                      </w14:textFill>
                    </w:rPr>
                    <w:t>单价</w:t>
                  </w:r>
                </w:p>
                <w:p w14:paraId="6CAEE4A4">
                  <w:pPr>
                    <w:pStyle w:val="221"/>
                    <w:rPr>
                      <w:color w:val="000000" w:themeColor="text1"/>
                      <w14:textFill>
                        <w14:solidFill>
                          <w14:schemeClr w14:val="tx1"/>
                        </w14:solidFill>
                      </w14:textFill>
                    </w:rPr>
                  </w:pPr>
                  <w:r>
                    <w:rPr>
                      <w:color w:val="000000" w:themeColor="text1"/>
                      <w14:textFill>
                        <w14:solidFill>
                          <w14:schemeClr w14:val="tx1"/>
                        </w14:solidFill>
                      </w14:textFill>
                    </w:rPr>
                    <w:t>（万元）</w:t>
                  </w:r>
                </w:p>
              </w:tc>
              <w:tc>
                <w:tcPr>
                  <w:tcW w:w="1170" w:type="dxa"/>
                  <w:vAlign w:val="center"/>
                </w:tcPr>
                <w:p w14:paraId="6C758672">
                  <w:pPr>
                    <w:pStyle w:val="221"/>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1201" w:type="dxa"/>
                  <w:vAlign w:val="center"/>
                </w:tcPr>
                <w:p w14:paraId="307A4912">
                  <w:pPr>
                    <w:pStyle w:val="221"/>
                    <w:rPr>
                      <w:color w:val="000000" w:themeColor="text1"/>
                      <w14:textFill>
                        <w14:solidFill>
                          <w14:schemeClr w14:val="tx1"/>
                        </w14:solidFill>
                      </w14:textFill>
                    </w:rPr>
                  </w:pPr>
                  <w:r>
                    <w:rPr>
                      <w:color w:val="000000" w:themeColor="text1"/>
                      <w14:textFill>
                        <w14:solidFill>
                          <w14:schemeClr w14:val="tx1"/>
                        </w14:solidFill>
                      </w14:textFill>
                    </w:rPr>
                    <w:t>总价</w:t>
                  </w:r>
                </w:p>
                <w:p w14:paraId="6D4FBCB9">
                  <w:pPr>
                    <w:pStyle w:val="221"/>
                    <w:rPr>
                      <w:color w:val="000000" w:themeColor="text1"/>
                      <w14:textFill>
                        <w14:solidFill>
                          <w14:schemeClr w14:val="tx1"/>
                        </w14:solidFill>
                      </w14:textFill>
                    </w:rPr>
                  </w:pPr>
                  <w:r>
                    <w:rPr>
                      <w:color w:val="000000" w:themeColor="text1"/>
                      <w14:textFill>
                        <w14:solidFill>
                          <w14:schemeClr w14:val="tx1"/>
                        </w14:solidFill>
                      </w14:textFill>
                    </w:rPr>
                    <w:t>（万元）</w:t>
                  </w:r>
                </w:p>
              </w:tc>
            </w:tr>
            <w:tr w14:paraId="630C1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14:paraId="58D03E03">
                  <w:pPr>
                    <w:pStyle w:val="221"/>
                    <w:rPr>
                      <w:color w:val="000000" w:themeColor="text1"/>
                      <w14:textFill>
                        <w14:solidFill>
                          <w14:schemeClr w14:val="tx1"/>
                        </w14:solidFill>
                      </w14:textFill>
                    </w:rPr>
                  </w:pPr>
                  <w:r>
                    <w:rPr>
                      <w:color w:val="000000" w:themeColor="text1"/>
                      <w14:textFill>
                        <w14:solidFill>
                          <w14:schemeClr w14:val="tx1"/>
                        </w14:solidFill>
                      </w14:textFill>
                    </w:rPr>
                    <w:t>1</w:t>
                  </w:r>
                </w:p>
              </w:tc>
              <w:tc>
                <w:tcPr>
                  <w:tcW w:w="1855" w:type="dxa"/>
                  <w:vAlign w:val="center"/>
                </w:tcPr>
                <w:p w14:paraId="2849AD97">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滤筒除尘器</w:t>
                  </w:r>
                </w:p>
              </w:tc>
              <w:tc>
                <w:tcPr>
                  <w:tcW w:w="2497" w:type="dxa"/>
                  <w:vAlign w:val="center"/>
                </w:tcPr>
                <w:p w14:paraId="0D8AD7AE">
                  <w:pPr>
                    <w:pStyle w:val="221"/>
                    <w:rPr>
                      <w:color w:val="000000" w:themeColor="text1"/>
                      <w14:textFill>
                        <w14:solidFill>
                          <w14:schemeClr w14:val="tx1"/>
                        </w14:solidFill>
                      </w14:textFill>
                    </w:rPr>
                  </w:pPr>
                  <w:r>
                    <w:rPr>
                      <w:color w:val="000000" w:themeColor="text1"/>
                      <w14:textFill>
                        <w14:solidFill>
                          <w14:schemeClr w14:val="tx1"/>
                        </w14:solidFill>
                      </w14:textFill>
                    </w:rPr>
                    <w:t>生产设施废气</w:t>
                  </w:r>
                  <w:r>
                    <w:rPr>
                      <w:rFonts w:hint="eastAsia"/>
                      <w:color w:val="000000" w:themeColor="text1"/>
                      <w14:textFill>
                        <w14:solidFill>
                          <w14:schemeClr w14:val="tx1"/>
                        </w14:solidFill>
                      </w14:textFill>
                    </w:rPr>
                    <w:t>处理</w:t>
                  </w:r>
                </w:p>
              </w:tc>
              <w:tc>
                <w:tcPr>
                  <w:tcW w:w="1099" w:type="dxa"/>
                  <w:vAlign w:val="center"/>
                </w:tcPr>
                <w:p w14:paraId="5221898B">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170" w:type="dxa"/>
                  <w:vAlign w:val="center"/>
                </w:tcPr>
                <w:p w14:paraId="72711E0B">
                  <w:pPr>
                    <w:pStyle w:val="221"/>
                    <w:rPr>
                      <w:color w:val="000000" w:themeColor="text1"/>
                      <w14:textFill>
                        <w14:solidFill>
                          <w14:schemeClr w14:val="tx1"/>
                        </w14:solidFill>
                      </w14:textFill>
                    </w:rPr>
                  </w:pPr>
                  <w:r>
                    <w:rPr>
                      <w:color w:val="000000" w:themeColor="text1"/>
                      <w14:textFill>
                        <w14:solidFill>
                          <w14:schemeClr w14:val="tx1"/>
                        </w14:solidFill>
                      </w14:textFill>
                    </w:rPr>
                    <w:t>1套</w:t>
                  </w:r>
                </w:p>
              </w:tc>
              <w:tc>
                <w:tcPr>
                  <w:tcW w:w="1201" w:type="dxa"/>
                  <w:vAlign w:val="center"/>
                </w:tcPr>
                <w:p w14:paraId="73E2CEB3">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r>
            <w:tr w14:paraId="73B24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14:paraId="2E91725D">
                  <w:pPr>
                    <w:pStyle w:val="221"/>
                    <w:rPr>
                      <w:color w:val="000000" w:themeColor="text1"/>
                      <w14:textFill>
                        <w14:solidFill>
                          <w14:schemeClr w14:val="tx1"/>
                        </w14:solidFill>
                      </w14:textFill>
                    </w:rPr>
                  </w:pPr>
                  <w:r>
                    <w:rPr>
                      <w:color w:val="000000" w:themeColor="text1"/>
                      <w14:textFill>
                        <w14:solidFill>
                          <w14:schemeClr w14:val="tx1"/>
                        </w14:solidFill>
                      </w14:textFill>
                    </w:rPr>
                    <w:t>2</w:t>
                  </w:r>
                </w:p>
              </w:tc>
              <w:tc>
                <w:tcPr>
                  <w:tcW w:w="1855" w:type="dxa"/>
                  <w:vAlign w:val="center"/>
                </w:tcPr>
                <w:p w14:paraId="7EEBD7F3">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减振降噪设施</w:t>
                  </w:r>
                </w:p>
              </w:tc>
              <w:tc>
                <w:tcPr>
                  <w:tcW w:w="2497" w:type="dxa"/>
                  <w:vAlign w:val="center"/>
                </w:tcPr>
                <w:p w14:paraId="20D8B6E9">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降噪</w:t>
                  </w:r>
                </w:p>
              </w:tc>
              <w:tc>
                <w:tcPr>
                  <w:tcW w:w="1099" w:type="dxa"/>
                  <w:vAlign w:val="center"/>
                </w:tcPr>
                <w:p w14:paraId="4270B849">
                  <w:pPr>
                    <w:pStyle w:val="221"/>
                    <w:rPr>
                      <w:color w:val="000000" w:themeColor="text1"/>
                      <w14:textFill>
                        <w14:solidFill>
                          <w14:schemeClr w14:val="tx1"/>
                        </w14:solidFill>
                      </w14:textFill>
                    </w:rPr>
                  </w:pPr>
                  <w:r>
                    <w:rPr>
                      <w:color w:val="000000" w:themeColor="text1"/>
                      <w14:textFill>
                        <w14:solidFill>
                          <w14:schemeClr w14:val="tx1"/>
                        </w14:solidFill>
                      </w14:textFill>
                    </w:rPr>
                    <w:t>2</w:t>
                  </w:r>
                </w:p>
              </w:tc>
              <w:tc>
                <w:tcPr>
                  <w:tcW w:w="1170" w:type="dxa"/>
                  <w:vAlign w:val="center"/>
                </w:tcPr>
                <w:p w14:paraId="5021B864">
                  <w:pPr>
                    <w:pStyle w:val="221"/>
                    <w:rPr>
                      <w:color w:val="000000" w:themeColor="text1"/>
                      <w14:textFill>
                        <w14:solidFill>
                          <w14:schemeClr w14:val="tx1"/>
                        </w14:solidFill>
                      </w14:textFill>
                    </w:rPr>
                  </w:pPr>
                  <w:r>
                    <w:rPr>
                      <w:color w:val="000000" w:themeColor="text1"/>
                      <w14:textFill>
                        <w14:solidFill>
                          <w14:schemeClr w14:val="tx1"/>
                        </w14:solidFill>
                      </w14:textFill>
                    </w:rPr>
                    <w:t>1套</w:t>
                  </w:r>
                </w:p>
              </w:tc>
              <w:tc>
                <w:tcPr>
                  <w:tcW w:w="1201" w:type="dxa"/>
                  <w:vAlign w:val="center"/>
                </w:tcPr>
                <w:p w14:paraId="3038E603">
                  <w:pPr>
                    <w:pStyle w:val="221"/>
                    <w:rPr>
                      <w:color w:val="000000" w:themeColor="text1"/>
                      <w14:textFill>
                        <w14:solidFill>
                          <w14:schemeClr w14:val="tx1"/>
                        </w14:solidFill>
                      </w14:textFill>
                    </w:rPr>
                  </w:pPr>
                  <w:r>
                    <w:rPr>
                      <w:color w:val="000000" w:themeColor="text1"/>
                      <w14:textFill>
                        <w14:solidFill>
                          <w14:schemeClr w14:val="tx1"/>
                        </w14:solidFill>
                      </w14:textFill>
                    </w:rPr>
                    <w:t>2</w:t>
                  </w:r>
                </w:p>
              </w:tc>
            </w:tr>
            <w:tr w14:paraId="4CCA2F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dxa"/>
                  <w:vAlign w:val="center"/>
                </w:tcPr>
                <w:p w14:paraId="4D910146">
                  <w:pPr>
                    <w:pStyle w:val="221"/>
                    <w:rPr>
                      <w:color w:val="000000" w:themeColor="text1"/>
                      <w14:textFill>
                        <w14:solidFill>
                          <w14:schemeClr w14:val="tx1"/>
                        </w14:solidFill>
                      </w14:textFill>
                    </w:rPr>
                  </w:pPr>
                  <w:r>
                    <w:rPr>
                      <w:color w:val="000000" w:themeColor="text1"/>
                      <w14:textFill>
                        <w14:solidFill>
                          <w14:schemeClr w14:val="tx1"/>
                        </w14:solidFill>
                      </w14:textFill>
                    </w:rPr>
                    <w:t>总计</w:t>
                  </w:r>
                </w:p>
              </w:tc>
              <w:tc>
                <w:tcPr>
                  <w:tcW w:w="1855" w:type="dxa"/>
                  <w:vAlign w:val="center"/>
                </w:tcPr>
                <w:p w14:paraId="5597C0FD">
                  <w:pPr>
                    <w:pStyle w:val="221"/>
                    <w:rPr>
                      <w:color w:val="000000" w:themeColor="text1"/>
                      <w14:textFill>
                        <w14:solidFill>
                          <w14:schemeClr w14:val="tx1"/>
                        </w14:solidFill>
                      </w14:textFill>
                    </w:rPr>
                  </w:pPr>
                  <w:r>
                    <w:rPr>
                      <w:color w:val="000000" w:themeColor="text1"/>
                      <w14:textFill>
                        <w14:solidFill>
                          <w14:schemeClr w14:val="tx1"/>
                        </w14:solidFill>
                      </w14:textFill>
                    </w:rPr>
                    <w:t>/</w:t>
                  </w:r>
                </w:p>
              </w:tc>
              <w:tc>
                <w:tcPr>
                  <w:tcW w:w="2497" w:type="dxa"/>
                  <w:vAlign w:val="center"/>
                </w:tcPr>
                <w:p w14:paraId="04B1D097">
                  <w:pPr>
                    <w:pStyle w:val="221"/>
                    <w:rPr>
                      <w:color w:val="000000" w:themeColor="text1"/>
                      <w14:textFill>
                        <w14:solidFill>
                          <w14:schemeClr w14:val="tx1"/>
                        </w14:solidFill>
                      </w14:textFill>
                    </w:rPr>
                  </w:pPr>
                  <w:r>
                    <w:rPr>
                      <w:color w:val="000000" w:themeColor="text1"/>
                      <w14:textFill>
                        <w14:solidFill>
                          <w14:schemeClr w14:val="tx1"/>
                        </w14:solidFill>
                      </w14:textFill>
                    </w:rPr>
                    <w:t>/</w:t>
                  </w:r>
                </w:p>
              </w:tc>
              <w:tc>
                <w:tcPr>
                  <w:tcW w:w="1099" w:type="dxa"/>
                  <w:vAlign w:val="center"/>
                </w:tcPr>
                <w:p w14:paraId="35565478">
                  <w:pPr>
                    <w:pStyle w:val="221"/>
                    <w:rPr>
                      <w:color w:val="000000" w:themeColor="text1"/>
                      <w14:textFill>
                        <w14:solidFill>
                          <w14:schemeClr w14:val="tx1"/>
                        </w14:solidFill>
                      </w14:textFill>
                    </w:rPr>
                  </w:pPr>
                  <w:r>
                    <w:rPr>
                      <w:color w:val="000000" w:themeColor="text1"/>
                      <w14:textFill>
                        <w14:solidFill>
                          <w14:schemeClr w14:val="tx1"/>
                        </w14:solidFill>
                      </w14:textFill>
                    </w:rPr>
                    <w:t>/</w:t>
                  </w:r>
                </w:p>
              </w:tc>
              <w:tc>
                <w:tcPr>
                  <w:tcW w:w="1170" w:type="dxa"/>
                  <w:vAlign w:val="center"/>
                </w:tcPr>
                <w:p w14:paraId="17E21A9C">
                  <w:pPr>
                    <w:pStyle w:val="221"/>
                    <w:rPr>
                      <w:color w:val="000000" w:themeColor="text1"/>
                      <w14:textFill>
                        <w14:solidFill>
                          <w14:schemeClr w14:val="tx1"/>
                        </w14:solidFill>
                      </w14:textFill>
                    </w:rPr>
                  </w:pPr>
                  <w:r>
                    <w:rPr>
                      <w:color w:val="000000" w:themeColor="text1"/>
                      <w14:textFill>
                        <w14:solidFill>
                          <w14:schemeClr w14:val="tx1"/>
                        </w14:solidFill>
                      </w14:textFill>
                    </w:rPr>
                    <w:t>/</w:t>
                  </w:r>
                </w:p>
              </w:tc>
              <w:tc>
                <w:tcPr>
                  <w:tcW w:w="1201" w:type="dxa"/>
                  <w:vAlign w:val="center"/>
                </w:tcPr>
                <w:p w14:paraId="7FC507C5">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r>
          </w:tbl>
          <w:p w14:paraId="58DAC650">
            <w:pPr>
              <w:pStyle w:val="171"/>
              <w:widowControl w:val="0"/>
              <w:topLinePunct/>
              <w:spacing w:after="0"/>
              <w:ind w:left="480" w:leftChars="200" w:firstLine="0" w:firstLineChars="0"/>
              <w:rPr>
                <w:rFonts w:ascii="Times New Roman" w:hAnsi="Times New Roman" w:eastAsia="宋体" w:cs="Times New Roman"/>
                <w:color w:val="000000" w:themeColor="text1"/>
                <w:szCs w:val="24"/>
                <w14:textFill>
                  <w14:solidFill>
                    <w14:schemeClr w14:val="tx1"/>
                  </w14:solidFill>
                </w14:textFill>
              </w:rPr>
            </w:pPr>
            <w:r>
              <w:rPr>
                <w:rFonts w:hint="eastAsia" w:ascii="Times New Roman" w:hAnsi="Times New Roman" w:eastAsia="宋体" w:cs="Times New Roman"/>
                <w:color w:val="000000" w:themeColor="text1"/>
                <w:szCs w:val="24"/>
                <w14:textFill>
                  <w14:solidFill>
                    <w14:schemeClr w14:val="tx1"/>
                  </w14:solidFill>
                </w14:textFill>
              </w:rPr>
              <w:cr/>
            </w:r>
          </w:p>
          <w:p w14:paraId="4EA8F2A5">
            <w:pPr>
              <w:pStyle w:val="171"/>
              <w:widowControl w:val="0"/>
              <w:topLinePunct/>
              <w:spacing w:after="0"/>
              <w:ind w:firstLine="480"/>
              <w:rPr>
                <w:rFonts w:ascii="Times New Roman" w:hAnsi="Times New Roman" w:eastAsia="宋体" w:cs="Times New Roman"/>
                <w:color w:val="000000" w:themeColor="text1"/>
                <w:szCs w:val="24"/>
                <w14:textFill>
                  <w14:solidFill>
                    <w14:schemeClr w14:val="tx1"/>
                  </w14:solidFill>
                </w14:textFill>
              </w:rPr>
            </w:pPr>
          </w:p>
          <w:p w14:paraId="76FC91DC">
            <w:pPr>
              <w:pStyle w:val="171"/>
              <w:widowControl w:val="0"/>
              <w:topLinePunct/>
              <w:spacing w:after="0"/>
              <w:ind w:firstLine="480"/>
              <w:rPr>
                <w:rFonts w:ascii="Times New Roman" w:hAnsi="Times New Roman" w:eastAsia="宋体" w:cs="Times New Roman"/>
                <w:color w:val="000000" w:themeColor="text1"/>
                <w:szCs w:val="24"/>
                <w14:textFill>
                  <w14:solidFill>
                    <w14:schemeClr w14:val="tx1"/>
                  </w14:solidFill>
                </w14:textFill>
              </w:rPr>
            </w:pPr>
          </w:p>
          <w:p w14:paraId="35E056FD">
            <w:pPr>
              <w:pStyle w:val="171"/>
              <w:widowControl w:val="0"/>
              <w:topLinePunct/>
              <w:spacing w:after="0"/>
              <w:ind w:firstLine="480"/>
              <w:rPr>
                <w:rFonts w:ascii="Times New Roman" w:hAnsi="Times New Roman" w:eastAsia="宋体" w:cs="Times New Roman"/>
                <w:color w:val="000000" w:themeColor="text1"/>
                <w:szCs w:val="24"/>
                <w14:textFill>
                  <w14:solidFill>
                    <w14:schemeClr w14:val="tx1"/>
                  </w14:solidFill>
                </w14:textFill>
              </w:rPr>
            </w:pPr>
          </w:p>
          <w:p w14:paraId="3D37F525">
            <w:pPr>
              <w:pStyle w:val="171"/>
              <w:widowControl w:val="0"/>
              <w:topLinePunct/>
              <w:spacing w:after="0"/>
              <w:ind w:firstLine="480"/>
              <w:rPr>
                <w:rFonts w:ascii="Times New Roman" w:hAnsi="Times New Roman" w:eastAsia="宋体" w:cs="Times New Roman"/>
                <w:color w:val="000000" w:themeColor="text1"/>
                <w:szCs w:val="24"/>
                <w14:textFill>
                  <w14:solidFill>
                    <w14:schemeClr w14:val="tx1"/>
                  </w14:solidFill>
                </w14:textFill>
              </w:rPr>
            </w:pPr>
          </w:p>
          <w:p w14:paraId="646F7EDA">
            <w:pPr>
              <w:pStyle w:val="171"/>
              <w:widowControl w:val="0"/>
              <w:topLinePunct/>
              <w:spacing w:after="0"/>
              <w:ind w:firstLine="0" w:firstLineChars="0"/>
              <w:rPr>
                <w:rFonts w:ascii="Times New Roman" w:hAnsi="Times New Roman" w:eastAsia="宋体" w:cs="Times New Roman"/>
                <w:color w:val="000000" w:themeColor="text1"/>
                <w:szCs w:val="24"/>
                <w14:textFill>
                  <w14:solidFill>
                    <w14:schemeClr w14:val="tx1"/>
                  </w14:solidFill>
                </w14:textFill>
              </w:rPr>
            </w:pPr>
          </w:p>
        </w:tc>
      </w:tr>
    </w:tbl>
    <w:p w14:paraId="0A2FA8C7">
      <w:pPr>
        <w:widowControl w:val="0"/>
        <w:topLinePunct/>
        <w:rPr>
          <w:rFonts w:ascii="Times New Roman" w:hAnsi="Times New Roman" w:eastAsia="宋体" w:cs="Times New Roman"/>
          <w:color w:val="000000" w:themeColor="text1"/>
          <w14:textFill>
            <w14:solidFill>
              <w14:schemeClr w14:val="tx1"/>
            </w14:solidFill>
          </w14:textFill>
        </w:rPr>
        <w:sectPr>
          <w:pgSz w:w="11907" w:h="16840"/>
          <w:pgMar w:top="1417" w:right="1417" w:bottom="1417" w:left="1417" w:header="992" w:footer="992" w:gutter="0"/>
          <w:cols w:space="720" w:num="1"/>
          <w:docGrid w:linePitch="312" w:charSpace="0"/>
        </w:sectPr>
      </w:pPr>
    </w:p>
    <w:p w14:paraId="24A429EC">
      <w:pPr>
        <w:pStyle w:val="29"/>
        <w:widowControl w:val="0"/>
        <w:topLinePunct/>
        <w:spacing w:before="0" w:beforeAutospacing="0" w:after="0" w:afterAutospacing="0" w:line="360" w:lineRule="auto"/>
        <w:jc w:val="center"/>
        <w:outlineLvl w:val="0"/>
        <w:rPr>
          <w:rFonts w:ascii="Times New Roman" w:hAnsi="Times New Roman" w:eastAsia="宋体" w:cs="Times New Roman"/>
          <w:b/>
          <w:bCs/>
          <w:snapToGrid w:val="0"/>
          <w:color w:val="000000" w:themeColor="text1"/>
          <w:sz w:val="32"/>
          <w:szCs w:val="32"/>
          <w14:textFill>
            <w14:solidFill>
              <w14:schemeClr w14:val="tx1"/>
            </w14:solidFill>
          </w14:textFill>
        </w:rPr>
      </w:pPr>
      <w:bookmarkStart w:id="18" w:name="_Toc4977"/>
      <w:bookmarkStart w:id="19" w:name="_Toc1441"/>
      <w:r>
        <w:rPr>
          <w:rFonts w:ascii="Times New Roman" w:hAnsi="Times New Roman" w:eastAsia="宋体" w:cs="Times New Roman"/>
          <w:b/>
          <w:bCs/>
          <w:snapToGrid w:val="0"/>
          <w:color w:val="000000" w:themeColor="text1"/>
          <w:sz w:val="32"/>
          <w:szCs w:val="32"/>
          <w14:textFill>
            <w14:solidFill>
              <w14:schemeClr w14:val="tx1"/>
            </w14:solidFill>
          </w14:textFill>
        </w:rPr>
        <w:t>五、</w:t>
      </w:r>
      <w:bookmarkStart w:id="20" w:name="_Hlk54167917"/>
      <w:r>
        <w:rPr>
          <w:rFonts w:ascii="Times New Roman" w:hAnsi="Times New Roman" w:eastAsia="宋体" w:cs="Times New Roman"/>
          <w:b/>
          <w:bCs/>
          <w:snapToGrid w:val="0"/>
          <w:color w:val="000000" w:themeColor="text1"/>
          <w:sz w:val="32"/>
          <w:szCs w:val="32"/>
          <w14:textFill>
            <w14:solidFill>
              <w14:schemeClr w14:val="tx1"/>
            </w14:solidFill>
          </w14:textFill>
        </w:rPr>
        <w:t>环境保护措施监督检查清单</w:t>
      </w:r>
      <w:bookmarkEnd w:id="18"/>
      <w:bookmarkEnd w:id="19"/>
      <w:bookmarkEnd w:id="20"/>
    </w:p>
    <w:tbl>
      <w:tblPr>
        <w:tblStyle w:val="37"/>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9"/>
        <w:gridCol w:w="612"/>
        <w:gridCol w:w="774"/>
        <w:gridCol w:w="1600"/>
        <w:gridCol w:w="1641"/>
        <w:gridCol w:w="81"/>
        <w:gridCol w:w="1977"/>
        <w:gridCol w:w="1665"/>
      </w:tblGrid>
      <w:tr w14:paraId="5E7B4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9" w:type="dxa"/>
            <w:tcBorders>
              <w:tl2br w:val="single" w:color="auto" w:sz="4" w:space="0"/>
            </w:tcBorders>
            <w:vAlign w:val="center"/>
          </w:tcPr>
          <w:p w14:paraId="2EFD4A68">
            <w:pPr>
              <w:widowControl w:val="0"/>
              <w:topLinePunct/>
              <w:adjustRightInd w:val="0"/>
              <w:snapToGrid w:val="0"/>
              <w:spacing w:after="0" w:line="240" w:lineRule="auto"/>
              <w:jc w:val="right"/>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内容</w:t>
            </w:r>
          </w:p>
          <w:p w14:paraId="663082E3">
            <w:pPr>
              <w:widowControl w:val="0"/>
              <w:topLinePunct/>
              <w:adjustRightInd w:val="0"/>
              <w:snapToGrid w:val="0"/>
              <w:spacing w:after="0" w:line="240" w:lineRule="auto"/>
              <w:jc w:val="center"/>
              <w:rPr>
                <w:rFonts w:ascii="Times New Roman" w:hAnsi="Times New Roman" w:eastAsia="宋体" w:cs="Times New Roman"/>
                <w:b/>
                <w:color w:val="000000" w:themeColor="text1"/>
                <w:sz w:val="21"/>
                <w:szCs w:val="21"/>
                <w14:textFill>
                  <w14:solidFill>
                    <w14:schemeClr w14:val="tx1"/>
                  </w14:solidFill>
                </w14:textFill>
              </w:rPr>
            </w:pPr>
          </w:p>
          <w:p w14:paraId="5826D040">
            <w:pPr>
              <w:widowControl w:val="0"/>
              <w:topLinePunct/>
              <w:adjustRightInd w:val="0"/>
              <w:snapToGrid w:val="0"/>
              <w:spacing w:after="0" w:line="240" w:lineRule="auto"/>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要素</w:t>
            </w:r>
          </w:p>
        </w:tc>
        <w:tc>
          <w:tcPr>
            <w:tcW w:w="1386" w:type="dxa"/>
            <w:gridSpan w:val="2"/>
            <w:vAlign w:val="center"/>
          </w:tcPr>
          <w:p w14:paraId="4C02498D">
            <w:pPr>
              <w:pStyle w:val="222"/>
              <w:spacing w:before="120"/>
              <w:rPr>
                <w:color w:val="000000" w:themeColor="text1"/>
                <w14:textFill>
                  <w14:solidFill>
                    <w14:schemeClr w14:val="tx1"/>
                  </w14:solidFill>
                </w14:textFill>
              </w:rPr>
            </w:pPr>
            <w:r>
              <w:rPr>
                <w:color w:val="000000" w:themeColor="text1"/>
                <w14:textFill>
                  <w14:solidFill>
                    <w14:schemeClr w14:val="tx1"/>
                  </w14:solidFill>
                </w14:textFill>
              </w:rPr>
              <w:t>排放口（编号、名称）/污染源</w:t>
            </w:r>
          </w:p>
        </w:tc>
        <w:tc>
          <w:tcPr>
            <w:tcW w:w="1600" w:type="dxa"/>
            <w:vAlign w:val="center"/>
          </w:tcPr>
          <w:p w14:paraId="5E44599C">
            <w:pPr>
              <w:widowControl w:val="0"/>
              <w:topLinePunct/>
              <w:adjustRightInd w:val="0"/>
              <w:snapToGrid w:val="0"/>
              <w:spacing w:after="0" w:line="240" w:lineRule="auto"/>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污染物</w:t>
            </w:r>
          </w:p>
          <w:p w14:paraId="52A0E394">
            <w:pPr>
              <w:widowControl w:val="0"/>
              <w:topLinePunct/>
              <w:adjustRightInd w:val="0"/>
              <w:snapToGrid w:val="0"/>
              <w:spacing w:after="0" w:line="240" w:lineRule="auto"/>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项目</w:t>
            </w:r>
          </w:p>
        </w:tc>
        <w:tc>
          <w:tcPr>
            <w:tcW w:w="1641" w:type="dxa"/>
            <w:vAlign w:val="center"/>
          </w:tcPr>
          <w:p w14:paraId="6B36AC52">
            <w:pPr>
              <w:widowControl w:val="0"/>
              <w:topLinePunct/>
              <w:adjustRightInd w:val="0"/>
              <w:snapToGrid w:val="0"/>
              <w:spacing w:after="0" w:line="240" w:lineRule="auto"/>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环境保护措施</w:t>
            </w:r>
          </w:p>
        </w:tc>
        <w:tc>
          <w:tcPr>
            <w:tcW w:w="2058" w:type="dxa"/>
            <w:gridSpan w:val="2"/>
            <w:vAlign w:val="center"/>
          </w:tcPr>
          <w:p w14:paraId="0B0C19EB">
            <w:pPr>
              <w:widowControl w:val="0"/>
              <w:topLinePunct/>
              <w:adjustRightInd w:val="0"/>
              <w:snapToGrid w:val="0"/>
              <w:spacing w:after="0" w:line="240" w:lineRule="auto"/>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执行</w:t>
            </w:r>
            <w:r>
              <w:rPr>
                <w:rFonts w:ascii="Times New Roman" w:hAnsi="Times New Roman" w:eastAsia="宋体" w:cs="Times New Roman"/>
                <w:b/>
                <w:color w:val="000000" w:themeColor="text1"/>
                <w:sz w:val="21"/>
                <w:szCs w:val="21"/>
                <w14:textFill>
                  <w14:solidFill>
                    <w14:schemeClr w14:val="tx1"/>
                  </w14:solidFill>
                </w14:textFill>
              </w:rPr>
              <w:t>标准</w:t>
            </w:r>
          </w:p>
        </w:tc>
        <w:tc>
          <w:tcPr>
            <w:tcW w:w="1665" w:type="dxa"/>
            <w:vAlign w:val="center"/>
          </w:tcPr>
          <w:p w14:paraId="36407993">
            <w:pPr>
              <w:widowControl w:val="0"/>
              <w:topLinePunct/>
              <w:adjustRightInd w:val="0"/>
              <w:snapToGrid w:val="0"/>
              <w:spacing w:after="0" w:line="240" w:lineRule="auto"/>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排放限值（</w:t>
            </w:r>
            <w:r>
              <w:rPr>
                <w:rFonts w:ascii="Times New Roman" w:hAnsi="Times New Roman" w:eastAsia="宋体" w:cs="Times New Roman"/>
                <w:b/>
                <w:bCs/>
                <w:color w:val="000000" w:themeColor="text1"/>
                <w:sz w:val="21"/>
                <w14:textFill>
                  <w14:solidFill>
                    <w14:schemeClr w14:val="tx1"/>
                  </w14:solidFill>
                </w14:textFill>
              </w:rPr>
              <w:t>mg/m</w:t>
            </w:r>
            <w:r>
              <w:rPr>
                <w:rFonts w:ascii="Times New Roman" w:hAnsi="Times New Roman" w:eastAsia="宋体" w:cs="Times New Roman"/>
                <w:b/>
                <w:bCs/>
                <w:color w:val="000000" w:themeColor="text1"/>
                <w:sz w:val="21"/>
                <w:vertAlign w:val="superscript"/>
                <w14:textFill>
                  <w14:solidFill>
                    <w14:schemeClr w14:val="tx1"/>
                  </w14:solidFill>
                </w14:textFill>
              </w:rPr>
              <w:t>3</w:t>
            </w:r>
            <w:r>
              <w:rPr>
                <w:rFonts w:ascii="Times New Roman" w:hAnsi="Times New Roman" w:eastAsia="宋体" w:cs="Times New Roman"/>
                <w:b/>
                <w:color w:val="000000" w:themeColor="text1"/>
                <w:sz w:val="21"/>
                <w:szCs w:val="21"/>
                <w14:textFill>
                  <w14:solidFill>
                    <w14:schemeClr w14:val="tx1"/>
                  </w14:solidFill>
                </w14:textFill>
              </w:rPr>
              <w:t>）</w:t>
            </w:r>
          </w:p>
        </w:tc>
      </w:tr>
      <w:tr w14:paraId="784CD8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939" w:type="dxa"/>
            <w:vMerge w:val="restart"/>
            <w:vAlign w:val="center"/>
          </w:tcPr>
          <w:p w14:paraId="57DF3097">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大气环境</w:t>
            </w:r>
          </w:p>
        </w:tc>
        <w:tc>
          <w:tcPr>
            <w:tcW w:w="612" w:type="dxa"/>
            <w:vAlign w:val="center"/>
          </w:tcPr>
          <w:p w14:paraId="5545F570">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DA00</w:t>
            </w:r>
            <w:r>
              <w:rPr>
                <w:rFonts w:hint="eastAsia" w:ascii="Times New Roman" w:hAnsi="Times New Roman" w:eastAsia="宋体" w:cs="Times New Roman"/>
                <w:color w:val="000000" w:themeColor="text1"/>
                <w:sz w:val="21"/>
                <w:szCs w:val="21"/>
                <w14:textFill>
                  <w14:solidFill>
                    <w14:schemeClr w14:val="tx1"/>
                  </w14:solidFill>
                </w14:textFill>
              </w:rPr>
              <w:t>7</w:t>
            </w:r>
          </w:p>
        </w:tc>
        <w:tc>
          <w:tcPr>
            <w:tcW w:w="774" w:type="dxa"/>
            <w:vAlign w:val="center"/>
          </w:tcPr>
          <w:p w14:paraId="7CB3093C">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14:textFill>
                  <w14:solidFill>
                    <w14:schemeClr w14:val="tx1"/>
                  </w14:solidFill>
                </w14:textFill>
              </w:rPr>
              <w:t>喷砂工序</w:t>
            </w:r>
          </w:p>
        </w:tc>
        <w:tc>
          <w:tcPr>
            <w:tcW w:w="1600" w:type="dxa"/>
            <w:vAlign w:val="center"/>
          </w:tcPr>
          <w:p w14:paraId="7CD9E445">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641" w:type="dxa"/>
            <w:vAlign w:val="center"/>
          </w:tcPr>
          <w:p w14:paraId="31FC3D52">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负压收集+滤筒除尘器+15米高排气筒（DA007）排放</w:t>
            </w:r>
          </w:p>
        </w:tc>
        <w:tc>
          <w:tcPr>
            <w:tcW w:w="2058" w:type="dxa"/>
            <w:gridSpan w:val="2"/>
            <w:vAlign w:val="center"/>
          </w:tcPr>
          <w:p w14:paraId="6041D70C">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《大气污染物综合排放标准》(GB16297-1996)表2中二级排放标准要求</w:t>
            </w:r>
          </w:p>
        </w:tc>
        <w:tc>
          <w:tcPr>
            <w:tcW w:w="1665" w:type="dxa"/>
            <w:vAlign w:val="center"/>
          </w:tcPr>
          <w:p w14:paraId="61A5CEDE">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120</w:t>
            </w:r>
          </w:p>
        </w:tc>
      </w:tr>
      <w:tr w14:paraId="63100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9" w:type="dxa"/>
            <w:vMerge w:val="continue"/>
            <w:vAlign w:val="center"/>
          </w:tcPr>
          <w:p w14:paraId="1948D831">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p>
        </w:tc>
        <w:tc>
          <w:tcPr>
            <w:tcW w:w="1386" w:type="dxa"/>
            <w:gridSpan w:val="2"/>
            <w:vAlign w:val="center"/>
          </w:tcPr>
          <w:p w14:paraId="3732581E">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厂界</w:t>
            </w:r>
          </w:p>
        </w:tc>
        <w:tc>
          <w:tcPr>
            <w:tcW w:w="1600" w:type="dxa"/>
            <w:vAlign w:val="center"/>
          </w:tcPr>
          <w:p w14:paraId="72D34AB3">
            <w:pPr>
              <w:pStyle w:val="221"/>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641" w:type="dxa"/>
            <w:vAlign w:val="center"/>
          </w:tcPr>
          <w:p w14:paraId="51B21C37">
            <w:pPr>
              <w:pStyle w:val="221"/>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加强负压集气设施收集效率</w:t>
            </w:r>
          </w:p>
        </w:tc>
        <w:tc>
          <w:tcPr>
            <w:tcW w:w="2058" w:type="dxa"/>
            <w:gridSpan w:val="2"/>
            <w:shd w:val="clear" w:color="auto" w:fill="auto"/>
            <w:vAlign w:val="center"/>
          </w:tcPr>
          <w:p w14:paraId="18F3E22B">
            <w:pPr>
              <w:pStyle w:val="221"/>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《大气污染物综合排放标准》(GB16297-1996)表2中二级排放标准要求</w:t>
            </w:r>
          </w:p>
        </w:tc>
        <w:tc>
          <w:tcPr>
            <w:tcW w:w="1665" w:type="dxa"/>
            <w:vAlign w:val="center"/>
          </w:tcPr>
          <w:p w14:paraId="2B3B5F57">
            <w:pPr>
              <w:pStyle w:val="221"/>
              <w:rPr>
                <w:bCs/>
                <w:color w:val="000000" w:themeColor="text1"/>
                <w14:textFill>
                  <w14:solidFill>
                    <w14:schemeClr w14:val="tx1"/>
                  </w14:solidFill>
                </w14:textFill>
              </w:rPr>
            </w:pPr>
            <w:r>
              <w:rPr>
                <w:bCs/>
                <w:color w:val="000000" w:themeColor="text1"/>
                <w14:textFill>
                  <w14:solidFill>
                    <w14:schemeClr w14:val="tx1"/>
                  </w14:solidFill>
                </w14:textFill>
              </w:rPr>
              <w:t>1.0</w:t>
            </w:r>
          </w:p>
        </w:tc>
      </w:tr>
      <w:tr w14:paraId="605D1A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9" w:type="dxa"/>
            <w:vAlign w:val="center"/>
          </w:tcPr>
          <w:p w14:paraId="0A680522">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声环境</w:t>
            </w:r>
          </w:p>
        </w:tc>
        <w:tc>
          <w:tcPr>
            <w:tcW w:w="1386" w:type="dxa"/>
            <w:gridSpan w:val="2"/>
            <w:vAlign w:val="center"/>
          </w:tcPr>
          <w:p w14:paraId="0CB73F95">
            <w:pPr>
              <w:pStyle w:val="221"/>
            </w:pPr>
            <w:r>
              <w:t>车间设备</w:t>
            </w:r>
          </w:p>
        </w:tc>
        <w:tc>
          <w:tcPr>
            <w:tcW w:w="1600" w:type="dxa"/>
            <w:vAlign w:val="center"/>
          </w:tcPr>
          <w:p w14:paraId="00B98320">
            <w:pPr>
              <w:pStyle w:val="221"/>
            </w:pPr>
            <w:r>
              <w:t>噪声</w:t>
            </w:r>
          </w:p>
        </w:tc>
        <w:tc>
          <w:tcPr>
            <w:tcW w:w="1722" w:type="dxa"/>
            <w:gridSpan w:val="2"/>
            <w:vAlign w:val="center"/>
          </w:tcPr>
          <w:p w14:paraId="31B78E3F">
            <w:pPr>
              <w:pStyle w:val="221"/>
            </w:pPr>
            <w:r>
              <w:t>基础减振、厂房隔声</w:t>
            </w:r>
          </w:p>
        </w:tc>
        <w:tc>
          <w:tcPr>
            <w:tcW w:w="1977" w:type="dxa"/>
            <w:vAlign w:val="center"/>
          </w:tcPr>
          <w:p w14:paraId="2944306C">
            <w:pPr>
              <w:pStyle w:val="221"/>
            </w:pPr>
            <w:r>
              <w:t>《工业企业厂界环境噪声排放标准》（GB 12348-2008）3类标准</w:t>
            </w:r>
            <w:r>
              <w:rPr>
                <w:rFonts w:hint="eastAsia"/>
              </w:rPr>
              <w:t>、其中西侧</w:t>
            </w:r>
            <w:r>
              <w:t>执行</w:t>
            </w:r>
            <w:r>
              <w:rPr>
                <w:rFonts w:hint="eastAsia"/>
              </w:rPr>
              <w:t>4a</w:t>
            </w:r>
            <w:r>
              <w:t>类标准</w:t>
            </w:r>
          </w:p>
        </w:tc>
        <w:tc>
          <w:tcPr>
            <w:tcW w:w="1665" w:type="dxa"/>
            <w:vAlign w:val="center"/>
          </w:tcPr>
          <w:p w14:paraId="629BF5EF">
            <w:pPr>
              <w:pStyle w:val="221"/>
            </w:pPr>
            <w:r>
              <w:t>昼间≤65dB（A）</w:t>
            </w:r>
            <w:r>
              <w:rPr>
                <w:rFonts w:hint="eastAsia"/>
              </w:rPr>
              <w:t>（其中西侧</w:t>
            </w:r>
            <w:r>
              <w:t>昼间≤</w:t>
            </w:r>
            <w:r>
              <w:rPr>
                <w:rFonts w:hint="eastAsia"/>
              </w:rPr>
              <w:t>70</w:t>
            </w:r>
            <w:r>
              <w:t>dB（A）</w:t>
            </w:r>
            <w:r>
              <w:rPr>
                <w:rFonts w:hint="eastAsia"/>
              </w:rPr>
              <w:t>）</w:t>
            </w:r>
          </w:p>
        </w:tc>
      </w:tr>
      <w:tr w14:paraId="649FF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9" w:type="dxa"/>
            <w:vAlign w:val="center"/>
          </w:tcPr>
          <w:p w14:paraId="4581DD56">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固体</w:t>
            </w:r>
          </w:p>
          <w:p w14:paraId="22DBC5DD">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废物</w:t>
            </w:r>
          </w:p>
        </w:tc>
        <w:tc>
          <w:tcPr>
            <w:tcW w:w="8350" w:type="dxa"/>
            <w:gridSpan w:val="7"/>
            <w:vAlign w:val="center"/>
          </w:tcPr>
          <w:p w14:paraId="28DD42BE">
            <w:pPr>
              <w:pStyle w:val="145"/>
              <w:widowControl w:val="0"/>
              <w:topLinePunct/>
              <w:spacing w:after="0" w:line="240" w:lineRule="auto"/>
              <w:ind w:firstLine="420"/>
              <w:jc w:val="left"/>
              <w:rPr>
                <w:rFonts w:ascii="Times New Roman" w:hAnsi="Times New Roman"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fldChar w:fldCharType="begin"/>
            </w:r>
            <w:r>
              <w:rPr>
                <w:rFonts w:ascii="Times New Roman" w:hAnsi="Times New Roman" w:eastAsia="宋体" w:cs="Times New Roman"/>
                <w:color w:val="000000" w:themeColor="text1"/>
                <w:sz w:val="21"/>
                <w14:textFill>
                  <w14:solidFill>
                    <w14:schemeClr w14:val="tx1"/>
                  </w14:solidFill>
                </w14:textFill>
              </w:rPr>
              <w:instrText xml:space="preserve"> </w:instrText>
            </w:r>
            <w:r>
              <w:rPr>
                <w:rFonts w:hint="eastAsia" w:ascii="Times New Roman" w:hAnsi="Times New Roman" w:eastAsia="宋体" w:cs="Times New Roman"/>
                <w:color w:val="000000" w:themeColor="text1"/>
                <w:sz w:val="21"/>
                <w14:textFill>
                  <w14:solidFill>
                    <w14:schemeClr w14:val="tx1"/>
                  </w14:solidFill>
                </w14:textFill>
              </w:rPr>
              <w:instrText xml:space="preserve">= 1 \* GB3</w:instrText>
            </w:r>
            <w:r>
              <w:rPr>
                <w:rFonts w:ascii="Times New Roman" w:hAnsi="Times New Roman" w:eastAsia="宋体" w:cs="Times New Roman"/>
                <w:color w:val="000000" w:themeColor="text1"/>
                <w:sz w:val="21"/>
                <w14:textFill>
                  <w14:solidFill>
                    <w14:schemeClr w14:val="tx1"/>
                  </w14:solidFill>
                </w14:textFill>
              </w:rPr>
              <w:instrText xml:space="preserve"> </w:instrText>
            </w:r>
            <w:r>
              <w:rPr>
                <w:rFonts w:ascii="Times New Roman" w:hAnsi="Times New Roman" w:eastAsia="宋体" w:cs="Times New Roman"/>
                <w:color w:val="000000" w:themeColor="text1"/>
                <w:sz w:val="21"/>
                <w14:textFill>
                  <w14:solidFill>
                    <w14:schemeClr w14:val="tx1"/>
                  </w14:solidFill>
                </w14:textFill>
              </w:rPr>
              <w:fldChar w:fldCharType="separate"/>
            </w:r>
            <w:r>
              <w:rPr>
                <w:rFonts w:hint="eastAsia" w:ascii="Times New Roman" w:hAnsi="Times New Roman" w:eastAsia="宋体" w:cs="Times New Roman"/>
                <w:color w:val="000000" w:themeColor="text1"/>
                <w:sz w:val="21"/>
                <w14:textFill>
                  <w14:solidFill>
                    <w14:schemeClr w14:val="tx1"/>
                  </w14:solidFill>
                </w14:textFill>
              </w:rPr>
              <w:t>①</w:t>
            </w:r>
            <w:r>
              <w:rPr>
                <w:rFonts w:ascii="Times New Roman" w:hAnsi="Times New Roman" w:eastAsia="宋体" w:cs="Times New Roman"/>
                <w:color w:val="000000" w:themeColor="text1"/>
                <w:sz w:val="21"/>
                <w14:textFill>
                  <w14:solidFill>
                    <w14:schemeClr w14:val="tx1"/>
                  </w14:solidFill>
                </w14:textFill>
              </w:rPr>
              <w:fldChar w:fldCharType="end"/>
            </w:r>
            <w:r>
              <w:rPr>
                <w:rFonts w:hint="eastAsia" w:ascii="Times New Roman" w:hAnsi="Times New Roman" w:eastAsia="宋体" w:cs="Times New Roman"/>
                <w:color w:val="000000" w:themeColor="text1"/>
                <w:sz w:val="21"/>
                <w14:textFill>
                  <w14:solidFill>
                    <w14:schemeClr w14:val="tx1"/>
                  </w14:solidFill>
                </w14:textFill>
              </w:rPr>
              <w:t>废钢丸、废滤筒、收集的金属粉尘、废包装袋、不合格品</w:t>
            </w:r>
            <w:r>
              <w:rPr>
                <w:rFonts w:ascii="Times New Roman" w:hAnsi="Times New Roman" w:eastAsia="宋体" w:cs="Times New Roman"/>
                <w:color w:val="000000" w:themeColor="text1"/>
                <w:sz w:val="21"/>
                <w14:textFill>
                  <w14:solidFill>
                    <w14:schemeClr w14:val="tx1"/>
                  </w14:solidFill>
                </w14:textFill>
              </w:rPr>
              <w:t>属于一般固废，集中收集于一般固废间后外售</w:t>
            </w:r>
            <w:r>
              <w:rPr>
                <w:rFonts w:hint="eastAsia" w:ascii="Times New Roman" w:hAnsi="Times New Roman" w:eastAsia="宋体" w:cs="Times New Roman"/>
                <w:color w:val="000000" w:themeColor="text1"/>
                <w:sz w:val="21"/>
                <w14:textFill>
                  <w14:solidFill>
                    <w14:schemeClr w14:val="tx1"/>
                  </w14:solidFill>
                </w14:textFill>
              </w:rPr>
              <w:t>物资回收公司</w:t>
            </w:r>
            <w:r>
              <w:rPr>
                <w:rFonts w:ascii="Times New Roman" w:hAnsi="Times New Roman" w:eastAsia="宋体" w:cs="Times New Roman"/>
                <w:color w:val="000000" w:themeColor="text1"/>
                <w:sz w:val="21"/>
                <w14:textFill>
                  <w14:solidFill>
                    <w14:schemeClr w14:val="tx1"/>
                  </w14:solidFill>
                </w14:textFill>
              </w:rPr>
              <w:t>，一般固废间应满足《一般工业固体废物贮存和填埋污染控制标准》（GB18599-2020）的相关要求；</w:t>
            </w:r>
          </w:p>
        </w:tc>
      </w:tr>
      <w:tr w14:paraId="1AF7E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9" w:type="dxa"/>
            <w:vAlign w:val="center"/>
          </w:tcPr>
          <w:p w14:paraId="7AF258C8">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土壤及地下水污染防治措施</w:t>
            </w:r>
          </w:p>
        </w:tc>
        <w:tc>
          <w:tcPr>
            <w:tcW w:w="8350" w:type="dxa"/>
            <w:gridSpan w:val="7"/>
            <w:vAlign w:val="center"/>
          </w:tcPr>
          <w:p w14:paraId="46DD2066">
            <w:pPr>
              <w:widowControl w:val="0"/>
              <w:topLinePunct/>
              <w:adjustRightInd w:val="0"/>
              <w:snapToGrid w:val="0"/>
              <w:spacing w:after="0" w:line="240" w:lineRule="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车间</w:t>
            </w:r>
            <w:r>
              <w:rPr>
                <w:rFonts w:ascii="Times New Roman" w:hAnsi="Times New Roman" w:eastAsia="宋体" w:cs="Times New Roman"/>
                <w:color w:val="000000" w:themeColor="text1"/>
                <w:sz w:val="21"/>
                <w:szCs w:val="21"/>
                <w14:textFill>
                  <w14:solidFill>
                    <w14:schemeClr w14:val="tx1"/>
                  </w14:solidFill>
                </w14:textFill>
              </w:rPr>
              <w:t>已全部进行地面硬化。</w:t>
            </w:r>
          </w:p>
        </w:tc>
      </w:tr>
      <w:tr w14:paraId="4EBD8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9" w:type="dxa"/>
            <w:vAlign w:val="center"/>
          </w:tcPr>
          <w:p w14:paraId="74D21FDB">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环境风险防范措施</w:t>
            </w:r>
          </w:p>
        </w:tc>
        <w:tc>
          <w:tcPr>
            <w:tcW w:w="8350" w:type="dxa"/>
            <w:gridSpan w:val="7"/>
            <w:vAlign w:val="center"/>
          </w:tcPr>
          <w:p w14:paraId="37CDFD7D">
            <w:pPr>
              <w:pStyle w:val="180"/>
              <w:widowControl w:val="0"/>
              <w:topLinePunct/>
              <w:spacing w:after="0" w:line="24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w:instrText>
            </w:r>
            <w:r>
              <w:rPr>
                <w:rFonts w:hint="eastAsia" w:ascii="Times New Roman" w:hAnsi="Times New Roman" w:eastAsia="宋体" w:cs="Times New Roman"/>
                <w:color w:val="000000" w:themeColor="text1"/>
                <w:sz w:val="21"/>
                <w:szCs w:val="21"/>
                <w14:textFill>
                  <w14:solidFill>
                    <w14:schemeClr w14:val="tx1"/>
                  </w14:solidFill>
                </w14:textFill>
              </w:rPr>
              <w:instrText xml:space="preserve">= 1 \* GB3</w:instrText>
            </w:r>
            <w:r>
              <w:rPr>
                <w:rFonts w:ascii="Times New Roman" w:hAnsi="Times New Roman" w:eastAsia="宋体" w:cs="Times New Roman"/>
                <w:color w:val="000000" w:themeColor="text1"/>
                <w:sz w:val="21"/>
                <w:szCs w:val="21"/>
                <w14:textFill>
                  <w14:solidFill>
                    <w14:schemeClr w14:val="tx1"/>
                  </w14:solidFill>
                </w14:textFill>
              </w:rPr>
              <w:instrText xml:space="preserve">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14:textFill>
                  <w14:solidFill>
                    <w14:schemeClr w14:val="tx1"/>
                  </w14:solidFill>
                </w14:textFill>
              </w:rPr>
              <w:t>①</w: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建立健全车间的各项安全管理制度，明确生产车间各岗位人员的责任制和奖惩制度。</w:t>
            </w:r>
          </w:p>
          <w:p w14:paraId="7A5B3E30">
            <w:pPr>
              <w:pStyle w:val="180"/>
              <w:widowControl w:val="0"/>
              <w:topLinePunct/>
              <w:spacing w:after="0" w:line="24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fldChar w:fldCharType="begin"/>
            </w:r>
            <w:r>
              <w:rPr>
                <w:rFonts w:ascii="Times New Roman" w:hAnsi="Times New Roman" w:eastAsia="宋体" w:cs="Times New Roman"/>
                <w:color w:val="000000" w:themeColor="text1"/>
                <w:sz w:val="21"/>
                <w:szCs w:val="21"/>
                <w14:textFill>
                  <w14:solidFill>
                    <w14:schemeClr w14:val="tx1"/>
                  </w14:solidFill>
                </w14:textFill>
              </w:rPr>
              <w:instrText xml:space="preserve"> </w:instrText>
            </w:r>
            <w:r>
              <w:rPr>
                <w:rFonts w:hint="eastAsia" w:ascii="Times New Roman" w:hAnsi="Times New Roman" w:eastAsia="宋体" w:cs="Times New Roman"/>
                <w:color w:val="000000" w:themeColor="text1"/>
                <w:sz w:val="21"/>
                <w:szCs w:val="21"/>
                <w14:textFill>
                  <w14:solidFill>
                    <w14:schemeClr w14:val="tx1"/>
                  </w14:solidFill>
                </w14:textFill>
              </w:rPr>
              <w:instrText xml:space="preserve">= 2 \* GB3</w:instrText>
            </w:r>
            <w:r>
              <w:rPr>
                <w:rFonts w:ascii="Times New Roman" w:hAnsi="Times New Roman" w:eastAsia="宋体" w:cs="Times New Roman"/>
                <w:color w:val="000000" w:themeColor="text1"/>
                <w:sz w:val="21"/>
                <w:szCs w:val="21"/>
                <w14:textFill>
                  <w14:solidFill>
                    <w14:schemeClr w14:val="tx1"/>
                  </w14:solidFill>
                </w14:textFill>
              </w:rPr>
              <w:instrText xml:space="preserve"> </w:instrText>
            </w:r>
            <w:r>
              <w:rPr>
                <w:rFonts w:ascii="Times New Roman" w:hAnsi="Times New Roman" w:eastAsia="宋体" w:cs="Times New Roman"/>
                <w:color w:val="000000" w:themeColor="text1"/>
                <w:sz w:val="21"/>
                <w:szCs w:val="21"/>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14:textFill>
                  <w14:solidFill>
                    <w14:schemeClr w14:val="tx1"/>
                  </w14:solidFill>
                </w14:textFill>
              </w:rPr>
              <w:t>②</w:t>
            </w:r>
            <w:r>
              <w:rPr>
                <w:rFonts w:ascii="Times New Roman" w:hAnsi="Times New Roman" w:eastAsia="宋体" w:cs="Times New Roman"/>
                <w:color w:val="000000" w:themeColor="text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在生产车间配备灭火器等火灾消防器材，配备电气防护用品和防火、防毒的劳保用品，并有专人管理和维护。</w:t>
            </w:r>
          </w:p>
        </w:tc>
      </w:tr>
      <w:tr w14:paraId="77400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39" w:type="dxa"/>
            <w:vAlign w:val="center"/>
          </w:tcPr>
          <w:p w14:paraId="69249C33">
            <w:pPr>
              <w:widowControl w:val="0"/>
              <w:topLinePunct/>
              <w:adjustRightInd w:val="0"/>
              <w:snapToGrid w:val="0"/>
              <w:spacing w:after="0"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其他环境管理要求</w:t>
            </w:r>
          </w:p>
        </w:tc>
        <w:tc>
          <w:tcPr>
            <w:tcW w:w="8350" w:type="dxa"/>
            <w:gridSpan w:val="7"/>
            <w:vAlign w:val="center"/>
          </w:tcPr>
          <w:p w14:paraId="195494AF">
            <w:pPr>
              <w:pStyle w:val="180"/>
              <w:widowControl w:val="0"/>
              <w:topLinePunct/>
              <w:spacing w:after="0" w:line="240" w:lineRule="auto"/>
              <w:jc w:val="left"/>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（1）制定环保设施的管理制度，加强日常环保管理和环保处理设施的维护和保养</w:t>
            </w:r>
            <w:r>
              <w:rPr>
                <w:rFonts w:hint="eastAsia" w:ascii="Times New Roman" w:hAnsi="Times New Roman" w:cs="Times New Roman"/>
                <w:bCs/>
                <w:color w:val="000000" w:themeColor="text1"/>
                <w:sz w:val="21"/>
                <w:szCs w:val="21"/>
                <w14:textFill>
                  <w14:solidFill>
                    <w14:schemeClr w14:val="tx1"/>
                  </w14:solidFill>
                </w14:textFill>
              </w:rPr>
              <w:t>。</w:t>
            </w:r>
          </w:p>
          <w:p w14:paraId="74952C28">
            <w:pPr>
              <w:pStyle w:val="180"/>
              <w:widowControl w:val="0"/>
              <w:topLinePunct/>
              <w:spacing w:after="0" w:line="240" w:lineRule="auto"/>
              <w:jc w:val="left"/>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（2）</w:t>
            </w:r>
            <w:r>
              <w:rPr>
                <w:rFonts w:hint="eastAsia" w:ascii="Times New Roman" w:hAnsi="Times New Roman" w:cs="Times New Roman"/>
                <w:bCs/>
                <w:color w:val="000000" w:themeColor="text1"/>
                <w:sz w:val="21"/>
                <w:szCs w:val="21"/>
                <w14:textFill>
                  <w14:solidFill>
                    <w14:schemeClr w14:val="tx1"/>
                  </w14:solidFill>
                </w14:textFill>
              </w:rPr>
              <w:t>根据《固定污染源排污许可分类管理名录》，改扩建项目属于“二十八、金属制品</w:t>
            </w:r>
          </w:p>
          <w:p w14:paraId="17D782C2">
            <w:pPr>
              <w:pStyle w:val="180"/>
              <w:widowControl w:val="0"/>
              <w:topLinePunct/>
              <w:spacing w:after="0" w:line="240" w:lineRule="auto"/>
              <w:jc w:val="left"/>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业 33—80.结构性金属制品制造 331，金属工具制造 332，集装箱及金属包装容器制造</w:t>
            </w:r>
          </w:p>
          <w:p w14:paraId="0145FD46">
            <w:pPr>
              <w:pStyle w:val="180"/>
              <w:widowControl w:val="0"/>
              <w:topLinePunct/>
              <w:spacing w:after="0" w:line="240" w:lineRule="auto"/>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333，金属丝绳及其制品制造 334，建筑、安全用金属制品制造 335，搪瓷制品制造 337，</w:t>
            </w:r>
          </w:p>
          <w:p w14:paraId="28122791">
            <w:pPr>
              <w:pStyle w:val="180"/>
              <w:widowControl w:val="0"/>
              <w:topLinePunct/>
              <w:spacing w:after="0" w:line="240" w:lineRule="auto"/>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金属制日用品制造 338，铸造及其他金属制品制造 339(除黑色金属铸造 3391、有色金属</w:t>
            </w:r>
          </w:p>
          <w:p w14:paraId="54DB864B">
            <w:pPr>
              <w:pStyle w:val="180"/>
              <w:widowControl w:val="0"/>
              <w:topLinePunct/>
              <w:spacing w:after="0" w:line="240" w:lineRule="auto"/>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铸造 3392)中其他类别的”，确定项目需申报排污许可登记管理，建设单位现有工程已进</w:t>
            </w:r>
          </w:p>
          <w:p w14:paraId="18DFA377">
            <w:pPr>
              <w:pStyle w:val="180"/>
              <w:widowControl w:val="0"/>
              <w:topLinePunct/>
              <w:spacing w:after="0" w:line="240" w:lineRule="auto"/>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行了排污许可登记的工作，扩建项目在排放污染物前，建设单位应完成排污许可登记</w:t>
            </w:r>
          </w:p>
          <w:p w14:paraId="4A1C5CB6">
            <w:pPr>
              <w:pStyle w:val="180"/>
              <w:widowControl w:val="0"/>
              <w:topLinePunct/>
              <w:spacing w:after="0" w:line="240" w:lineRule="auto"/>
              <w:jc w:val="left"/>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管理的变更。</w:t>
            </w:r>
          </w:p>
          <w:p w14:paraId="7F311B86">
            <w:pPr>
              <w:pStyle w:val="180"/>
              <w:widowControl w:val="0"/>
              <w:topLinePunct/>
              <w:spacing w:after="0" w:line="240" w:lineRule="auto"/>
              <w:jc w:val="left"/>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（3）</w:t>
            </w:r>
            <w:r>
              <w:rPr>
                <w:rFonts w:ascii="Times New Roman" w:hAnsi="Times New Roman" w:cs="Times New Roman"/>
                <w:bCs/>
                <w:color w:val="000000" w:themeColor="text1"/>
                <w:sz w:val="21"/>
                <w:szCs w:val="21"/>
                <w14:textFill>
                  <w14:solidFill>
                    <w14:schemeClr w14:val="tx1"/>
                  </w14:solidFill>
                </w14:textFill>
              </w:rPr>
              <w:t>应规范化排污口建设，</w:t>
            </w:r>
            <w:r>
              <w:rPr>
                <w:rFonts w:hint="eastAsia" w:ascii="Times New Roman" w:hAnsi="Times New Roman" w:cs="Times New Roman"/>
                <w:bCs/>
                <w:color w:val="000000" w:themeColor="text1"/>
                <w:sz w:val="21"/>
                <w:szCs w:val="21"/>
                <w14:textFill>
                  <w14:solidFill>
                    <w14:schemeClr w14:val="tx1"/>
                  </w14:solidFill>
                </w14:textFill>
              </w:rPr>
              <w:t>并设置排污口标识牌。</w:t>
            </w:r>
          </w:p>
        </w:tc>
      </w:tr>
    </w:tbl>
    <w:p w14:paraId="21D70B16">
      <w:pPr>
        <w:pStyle w:val="29"/>
        <w:widowControl w:val="0"/>
        <w:topLinePunct/>
        <w:jc w:val="center"/>
        <w:rPr>
          <w:rFonts w:ascii="Times New Roman" w:hAnsi="Times New Roman" w:eastAsia="宋体" w:cs="Times New Roman"/>
          <w:b/>
          <w:bCs/>
          <w:snapToGrid w:val="0"/>
          <w:color w:val="000000" w:themeColor="text1"/>
          <w:sz w:val="32"/>
          <w:szCs w:val="32"/>
          <w14:textFill>
            <w14:solidFill>
              <w14:schemeClr w14:val="tx1"/>
            </w14:solidFill>
          </w14:textFill>
        </w:rPr>
      </w:pPr>
    </w:p>
    <w:p w14:paraId="7C8B31A6">
      <w:pPr>
        <w:pStyle w:val="29"/>
        <w:widowControl w:val="0"/>
        <w:topLinePunct/>
        <w:jc w:val="center"/>
        <w:rPr>
          <w:rFonts w:ascii="Times New Roman" w:hAnsi="Times New Roman" w:eastAsia="宋体" w:cs="Times New Roman"/>
          <w:b/>
          <w:bCs/>
          <w:snapToGrid w:val="0"/>
          <w:color w:val="000000" w:themeColor="text1"/>
          <w:sz w:val="32"/>
          <w:szCs w:val="32"/>
          <w14:textFill>
            <w14:solidFill>
              <w14:schemeClr w14:val="tx1"/>
            </w14:solidFill>
          </w14:textFill>
        </w:rPr>
        <w:sectPr>
          <w:pgSz w:w="11906" w:h="16838"/>
          <w:pgMar w:top="1417" w:right="1417" w:bottom="1417" w:left="1417" w:header="992" w:footer="992" w:gutter="0"/>
          <w:cols w:space="720" w:num="1"/>
          <w:docGrid w:linePitch="312" w:charSpace="0"/>
        </w:sectPr>
      </w:pPr>
    </w:p>
    <w:p w14:paraId="260F1432">
      <w:pPr>
        <w:widowControl w:val="0"/>
        <w:spacing w:after="0" w:line="360" w:lineRule="auto"/>
        <w:jc w:val="center"/>
        <w:outlineLvl w:val="0"/>
        <w:rPr>
          <w:rFonts w:ascii="Times New Roman" w:hAnsi="Times New Roman" w:eastAsia="宋体" w:cs="Times New Roman"/>
          <w:color w:val="000000"/>
          <w:kern w:val="2"/>
          <w:szCs w:val="24"/>
        </w:rPr>
      </w:pPr>
      <w:bookmarkStart w:id="21" w:name="_Toc7353"/>
      <w:r>
        <w:rPr>
          <w:rFonts w:ascii="Times New Roman" w:hAnsi="Times New Roman" w:eastAsia="宋体" w:cs="Times New Roman"/>
          <w:b/>
          <w:color w:val="000000"/>
          <w:kern w:val="44"/>
          <w:sz w:val="32"/>
          <w:szCs w:val="36"/>
        </w:rPr>
        <w:t>六、结论</w:t>
      </w:r>
      <w:bookmarkEnd w:id="21"/>
    </w:p>
    <w:tbl>
      <w:tblPr>
        <w:tblStyle w:val="232"/>
        <w:tblW w:w="9061"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61"/>
      </w:tblGrid>
      <w:tr w14:paraId="25B144E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9061" w:type="dxa"/>
          </w:tcPr>
          <w:p w14:paraId="1A904D4C">
            <w:pPr>
              <w:pStyle w:val="223"/>
              <w:spacing w:before="120"/>
              <w:ind w:firstLine="480"/>
            </w:pPr>
            <w:bookmarkStart w:id="22" w:name="_Hlk211503715"/>
            <w:r>
              <w:t>福建中能电气有限公司</w:t>
            </w:r>
            <w:bookmarkEnd w:id="22"/>
            <w:bookmarkStart w:id="23" w:name="_Hlk211503701"/>
            <w:r>
              <w:rPr>
                <w:rFonts w:hint="eastAsia"/>
              </w:rPr>
              <w:t>3#车间扩建提升改造项目</w:t>
            </w:r>
            <w:bookmarkEnd w:id="23"/>
            <w:r>
              <w:rPr>
                <w:rFonts w:hint="eastAsia"/>
              </w:rPr>
              <w:t>位于福清融侨经济技术开发区(福建中能电气有限公司3#车间)，项目符合国家产业政策及国家相关法律法规要求，其选址合理，总平面布置基本合理。项目所在区域环境质量现状均满足相关标准，本项目符合生态环境分区管控要求。在认真落实各项环境污染治理和环境管理措施的前提下，各项污染物经处理后可实现稳定达标排放且满足区域总量控制要求，污染物防治措施可行，项目对周围环境的影响在可接受范围内。在严格落实各项生态环境保护和污染防治措施后，从环境影响角度分析，项目建设是可行的。</w:t>
            </w:r>
          </w:p>
          <w:p w14:paraId="17C2778D">
            <w:pPr>
              <w:widowControl w:val="0"/>
              <w:spacing w:after="120" w:line="360" w:lineRule="auto"/>
              <w:ind w:firstLine="480" w:firstLineChars="200"/>
              <w:jc w:val="both"/>
              <w:rPr>
                <w:rFonts w:ascii="Times New Roman" w:hAnsi="Times New Roman" w:eastAsia="宋体" w:cs="Times New Roman"/>
                <w:color w:val="000000"/>
                <w:kern w:val="2"/>
                <w:szCs w:val="24"/>
              </w:rPr>
            </w:pPr>
          </w:p>
          <w:p w14:paraId="4903B2BF">
            <w:pPr>
              <w:widowControl w:val="0"/>
              <w:spacing w:after="120" w:line="360" w:lineRule="auto"/>
              <w:ind w:firstLine="480" w:firstLineChars="200"/>
              <w:jc w:val="both"/>
              <w:rPr>
                <w:rFonts w:ascii="Times New Roman" w:hAnsi="Times New Roman" w:eastAsia="宋体" w:cs="Times New Roman"/>
                <w:color w:val="000000"/>
                <w:kern w:val="2"/>
                <w:szCs w:val="24"/>
              </w:rPr>
            </w:pPr>
          </w:p>
          <w:p w14:paraId="5F600C00">
            <w:pPr>
              <w:widowControl w:val="0"/>
              <w:spacing w:after="120" w:line="360" w:lineRule="auto"/>
              <w:ind w:firstLine="480" w:firstLineChars="200"/>
              <w:jc w:val="both"/>
              <w:rPr>
                <w:rFonts w:ascii="Times New Roman" w:hAnsi="Times New Roman" w:eastAsia="宋体" w:cs="Times New Roman"/>
                <w:color w:val="000000"/>
                <w:kern w:val="2"/>
                <w:szCs w:val="24"/>
              </w:rPr>
            </w:pPr>
          </w:p>
          <w:p w14:paraId="1FA1E7F3">
            <w:pPr>
              <w:widowControl w:val="0"/>
              <w:spacing w:after="120" w:line="360" w:lineRule="auto"/>
              <w:ind w:firstLine="480" w:firstLineChars="200"/>
              <w:jc w:val="both"/>
              <w:rPr>
                <w:rFonts w:ascii="Times New Roman" w:hAnsi="Times New Roman" w:eastAsia="宋体" w:cs="Times New Roman"/>
                <w:color w:val="000000"/>
                <w:kern w:val="2"/>
                <w:szCs w:val="24"/>
              </w:rPr>
            </w:pPr>
          </w:p>
          <w:p w14:paraId="003634E4">
            <w:pPr>
              <w:widowControl w:val="0"/>
              <w:spacing w:after="120" w:line="360" w:lineRule="auto"/>
              <w:ind w:firstLine="480" w:firstLineChars="200"/>
              <w:jc w:val="right"/>
              <w:rPr>
                <w:rFonts w:ascii="Times New Roman" w:hAnsi="Times New Roman" w:eastAsia="宋体" w:cs="Times New Roman"/>
                <w:color w:val="000000"/>
                <w:kern w:val="2"/>
                <w:szCs w:val="24"/>
              </w:rPr>
            </w:pPr>
            <w:bookmarkStart w:id="24" w:name="_Hlk211503689"/>
            <w:r>
              <w:rPr>
                <w:rFonts w:hint="eastAsia" w:ascii="Times New Roman" w:hAnsi="Times New Roman" w:eastAsia="宋体" w:cs="Times New Roman"/>
                <w:color w:val="000000"/>
                <w:kern w:val="2"/>
                <w:szCs w:val="24"/>
              </w:rPr>
              <w:t>福建诚界环保科技有限公司</w:t>
            </w:r>
            <w:bookmarkEnd w:id="24"/>
          </w:p>
          <w:p w14:paraId="2C138840">
            <w:pPr>
              <w:widowControl w:val="0"/>
              <w:spacing w:after="120" w:line="360" w:lineRule="auto"/>
              <w:ind w:firstLine="480" w:firstLineChars="200"/>
              <w:jc w:val="right"/>
              <w:rPr>
                <w:rFonts w:ascii="Times New Roman" w:hAnsi="Times New Roman" w:eastAsia="宋体" w:cs="Times New Roman"/>
                <w:color w:val="000000"/>
                <w:kern w:val="2"/>
                <w:szCs w:val="24"/>
              </w:rPr>
            </w:pPr>
            <w:r>
              <w:rPr>
                <w:rFonts w:hint="eastAsia" w:ascii="Times New Roman" w:hAnsi="Times New Roman" w:eastAsia="宋体" w:cs="Times New Roman"/>
                <w:color w:val="000000"/>
                <w:kern w:val="2"/>
                <w:szCs w:val="24"/>
              </w:rPr>
              <w:t>2025年10月</w:t>
            </w:r>
          </w:p>
          <w:p w14:paraId="045F5B4F">
            <w:pPr>
              <w:widowControl w:val="0"/>
              <w:spacing w:after="120" w:line="360" w:lineRule="auto"/>
              <w:ind w:firstLine="480" w:firstLineChars="200"/>
              <w:jc w:val="both"/>
              <w:rPr>
                <w:rFonts w:ascii="Times New Roman" w:hAnsi="Times New Roman" w:eastAsia="宋体" w:cs="Times New Roman"/>
                <w:color w:val="000000"/>
                <w:kern w:val="2"/>
                <w:szCs w:val="24"/>
              </w:rPr>
            </w:pPr>
          </w:p>
          <w:p w14:paraId="5CEB6188">
            <w:pPr>
              <w:widowControl w:val="0"/>
              <w:spacing w:after="120" w:line="360" w:lineRule="auto"/>
              <w:ind w:firstLine="480" w:firstLineChars="200"/>
              <w:jc w:val="both"/>
              <w:rPr>
                <w:rFonts w:ascii="Times New Roman" w:hAnsi="Times New Roman" w:eastAsia="宋体" w:cs="Times New Roman"/>
                <w:color w:val="000000"/>
                <w:kern w:val="2"/>
                <w:szCs w:val="24"/>
              </w:rPr>
            </w:pPr>
          </w:p>
          <w:p w14:paraId="65CF03DD">
            <w:pPr>
              <w:widowControl w:val="0"/>
              <w:spacing w:after="120" w:line="360" w:lineRule="auto"/>
              <w:ind w:firstLine="480" w:firstLineChars="200"/>
              <w:jc w:val="both"/>
              <w:rPr>
                <w:rFonts w:ascii="Times New Roman" w:hAnsi="Times New Roman" w:eastAsia="宋体" w:cs="Times New Roman"/>
                <w:color w:val="000000"/>
                <w:kern w:val="2"/>
                <w:szCs w:val="24"/>
              </w:rPr>
            </w:pPr>
          </w:p>
          <w:p w14:paraId="0B8369AF">
            <w:pPr>
              <w:widowControl w:val="0"/>
              <w:spacing w:after="120" w:line="360" w:lineRule="auto"/>
              <w:ind w:firstLine="480" w:firstLineChars="200"/>
              <w:jc w:val="both"/>
              <w:rPr>
                <w:rFonts w:ascii="Times New Roman" w:hAnsi="Times New Roman" w:eastAsia="宋体" w:cs="Times New Roman"/>
                <w:color w:val="000000"/>
                <w:kern w:val="2"/>
                <w:szCs w:val="24"/>
              </w:rPr>
            </w:pPr>
          </w:p>
          <w:p w14:paraId="6A571058">
            <w:pPr>
              <w:widowControl w:val="0"/>
              <w:spacing w:after="120" w:line="360" w:lineRule="auto"/>
              <w:ind w:firstLine="480" w:firstLineChars="200"/>
              <w:jc w:val="both"/>
              <w:rPr>
                <w:rFonts w:ascii="Times New Roman" w:hAnsi="Times New Roman" w:eastAsia="宋体" w:cs="Times New Roman"/>
                <w:color w:val="000000"/>
                <w:kern w:val="2"/>
                <w:szCs w:val="24"/>
              </w:rPr>
            </w:pPr>
          </w:p>
          <w:p w14:paraId="01ABF264">
            <w:pPr>
              <w:widowControl w:val="0"/>
              <w:spacing w:after="120" w:line="360" w:lineRule="auto"/>
              <w:ind w:firstLine="480" w:firstLineChars="200"/>
              <w:jc w:val="both"/>
              <w:rPr>
                <w:rFonts w:ascii="Times New Roman" w:hAnsi="Times New Roman" w:eastAsia="宋体" w:cs="Times New Roman"/>
                <w:color w:val="000000"/>
                <w:kern w:val="2"/>
                <w:szCs w:val="24"/>
              </w:rPr>
            </w:pPr>
          </w:p>
          <w:p w14:paraId="67DE012F">
            <w:pPr>
              <w:widowControl w:val="0"/>
              <w:spacing w:after="120" w:line="360" w:lineRule="auto"/>
              <w:ind w:firstLine="480" w:firstLineChars="200"/>
              <w:jc w:val="both"/>
              <w:rPr>
                <w:rFonts w:ascii="Times New Roman" w:hAnsi="Times New Roman" w:eastAsia="宋体" w:cs="Times New Roman"/>
                <w:color w:val="000000"/>
                <w:kern w:val="2"/>
                <w:szCs w:val="24"/>
              </w:rPr>
            </w:pPr>
          </w:p>
          <w:p w14:paraId="2FC30FFC">
            <w:pPr>
              <w:widowControl w:val="0"/>
              <w:spacing w:after="120" w:line="360" w:lineRule="auto"/>
              <w:ind w:firstLine="480" w:firstLineChars="200"/>
              <w:jc w:val="both"/>
              <w:rPr>
                <w:rFonts w:ascii="Times New Roman" w:hAnsi="Times New Roman" w:eastAsia="宋体" w:cs="Times New Roman"/>
                <w:color w:val="000000"/>
                <w:kern w:val="2"/>
                <w:szCs w:val="24"/>
              </w:rPr>
            </w:pPr>
          </w:p>
          <w:p w14:paraId="55B08582">
            <w:pPr>
              <w:widowControl w:val="0"/>
              <w:spacing w:after="120" w:line="360" w:lineRule="auto"/>
              <w:ind w:firstLine="480" w:firstLineChars="200"/>
              <w:jc w:val="both"/>
              <w:rPr>
                <w:rFonts w:ascii="Times New Roman" w:hAnsi="Times New Roman" w:eastAsia="宋体" w:cs="Times New Roman"/>
                <w:color w:val="000000"/>
                <w:kern w:val="2"/>
                <w:szCs w:val="24"/>
              </w:rPr>
            </w:pPr>
          </w:p>
          <w:p w14:paraId="26E5B1D5">
            <w:pPr>
              <w:widowControl w:val="0"/>
              <w:spacing w:after="120" w:line="360" w:lineRule="auto"/>
              <w:ind w:firstLine="480" w:firstLineChars="200"/>
              <w:jc w:val="both"/>
              <w:rPr>
                <w:rFonts w:ascii="Times New Roman" w:hAnsi="Times New Roman" w:eastAsia="宋体" w:cs="Times New Roman"/>
                <w:color w:val="000000"/>
                <w:kern w:val="2"/>
                <w:szCs w:val="24"/>
              </w:rPr>
            </w:pPr>
          </w:p>
        </w:tc>
      </w:tr>
    </w:tbl>
    <w:p w14:paraId="27372D7B">
      <w:pPr>
        <w:pStyle w:val="29"/>
        <w:widowControl w:val="0"/>
        <w:topLinePunct/>
        <w:jc w:val="center"/>
        <w:rPr>
          <w:rFonts w:ascii="Times New Roman" w:hAnsi="Times New Roman" w:eastAsia="宋体" w:cs="Times New Roman"/>
          <w:b/>
          <w:bCs/>
          <w:snapToGrid w:val="0"/>
          <w:color w:val="000000" w:themeColor="text1"/>
          <w:sz w:val="32"/>
          <w:szCs w:val="32"/>
          <w14:textFill>
            <w14:solidFill>
              <w14:schemeClr w14:val="tx1"/>
            </w14:solidFill>
          </w14:textFill>
        </w:rPr>
        <w:sectPr>
          <w:pgSz w:w="11906" w:h="16838"/>
          <w:pgMar w:top="1417" w:right="1417" w:bottom="1417" w:left="1417" w:header="992" w:footer="992" w:gutter="0"/>
          <w:cols w:space="720" w:num="1"/>
          <w:docGrid w:linePitch="312" w:charSpace="0"/>
        </w:sectPr>
      </w:pPr>
    </w:p>
    <w:p w14:paraId="34BFEA35">
      <w:pPr>
        <w:pStyle w:val="2"/>
        <w:keepNext w:val="0"/>
        <w:keepLines w:val="0"/>
        <w:widowControl w:val="0"/>
        <w:topLinePunct/>
        <w:spacing w:before="0" w:line="360" w:lineRule="auto"/>
        <w:rPr>
          <w:rFonts w:ascii="Times New Roman" w:hAnsi="Times New Roman" w:eastAsia="宋体" w:cs="Times New Roman"/>
          <w:b/>
          <w:bCs/>
          <w:color w:val="000000" w:themeColor="text1"/>
          <w:szCs w:val="36"/>
          <w14:textFill>
            <w14:solidFill>
              <w14:schemeClr w14:val="tx1"/>
            </w14:solidFill>
          </w14:textFill>
        </w:rPr>
      </w:pPr>
      <w:bookmarkStart w:id="25" w:name="_Toc15322"/>
      <w:bookmarkStart w:id="26" w:name="_Toc30056"/>
      <w:r>
        <w:rPr>
          <w:rFonts w:ascii="Times New Roman" w:hAnsi="Times New Roman" w:eastAsia="宋体" w:cs="Times New Roman"/>
          <w:b/>
          <w:bCs/>
          <w:color w:val="000000" w:themeColor="text1"/>
          <w:szCs w:val="36"/>
          <w14:textFill>
            <w14:solidFill>
              <w14:schemeClr w14:val="tx1"/>
            </w14:solidFill>
          </w14:textFill>
        </w:rPr>
        <w:t>附表</w:t>
      </w:r>
      <w:bookmarkEnd w:id="25"/>
      <w:bookmarkEnd w:id="26"/>
    </w:p>
    <w:p w14:paraId="43951303">
      <w:pPr>
        <w:pStyle w:val="222"/>
        <w:spacing w:before="120"/>
      </w:pPr>
      <w:bookmarkStart w:id="27" w:name="_Toc2025"/>
      <w:r>
        <w:rPr>
          <w:sz w:val="28"/>
          <w:szCs w:val="28"/>
        </w:rPr>
        <w:t>建设项目污染物排放量汇总表</w:t>
      </w:r>
      <w:bookmarkEnd w:id="27"/>
    </w:p>
    <w:tbl>
      <w:tblPr>
        <w:tblStyle w:val="173"/>
        <w:tblW w:w="1392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
        <w:gridCol w:w="2126"/>
        <w:gridCol w:w="1701"/>
        <w:gridCol w:w="1276"/>
        <w:gridCol w:w="1702"/>
        <w:gridCol w:w="1416"/>
        <w:gridCol w:w="1843"/>
        <w:gridCol w:w="1697"/>
        <w:gridCol w:w="1308"/>
      </w:tblGrid>
      <w:tr w14:paraId="285A8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tcBorders>
              <w:top w:val="single" w:color="000000" w:sz="6" w:space="0"/>
              <w:left w:val="single" w:color="000000" w:sz="6" w:space="0"/>
              <w:tl2br w:val="single" w:color="000000" w:sz="2" w:space="0"/>
            </w:tcBorders>
            <w:vAlign w:val="center"/>
          </w:tcPr>
          <w:p w14:paraId="17917759">
            <w:pPr>
              <w:pStyle w:val="221"/>
              <w:jc w:val="right"/>
            </w:pPr>
            <w:r>
              <w:rPr>
                <w:rFonts w:hint="eastAsia"/>
              </w:rPr>
              <w:t>项目</w:t>
            </w:r>
          </w:p>
          <w:p w14:paraId="604FC9B0">
            <w:pPr>
              <w:pStyle w:val="221"/>
              <w:jc w:val="left"/>
            </w:pPr>
            <w:r>
              <w:rPr>
                <w:rFonts w:hint="eastAsia"/>
              </w:rPr>
              <w:t>分类</w:t>
            </w:r>
          </w:p>
        </w:tc>
        <w:tc>
          <w:tcPr>
            <w:tcW w:w="2126" w:type="dxa"/>
            <w:tcBorders>
              <w:top w:val="single" w:color="000000" w:sz="6" w:space="0"/>
            </w:tcBorders>
            <w:vAlign w:val="center"/>
          </w:tcPr>
          <w:p w14:paraId="0B61BBAF">
            <w:pPr>
              <w:pStyle w:val="221"/>
            </w:pPr>
            <w:r>
              <w:rPr>
                <w:rFonts w:hint="eastAsia"/>
              </w:rPr>
              <w:t>污染物名称</w:t>
            </w:r>
          </w:p>
        </w:tc>
        <w:tc>
          <w:tcPr>
            <w:tcW w:w="1701" w:type="dxa"/>
            <w:tcBorders>
              <w:top w:val="single" w:color="000000" w:sz="6" w:space="0"/>
            </w:tcBorders>
            <w:vAlign w:val="center"/>
          </w:tcPr>
          <w:p w14:paraId="43009822">
            <w:pPr>
              <w:pStyle w:val="221"/>
            </w:pPr>
            <w:r>
              <w:rPr>
                <w:rFonts w:hint="eastAsia"/>
              </w:rPr>
              <w:t>现有工程排放量（固体废物产生量）t/a①</w:t>
            </w:r>
          </w:p>
        </w:tc>
        <w:tc>
          <w:tcPr>
            <w:tcW w:w="1276" w:type="dxa"/>
            <w:tcBorders>
              <w:top w:val="single" w:color="000000" w:sz="6" w:space="0"/>
            </w:tcBorders>
            <w:vAlign w:val="center"/>
          </w:tcPr>
          <w:p w14:paraId="6CC7DA15">
            <w:pPr>
              <w:pStyle w:val="221"/>
            </w:pPr>
            <w:r>
              <w:rPr>
                <w:rFonts w:hint="eastAsia"/>
              </w:rPr>
              <w:t>现有工程许可排放量 t/a②</w:t>
            </w:r>
          </w:p>
        </w:tc>
        <w:tc>
          <w:tcPr>
            <w:tcW w:w="1702" w:type="dxa"/>
            <w:tcBorders>
              <w:top w:val="single" w:color="000000" w:sz="6" w:space="0"/>
            </w:tcBorders>
            <w:vAlign w:val="center"/>
          </w:tcPr>
          <w:p w14:paraId="74944683">
            <w:pPr>
              <w:pStyle w:val="221"/>
            </w:pPr>
            <w:r>
              <w:rPr>
                <w:rFonts w:hint="eastAsia"/>
              </w:rPr>
              <w:t>在建工程排放量（固体废物产生量）t/a③</w:t>
            </w:r>
          </w:p>
        </w:tc>
        <w:tc>
          <w:tcPr>
            <w:tcW w:w="1416" w:type="dxa"/>
            <w:tcBorders>
              <w:top w:val="single" w:color="000000" w:sz="6" w:space="0"/>
            </w:tcBorders>
            <w:vAlign w:val="center"/>
          </w:tcPr>
          <w:p w14:paraId="77AEB062">
            <w:pPr>
              <w:pStyle w:val="221"/>
            </w:pPr>
            <w:r>
              <w:rPr>
                <w:rFonts w:hint="eastAsia"/>
              </w:rPr>
              <w:t>本项目排放量 （固体废物产 生量）t/a④</w:t>
            </w:r>
          </w:p>
        </w:tc>
        <w:tc>
          <w:tcPr>
            <w:tcW w:w="1843" w:type="dxa"/>
            <w:tcBorders>
              <w:top w:val="single" w:color="000000" w:sz="6" w:space="0"/>
            </w:tcBorders>
            <w:vAlign w:val="center"/>
          </w:tcPr>
          <w:p w14:paraId="7490BE15">
            <w:pPr>
              <w:pStyle w:val="221"/>
            </w:pPr>
            <w:r>
              <w:rPr>
                <w:rFonts w:hint="eastAsia"/>
              </w:rPr>
              <w:t>以新带老削减量（t/a⑤</w:t>
            </w:r>
          </w:p>
        </w:tc>
        <w:tc>
          <w:tcPr>
            <w:tcW w:w="1697" w:type="dxa"/>
            <w:tcBorders>
              <w:top w:val="single" w:color="000000" w:sz="6" w:space="0"/>
            </w:tcBorders>
            <w:vAlign w:val="center"/>
          </w:tcPr>
          <w:p w14:paraId="4711D19E">
            <w:pPr>
              <w:pStyle w:val="221"/>
            </w:pPr>
            <w:r>
              <w:rPr>
                <w:rFonts w:hint="eastAsia"/>
              </w:rPr>
              <w:t>本项目建成后</w:t>
            </w:r>
          </w:p>
          <w:p w14:paraId="291567FC">
            <w:pPr>
              <w:pStyle w:val="221"/>
            </w:pPr>
            <w:r>
              <w:rPr>
                <w:rFonts w:hint="eastAsia"/>
              </w:rPr>
              <w:t>全厂排放量（固体废物产生量）t/a⑥</w:t>
            </w:r>
          </w:p>
        </w:tc>
        <w:tc>
          <w:tcPr>
            <w:tcW w:w="1308" w:type="dxa"/>
            <w:tcBorders>
              <w:top w:val="single" w:color="000000" w:sz="6" w:space="0"/>
              <w:right w:val="single" w:color="000000" w:sz="6" w:space="0"/>
            </w:tcBorders>
            <w:vAlign w:val="center"/>
          </w:tcPr>
          <w:p w14:paraId="6A13665B">
            <w:pPr>
              <w:pStyle w:val="221"/>
            </w:pPr>
            <w:r>
              <w:rPr>
                <w:rFonts w:hint="eastAsia"/>
              </w:rPr>
              <w:t>变化量t/a⑦</w:t>
            </w:r>
          </w:p>
        </w:tc>
      </w:tr>
      <w:tr w14:paraId="65921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restart"/>
            <w:tcBorders>
              <w:left w:val="single" w:color="000000" w:sz="6" w:space="0"/>
            </w:tcBorders>
            <w:vAlign w:val="center"/>
          </w:tcPr>
          <w:p w14:paraId="4660EEE5">
            <w:pPr>
              <w:pStyle w:val="221"/>
            </w:pPr>
            <w:r>
              <w:rPr>
                <w:rFonts w:hint="eastAsia"/>
              </w:rPr>
              <w:t>废气</w:t>
            </w:r>
          </w:p>
        </w:tc>
        <w:tc>
          <w:tcPr>
            <w:tcW w:w="2126" w:type="dxa"/>
            <w:vAlign w:val="center"/>
          </w:tcPr>
          <w:p w14:paraId="6E140E7F">
            <w:pPr>
              <w:pStyle w:val="221"/>
            </w:pPr>
            <w:r>
              <w:rPr>
                <w:rFonts w:hint="eastAsia"/>
              </w:rPr>
              <w:t>颗粒物</w:t>
            </w:r>
          </w:p>
        </w:tc>
        <w:tc>
          <w:tcPr>
            <w:tcW w:w="1701" w:type="dxa"/>
            <w:vAlign w:val="center"/>
          </w:tcPr>
          <w:p w14:paraId="767676D0">
            <w:pPr>
              <w:pStyle w:val="221"/>
            </w:pPr>
            <w:r>
              <w:t>0.1</w:t>
            </w:r>
          </w:p>
        </w:tc>
        <w:tc>
          <w:tcPr>
            <w:tcW w:w="1276" w:type="dxa"/>
            <w:vAlign w:val="center"/>
          </w:tcPr>
          <w:p w14:paraId="403A0BFB">
            <w:pPr>
              <w:pStyle w:val="221"/>
            </w:pPr>
            <w:r>
              <w:t>0.</w:t>
            </w:r>
            <w:r>
              <w:rPr>
                <w:rFonts w:hint="eastAsia"/>
                <w:spacing w:val="-25"/>
              </w:rPr>
              <w:t>1</w:t>
            </w:r>
          </w:p>
        </w:tc>
        <w:tc>
          <w:tcPr>
            <w:tcW w:w="1702" w:type="dxa"/>
            <w:vAlign w:val="center"/>
          </w:tcPr>
          <w:p w14:paraId="00474C96">
            <w:pPr>
              <w:pStyle w:val="221"/>
            </w:pPr>
            <w:r>
              <w:t>1.14</w:t>
            </w:r>
          </w:p>
        </w:tc>
        <w:tc>
          <w:tcPr>
            <w:tcW w:w="1416" w:type="dxa"/>
            <w:vAlign w:val="center"/>
          </w:tcPr>
          <w:p w14:paraId="62F6B07C">
            <w:pPr>
              <w:pStyle w:val="221"/>
            </w:pPr>
            <w:r>
              <w:rPr>
                <w:rFonts w:hint="eastAsia"/>
              </w:rPr>
              <w:t>0.104</w:t>
            </w:r>
          </w:p>
        </w:tc>
        <w:tc>
          <w:tcPr>
            <w:tcW w:w="1843" w:type="dxa"/>
            <w:vAlign w:val="center"/>
          </w:tcPr>
          <w:p w14:paraId="24EC1DD3">
            <w:pPr>
              <w:pStyle w:val="221"/>
            </w:pPr>
            <w:r>
              <w:rPr>
                <w:rFonts w:hint="eastAsia"/>
              </w:rPr>
              <w:t>0</w:t>
            </w:r>
          </w:p>
        </w:tc>
        <w:tc>
          <w:tcPr>
            <w:tcW w:w="1697" w:type="dxa"/>
            <w:vAlign w:val="center"/>
          </w:tcPr>
          <w:p w14:paraId="75C2BD96">
            <w:pPr>
              <w:pStyle w:val="221"/>
            </w:pPr>
            <w:r>
              <w:rPr>
                <w:rFonts w:hint="eastAsia"/>
              </w:rPr>
              <w:t>1.344</w:t>
            </w:r>
          </w:p>
        </w:tc>
        <w:tc>
          <w:tcPr>
            <w:tcW w:w="1308" w:type="dxa"/>
            <w:tcBorders>
              <w:right w:val="single" w:color="000000" w:sz="6" w:space="0"/>
            </w:tcBorders>
            <w:vAlign w:val="center"/>
          </w:tcPr>
          <w:p w14:paraId="5E0C38D0">
            <w:pPr>
              <w:pStyle w:val="221"/>
            </w:pPr>
            <w:r>
              <w:rPr>
                <w:rFonts w:hint="eastAsia"/>
              </w:rPr>
              <w:t>+0.104</w:t>
            </w:r>
          </w:p>
        </w:tc>
      </w:tr>
      <w:tr w14:paraId="00F71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000000" w:sz="6" w:space="0"/>
            </w:tcBorders>
            <w:vAlign w:val="center"/>
          </w:tcPr>
          <w:p w14:paraId="65FA9F4F">
            <w:pPr>
              <w:pStyle w:val="221"/>
            </w:pPr>
          </w:p>
        </w:tc>
        <w:tc>
          <w:tcPr>
            <w:tcW w:w="2126" w:type="dxa"/>
            <w:vAlign w:val="center"/>
          </w:tcPr>
          <w:p w14:paraId="1AE5FE08">
            <w:pPr>
              <w:pStyle w:val="221"/>
            </w:pPr>
            <w:r>
              <w:rPr>
                <w:rFonts w:hint="eastAsia"/>
                <w:spacing w:val="6"/>
              </w:rPr>
              <w:t>二氧化硫</w:t>
            </w:r>
          </w:p>
        </w:tc>
        <w:tc>
          <w:tcPr>
            <w:tcW w:w="1701" w:type="dxa"/>
            <w:vAlign w:val="center"/>
          </w:tcPr>
          <w:p w14:paraId="52033603">
            <w:pPr>
              <w:pStyle w:val="221"/>
            </w:pPr>
            <w:r>
              <w:t>0</w:t>
            </w:r>
          </w:p>
        </w:tc>
        <w:tc>
          <w:tcPr>
            <w:tcW w:w="1276" w:type="dxa"/>
            <w:vAlign w:val="center"/>
          </w:tcPr>
          <w:p w14:paraId="21AF1D24">
            <w:pPr>
              <w:pStyle w:val="221"/>
            </w:pPr>
            <w:r>
              <w:t>0</w:t>
            </w:r>
          </w:p>
        </w:tc>
        <w:tc>
          <w:tcPr>
            <w:tcW w:w="1702" w:type="dxa"/>
            <w:vAlign w:val="center"/>
          </w:tcPr>
          <w:p w14:paraId="7BD5125A">
            <w:pPr>
              <w:pStyle w:val="221"/>
            </w:pPr>
            <w:r>
              <w:rPr>
                <w:spacing w:val="2"/>
              </w:rPr>
              <w:t>0.155</w:t>
            </w:r>
          </w:p>
        </w:tc>
        <w:tc>
          <w:tcPr>
            <w:tcW w:w="1416" w:type="dxa"/>
            <w:vAlign w:val="center"/>
          </w:tcPr>
          <w:p w14:paraId="1A5E95A8">
            <w:pPr>
              <w:pStyle w:val="221"/>
            </w:pPr>
            <w:r>
              <w:rPr>
                <w:rFonts w:hint="eastAsia"/>
              </w:rPr>
              <w:t>0</w:t>
            </w:r>
          </w:p>
        </w:tc>
        <w:tc>
          <w:tcPr>
            <w:tcW w:w="1843" w:type="dxa"/>
            <w:vAlign w:val="center"/>
          </w:tcPr>
          <w:p w14:paraId="5812E125">
            <w:pPr>
              <w:pStyle w:val="221"/>
            </w:pPr>
            <w:r>
              <w:rPr>
                <w:rFonts w:hint="eastAsia"/>
              </w:rPr>
              <w:t>0</w:t>
            </w:r>
          </w:p>
        </w:tc>
        <w:tc>
          <w:tcPr>
            <w:tcW w:w="1697" w:type="dxa"/>
            <w:vAlign w:val="center"/>
          </w:tcPr>
          <w:p w14:paraId="1E9119D7">
            <w:pPr>
              <w:pStyle w:val="221"/>
            </w:pPr>
            <w:r>
              <w:t>0.155</w:t>
            </w:r>
          </w:p>
        </w:tc>
        <w:tc>
          <w:tcPr>
            <w:tcW w:w="1308" w:type="dxa"/>
            <w:tcBorders>
              <w:right w:val="single" w:color="000000" w:sz="6" w:space="0"/>
            </w:tcBorders>
            <w:vAlign w:val="center"/>
          </w:tcPr>
          <w:p w14:paraId="362DC42F">
            <w:pPr>
              <w:pStyle w:val="221"/>
            </w:pPr>
            <w:r>
              <w:rPr>
                <w:rFonts w:hint="eastAsia"/>
              </w:rPr>
              <w:t>0</w:t>
            </w:r>
          </w:p>
        </w:tc>
      </w:tr>
      <w:tr w14:paraId="128E9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000000" w:sz="6" w:space="0"/>
            </w:tcBorders>
            <w:vAlign w:val="center"/>
          </w:tcPr>
          <w:p w14:paraId="6E486E84">
            <w:pPr>
              <w:pStyle w:val="221"/>
            </w:pPr>
          </w:p>
        </w:tc>
        <w:tc>
          <w:tcPr>
            <w:tcW w:w="2126" w:type="dxa"/>
            <w:vAlign w:val="center"/>
          </w:tcPr>
          <w:p w14:paraId="7220AC11">
            <w:pPr>
              <w:pStyle w:val="221"/>
            </w:pPr>
            <w:r>
              <w:rPr>
                <w:rFonts w:hint="eastAsia"/>
              </w:rPr>
              <w:t>氮氧化物</w:t>
            </w:r>
          </w:p>
        </w:tc>
        <w:tc>
          <w:tcPr>
            <w:tcW w:w="1701" w:type="dxa"/>
            <w:vAlign w:val="center"/>
          </w:tcPr>
          <w:p w14:paraId="09CA9522">
            <w:pPr>
              <w:pStyle w:val="221"/>
            </w:pPr>
            <w:r>
              <w:t>0</w:t>
            </w:r>
          </w:p>
        </w:tc>
        <w:tc>
          <w:tcPr>
            <w:tcW w:w="1276" w:type="dxa"/>
            <w:vAlign w:val="center"/>
          </w:tcPr>
          <w:p w14:paraId="5F6A7EC1">
            <w:pPr>
              <w:pStyle w:val="221"/>
            </w:pPr>
            <w:r>
              <w:t>0</w:t>
            </w:r>
          </w:p>
        </w:tc>
        <w:tc>
          <w:tcPr>
            <w:tcW w:w="1702" w:type="dxa"/>
            <w:vAlign w:val="center"/>
          </w:tcPr>
          <w:p w14:paraId="6F177DBC">
            <w:pPr>
              <w:pStyle w:val="221"/>
            </w:pPr>
            <w:r>
              <w:rPr>
                <w:spacing w:val="2"/>
              </w:rPr>
              <w:t>0.21</w:t>
            </w:r>
          </w:p>
        </w:tc>
        <w:tc>
          <w:tcPr>
            <w:tcW w:w="1416" w:type="dxa"/>
            <w:vAlign w:val="center"/>
          </w:tcPr>
          <w:p w14:paraId="6E13BA5E">
            <w:pPr>
              <w:pStyle w:val="221"/>
            </w:pPr>
            <w:r>
              <w:rPr>
                <w:rFonts w:hint="eastAsia"/>
              </w:rPr>
              <w:t>0</w:t>
            </w:r>
          </w:p>
        </w:tc>
        <w:tc>
          <w:tcPr>
            <w:tcW w:w="1843" w:type="dxa"/>
            <w:vAlign w:val="center"/>
          </w:tcPr>
          <w:p w14:paraId="4DE7478C">
            <w:pPr>
              <w:pStyle w:val="221"/>
            </w:pPr>
            <w:r>
              <w:rPr>
                <w:rFonts w:hint="eastAsia"/>
              </w:rPr>
              <w:t>0</w:t>
            </w:r>
          </w:p>
        </w:tc>
        <w:tc>
          <w:tcPr>
            <w:tcW w:w="1697" w:type="dxa"/>
            <w:vAlign w:val="center"/>
          </w:tcPr>
          <w:p w14:paraId="275F925C">
            <w:pPr>
              <w:pStyle w:val="221"/>
            </w:pPr>
            <w:r>
              <w:rPr>
                <w:spacing w:val="2"/>
              </w:rPr>
              <w:t>0.21</w:t>
            </w:r>
            <w:r>
              <w:rPr>
                <w:rFonts w:hint="eastAsia"/>
                <w:spacing w:val="2"/>
              </w:rPr>
              <w:t>0</w:t>
            </w:r>
          </w:p>
        </w:tc>
        <w:tc>
          <w:tcPr>
            <w:tcW w:w="1308" w:type="dxa"/>
            <w:tcBorders>
              <w:right w:val="single" w:color="000000" w:sz="6" w:space="0"/>
            </w:tcBorders>
            <w:vAlign w:val="center"/>
          </w:tcPr>
          <w:p w14:paraId="529292A2">
            <w:pPr>
              <w:pStyle w:val="221"/>
            </w:pPr>
            <w:r>
              <w:rPr>
                <w:rFonts w:hint="eastAsia"/>
              </w:rPr>
              <w:t>0</w:t>
            </w:r>
          </w:p>
        </w:tc>
      </w:tr>
      <w:tr w14:paraId="08832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000000" w:sz="6" w:space="0"/>
            </w:tcBorders>
            <w:vAlign w:val="center"/>
          </w:tcPr>
          <w:p w14:paraId="789DA17C">
            <w:pPr>
              <w:pStyle w:val="221"/>
            </w:pPr>
          </w:p>
        </w:tc>
        <w:tc>
          <w:tcPr>
            <w:tcW w:w="2126" w:type="dxa"/>
            <w:vAlign w:val="center"/>
          </w:tcPr>
          <w:p w14:paraId="48913C67">
            <w:pPr>
              <w:pStyle w:val="221"/>
            </w:pPr>
            <w:r>
              <w:rPr>
                <w:spacing w:val="5"/>
              </w:rPr>
              <w:t>VOCs</w:t>
            </w:r>
          </w:p>
        </w:tc>
        <w:tc>
          <w:tcPr>
            <w:tcW w:w="1701" w:type="dxa"/>
            <w:vAlign w:val="center"/>
          </w:tcPr>
          <w:p w14:paraId="668D8377">
            <w:pPr>
              <w:pStyle w:val="221"/>
            </w:pPr>
            <w:r>
              <w:rPr>
                <w:spacing w:val="3"/>
              </w:rPr>
              <w:t>0.070</w:t>
            </w:r>
          </w:p>
        </w:tc>
        <w:tc>
          <w:tcPr>
            <w:tcW w:w="1276" w:type="dxa"/>
            <w:vAlign w:val="center"/>
          </w:tcPr>
          <w:p w14:paraId="3800E3EB">
            <w:pPr>
              <w:pStyle w:val="221"/>
            </w:pPr>
            <w:r>
              <w:rPr>
                <w:spacing w:val="2"/>
              </w:rPr>
              <w:t>0.070</w:t>
            </w:r>
          </w:p>
        </w:tc>
        <w:tc>
          <w:tcPr>
            <w:tcW w:w="1702" w:type="dxa"/>
            <w:vAlign w:val="center"/>
          </w:tcPr>
          <w:p w14:paraId="1A28B8D1">
            <w:pPr>
              <w:pStyle w:val="221"/>
              <w:rPr>
                <w:szCs w:val="21"/>
              </w:rPr>
            </w:pPr>
            <w:r>
              <w:rPr>
                <w:spacing w:val="3"/>
              </w:rPr>
              <w:t>0.45</w:t>
            </w:r>
            <w:r>
              <w:rPr>
                <w:rFonts w:hint="eastAsia"/>
                <w:spacing w:val="3"/>
              </w:rPr>
              <w:t>6</w:t>
            </w:r>
          </w:p>
        </w:tc>
        <w:tc>
          <w:tcPr>
            <w:tcW w:w="1416" w:type="dxa"/>
            <w:vAlign w:val="center"/>
          </w:tcPr>
          <w:p w14:paraId="0D8C6127">
            <w:pPr>
              <w:pStyle w:val="221"/>
            </w:pPr>
            <w:r>
              <w:rPr>
                <w:rFonts w:hint="eastAsia"/>
              </w:rPr>
              <w:t>0</w:t>
            </w:r>
          </w:p>
        </w:tc>
        <w:tc>
          <w:tcPr>
            <w:tcW w:w="1843" w:type="dxa"/>
            <w:vAlign w:val="center"/>
          </w:tcPr>
          <w:p w14:paraId="738AD8B9">
            <w:pPr>
              <w:pStyle w:val="221"/>
            </w:pPr>
            <w:r>
              <w:rPr>
                <w:rFonts w:hint="eastAsia"/>
              </w:rPr>
              <w:t>0</w:t>
            </w:r>
          </w:p>
        </w:tc>
        <w:tc>
          <w:tcPr>
            <w:tcW w:w="1697" w:type="dxa"/>
            <w:vAlign w:val="center"/>
          </w:tcPr>
          <w:p w14:paraId="602D80D5">
            <w:pPr>
              <w:pStyle w:val="221"/>
            </w:pPr>
            <w:r>
              <w:t>0.52</w:t>
            </w:r>
            <w:r>
              <w:rPr>
                <w:rFonts w:hint="eastAsia"/>
              </w:rPr>
              <w:t>6</w:t>
            </w:r>
          </w:p>
        </w:tc>
        <w:tc>
          <w:tcPr>
            <w:tcW w:w="1308" w:type="dxa"/>
            <w:tcBorders>
              <w:right w:val="single" w:color="000000" w:sz="6" w:space="0"/>
            </w:tcBorders>
            <w:vAlign w:val="center"/>
          </w:tcPr>
          <w:p w14:paraId="14FB221F">
            <w:pPr>
              <w:pStyle w:val="221"/>
            </w:pPr>
            <w:r>
              <w:rPr>
                <w:rFonts w:hint="eastAsia"/>
              </w:rPr>
              <w:t>0</w:t>
            </w:r>
          </w:p>
        </w:tc>
      </w:tr>
      <w:tr w14:paraId="23E4C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000000" w:sz="6" w:space="0"/>
            </w:tcBorders>
            <w:vAlign w:val="center"/>
          </w:tcPr>
          <w:p w14:paraId="70854487">
            <w:pPr>
              <w:pStyle w:val="221"/>
            </w:pPr>
          </w:p>
        </w:tc>
        <w:tc>
          <w:tcPr>
            <w:tcW w:w="2126" w:type="dxa"/>
            <w:vAlign w:val="center"/>
          </w:tcPr>
          <w:p w14:paraId="2111D879">
            <w:pPr>
              <w:pStyle w:val="221"/>
            </w:pPr>
            <w:r>
              <w:rPr>
                <w:rFonts w:hint="eastAsia"/>
                <w:spacing w:val="3"/>
              </w:rPr>
              <w:t>甲苯及二甲苯</w:t>
            </w:r>
          </w:p>
        </w:tc>
        <w:tc>
          <w:tcPr>
            <w:tcW w:w="1701" w:type="dxa"/>
            <w:vAlign w:val="center"/>
          </w:tcPr>
          <w:p w14:paraId="33382C52">
            <w:pPr>
              <w:pStyle w:val="221"/>
            </w:pPr>
            <w:r>
              <w:rPr>
                <w:spacing w:val="2"/>
              </w:rPr>
              <w:t>0.03</w:t>
            </w:r>
          </w:p>
        </w:tc>
        <w:tc>
          <w:tcPr>
            <w:tcW w:w="1276" w:type="dxa"/>
            <w:vAlign w:val="center"/>
          </w:tcPr>
          <w:p w14:paraId="35C3E076">
            <w:pPr>
              <w:pStyle w:val="221"/>
            </w:pPr>
            <w:r>
              <w:rPr>
                <w:spacing w:val="2"/>
              </w:rPr>
              <w:t>0.03</w:t>
            </w:r>
          </w:p>
        </w:tc>
        <w:tc>
          <w:tcPr>
            <w:tcW w:w="1702" w:type="dxa"/>
            <w:vAlign w:val="center"/>
          </w:tcPr>
          <w:p w14:paraId="5111DC1C">
            <w:pPr>
              <w:pStyle w:val="221"/>
            </w:pPr>
            <w:r>
              <w:rPr>
                <w:spacing w:val="2"/>
              </w:rPr>
              <w:t>0.284</w:t>
            </w:r>
          </w:p>
        </w:tc>
        <w:tc>
          <w:tcPr>
            <w:tcW w:w="1416" w:type="dxa"/>
            <w:vAlign w:val="center"/>
          </w:tcPr>
          <w:p w14:paraId="76F55C21">
            <w:pPr>
              <w:pStyle w:val="221"/>
            </w:pPr>
            <w:r>
              <w:rPr>
                <w:rFonts w:hint="eastAsia"/>
              </w:rPr>
              <w:t>0</w:t>
            </w:r>
          </w:p>
        </w:tc>
        <w:tc>
          <w:tcPr>
            <w:tcW w:w="1843" w:type="dxa"/>
            <w:vAlign w:val="center"/>
          </w:tcPr>
          <w:p w14:paraId="776366BD">
            <w:pPr>
              <w:pStyle w:val="221"/>
            </w:pPr>
            <w:r>
              <w:rPr>
                <w:rFonts w:hint="eastAsia"/>
              </w:rPr>
              <w:t>0</w:t>
            </w:r>
          </w:p>
        </w:tc>
        <w:tc>
          <w:tcPr>
            <w:tcW w:w="1697" w:type="dxa"/>
            <w:vAlign w:val="center"/>
          </w:tcPr>
          <w:p w14:paraId="3C593955">
            <w:pPr>
              <w:pStyle w:val="221"/>
            </w:pPr>
            <w:r>
              <w:t>0.314</w:t>
            </w:r>
          </w:p>
        </w:tc>
        <w:tc>
          <w:tcPr>
            <w:tcW w:w="1308" w:type="dxa"/>
            <w:tcBorders>
              <w:right w:val="single" w:color="000000" w:sz="6" w:space="0"/>
            </w:tcBorders>
            <w:vAlign w:val="center"/>
          </w:tcPr>
          <w:p w14:paraId="47A8DFF8">
            <w:pPr>
              <w:pStyle w:val="221"/>
            </w:pPr>
            <w:r>
              <w:rPr>
                <w:rFonts w:hint="eastAsia"/>
              </w:rPr>
              <w:t>0</w:t>
            </w:r>
          </w:p>
        </w:tc>
      </w:tr>
      <w:tr w14:paraId="429F7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000000" w:sz="6" w:space="0"/>
            </w:tcBorders>
            <w:vAlign w:val="center"/>
          </w:tcPr>
          <w:p w14:paraId="30FD8150">
            <w:pPr>
              <w:pStyle w:val="221"/>
            </w:pPr>
          </w:p>
        </w:tc>
        <w:tc>
          <w:tcPr>
            <w:tcW w:w="2126" w:type="dxa"/>
            <w:vAlign w:val="center"/>
          </w:tcPr>
          <w:p w14:paraId="176099CC">
            <w:pPr>
              <w:pStyle w:val="221"/>
            </w:pPr>
            <w:r>
              <w:rPr>
                <w:rFonts w:hint="eastAsia"/>
                <w:spacing w:val="2"/>
              </w:rPr>
              <w:t>乙酸丁酯</w:t>
            </w:r>
          </w:p>
        </w:tc>
        <w:tc>
          <w:tcPr>
            <w:tcW w:w="1701" w:type="dxa"/>
            <w:vAlign w:val="center"/>
          </w:tcPr>
          <w:p w14:paraId="73406440">
            <w:pPr>
              <w:pStyle w:val="221"/>
            </w:pPr>
            <w:r>
              <w:t>0</w:t>
            </w:r>
          </w:p>
        </w:tc>
        <w:tc>
          <w:tcPr>
            <w:tcW w:w="1276" w:type="dxa"/>
            <w:vAlign w:val="center"/>
          </w:tcPr>
          <w:p w14:paraId="6404E0E2">
            <w:pPr>
              <w:pStyle w:val="221"/>
            </w:pPr>
            <w:r>
              <w:t>0</w:t>
            </w:r>
          </w:p>
        </w:tc>
        <w:tc>
          <w:tcPr>
            <w:tcW w:w="1702" w:type="dxa"/>
            <w:vAlign w:val="center"/>
          </w:tcPr>
          <w:p w14:paraId="2FB83C1F">
            <w:pPr>
              <w:pStyle w:val="221"/>
              <w:rPr>
                <w:szCs w:val="21"/>
              </w:rPr>
            </w:pPr>
            <w:r>
              <w:rPr>
                <w:spacing w:val="2"/>
              </w:rPr>
              <w:t>0.07</w:t>
            </w:r>
          </w:p>
        </w:tc>
        <w:tc>
          <w:tcPr>
            <w:tcW w:w="1416" w:type="dxa"/>
            <w:vAlign w:val="center"/>
          </w:tcPr>
          <w:p w14:paraId="7D9BCFA2">
            <w:pPr>
              <w:pStyle w:val="221"/>
            </w:pPr>
            <w:r>
              <w:rPr>
                <w:rFonts w:hint="eastAsia"/>
              </w:rPr>
              <w:t>0</w:t>
            </w:r>
          </w:p>
        </w:tc>
        <w:tc>
          <w:tcPr>
            <w:tcW w:w="1843" w:type="dxa"/>
            <w:vAlign w:val="center"/>
          </w:tcPr>
          <w:p w14:paraId="3EF68038">
            <w:pPr>
              <w:pStyle w:val="221"/>
            </w:pPr>
            <w:r>
              <w:rPr>
                <w:rFonts w:hint="eastAsia"/>
              </w:rPr>
              <w:t>0</w:t>
            </w:r>
          </w:p>
        </w:tc>
        <w:tc>
          <w:tcPr>
            <w:tcW w:w="1697" w:type="dxa"/>
            <w:vAlign w:val="center"/>
          </w:tcPr>
          <w:p w14:paraId="06BC6F8D">
            <w:pPr>
              <w:pStyle w:val="221"/>
            </w:pPr>
            <w:r>
              <w:rPr>
                <w:spacing w:val="2"/>
              </w:rPr>
              <w:t>0.07</w:t>
            </w:r>
            <w:r>
              <w:rPr>
                <w:rFonts w:hint="eastAsia"/>
                <w:spacing w:val="2"/>
              </w:rPr>
              <w:t>0</w:t>
            </w:r>
          </w:p>
        </w:tc>
        <w:tc>
          <w:tcPr>
            <w:tcW w:w="1308" w:type="dxa"/>
            <w:tcBorders>
              <w:right w:val="single" w:color="000000" w:sz="6" w:space="0"/>
            </w:tcBorders>
            <w:vAlign w:val="center"/>
          </w:tcPr>
          <w:p w14:paraId="4CF6E7BE">
            <w:pPr>
              <w:pStyle w:val="221"/>
            </w:pPr>
            <w:r>
              <w:rPr>
                <w:rFonts w:hint="eastAsia"/>
              </w:rPr>
              <w:t>0</w:t>
            </w:r>
          </w:p>
        </w:tc>
      </w:tr>
      <w:tr w14:paraId="722FA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000000" w:sz="6" w:space="0"/>
            </w:tcBorders>
            <w:vAlign w:val="center"/>
          </w:tcPr>
          <w:p w14:paraId="6374728C">
            <w:pPr>
              <w:pStyle w:val="221"/>
            </w:pPr>
          </w:p>
        </w:tc>
        <w:tc>
          <w:tcPr>
            <w:tcW w:w="2126" w:type="dxa"/>
            <w:vAlign w:val="center"/>
          </w:tcPr>
          <w:p w14:paraId="7AC7933E">
            <w:pPr>
              <w:pStyle w:val="221"/>
            </w:pPr>
            <w:r>
              <w:rPr>
                <w:rFonts w:hint="eastAsia"/>
                <w:spacing w:val="6"/>
              </w:rPr>
              <w:t>苯系物</w:t>
            </w:r>
          </w:p>
        </w:tc>
        <w:tc>
          <w:tcPr>
            <w:tcW w:w="1701" w:type="dxa"/>
            <w:vAlign w:val="center"/>
          </w:tcPr>
          <w:p w14:paraId="585B7D58">
            <w:pPr>
              <w:pStyle w:val="221"/>
            </w:pPr>
            <w:r>
              <w:rPr>
                <w:spacing w:val="3"/>
              </w:rPr>
              <w:t>0.002</w:t>
            </w:r>
          </w:p>
        </w:tc>
        <w:tc>
          <w:tcPr>
            <w:tcW w:w="1276" w:type="dxa"/>
            <w:vAlign w:val="center"/>
          </w:tcPr>
          <w:p w14:paraId="7DC088E5">
            <w:pPr>
              <w:pStyle w:val="221"/>
            </w:pPr>
            <w:r>
              <w:rPr>
                <w:spacing w:val="2"/>
              </w:rPr>
              <w:t>0.002</w:t>
            </w:r>
          </w:p>
        </w:tc>
        <w:tc>
          <w:tcPr>
            <w:tcW w:w="1702" w:type="dxa"/>
            <w:vAlign w:val="center"/>
          </w:tcPr>
          <w:p w14:paraId="579433DF">
            <w:pPr>
              <w:pStyle w:val="221"/>
              <w:rPr>
                <w:szCs w:val="21"/>
              </w:rPr>
            </w:pPr>
            <w:r>
              <w:t>0</w:t>
            </w:r>
          </w:p>
        </w:tc>
        <w:tc>
          <w:tcPr>
            <w:tcW w:w="1416" w:type="dxa"/>
            <w:vAlign w:val="center"/>
          </w:tcPr>
          <w:p w14:paraId="4B0BA68E">
            <w:pPr>
              <w:pStyle w:val="221"/>
            </w:pPr>
            <w:r>
              <w:rPr>
                <w:rFonts w:hint="eastAsia"/>
              </w:rPr>
              <w:t>0</w:t>
            </w:r>
          </w:p>
        </w:tc>
        <w:tc>
          <w:tcPr>
            <w:tcW w:w="1843" w:type="dxa"/>
            <w:vAlign w:val="center"/>
          </w:tcPr>
          <w:p w14:paraId="45445091">
            <w:pPr>
              <w:pStyle w:val="221"/>
            </w:pPr>
            <w:r>
              <w:rPr>
                <w:rFonts w:hint="eastAsia"/>
              </w:rPr>
              <w:t>0</w:t>
            </w:r>
          </w:p>
        </w:tc>
        <w:tc>
          <w:tcPr>
            <w:tcW w:w="1697" w:type="dxa"/>
            <w:vAlign w:val="center"/>
          </w:tcPr>
          <w:p w14:paraId="6A4B17C5">
            <w:pPr>
              <w:pStyle w:val="221"/>
            </w:pPr>
            <w:r>
              <w:t>0.002</w:t>
            </w:r>
          </w:p>
        </w:tc>
        <w:tc>
          <w:tcPr>
            <w:tcW w:w="1308" w:type="dxa"/>
            <w:tcBorders>
              <w:right w:val="single" w:color="000000" w:sz="6" w:space="0"/>
            </w:tcBorders>
            <w:vAlign w:val="center"/>
          </w:tcPr>
          <w:p w14:paraId="1E9A257C">
            <w:pPr>
              <w:pStyle w:val="221"/>
            </w:pPr>
            <w:r>
              <w:rPr>
                <w:rFonts w:hint="eastAsia"/>
              </w:rPr>
              <w:t>0</w:t>
            </w:r>
          </w:p>
        </w:tc>
      </w:tr>
      <w:tr w14:paraId="5FA3A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000000" w:sz="6" w:space="0"/>
            </w:tcBorders>
            <w:vAlign w:val="center"/>
          </w:tcPr>
          <w:p w14:paraId="4C79A481">
            <w:pPr>
              <w:pStyle w:val="221"/>
            </w:pPr>
          </w:p>
        </w:tc>
        <w:tc>
          <w:tcPr>
            <w:tcW w:w="2126" w:type="dxa"/>
            <w:vAlign w:val="center"/>
          </w:tcPr>
          <w:p w14:paraId="4B83CAA5">
            <w:pPr>
              <w:pStyle w:val="221"/>
            </w:pPr>
            <w:r>
              <w:rPr>
                <w:rFonts w:hint="eastAsia"/>
                <w:spacing w:val="4"/>
              </w:rPr>
              <w:t>酚类</w:t>
            </w:r>
          </w:p>
        </w:tc>
        <w:tc>
          <w:tcPr>
            <w:tcW w:w="1701" w:type="dxa"/>
            <w:vAlign w:val="center"/>
          </w:tcPr>
          <w:p w14:paraId="047582E6">
            <w:pPr>
              <w:pStyle w:val="221"/>
            </w:pPr>
            <w:r>
              <w:rPr>
                <w:spacing w:val="3"/>
              </w:rPr>
              <w:t>0.012</w:t>
            </w:r>
          </w:p>
        </w:tc>
        <w:tc>
          <w:tcPr>
            <w:tcW w:w="1276" w:type="dxa"/>
            <w:vAlign w:val="center"/>
          </w:tcPr>
          <w:p w14:paraId="6CEC865E">
            <w:pPr>
              <w:pStyle w:val="221"/>
            </w:pPr>
            <w:r>
              <w:rPr>
                <w:spacing w:val="2"/>
              </w:rPr>
              <w:t>0.012</w:t>
            </w:r>
          </w:p>
        </w:tc>
        <w:tc>
          <w:tcPr>
            <w:tcW w:w="1702" w:type="dxa"/>
            <w:vAlign w:val="center"/>
          </w:tcPr>
          <w:p w14:paraId="1CF97402">
            <w:pPr>
              <w:pStyle w:val="221"/>
              <w:rPr>
                <w:szCs w:val="21"/>
              </w:rPr>
            </w:pPr>
            <w:r>
              <w:t>0</w:t>
            </w:r>
          </w:p>
        </w:tc>
        <w:tc>
          <w:tcPr>
            <w:tcW w:w="1416" w:type="dxa"/>
            <w:vAlign w:val="center"/>
          </w:tcPr>
          <w:p w14:paraId="440D6089">
            <w:pPr>
              <w:pStyle w:val="221"/>
            </w:pPr>
            <w:r>
              <w:rPr>
                <w:rFonts w:hint="eastAsia"/>
              </w:rPr>
              <w:t>0</w:t>
            </w:r>
          </w:p>
        </w:tc>
        <w:tc>
          <w:tcPr>
            <w:tcW w:w="1843" w:type="dxa"/>
            <w:vAlign w:val="center"/>
          </w:tcPr>
          <w:p w14:paraId="6A17823B">
            <w:pPr>
              <w:pStyle w:val="221"/>
            </w:pPr>
            <w:r>
              <w:rPr>
                <w:rFonts w:hint="eastAsia"/>
              </w:rPr>
              <w:t>0</w:t>
            </w:r>
          </w:p>
        </w:tc>
        <w:tc>
          <w:tcPr>
            <w:tcW w:w="1697" w:type="dxa"/>
            <w:vAlign w:val="center"/>
          </w:tcPr>
          <w:p w14:paraId="699D6455">
            <w:pPr>
              <w:pStyle w:val="221"/>
            </w:pPr>
            <w:r>
              <w:t>0.012</w:t>
            </w:r>
          </w:p>
        </w:tc>
        <w:tc>
          <w:tcPr>
            <w:tcW w:w="1308" w:type="dxa"/>
            <w:tcBorders>
              <w:right w:val="single" w:color="000000" w:sz="6" w:space="0"/>
            </w:tcBorders>
            <w:vAlign w:val="center"/>
          </w:tcPr>
          <w:p w14:paraId="245CB53A">
            <w:pPr>
              <w:pStyle w:val="221"/>
            </w:pPr>
            <w:r>
              <w:rPr>
                <w:rFonts w:hint="eastAsia"/>
              </w:rPr>
              <w:t>0</w:t>
            </w:r>
          </w:p>
        </w:tc>
      </w:tr>
      <w:tr w14:paraId="07ACB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000000" w:sz="6" w:space="0"/>
              <w:bottom w:val="single" w:color="auto" w:sz="4" w:space="0"/>
            </w:tcBorders>
            <w:vAlign w:val="center"/>
          </w:tcPr>
          <w:p w14:paraId="20A16C47">
            <w:pPr>
              <w:pStyle w:val="221"/>
            </w:pPr>
          </w:p>
        </w:tc>
        <w:tc>
          <w:tcPr>
            <w:tcW w:w="2126" w:type="dxa"/>
            <w:vAlign w:val="center"/>
          </w:tcPr>
          <w:p w14:paraId="519899F9">
            <w:pPr>
              <w:pStyle w:val="221"/>
            </w:pPr>
            <w:r>
              <w:rPr>
                <w:rFonts w:hint="eastAsia"/>
              </w:rPr>
              <w:t>硫化氢</w:t>
            </w:r>
          </w:p>
        </w:tc>
        <w:tc>
          <w:tcPr>
            <w:tcW w:w="1701" w:type="dxa"/>
            <w:vAlign w:val="center"/>
          </w:tcPr>
          <w:p w14:paraId="0357401C">
            <w:pPr>
              <w:pStyle w:val="221"/>
            </w:pPr>
            <w:r>
              <w:rPr>
                <w:spacing w:val="3"/>
              </w:rPr>
              <w:t>0.0009</w:t>
            </w:r>
          </w:p>
        </w:tc>
        <w:tc>
          <w:tcPr>
            <w:tcW w:w="1276" w:type="dxa"/>
            <w:vAlign w:val="center"/>
          </w:tcPr>
          <w:p w14:paraId="2A800FC8">
            <w:pPr>
              <w:pStyle w:val="221"/>
            </w:pPr>
            <w:r>
              <w:rPr>
                <w:spacing w:val="3"/>
              </w:rPr>
              <w:t>0.0009</w:t>
            </w:r>
          </w:p>
        </w:tc>
        <w:tc>
          <w:tcPr>
            <w:tcW w:w="1702" w:type="dxa"/>
            <w:vAlign w:val="center"/>
          </w:tcPr>
          <w:p w14:paraId="4228036C">
            <w:pPr>
              <w:pStyle w:val="221"/>
            </w:pPr>
            <w:r>
              <w:t>0</w:t>
            </w:r>
          </w:p>
        </w:tc>
        <w:tc>
          <w:tcPr>
            <w:tcW w:w="1416" w:type="dxa"/>
            <w:vAlign w:val="center"/>
          </w:tcPr>
          <w:p w14:paraId="496999DC">
            <w:pPr>
              <w:pStyle w:val="221"/>
            </w:pPr>
            <w:r>
              <w:rPr>
                <w:rFonts w:hint="eastAsia"/>
              </w:rPr>
              <w:t>0</w:t>
            </w:r>
          </w:p>
        </w:tc>
        <w:tc>
          <w:tcPr>
            <w:tcW w:w="1843" w:type="dxa"/>
            <w:vAlign w:val="center"/>
          </w:tcPr>
          <w:p w14:paraId="1BF43792">
            <w:pPr>
              <w:pStyle w:val="221"/>
            </w:pPr>
            <w:r>
              <w:rPr>
                <w:rFonts w:hint="eastAsia"/>
              </w:rPr>
              <w:t>0</w:t>
            </w:r>
          </w:p>
        </w:tc>
        <w:tc>
          <w:tcPr>
            <w:tcW w:w="1697" w:type="dxa"/>
            <w:vAlign w:val="center"/>
          </w:tcPr>
          <w:p w14:paraId="3071687E">
            <w:pPr>
              <w:pStyle w:val="221"/>
            </w:pPr>
            <w:r>
              <w:t>0.0009</w:t>
            </w:r>
          </w:p>
        </w:tc>
        <w:tc>
          <w:tcPr>
            <w:tcW w:w="1308" w:type="dxa"/>
            <w:tcBorders>
              <w:right w:val="single" w:color="000000" w:sz="6" w:space="0"/>
            </w:tcBorders>
            <w:vAlign w:val="center"/>
          </w:tcPr>
          <w:p w14:paraId="79853016">
            <w:pPr>
              <w:pStyle w:val="221"/>
            </w:pPr>
            <w:r>
              <w:rPr>
                <w:rFonts w:hint="eastAsia"/>
              </w:rPr>
              <w:t>0</w:t>
            </w:r>
          </w:p>
        </w:tc>
      </w:tr>
      <w:tr w14:paraId="2A2B1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restart"/>
            <w:tcBorders>
              <w:top w:val="single" w:color="auto" w:sz="4" w:space="0"/>
              <w:left w:val="single" w:color="auto" w:sz="4" w:space="0"/>
              <w:right w:val="single" w:color="auto" w:sz="4" w:space="0"/>
            </w:tcBorders>
            <w:vAlign w:val="center"/>
          </w:tcPr>
          <w:p w14:paraId="42B39193">
            <w:pPr>
              <w:pStyle w:val="221"/>
            </w:pPr>
            <w:r>
              <w:rPr>
                <w:rFonts w:hint="eastAsia"/>
              </w:rPr>
              <w:t>废水</w:t>
            </w:r>
          </w:p>
        </w:tc>
        <w:tc>
          <w:tcPr>
            <w:tcW w:w="2126" w:type="dxa"/>
            <w:tcBorders>
              <w:left w:val="single" w:color="auto" w:sz="4" w:space="0"/>
            </w:tcBorders>
            <w:vAlign w:val="center"/>
          </w:tcPr>
          <w:p w14:paraId="5CC94F9D">
            <w:pPr>
              <w:pStyle w:val="221"/>
            </w:pPr>
            <w:r>
              <w:rPr>
                <w:rFonts w:hint="eastAsia"/>
              </w:rPr>
              <w:t>废水量</w:t>
            </w:r>
          </w:p>
        </w:tc>
        <w:tc>
          <w:tcPr>
            <w:tcW w:w="1701" w:type="dxa"/>
            <w:vAlign w:val="center"/>
          </w:tcPr>
          <w:p w14:paraId="2598841E">
            <w:pPr>
              <w:pStyle w:val="221"/>
            </w:pPr>
            <w:r>
              <w:t>3724.8</w:t>
            </w:r>
          </w:p>
        </w:tc>
        <w:tc>
          <w:tcPr>
            <w:tcW w:w="1276" w:type="dxa"/>
            <w:vAlign w:val="center"/>
          </w:tcPr>
          <w:p w14:paraId="6624C172">
            <w:pPr>
              <w:pStyle w:val="221"/>
            </w:pPr>
            <w:r>
              <w:t>3724.8</w:t>
            </w:r>
          </w:p>
        </w:tc>
        <w:tc>
          <w:tcPr>
            <w:tcW w:w="1702" w:type="dxa"/>
            <w:vAlign w:val="center"/>
          </w:tcPr>
          <w:p w14:paraId="4222B872">
            <w:pPr>
              <w:pStyle w:val="221"/>
            </w:pPr>
            <w:r>
              <w:t>148.8</w:t>
            </w:r>
          </w:p>
        </w:tc>
        <w:tc>
          <w:tcPr>
            <w:tcW w:w="1416" w:type="dxa"/>
            <w:vAlign w:val="center"/>
          </w:tcPr>
          <w:p w14:paraId="7A5532E4">
            <w:pPr>
              <w:pStyle w:val="221"/>
            </w:pPr>
            <w:r>
              <w:t>0</w:t>
            </w:r>
          </w:p>
        </w:tc>
        <w:tc>
          <w:tcPr>
            <w:tcW w:w="1843" w:type="dxa"/>
            <w:vAlign w:val="center"/>
          </w:tcPr>
          <w:p w14:paraId="60764454">
            <w:pPr>
              <w:pStyle w:val="221"/>
            </w:pPr>
            <w:r>
              <w:t>0</w:t>
            </w:r>
          </w:p>
        </w:tc>
        <w:tc>
          <w:tcPr>
            <w:tcW w:w="1697" w:type="dxa"/>
            <w:vAlign w:val="center"/>
          </w:tcPr>
          <w:p w14:paraId="5302FE03">
            <w:pPr>
              <w:pStyle w:val="221"/>
            </w:pPr>
            <w:r>
              <w:t>3873.6</w:t>
            </w:r>
          </w:p>
        </w:tc>
        <w:tc>
          <w:tcPr>
            <w:tcW w:w="1308" w:type="dxa"/>
            <w:tcBorders>
              <w:right w:val="single" w:color="000000" w:sz="6" w:space="0"/>
            </w:tcBorders>
            <w:vAlign w:val="center"/>
          </w:tcPr>
          <w:p w14:paraId="2DC4DB77">
            <w:pPr>
              <w:pStyle w:val="221"/>
            </w:pPr>
            <w:r>
              <w:t>0</w:t>
            </w:r>
          </w:p>
        </w:tc>
      </w:tr>
      <w:tr w14:paraId="40972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auto" w:sz="4" w:space="0"/>
              <w:right w:val="single" w:color="auto" w:sz="4" w:space="0"/>
            </w:tcBorders>
            <w:vAlign w:val="center"/>
          </w:tcPr>
          <w:p w14:paraId="077B1C6B">
            <w:pPr>
              <w:pStyle w:val="221"/>
            </w:pPr>
          </w:p>
        </w:tc>
        <w:tc>
          <w:tcPr>
            <w:tcW w:w="2126" w:type="dxa"/>
            <w:tcBorders>
              <w:left w:val="single" w:color="auto" w:sz="4" w:space="0"/>
            </w:tcBorders>
            <w:vAlign w:val="center"/>
          </w:tcPr>
          <w:p w14:paraId="2E266C25">
            <w:pPr>
              <w:pStyle w:val="221"/>
            </w:pPr>
            <w:r>
              <w:t>COD</w:t>
            </w:r>
          </w:p>
        </w:tc>
        <w:tc>
          <w:tcPr>
            <w:tcW w:w="1701" w:type="dxa"/>
            <w:vAlign w:val="center"/>
          </w:tcPr>
          <w:p w14:paraId="09305E8B">
            <w:pPr>
              <w:pStyle w:val="221"/>
            </w:pPr>
            <w:r>
              <w:t>0.42</w:t>
            </w:r>
          </w:p>
        </w:tc>
        <w:tc>
          <w:tcPr>
            <w:tcW w:w="1276" w:type="dxa"/>
            <w:vAlign w:val="center"/>
          </w:tcPr>
          <w:p w14:paraId="74F67195">
            <w:pPr>
              <w:pStyle w:val="221"/>
            </w:pPr>
            <w:r>
              <w:t>0.42</w:t>
            </w:r>
          </w:p>
        </w:tc>
        <w:tc>
          <w:tcPr>
            <w:tcW w:w="1702" w:type="dxa"/>
            <w:vAlign w:val="center"/>
          </w:tcPr>
          <w:p w14:paraId="42B04562">
            <w:pPr>
              <w:pStyle w:val="221"/>
            </w:pPr>
            <w:r>
              <w:t>0.04</w:t>
            </w:r>
            <w:r>
              <w:rPr>
                <w:rFonts w:hint="eastAsia"/>
              </w:rPr>
              <w:t>4</w:t>
            </w:r>
          </w:p>
        </w:tc>
        <w:tc>
          <w:tcPr>
            <w:tcW w:w="1416" w:type="dxa"/>
            <w:vAlign w:val="center"/>
          </w:tcPr>
          <w:p w14:paraId="42389E3D">
            <w:pPr>
              <w:pStyle w:val="221"/>
            </w:pPr>
            <w:r>
              <w:t>0</w:t>
            </w:r>
          </w:p>
        </w:tc>
        <w:tc>
          <w:tcPr>
            <w:tcW w:w="1843" w:type="dxa"/>
            <w:vAlign w:val="center"/>
          </w:tcPr>
          <w:p w14:paraId="0018BAA2">
            <w:pPr>
              <w:pStyle w:val="221"/>
            </w:pPr>
            <w:r>
              <w:t>0</w:t>
            </w:r>
          </w:p>
        </w:tc>
        <w:tc>
          <w:tcPr>
            <w:tcW w:w="1697" w:type="dxa"/>
            <w:vAlign w:val="center"/>
          </w:tcPr>
          <w:p w14:paraId="68298F6C">
            <w:pPr>
              <w:pStyle w:val="221"/>
            </w:pPr>
            <w:r>
              <w:t>0.46</w:t>
            </w:r>
            <w:r>
              <w:rPr>
                <w:rFonts w:hint="eastAsia"/>
              </w:rPr>
              <w:t>4</w:t>
            </w:r>
          </w:p>
        </w:tc>
        <w:tc>
          <w:tcPr>
            <w:tcW w:w="1308" w:type="dxa"/>
            <w:tcBorders>
              <w:right w:val="single" w:color="000000" w:sz="6" w:space="0"/>
            </w:tcBorders>
            <w:vAlign w:val="center"/>
          </w:tcPr>
          <w:p w14:paraId="7839352D">
            <w:pPr>
              <w:pStyle w:val="221"/>
            </w:pPr>
            <w:r>
              <w:t>0</w:t>
            </w:r>
          </w:p>
        </w:tc>
      </w:tr>
      <w:tr w14:paraId="3FA4E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auto" w:sz="4" w:space="0"/>
              <w:right w:val="single" w:color="auto" w:sz="4" w:space="0"/>
            </w:tcBorders>
            <w:vAlign w:val="center"/>
          </w:tcPr>
          <w:p w14:paraId="063EFE9D">
            <w:pPr>
              <w:pStyle w:val="221"/>
            </w:pPr>
          </w:p>
        </w:tc>
        <w:tc>
          <w:tcPr>
            <w:tcW w:w="2126" w:type="dxa"/>
            <w:tcBorders>
              <w:left w:val="single" w:color="auto" w:sz="4" w:space="0"/>
            </w:tcBorders>
            <w:vAlign w:val="center"/>
          </w:tcPr>
          <w:p w14:paraId="2F4B7C92">
            <w:pPr>
              <w:pStyle w:val="221"/>
            </w:pPr>
            <w:r>
              <w:rPr>
                <w:rFonts w:hint="eastAsia"/>
              </w:rPr>
              <w:t>动植物油</w:t>
            </w:r>
          </w:p>
        </w:tc>
        <w:tc>
          <w:tcPr>
            <w:tcW w:w="1701" w:type="dxa"/>
            <w:vAlign w:val="center"/>
          </w:tcPr>
          <w:p w14:paraId="25B2C48E">
            <w:pPr>
              <w:pStyle w:val="221"/>
            </w:pPr>
            <w:r>
              <w:t>0.04</w:t>
            </w:r>
          </w:p>
        </w:tc>
        <w:tc>
          <w:tcPr>
            <w:tcW w:w="1276" w:type="dxa"/>
            <w:vAlign w:val="center"/>
          </w:tcPr>
          <w:p w14:paraId="6BC85B40">
            <w:pPr>
              <w:pStyle w:val="221"/>
            </w:pPr>
            <w:r>
              <w:t>0.04</w:t>
            </w:r>
          </w:p>
        </w:tc>
        <w:tc>
          <w:tcPr>
            <w:tcW w:w="1702" w:type="dxa"/>
            <w:vAlign w:val="center"/>
          </w:tcPr>
          <w:p w14:paraId="3F3D8222">
            <w:pPr>
              <w:pStyle w:val="221"/>
            </w:pPr>
            <w:r>
              <w:t>0</w:t>
            </w:r>
          </w:p>
        </w:tc>
        <w:tc>
          <w:tcPr>
            <w:tcW w:w="1416" w:type="dxa"/>
            <w:vAlign w:val="center"/>
          </w:tcPr>
          <w:p w14:paraId="26BD5B06">
            <w:pPr>
              <w:pStyle w:val="221"/>
            </w:pPr>
            <w:r>
              <w:t>0</w:t>
            </w:r>
          </w:p>
        </w:tc>
        <w:tc>
          <w:tcPr>
            <w:tcW w:w="1843" w:type="dxa"/>
            <w:vAlign w:val="center"/>
          </w:tcPr>
          <w:p w14:paraId="116C7383">
            <w:pPr>
              <w:pStyle w:val="221"/>
            </w:pPr>
            <w:r>
              <w:t>0</w:t>
            </w:r>
          </w:p>
        </w:tc>
        <w:tc>
          <w:tcPr>
            <w:tcW w:w="1697" w:type="dxa"/>
            <w:vAlign w:val="center"/>
          </w:tcPr>
          <w:p w14:paraId="68FD086F">
            <w:pPr>
              <w:pStyle w:val="221"/>
            </w:pPr>
            <w:r>
              <w:t>0.04</w:t>
            </w:r>
            <w:r>
              <w:rPr>
                <w:rFonts w:hint="eastAsia"/>
              </w:rPr>
              <w:t>0</w:t>
            </w:r>
          </w:p>
        </w:tc>
        <w:tc>
          <w:tcPr>
            <w:tcW w:w="1308" w:type="dxa"/>
            <w:tcBorders>
              <w:right w:val="single" w:color="000000" w:sz="6" w:space="0"/>
            </w:tcBorders>
            <w:vAlign w:val="center"/>
          </w:tcPr>
          <w:p w14:paraId="7E584303">
            <w:pPr>
              <w:pStyle w:val="221"/>
            </w:pPr>
            <w:r>
              <w:t>0</w:t>
            </w:r>
          </w:p>
        </w:tc>
      </w:tr>
      <w:tr w14:paraId="7752E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auto" w:sz="4" w:space="0"/>
              <w:right w:val="single" w:color="auto" w:sz="4" w:space="0"/>
            </w:tcBorders>
            <w:vAlign w:val="center"/>
          </w:tcPr>
          <w:p w14:paraId="002D6615">
            <w:pPr>
              <w:pStyle w:val="221"/>
            </w:pPr>
          </w:p>
        </w:tc>
        <w:tc>
          <w:tcPr>
            <w:tcW w:w="2126" w:type="dxa"/>
            <w:tcBorders>
              <w:left w:val="single" w:color="auto" w:sz="4" w:space="0"/>
            </w:tcBorders>
            <w:vAlign w:val="center"/>
          </w:tcPr>
          <w:p w14:paraId="4D96636E">
            <w:pPr>
              <w:pStyle w:val="221"/>
            </w:pPr>
            <w:r>
              <w:t>BOD</w:t>
            </w:r>
            <w:r>
              <w:rPr>
                <w:vertAlign w:val="subscript"/>
              </w:rPr>
              <w:t>5</w:t>
            </w:r>
          </w:p>
        </w:tc>
        <w:tc>
          <w:tcPr>
            <w:tcW w:w="1701" w:type="dxa"/>
            <w:vAlign w:val="center"/>
          </w:tcPr>
          <w:p w14:paraId="229B569B">
            <w:pPr>
              <w:pStyle w:val="221"/>
            </w:pPr>
            <w:r>
              <w:t>0.059</w:t>
            </w:r>
          </w:p>
        </w:tc>
        <w:tc>
          <w:tcPr>
            <w:tcW w:w="1276" w:type="dxa"/>
            <w:vAlign w:val="center"/>
          </w:tcPr>
          <w:p w14:paraId="6DC3B404">
            <w:pPr>
              <w:pStyle w:val="221"/>
            </w:pPr>
            <w:r>
              <w:t>0.059</w:t>
            </w:r>
          </w:p>
        </w:tc>
        <w:tc>
          <w:tcPr>
            <w:tcW w:w="1702" w:type="dxa"/>
            <w:vAlign w:val="center"/>
          </w:tcPr>
          <w:p w14:paraId="2242F9E9">
            <w:pPr>
              <w:pStyle w:val="221"/>
            </w:pPr>
            <w:r>
              <w:t>0.0174</w:t>
            </w:r>
          </w:p>
        </w:tc>
        <w:tc>
          <w:tcPr>
            <w:tcW w:w="1416" w:type="dxa"/>
            <w:vAlign w:val="center"/>
          </w:tcPr>
          <w:p w14:paraId="00545E96">
            <w:pPr>
              <w:pStyle w:val="221"/>
            </w:pPr>
            <w:r>
              <w:t>0</w:t>
            </w:r>
          </w:p>
        </w:tc>
        <w:tc>
          <w:tcPr>
            <w:tcW w:w="1843" w:type="dxa"/>
            <w:vAlign w:val="center"/>
          </w:tcPr>
          <w:p w14:paraId="2675C33B">
            <w:pPr>
              <w:pStyle w:val="221"/>
            </w:pPr>
            <w:r>
              <w:t>0</w:t>
            </w:r>
          </w:p>
        </w:tc>
        <w:tc>
          <w:tcPr>
            <w:tcW w:w="1697" w:type="dxa"/>
            <w:vAlign w:val="center"/>
          </w:tcPr>
          <w:p w14:paraId="25D1E1B8">
            <w:pPr>
              <w:pStyle w:val="221"/>
            </w:pPr>
            <w:r>
              <w:t>0.076</w:t>
            </w:r>
          </w:p>
        </w:tc>
        <w:tc>
          <w:tcPr>
            <w:tcW w:w="1308" w:type="dxa"/>
            <w:tcBorders>
              <w:right w:val="single" w:color="000000" w:sz="6" w:space="0"/>
            </w:tcBorders>
            <w:vAlign w:val="center"/>
          </w:tcPr>
          <w:p w14:paraId="6FCA60D3">
            <w:pPr>
              <w:pStyle w:val="221"/>
            </w:pPr>
            <w:r>
              <w:t>0</w:t>
            </w:r>
          </w:p>
        </w:tc>
      </w:tr>
      <w:tr w14:paraId="4B0C8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auto" w:sz="4" w:space="0"/>
              <w:right w:val="single" w:color="auto" w:sz="4" w:space="0"/>
            </w:tcBorders>
            <w:vAlign w:val="center"/>
          </w:tcPr>
          <w:p w14:paraId="08A8C29D">
            <w:pPr>
              <w:pStyle w:val="221"/>
            </w:pPr>
          </w:p>
        </w:tc>
        <w:tc>
          <w:tcPr>
            <w:tcW w:w="2126" w:type="dxa"/>
            <w:tcBorders>
              <w:left w:val="single" w:color="auto" w:sz="4" w:space="0"/>
            </w:tcBorders>
            <w:vAlign w:val="center"/>
          </w:tcPr>
          <w:p w14:paraId="57B44265">
            <w:pPr>
              <w:pStyle w:val="221"/>
            </w:pPr>
            <w:r>
              <w:t>SS</w:t>
            </w:r>
          </w:p>
        </w:tc>
        <w:tc>
          <w:tcPr>
            <w:tcW w:w="1701" w:type="dxa"/>
            <w:vAlign w:val="center"/>
          </w:tcPr>
          <w:p w14:paraId="43337CEF">
            <w:pPr>
              <w:pStyle w:val="221"/>
            </w:pPr>
            <w:r>
              <w:t>0.04</w:t>
            </w:r>
          </w:p>
        </w:tc>
        <w:tc>
          <w:tcPr>
            <w:tcW w:w="1276" w:type="dxa"/>
            <w:vAlign w:val="center"/>
          </w:tcPr>
          <w:p w14:paraId="4D417788">
            <w:pPr>
              <w:pStyle w:val="221"/>
            </w:pPr>
            <w:r>
              <w:t>0.04</w:t>
            </w:r>
          </w:p>
        </w:tc>
        <w:tc>
          <w:tcPr>
            <w:tcW w:w="1702" w:type="dxa"/>
            <w:vAlign w:val="center"/>
          </w:tcPr>
          <w:p w14:paraId="544C9453">
            <w:pPr>
              <w:pStyle w:val="221"/>
            </w:pPr>
            <w:r>
              <w:t>0.0158</w:t>
            </w:r>
          </w:p>
        </w:tc>
        <w:tc>
          <w:tcPr>
            <w:tcW w:w="1416" w:type="dxa"/>
            <w:vAlign w:val="center"/>
          </w:tcPr>
          <w:p w14:paraId="214180EE">
            <w:pPr>
              <w:pStyle w:val="221"/>
            </w:pPr>
            <w:r>
              <w:t>0</w:t>
            </w:r>
          </w:p>
        </w:tc>
        <w:tc>
          <w:tcPr>
            <w:tcW w:w="1843" w:type="dxa"/>
            <w:vAlign w:val="center"/>
          </w:tcPr>
          <w:p w14:paraId="56C1A8E0">
            <w:pPr>
              <w:pStyle w:val="221"/>
            </w:pPr>
            <w:r>
              <w:t>0</w:t>
            </w:r>
          </w:p>
        </w:tc>
        <w:tc>
          <w:tcPr>
            <w:tcW w:w="1697" w:type="dxa"/>
            <w:vAlign w:val="center"/>
          </w:tcPr>
          <w:p w14:paraId="1C2353EF">
            <w:pPr>
              <w:pStyle w:val="221"/>
            </w:pPr>
            <w:r>
              <w:t>0.05</w:t>
            </w:r>
            <w:r>
              <w:rPr>
                <w:rFonts w:hint="eastAsia"/>
              </w:rPr>
              <w:t>6</w:t>
            </w:r>
          </w:p>
        </w:tc>
        <w:tc>
          <w:tcPr>
            <w:tcW w:w="1308" w:type="dxa"/>
            <w:tcBorders>
              <w:right w:val="single" w:color="000000" w:sz="6" w:space="0"/>
            </w:tcBorders>
            <w:vAlign w:val="center"/>
          </w:tcPr>
          <w:p w14:paraId="6FBB0E78">
            <w:pPr>
              <w:pStyle w:val="221"/>
            </w:pPr>
            <w:r>
              <w:t>0</w:t>
            </w:r>
          </w:p>
        </w:tc>
      </w:tr>
      <w:tr w14:paraId="7E534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auto" w:sz="4" w:space="0"/>
              <w:bottom w:val="single" w:color="auto" w:sz="4" w:space="0"/>
              <w:right w:val="single" w:color="auto" w:sz="4" w:space="0"/>
            </w:tcBorders>
            <w:vAlign w:val="center"/>
          </w:tcPr>
          <w:p w14:paraId="1B2DA46A">
            <w:pPr>
              <w:pStyle w:val="221"/>
            </w:pPr>
          </w:p>
        </w:tc>
        <w:tc>
          <w:tcPr>
            <w:tcW w:w="2126" w:type="dxa"/>
            <w:tcBorders>
              <w:left w:val="single" w:color="auto" w:sz="4" w:space="0"/>
            </w:tcBorders>
            <w:vAlign w:val="center"/>
          </w:tcPr>
          <w:p w14:paraId="16776E82">
            <w:pPr>
              <w:pStyle w:val="221"/>
            </w:pPr>
            <w:r>
              <w:t>NH</w:t>
            </w:r>
            <w:r>
              <w:rPr>
                <w:vertAlign w:val="subscript"/>
              </w:rPr>
              <w:t>3</w:t>
            </w:r>
            <w:r>
              <w:t>-N</w:t>
            </w:r>
          </w:p>
        </w:tc>
        <w:tc>
          <w:tcPr>
            <w:tcW w:w="1701" w:type="dxa"/>
            <w:vAlign w:val="center"/>
          </w:tcPr>
          <w:p w14:paraId="3F8619F1">
            <w:pPr>
              <w:pStyle w:val="221"/>
            </w:pPr>
            <w:r>
              <w:t>0.19</w:t>
            </w:r>
          </w:p>
        </w:tc>
        <w:tc>
          <w:tcPr>
            <w:tcW w:w="1276" w:type="dxa"/>
            <w:vAlign w:val="center"/>
          </w:tcPr>
          <w:p w14:paraId="7CFAA9ED">
            <w:pPr>
              <w:pStyle w:val="221"/>
            </w:pPr>
            <w:r>
              <w:t>0.19</w:t>
            </w:r>
          </w:p>
        </w:tc>
        <w:tc>
          <w:tcPr>
            <w:tcW w:w="1702" w:type="dxa"/>
            <w:vAlign w:val="center"/>
          </w:tcPr>
          <w:p w14:paraId="49CF134A">
            <w:pPr>
              <w:pStyle w:val="221"/>
            </w:pPr>
            <w:r>
              <w:t>0.0038</w:t>
            </w:r>
          </w:p>
        </w:tc>
        <w:tc>
          <w:tcPr>
            <w:tcW w:w="1416" w:type="dxa"/>
            <w:vAlign w:val="center"/>
          </w:tcPr>
          <w:p w14:paraId="27F4FF42">
            <w:pPr>
              <w:pStyle w:val="221"/>
            </w:pPr>
            <w:r>
              <w:t>0</w:t>
            </w:r>
          </w:p>
        </w:tc>
        <w:tc>
          <w:tcPr>
            <w:tcW w:w="1843" w:type="dxa"/>
            <w:vAlign w:val="center"/>
          </w:tcPr>
          <w:p w14:paraId="6DD1FE12">
            <w:pPr>
              <w:pStyle w:val="221"/>
            </w:pPr>
            <w:r>
              <w:t>0</w:t>
            </w:r>
          </w:p>
        </w:tc>
        <w:tc>
          <w:tcPr>
            <w:tcW w:w="1697" w:type="dxa"/>
            <w:vAlign w:val="center"/>
          </w:tcPr>
          <w:p w14:paraId="2B77E42B">
            <w:pPr>
              <w:pStyle w:val="221"/>
            </w:pPr>
            <w:r>
              <w:t>0.19</w:t>
            </w:r>
            <w:r>
              <w:rPr>
                <w:rFonts w:hint="eastAsia"/>
              </w:rPr>
              <w:t>4</w:t>
            </w:r>
          </w:p>
        </w:tc>
        <w:tc>
          <w:tcPr>
            <w:tcW w:w="1308" w:type="dxa"/>
            <w:tcBorders>
              <w:right w:val="single" w:color="000000" w:sz="6" w:space="0"/>
            </w:tcBorders>
            <w:vAlign w:val="center"/>
          </w:tcPr>
          <w:p w14:paraId="144CB49E">
            <w:pPr>
              <w:pStyle w:val="221"/>
            </w:pPr>
            <w:r>
              <w:t>0</w:t>
            </w:r>
          </w:p>
        </w:tc>
      </w:tr>
      <w:tr w14:paraId="58EA3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restart"/>
            <w:tcBorders>
              <w:top w:val="single" w:color="auto" w:sz="4" w:space="0"/>
              <w:left w:val="single" w:color="auto" w:sz="4" w:space="0"/>
              <w:right w:val="single" w:color="auto" w:sz="4" w:space="0"/>
            </w:tcBorders>
            <w:vAlign w:val="center"/>
          </w:tcPr>
          <w:p w14:paraId="207208B7">
            <w:pPr>
              <w:pStyle w:val="221"/>
            </w:pPr>
            <w:r>
              <w:rPr>
                <w:rFonts w:hint="eastAsia"/>
              </w:rPr>
              <w:t>固废</w:t>
            </w:r>
          </w:p>
        </w:tc>
        <w:tc>
          <w:tcPr>
            <w:tcW w:w="2126" w:type="dxa"/>
            <w:tcBorders>
              <w:left w:val="single" w:color="auto" w:sz="4" w:space="0"/>
            </w:tcBorders>
            <w:vAlign w:val="center"/>
          </w:tcPr>
          <w:p w14:paraId="4111B9DE">
            <w:pPr>
              <w:pStyle w:val="221"/>
            </w:pPr>
            <w:r>
              <w:rPr>
                <w:rFonts w:hint="eastAsia"/>
              </w:rPr>
              <w:t>一般固废</w:t>
            </w:r>
          </w:p>
        </w:tc>
        <w:tc>
          <w:tcPr>
            <w:tcW w:w="1701" w:type="dxa"/>
            <w:vAlign w:val="center"/>
          </w:tcPr>
          <w:p w14:paraId="79355745">
            <w:pPr>
              <w:pStyle w:val="221"/>
            </w:pPr>
            <w:r>
              <w:rPr>
                <w:rFonts w:hint="eastAsia"/>
              </w:rPr>
              <w:t>44.642</w:t>
            </w:r>
          </w:p>
        </w:tc>
        <w:tc>
          <w:tcPr>
            <w:tcW w:w="1276" w:type="dxa"/>
            <w:vAlign w:val="center"/>
          </w:tcPr>
          <w:p w14:paraId="5E15FEEF">
            <w:pPr>
              <w:pStyle w:val="221"/>
            </w:pPr>
            <w:r>
              <w:rPr>
                <w:rFonts w:hint="eastAsia"/>
              </w:rPr>
              <w:t>/</w:t>
            </w:r>
          </w:p>
        </w:tc>
        <w:tc>
          <w:tcPr>
            <w:tcW w:w="1702" w:type="dxa"/>
            <w:vAlign w:val="center"/>
          </w:tcPr>
          <w:p w14:paraId="7BEA45F0">
            <w:pPr>
              <w:pStyle w:val="221"/>
            </w:pPr>
            <w:r>
              <w:rPr>
                <w:rFonts w:hint="eastAsia"/>
              </w:rPr>
              <w:t>152.339</w:t>
            </w:r>
          </w:p>
        </w:tc>
        <w:tc>
          <w:tcPr>
            <w:tcW w:w="1416" w:type="dxa"/>
            <w:vAlign w:val="center"/>
          </w:tcPr>
          <w:p w14:paraId="51DA2302">
            <w:pPr>
              <w:pStyle w:val="221"/>
            </w:pPr>
            <w:r>
              <w:rPr>
                <w:rFonts w:hint="eastAsia"/>
              </w:rPr>
              <w:t>37.186</w:t>
            </w:r>
          </w:p>
        </w:tc>
        <w:tc>
          <w:tcPr>
            <w:tcW w:w="1843" w:type="dxa"/>
            <w:vAlign w:val="center"/>
          </w:tcPr>
          <w:p w14:paraId="75E072A3">
            <w:pPr>
              <w:pStyle w:val="221"/>
            </w:pPr>
            <w:r>
              <w:rPr>
                <w:rFonts w:hint="eastAsia"/>
              </w:rPr>
              <w:t>0</w:t>
            </w:r>
          </w:p>
        </w:tc>
        <w:tc>
          <w:tcPr>
            <w:tcW w:w="1697" w:type="dxa"/>
            <w:vAlign w:val="center"/>
          </w:tcPr>
          <w:p w14:paraId="2520C037">
            <w:pPr>
              <w:pStyle w:val="221"/>
            </w:pPr>
            <w:r>
              <w:rPr>
                <w:rFonts w:hint="eastAsia"/>
              </w:rPr>
              <w:t>234.167</w:t>
            </w:r>
          </w:p>
        </w:tc>
        <w:tc>
          <w:tcPr>
            <w:tcW w:w="1308" w:type="dxa"/>
            <w:tcBorders>
              <w:right w:val="single" w:color="000000" w:sz="6" w:space="0"/>
            </w:tcBorders>
            <w:vAlign w:val="center"/>
          </w:tcPr>
          <w:p w14:paraId="34477057">
            <w:pPr>
              <w:pStyle w:val="221"/>
            </w:pPr>
            <w:r>
              <w:rPr>
                <w:rFonts w:hint="eastAsia"/>
              </w:rPr>
              <w:t>+37.186</w:t>
            </w:r>
          </w:p>
        </w:tc>
      </w:tr>
      <w:tr w14:paraId="4AB78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52" w:type="dxa"/>
            <w:vMerge w:val="continue"/>
            <w:tcBorders>
              <w:left w:val="single" w:color="auto" w:sz="4" w:space="0"/>
              <w:right w:val="single" w:color="auto" w:sz="4" w:space="0"/>
            </w:tcBorders>
            <w:vAlign w:val="center"/>
          </w:tcPr>
          <w:p w14:paraId="75DDC667">
            <w:pPr>
              <w:pStyle w:val="221"/>
            </w:pPr>
          </w:p>
        </w:tc>
        <w:tc>
          <w:tcPr>
            <w:tcW w:w="2126" w:type="dxa"/>
            <w:tcBorders>
              <w:left w:val="single" w:color="auto" w:sz="4" w:space="0"/>
            </w:tcBorders>
            <w:vAlign w:val="center"/>
          </w:tcPr>
          <w:p w14:paraId="484B48DE">
            <w:pPr>
              <w:pStyle w:val="221"/>
            </w:pPr>
            <w:r>
              <w:rPr>
                <w:rFonts w:hint="eastAsia"/>
              </w:rPr>
              <w:t>危险废物</w:t>
            </w:r>
          </w:p>
        </w:tc>
        <w:tc>
          <w:tcPr>
            <w:tcW w:w="1701" w:type="dxa"/>
            <w:vAlign w:val="center"/>
          </w:tcPr>
          <w:p w14:paraId="0FCE57E8">
            <w:pPr>
              <w:pStyle w:val="221"/>
            </w:pPr>
            <w:r>
              <w:rPr>
                <w:rFonts w:hint="eastAsia"/>
              </w:rPr>
              <w:t>14.806</w:t>
            </w:r>
          </w:p>
        </w:tc>
        <w:tc>
          <w:tcPr>
            <w:tcW w:w="1276" w:type="dxa"/>
            <w:vAlign w:val="center"/>
          </w:tcPr>
          <w:p w14:paraId="6F7C2DCE">
            <w:pPr>
              <w:pStyle w:val="221"/>
            </w:pPr>
            <w:r>
              <w:rPr>
                <w:rFonts w:hint="eastAsia"/>
              </w:rPr>
              <w:t>/</w:t>
            </w:r>
          </w:p>
        </w:tc>
        <w:tc>
          <w:tcPr>
            <w:tcW w:w="1702" w:type="dxa"/>
            <w:vAlign w:val="center"/>
          </w:tcPr>
          <w:p w14:paraId="61835377">
            <w:pPr>
              <w:pStyle w:val="221"/>
            </w:pPr>
            <w:r>
              <w:rPr>
                <w:rFonts w:hint="eastAsia"/>
              </w:rPr>
              <w:t>23.038</w:t>
            </w:r>
          </w:p>
        </w:tc>
        <w:tc>
          <w:tcPr>
            <w:tcW w:w="1416" w:type="dxa"/>
            <w:vAlign w:val="center"/>
          </w:tcPr>
          <w:p w14:paraId="62732991">
            <w:pPr>
              <w:pStyle w:val="221"/>
            </w:pPr>
            <w:r>
              <w:rPr>
                <w:rFonts w:hint="eastAsia"/>
              </w:rPr>
              <w:t>0</w:t>
            </w:r>
          </w:p>
        </w:tc>
        <w:tc>
          <w:tcPr>
            <w:tcW w:w="1843" w:type="dxa"/>
            <w:vAlign w:val="center"/>
          </w:tcPr>
          <w:p w14:paraId="7A1B890F">
            <w:pPr>
              <w:pStyle w:val="221"/>
            </w:pPr>
            <w:r>
              <w:rPr>
                <w:rFonts w:hint="eastAsia"/>
              </w:rPr>
              <w:t>0</w:t>
            </w:r>
          </w:p>
        </w:tc>
        <w:tc>
          <w:tcPr>
            <w:tcW w:w="1697" w:type="dxa"/>
            <w:vAlign w:val="center"/>
          </w:tcPr>
          <w:p w14:paraId="2A46C8B3">
            <w:pPr>
              <w:pStyle w:val="221"/>
            </w:pPr>
            <w:r>
              <w:rPr>
                <w:rFonts w:hint="eastAsia"/>
              </w:rPr>
              <w:t>37.844</w:t>
            </w:r>
          </w:p>
        </w:tc>
        <w:tc>
          <w:tcPr>
            <w:tcW w:w="1308" w:type="dxa"/>
            <w:tcBorders>
              <w:right w:val="single" w:color="000000" w:sz="6" w:space="0"/>
            </w:tcBorders>
            <w:vAlign w:val="center"/>
          </w:tcPr>
          <w:p w14:paraId="111B523C">
            <w:pPr>
              <w:pStyle w:val="221"/>
            </w:pPr>
            <w:r>
              <w:rPr>
                <w:rFonts w:hint="eastAsia"/>
              </w:rPr>
              <w:t>0</w:t>
            </w:r>
          </w:p>
        </w:tc>
      </w:tr>
    </w:tbl>
    <w:p w14:paraId="403225A1">
      <w:pPr>
        <w:pStyle w:val="68"/>
        <w:widowControl w:val="0"/>
        <w:topLinePunct/>
        <w:spacing w:beforeLines="0" w:afterLines="0" w:line="240" w:lineRule="auto"/>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snapToGrid w:val="0"/>
          <w:color w:val="000000" w:themeColor="text1"/>
          <w:kern w:val="21"/>
          <w:sz w:val="21"/>
          <w:szCs w:val="21"/>
          <w14:textFill>
            <w14:solidFill>
              <w14:schemeClr w14:val="tx1"/>
            </w14:solidFill>
          </w14:textFill>
        </w:rPr>
        <w:t>注：</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begin"/>
      </w:r>
      <w:r>
        <w:rPr>
          <w:rFonts w:ascii="Times New Roman" w:hAnsi="Times New Roman" w:eastAsia="宋体" w:cs="Times New Roman"/>
          <w:snapToGrid w:val="0"/>
          <w:color w:val="000000" w:themeColor="text1"/>
          <w:kern w:val="21"/>
          <w:sz w:val="21"/>
          <w:szCs w:val="21"/>
          <w14:textFill>
            <w14:solidFill>
              <w14:schemeClr w14:val="tx1"/>
            </w14:solidFill>
          </w14:textFill>
        </w:rPr>
        <w:instrText xml:space="preserve"> = 6 \* GB3 \* MERGEFORMAT </w:instrTex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separate"/>
      </w:r>
      <w:r>
        <w:rPr>
          <w:rFonts w:ascii="Times New Roman" w:hAnsi="Times New Roman" w:eastAsia="宋体" w:cs="Times New Roman"/>
          <w:color w:val="000000" w:themeColor="text1"/>
          <w:sz w:val="21"/>
          <w:szCs w:val="21"/>
          <w14:textFill>
            <w14:solidFill>
              <w14:schemeClr w14:val="tx1"/>
            </w14:solidFill>
          </w14:textFill>
        </w:rPr>
        <w:t>⑥</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end"/>
      </w:r>
      <w:r>
        <w:rPr>
          <w:rFonts w:ascii="Times New Roman" w:hAnsi="Times New Roman" w:eastAsia="宋体" w:cs="Times New Roman"/>
          <w:snapToGrid w:val="0"/>
          <w:color w:val="000000" w:themeColor="text1"/>
          <w:kern w:val="21"/>
          <w:sz w:val="21"/>
          <w:szCs w:val="21"/>
          <w14:textFill>
            <w14:solidFill>
              <w14:schemeClr w14:val="tx1"/>
            </w14:solidFill>
          </w14:textFill>
        </w:rPr>
        <w:t>=</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begin"/>
      </w:r>
      <w:r>
        <w:rPr>
          <w:rFonts w:ascii="Times New Roman" w:hAnsi="Times New Roman" w:eastAsia="宋体" w:cs="Times New Roman"/>
          <w:snapToGrid w:val="0"/>
          <w:color w:val="000000" w:themeColor="text1"/>
          <w:kern w:val="21"/>
          <w:sz w:val="21"/>
          <w:szCs w:val="21"/>
          <w14:textFill>
            <w14:solidFill>
              <w14:schemeClr w14:val="tx1"/>
            </w14:solidFill>
          </w14:textFill>
        </w:rPr>
        <w:instrText xml:space="preserve"> = 1 \* GB3 \* MERGEFORMAT </w:instrTex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separate"/>
      </w:r>
      <w:r>
        <w:rPr>
          <w:rFonts w:ascii="Times New Roman" w:hAnsi="Times New Roman" w:eastAsia="宋体" w:cs="Times New Roman"/>
          <w:color w:val="000000" w:themeColor="text1"/>
          <w:sz w:val="21"/>
          <w:szCs w:val="21"/>
          <w14:textFill>
            <w14:solidFill>
              <w14:schemeClr w14:val="tx1"/>
            </w14:solidFill>
          </w14:textFill>
        </w:rPr>
        <w:t>①</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end"/>
      </w:r>
      <w:r>
        <w:rPr>
          <w:rFonts w:ascii="Times New Roman" w:hAnsi="Times New Roman" w:eastAsia="宋体" w:cs="Times New Roman"/>
          <w:snapToGrid w:val="0"/>
          <w:color w:val="000000" w:themeColor="text1"/>
          <w:kern w:val="21"/>
          <w:sz w:val="21"/>
          <w:szCs w:val="21"/>
          <w14:textFill>
            <w14:solidFill>
              <w14:schemeClr w14:val="tx1"/>
            </w14:solidFill>
          </w14:textFill>
        </w:rPr>
        <w:t>+</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begin"/>
      </w:r>
      <w:r>
        <w:rPr>
          <w:rFonts w:ascii="Times New Roman" w:hAnsi="Times New Roman" w:eastAsia="宋体" w:cs="Times New Roman"/>
          <w:snapToGrid w:val="0"/>
          <w:color w:val="000000" w:themeColor="text1"/>
          <w:kern w:val="21"/>
          <w:sz w:val="21"/>
          <w:szCs w:val="21"/>
          <w14:textFill>
            <w14:solidFill>
              <w14:schemeClr w14:val="tx1"/>
            </w14:solidFill>
          </w14:textFill>
        </w:rPr>
        <w:instrText xml:space="preserve"> = 3 \* GB3 \* MERGEFORMAT </w:instrTex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separate"/>
      </w:r>
      <w:r>
        <w:rPr>
          <w:rFonts w:ascii="Times New Roman" w:hAnsi="Times New Roman" w:eastAsia="宋体" w:cs="Times New Roman"/>
          <w:color w:val="000000" w:themeColor="text1"/>
          <w:sz w:val="21"/>
          <w:szCs w:val="21"/>
          <w14:textFill>
            <w14:solidFill>
              <w14:schemeClr w14:val="tx1"/>
            </w14:solidFill>
          </w14:textFill>
        </w:rPr>
        <w:t>③</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end"/>
      </w:r>
      <w:r>
        <w:rPr>
          <w:rFonts w:ascii="Times New Roman" w:hAnsi="Times New Roman" w:eastAsia="宋体" w:cs="Times New Roman"/>
          <w:snapToGrid w:val="0"/>
          <w:color w:val="000000" w:themeColor="text1"/>
          <w:kern w:val="21"/>
          <w:sz w:val="21"/>
          <w:szCs w:val="21"/>
          <w14:textFill>
            <w14:solidFill>
              <w14:schemeClr w14:val="tx1"/>
            </w14:solidFill>
          </w14:textFill>
        </w:rPr>
        <w:t>+</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begin"/>
      </w:r>
      <w:r>
        <w:rPr>
          <w:rFonts w:ascii="Times New Roman" w:hAnsi="Times New Roman" w:eastAsia="宋体" w:cs="Times New Roman"/>
          <w:snapToGrid w:val="0"/>
          <w:color w:val="000000" w:themeColor="text1"/>
          <w:kern w:val="21"/>
          <w:sz w:val="21"/>
          <w:szCs w:val="21"/>
          <w14:textFill>
            <w14:solidFill>
              <w14:schemeClr w14:val="tx1"/>
            </w14:solidFill>
          </w14:textFill>
        </w:rPr>
        <w:instrText xml:space="preserve"> = 4 \* GB3 \* MERGEFORMAT </w:instrTex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separate"/>
      </w:r>
      <w:r>
        <w:rPr>
          <w:rFonts w:ascii="Times New Roman" w:hAnsi="Times New Roman" w:eastAsia="宋体" w:cs="Times New Roman"/>
          <w:color w:val="000000" w:themeColor="text1"/>
          <w:sz w:val="21"/>
          <w:szCs w:val="21"/>
          <w14:textFill>
            <w14:solidFill>
              <w14:schemeClr w14:val="tx1"/>
            </w14:solidFill>
          </w14:textFill>
        </w:rPr>
        <w:t>④</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end"/>
      </w:r>
      <w:r>
        <w:rPr>
          <w:rFonts w:ascii="Times New Roman" w:hAnsi="Times New Roman" w:eastAsia="宋体" w:cs="Times New Roman"/>
          <w:snapToGrid w:val="0"/>
          <w:color w:val="000000" w:themeColor="text1"/>
          <w:kern w:val="21"/>
          <w:sz w:val="21"/>
          <w:szCs w:val="21"/>
          <w14:textFill>
            <w14:solidFill>
              <w14:schemeClr w14:val="tx1"/>
            </w14:solidFill>
          </w14:textFill>
        </w:rPr>
        <w:t>-</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begin"/>
      </w:r>
      <w:r>
        <w:rPr>
          <w:rFonts w:ascii="Times New Roman" w:hAnsi="Times New Roman" w:eastAsia="宋体" w:cs="Times New Roman"/>
          <w:snapToGrid w:val="0"/>
          <w:color w:val="000000" w:themeColor="text1"/>
          <w:kern w:val="21"/>
          <w:sz w:val="21"/>
          <w:szCs w:val="21"/>
          <w14:textFill>
            <w14:solidFill>
              <w14:schemeClr w14:val="tx1"/>
            </w14:solidFill>
          </w14:textFill>
        </w:rPr>
        <w:instrText xml:space="preserve"> = 5 \* GB3 \* MERGEFORMAT </w:instrTex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separate"/>
      </w:r>
      <w:r>
        <w:rPr>
          <w:rFonts w:ascii="Times New Roman" w:hAnsi="Times New Roman" w:eastAsia="宋体" w:cs="Times New Roman"/>
          <w:color w:val="000000" w:themeColor="text1"/>
          <w:sz w:val="21"/>
          <w:szCs w:val="21"/>
          <w14:textFill>
            <w14:solidFill>
              <w14:schemeClr w14:val="tx1"/>
            </w14:solidFill>
          </w14:textFill>
        </w:rPr>
        <w:t>⑤</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end"/>
      </w:r>
      <w:r>
        <w:rPr>
          <w:rFonts w:ascii="Times New Roman" w:hAnsi="Times New Roman" w:eastAsia="宋体" w:cs="Times New Roman"/>
          <w:snapToGrid w:val="0"/>
          <w:color w:val="000000" w:themeColor="text1"/>
          <w:kern w:val="21"/>
          <w:sz w:val="21"/>
          <w:szCs w:val="21"/>
          <w14:textFill>
            <w14:solidFill>
              <w14:schemeClr w14:val="tx1"/>
            </w14:solidFill>
          </w14:textFill>
        </w:rPr>
        <w:t>；</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begin"/>
      </w:r>
      <w:r>
        <w:rPr>
          <w:rFonts w:ascii="Times New Roman" w:hAnsi="Times New Roman" w:eastAsia="宋体" w:cs="Times New Roman"/>
          <w:snapToGrid w:val="0"/>
          <w:color w:val="000000" w:themeColor="text1"/>
          <w:kern w:val="21"/>
          <w:sz w:val="21"/>
          <w:szCs w:val="21"/>
          <w14:textFill>
            <w14:solidFill>
              <w14:schemeClr w14:val="tx1"/>
            </w14:solidFill>
          </w14:textFill>
        </w:rPr>
        <w:instrText xml:space="preserve"> = 7 \* GB3 \* MERGEFORMAT </w:instrTex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separate"/>
      </w:r>
      <w:r>
        <w:rPr>
          <w:rFonts w:ascii="Times New Roman" w:hAnsi="Times New Roman" w:eastAsia="宋体" w:cs="Times New Roman"/>
          <w:color w:val="000000" w:themeColor="text1"/>
          <w:sz w:val="21"/>
          <w:szCs w:val="21"/>
          <w14:textFill>
            <w14:solidFill>
              <w14:schemeClr w14:val="tx1"/>
            </w14:solidFill>
          </w14:textFill>
        </w:rPr>
        <w:t>⑦</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end"/>
      </w:r>
      <w:r>
        <w:rPr>
          <w:rFonts w:ascii="Times New Roman" w:hAnsi="Times New Roman" w:eastAsia="宋体" w:cs="Times New Roman"/>
          <w:snapToGrid w:val="0"/>
          <w:color w:val="000000" w:themeColor="text1"/>
          <w:kern w:val="21"/>
          <w:sz w:val="21"/>
          <w:szCs w:val="21"/>
          <w14:textFill>
            <w14:solidFill>
              <w14:schemeClr w14:val="tx1"/>
            </w14:solidFill>
          </w14:textFill>
        </w:rPr>
        <w:t>=</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begin"/>
      </w:r>
      <w:r>
        <w:rPr>
          <w:rFonts w:ascii="Times New Roman" w:hAnsi="Times New Roman" w:eastAsia="宋体" w:cs="Times New Roman"/>
          <w:snapToGrid w:val="0"/>
          <w:color w:val="000000" w:themeColor="text1"/>
          <w:kern w:val="21"/>
          <w:sz w:val="21"/>
          <w:szCs w:val="21"/>
          <w14:textFill>
            <w14:solidFill>
              <w14:schemeClr w14:val="tx1"/>
            </w14:solidFill>
          </w14:textFill>
        </w:rPr>
        <w:instrText xml:space="preserve"> = 6 \* GB3 \* MERGEFORMAT </w:instrTex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separate"/>
      </w:r>
      <w:r>
        <w:rPr>
          <w:rFonts w:ascii="Times New Roman" w:hAnsi="Times New Roman" w:eastAsia="宋体" w:cs="Times New Roman"/>
          <w:color w:val="000000" w:themeColor="text1"/>
          <w:sz w:val="21"/>
          <w:szCs w:val="21"/>
          <w14:textFill>
            <w14:solidFill>
              <w14:schemeClr w14:val="tx1"/>
            </w14:solidFill>
          </w14:textFill>
        </w:rPr>
        <w:t>⑥</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end"/>
      </w:r>
      <w:r>
        <w:rPr>
          <w:rFonts w:ascii="Times New Roman" w:hAnsi="Times New Roman" w:eastAsia="宋体" w:cs="Times New Roman"/>
          <w:snapToGrid w:val="0"/>
          <w:color w:val="000000" w:themeColor="text1"/>
          <w:kern w:val="21"/>
          <w:sz w:val="21"/>
          <w:szCs w:val="21"/>
          <w14:textFill>
            <w14:solidFill>
              <w14:schemeClr w14:val="tx1"/>
            </w14:solidFill>
          </w14:textFill>
        </w:rPr>
        <w:t>-</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begin"/>
      </w:r>
      <w:r>
        <w:rPr>
          <w:rFonts w:ascii="Times New Roman" w:hAnsi="Times New Roman" w:eastAsia="宋体" w:cs="Times New Roman"/>
          <w:snapToGrid w:val="0"/>
          <w:color w:val="000000" w:themeColor="text1"/>
          <w:kern w:val="21"/>
          <w:sz w:val="21"/>
          <w:szCs w:val="21"/>
          <w14:textFill>
            <w14:solidFill>
              <w14:schemeClr w14:val="tx1"/>
            </w14:solidFill>
          </w14:textFill>
        </w:rPr>
        <w:instrText xml:space="preserve"> = 1 \* GB3 \* MERGEFORMAT </w:instrTex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separate"/>
      </w:r>
      <w:r>
        <w:rPr>
          <w:rFonts w:ascii="Times New Roman" w:hAnsi="Times New Roman" w:eastAsia="宋体" w:cs="Times New Roman"/>
          <w:color w:val="000000" w:themeColor="text1"/>
          <w:sz w:val="21"/>
          <w:szCs w:val="21"/>
          <w14:textFill>
            <w14:solidFill>
              <w14:schemeClr w14:val="tx1"/>
            </w14:solidFill>
          </w14:textFill>
        </w:rPr>
        <w:t>①</w:t>
      </w:r>
      <w:r>
        <w:rPr>
          <w:rFonts w:ascii="Times New Roman" w:hAnsi="Times New Roman" w:eastAsia="宋体" w:cs="Times New Roman"/>
          <w:snapToGrid w:val="0"/>
          <w:color w:val="000000" w:themeColor="text1"/>
          <w:kern w:val="21"/>
          <w:sz w:val="21"/>
          <w:szCs w:val="21"/>
          <w14:textFill>
            <w14:solidFill>
              <w14:schemeClr w14:val="tx1"/>
            </w14:solidFill>
          </w14:textFill>
        </w:rPr>
        <w:fldChar w:fldCharType="end"/>
      </w:r>
      <w:r>
        <w:rPr>
          <w:rFonts w:ascii="Times New Roman" w:hAnsi="Times New Roman" w:eastAsia="宋体" w:cs="Times New Roman"/>
          <w:color w:val="000000" w:themeColor="text1"/>
          <w:sz w:val="21"/>
          <w:szCs w:val="21"/>
          <w14:textFill>
            <w14:solidFill>
              <w14:schemeClr w14:val="tx1"/>
            </w14:solidFill>
          </w14:textFill>
        </w:rPr>
        <w:t>本表填写的排放量均为纳管排放量。</w:t>
      </w:r>
    </w:p>
    <w:p w14:paraId="684F7591">
      <w:pPr>
        <w:rPr>
          <w:rFonts w:ascii="Times New Roman" w:hAnsi="Times New Roman" w:eastAsia="宋体" w:cs="Times New Roman"/>
          <w:color w:val="000000" w:themeColor="text1"/>
          <w:sz w:val="21"/>
          <w:szCs w:val="21"/>
          <w14:textFill>
            <w14:solidFill>
              <w14:schemeClr w14:val="tx1"/>
            </w14:solidFill>
          </w14:textFill>
        </w:rPr>
        <w:sectPr>
          <w:footerReference r:id="rId11" w:type="default"/>
          <w:pgSz w:w="16838" w:h="11906" w:orient="landscape"/>
          <w:pgMar w:top="1417" w:right="1417" w:bottom="1417" w:left="1417" w:header="992" w:footer="992" w:gutter="0"/>
          <w:cols w:space="720" w:num="1"/>
          <w:docGrid w:linePitch="312" w:charSpace="0"/>
        </w:sectPr>
      </w:pPr>
    </w:p>
    <w:p w14:paraId="02CB8E75">
      <w:pPr>
        <w:spacing w:before="48" w:line="219" w:lineRule="auto"/>
        <w:ind w:left="28"/>
        <w:outlineLvl w:val="0"/>
        <w:rPr>
          <w:color w:val="000000" w:themeColor="text1"/>
          <w14:textFill>
            <w14:solidFill>
              <w14:schemeClr w14:val="tx1"/>
            </w14:solidFill>
          </w14:textFill>
        </w:rPr>
      </w:pPr>
      <w:r>
        <w:rPr>
          <w:rFonts w:ascii="宋体" w:hAnsi="宋体" w:eastAsia="宋体" w:cs="宋体"/>
          <w:b/>
          <w:bCs/>
          <w:color w:val="000000" w:themeColor="text1"/>
          <w:spacing w:val="-9"/>
          <w:szCs w:val="24"/>
          <w14:textFill>
            <w14:solidFill>
              <w14:schemeClr w14:val="tx1"/>
            </w14:solidFill>
          </w14:textFill>
        </w:rPr>
        <w:t>附图</w:t>
      </w:r>
      <w:r>
        <w:rPr>
          <w:rFonts w:ascii="宋体" w:hAnsi="宋体" w:eastAsia="宋体" w:cs="宋体"/>
          <w:color w:val="000000" w:themeColor="text1"/>
          <w:spacing w:val="-36"/>
          <w:szCs w:val="24"/>
          <w14:textFill>
            <w14:solidFill>
              <w14:schemeClr w14:val="tx1"/>
            </w14:solidFill>
          </w14:textFill>
        </w:rPr>
        <w:t xml:space="preserve"> </w:t>
      </w:r>
      <w:r>
        <w:rPr>
          <w:rFonts w:ascii="Times New Roman" w:hAnsi="Times New Roman" w:eastAsia="Times New Roman" w:cs="Times New Roman"/>
          <w:b/>
          <w:bCs/>
          <w:color w:val="000000" w:themeColor="text1"/>
          <w:spacing w:val="-9"/>
          <w:szCs w:val="24"/>
          <w14:textFill>
            <w14:solidFill>
              <w14:schemeClr w14:val="tx1"/>
            </w14:solidFill>
          </w14:textFill>
        </w:rPr>
        <w:t>1</w:t>
      </w:r>
      <w:r>
        <w:rPr>
          <w:rFonts w:ascii="Times New Roman" w:hAnsi="Times New Roman" w:eastAsia="Times New Roman" w:cs="Times New Roman"/>
          <w:b/>
          <w:bCs/>
          <w:color w:val="000000" w:themeColor="text1"/>
          <w:spacing w:val="-30"/>
          <w:szCs w:val="24"/>
          <w14:textFill>
            <w14:solidFill>
              <w14:schemeClr w14:val="tx1"/>
            </w14:solidFill>
          </w14:textFill>
        </w:rPr>
        <w:t xml:space="preserve"> </w:t>
      </w:r>
      <w:r>
        <w:rPr>
          <w:rFonts w:ascii="宋体" w:hAnsi="宋体" w:eastAsia="宋体" w:cs="宋体"/>
          <w:b/>
          <w:bCs/>
          <w:color w:val="000000" w:themeColor="text1"/>
          <w:spacing w:val="-9"/>
          <w:szCs w:val="24"/>
          <w14:textFill>
            <w14:solidFill>
              <w14:schemeClr w14:val="tx1"/>
            </w14:solidFill>
          </w14:textFill>
        </w:rPr>
        <w:t>：项目地理位置图</w:t>
      </w:r>
    </w:p>
    <w:p w14:paraId="018CEA34">
      <w:pPr>
        <w:pStyle w:val="29"/>
        <w:widowControl w:val="0"/>
        <w:spacing w:before="0" w:beforeAutospacing="0" w:after="0" w:afterAutospacing="0"/>
        <w:jc w:val="center"/>
        <w:rPr>
          <w:rFonts w:ascii="Times New Roman" w:hAnsi="Times New Roman" w:cs="Times New Roman"/>
          <w:color w:val="000000" w:themeColor="text1"/>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2490470</wp:posOffset>
                </wp:positionH>
                <wp:positionV relativeFrom="paragraph">
                  <wp:posOffset>3014980</wp:posOffset>
                </wp:positionV>
                <wp:extent cx="45720" cy="45720"/>
                <wp:effectExtent l="38100" t="38100" r="50165" b="50165"/>
                <wp:wrapNone/>
                <wp:docPr id="68" name="十字星 68"/>
                <wp:cNvGraphicFramePr/>
                <a:graphic xmlns:a="http://schemas.openxmlformats.org/drawingml/2006/main">
                  <a:graphicData uri="http://schemas.microsoft.com/office/word/2010/wordprocessingShape">
                    <wps:wsp>
                      <wps:cNvSpPr/>
                      <wps:spPr>
                        <a:xfrm flipH="1">
                          <a:off x="0" y="0"/>
                          <a:ext cx="45719" cy="45719"/>
                        </a:xfrm>
                        <a:prstGeom prst="star4">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flip:x;margin-left:196.1pt;margin-top:237.4pt;height:3.6pt;width:3.6pt;z-index:251659264;v-text-anchor:middle;mso-width-relative:page;mso-height-relative:page;" fillcolor="#FF0000" filled="t" stroked="t" coordsize="21600,21600" o:gfxdata="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VhJ9wAAAALAQAADwAAAAAAAAABACAAAAAiAAAAZHJzL2Rvd25yZXYueG1s&#10;UEsBAhQAFAAAAAgAh07iQLXdpxBmAgAA6gQAAA4AAAAAAAAAAQAgAAAAKwEAAGRycy9lMm9Eb2Mu&#10;eG1sUEsFBgAAAAAGAAYAWQEAAAMGAAAAAA==&#10;" adj="8100">
                <v:fill on="t" focussize="0,0"/>
                <v:stroke weight="2pt" color="#FF0000 [2404]" joinstyle="round"/>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3281680</wp:posOffset>
                </wp:positionH>
                <wp:positionV relativeFrom="paragraph">
                  <wp:posOffset>2339975</wp:posOffset>
                </wp:positionV>
                <wp:extent cx="1485265" cy="570865"/>
                <wp:effectExtent l="800735" t="4445" r="19050" b="148590"/>
                <wp:wrapNone/>
                <wp:docPr id="84" name="矩形标注 84"/>
                <wp:cNvGraphicFramePr/>
                <a:graphic xmlns:a="http://schemas.openxmlformats.org/drawingml/2006/main">
                  <a:graphicData uri="http://schemas.microsoft.com/office/word/2010/wordprocessingShape">
                    <wps:wsp>
                      <wps:cNvSpPr/>
                      <wps:spPr>
                        <a:xfrm>
                          <a:off x="3933190" y="3742055"/>
                          <a:ext cx="1485265" cy="570865"/>
                        </a:xfrm>
                        <a:prstGeom prst="wedgeRectCallout">
                          <a:avLst>
                            <a:gd name="adj1" fmla="val -103575"/>
                            <a:gd name="adj2" fmla="val 72063"/>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54B938F">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本项目</w:t>
                            </w:r>
                          </w:p>
                          <w:p w14:paraId="1B7FAE61">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东经</w:t>
                            </w:r>
                            <w:r>
                              <w:rPr>
                                <w:rFonts w:hint="eastAsia" w:ascii="Times New Roman" w:hAnsi="Times New Roman" w:eastAsia="宋体" w:cs="Times New Roman"/>
                                <w:color w:val="000000" w:themeColor="text1"/>
                                <w:sz w:val="18"/>
                                <w:szCs w:val="18"/>
                                <w14:textFill>
                                  <w14:solidFill>
                                    <w14:schemeClr w14:val="tx1"/>
                                  </w14:solidFill>
                                </w14:textFill>
                              </w:rPr>
                              <w:t>E：</w:t>
                            </w:r>
                            <w:r>
                              <w:rPr>
                                <w:rFonts w:ascii="Times New Roman" w:hAnsi="Times New Roman" w:eastAsia="宋体" w:cs="Times New Roman"/>
                                <w:color w:val="000000" w:themeColor="text1"/>
                                <w:sz w:val="18"/>
                                <w:szCs w:val="18"/>
                                <w14:textFill>
                                  <w14:solidFill>
                                    <w14:schemeClr w14:val="tx1"/>
                                  </w14:solidFill>
                                </w14:textFill>
                              </w:rPr>
                              <w:t>119°18′30.194″，</w:t>
                            </w:r>
                            <w:r>
                              <w:rPr>
                                <w:rFonts w:hint="eastAsia" w:ascii="Times New Roman" w:hAnsi="Times New Roman" w:eastAsia="宋体" w:cs="Times New Roman"/>
                                <w:color w:val="000000" w:themeColor="text1"/>
                                <w:sz w:val="18"/>
                                <w:szCs w:val="18"/>
                                <w14:textFill>
                                  <w14:solidFill>
                                    <w14:schemeClr w14:val="tx1"/>
                                  </w14:solidFill>
                                </w14:textFill>
                              </w:rPr>
                              <w:t>N：</w:t>
                            </w:r>
                            <w:r>
                              <w:rPr>
                                <w:rFonts w:ascii="Times New Roman" w:hAnsi="Times New Roman" w:eastAsia="宋体" w:cs="Times New Roman"/>
                                <w:color w:val="000000" w:themeColor="text1"/>
                                <w:sz w:val="18"/>
                                <w:szCs w:val="18"/>
                                <w14:textFill>
                                  <w14:solidFill>
                                    <w14:schemeClr w14:val="tx1"/>
                                  </w14:solidFill>
                                </w14:textFill>
                              </w:rPr>
                              <w:t>25°40′40.421″</w:t>
                            </w:r>
                          </w:p>
                          <w:p w14:paraId="61C399AC">
                            <w:pPr>
                              <w:jc w:val="center"/>
                              <w:rPr>
                                <w:rFonts w:ascii="Times New Roman" w:hAnsi="Times New Roman" w:cs="Times New Roman"/>
                                <w:color w:val="000000" w:themeColor="text1"/>
                                <w:sz w:val="18"/>
                                <w:szCs w:val="18"/>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8.4pt;margin-top:184.25pt;height:44.95pt;width:116.95pt;z-index:251660288;v-text-anchor:middle;mso-width-relative:page;mso-height-relative:page;" fillcolor="#FFFFFF [3212]" filled="t" stroked="t" coordsize="21600,21600" o:gfxdata="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&#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4yZa42gAAAAsBAAAPAAAAAAAAAAEAIAAAACIAAABk&#10;cnMvZG93bnJldi54bWxQSwECFAAUAAAACACHTuJAL411Ba8CAABaBQAADgAAAAAAAAABACAAAAAp&#10;AQAAZHJzL2Uyb0RvYy54bWxQSwUGAAAAAAYABgBZAQAASgYAAAAA&#10;" adj="-11572,26366">
                <v:fill on="t" focussize="0,0"/>
                <v:stroke weight="0.5pt" color="#000000 [3213]" joinstyle="round"/>
                <v:imagedata o:title=""/>
                <o:lock v:ext="edit" aspectratio="f"/>
                <v:textbox>
                  <w:txbxContent>
                    <w:p w14:paraId="754B938F">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本项目</w:t>
                      </w:r>
                    </w:p>
                    <w:p w14:paraId="1B7FAE61">
                      <w:pPr>
                        <w:spacing w:after="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东经</w:t>
                      </w:r>
                      <w:r>
                        <w:rPr>
                          <w:rFonts w:hint="eastAsia" w:ascii="Times New Roman" w:hAnsi="Times New Roman" w:eastAsia="宋体" w:cs="Times New Roman"/>
                          <w:color w:val="000000" w:themeColor="text1"/>
                          <w:sz w:val="18"/>
                          <w:szCs w:val="18"/>
                          <w14:textFill>
                            <w14:solidFill>
                              <w14:schemeClr w14:val="tx1"/>
                            </w14:solidFill>
                          </w14:textFill>
                        </w:rPr>
                        <w:t>E：</w:t>
                      </w:r>
                      <w:r>
                        <w:rPr>
                          <w:rFonts w:ascii="Times New Roman" w:hAnsi="Times New Roman" w:eastAsia="宋体" w:cs="Times New Roman"/>
                          <w:color w:val="000000" w:themeColor="text1"/>
                          <w:sz w:val="18"/>
                          <w:szCs w:val="18"/>
                          <w14:textFill>
                            <w14:solidFill>
                              <w14:schemeClr w14:val="tx1"/>
                            </w14:solidFill>
                          </w14:textFill>
                        </w:rPr>
                        <w:t>119°18′30.194″，</w:t>
                      </w:r>
                      <w:r>
                        <w:rPr>
                          <w:rFonts w:hint="eastAsia" w:ascii="Times New Roman" w:hAnsi="Times New Roman" w:eastAsia="宋体" w:cs="Times New Roman"/>
                          <w:color w:val="000000" w:themeColor="text1"/>
                          <w:sz w:val="18"/>
                          <w:szCs w:val="18"/>
                          <w14:textFill>
                            <w14:solidFill>
                              <w14:schemeClr w14:val="tx1"/>
                            </w14:solidFill>
                          </w14:textFill>
                        </w:rPr>
                        <w:t>N：</w:t>
                      </w:r>
                      <w:r>
                        <w:rPr>
                          <w:rFonts w:ascii="Times New Roman" w:hAnsi="Times New Roman" w:eastAsia="宋体" w:cs="Times New Roman"/>
                          <w:color w:val="000000" w:themeColor="text1"/>
                          <w:sz w:val="18"/>
                          <w:szCs w:val="18"/>
                          <w14:textFill>
                            <w14:solidFill>
                              <w14:schemeClr w14:val="tx1"/>
                            </w14:solidFill>
                          </w14:textFill>
                        </w:rPr>
                        <w:t>25°40′40.421″</w:t>
                      </w:r>
                    </w:p>
                    <w:p w14:paraId="61C399AC">
                      <w:pPr>
                        <w:jc w:val="center"/>
                        <w:rPr>
                          <w:rFonts w:ascii="Times New Roman" w:hAnsi="Times New Roman" w:cs="Times New Roman"/>
                          <w:color w:val="000000" w:themeColor="text1"/>
                          <w:sz w:val="18"/>
                          <w:szCs w:val="18"/>
                          <w14:textFill>
                            <w14:solidFill>
                              <w14:schemeClr w14:val="tx1"/>
                            </w14:solidFill>
                          </w14:textFill>
                        </w:rPr>
                      </w:pPr>
                    </w:p>
                  </w:txbxContent>
                </v:textbox>
              </v:shape>
            </w:pict>
          </mc:Fallback>
        </mc:AlternateContent>
      </w:r>
      <w:r>
        <w:rPr>
          <w:rFonts w:ascii="Times New Roman" w:hAnsi="Times New Roman" w:cs="Times New Roman"/>
          <w:color w:val="000000" w:themeColor="text1"/>
          <w:sz w:val="21"/>
          <w:szCs w:val="21"/>
          <w14:textFill>
            <w14:solidFill>
              <w14:schemeClr w14:val="tx1"/>
            </w14:solidFill>
          </w14:textFill>
        </w:rPr>
        <w:drawing>
          <wp:inline distT="0" distB="0" distL="114300" distR="114300">
            <wp:extent cx="5761990" cy="7732395"/>
            <wp:effectExtent l="0" t="0" r="0" b="1905"/>
            <wp:docPr id="6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descr="IMG_256"/>
                    <pic:cNvPicPr>
                      <a:picLocks noChangeAspect="1"/>
                    </pic:cNvPicPr>
                  </pic:nvPicPr>
                  <pic:blipFill>
                    <a:blip r:embed="rId25"/>
                    <a:stretch>
                      <a:fillRect/>
                    </a:stretch>
                  </pic:blipFill>
                  <pic:spPr>
                    <a:xfrm>
                      <a:off x="0" y="0"/>
                      <a:ext cx="5764012" cy="7734586"/>
                    </a:xfrm>
                    <a:prstGeom prst="rect">
                      <a:avLst/>
                    </a:prstGeom>
                    <a:noFill/>
                    <a:ln w="9525">
                      <a:noFill/>
                    </a:ln>
                  </pic:spPr>
                </pic:pic>
              </a:graphicData>
            </a:graphic>
          </wp:inline>
        </w:drawing>
      </w:r>
    </w:p>
    <w:p w14:paraId="3D5AE6F0">
      <w:pPr>
        <w:jc w:val="center"/>
        <w:rPr>
          <w:rFonts w:ascii="Times New Roman" w:hAnsi="Times New Roman" w:cs="Times New Roman"/>
          <w:color w:val="000000" w:themeColor="text1"/>
          <w:sz w:val="21"/>
          <w:szCs w:val="21"/>
          <w14:textFill>
            <w14:solidFill>
              <w14:schemeClr w14:val="tx1"/>
            </w14:solidFill>
          </w14:textFill>
        </w:rPr>
      </w:pPr>
    </w:p>
    <w:p w14:paraId="1C861EB3">
      <w:pPr>
        <w:rPr>
          <w:rFonts w:ascii="Times New Roman" w:hAnsi="Times New Roman" w:cs="Times New Roman"/>
          <w:color w:val="000000" w:themeColor="text1"/>
          <w:sz w:val="21"/>
          <w:szCs w:val="21"/>
          <w14:textFill>
            <w14:solidFill>
              <w14:schemeClr w14:val="tx1"/>
            </w14:solidFill>
          </w14:textFill>
        </w:rPr>
      </w:pPr>
    </w:p>
    <w:p w14:paraId="426912C3">
      <w:pPr>
        <w:sectPr>
          <w:pgSz w:w="11906" w:h="16839"/>
          <w:pgMar w:top="1405" w:right="1417" w:bottom="1257" w:left="1416" w:header="0" w:footer="680" w:gutter="0"/>
          <w:cols w:space="720" w:num="1"/>
          <w:docGrid w:linePitch="326" w:charSpace="0"/>
        </w:sectPr>
      </w:pPr>
    </w:p>
    <w:p w14:paraId="6217B1DA">
      <w:pPr>
        <w:spacing w:before="48" w:line="219" w:lineRule="auto"/>
        <w:ind w:left="28"/>
        <w:outlineLvl w:val="0"/>
        <w:rPr>
          <w:b/>
          <w:bCs/>
          <w:color w:val="000000" w:themeColor="text1"/>
          <w14:textFill>
            <w14:solidFill>
              <w14:schemeClr w14:val="tx1"/>
            </w14:solidFill>
          </w14:textFill>
        </w:rPr>
      </w:pPr>
      <w:r>
        <w:rPr>
          <w:rFonts w:hint="eastAsia" w:ascii="宋体" w:hAnsi="宋体" w:eastAsia="宋体" w:cs="宋体"/>
          <w:b/>
          <w:bCs/>
          <w:color w:val="000000" w:themeColor="text1"/>
          <w:spacing w:val="-9"/>
          <w:szCs w:val="24"/>
          <w14:textFill>
            <w14:solidFill>
              <w14:schemeClr w14:val="tx1"/>
            </w14:solidFill>
          </w14:textFill>
        </w:rPr>
        <w:t>附件2 ：备案表</w:t>
      </w:r>
    </w:p>
    <w:p w14:paraId="60C4E6E5">
      <w:pPr>
        <w:jc w:val="center"/>
        <w:rPr>
          <w:color w:val="000000" w:themeColor="text1"/>
          <w14:textFill>
            <w14:solidFill>
              <w14:schemeClr w14:val="tx1"/>
            </w14:solidFill>
          </w14:textFill>
        </w:rPr>
      </w:pPr>
    </w:p>
    <w:p w14:paraId="36EA373B">
      <w:pPr>
        <w:jc w:val="center"/>
        <w:rPr>
          <w:color w:val="000000" w:themeColor="text1"/>
          <w14:textFill>
            <w14:solidFill>
              <w14:schemeClr w14:val="tx1"/>
            </w14:solidFill>
          </w14:textFill>
        </w:rPr>
      </w:pPr>
    </w:p>
    <w:p w14:paraId="4FF10A1A">
      <w:pPr>
        <w:widowControl w:val="0"/>
        <w:spacing w:line="360" w:lineRule="auto"/>
        <w:ind w:right="720" w:rightChars="300"/>
        <w:rPr>
          <w:rFonts w:ascii="Times New Roman" w:hAnsi="Times New Roman" w:eastAsia="宋体" w:cs="Times New Roman"/>
          <w:color w:val="000000" w:themeColor="text1"/>
          <w:szCs w:val="24"/>
          <w14:textFill>
            <w14:solidFill>
              <w14:schemeClr w14:val="tx1"/>
            </w14:solidFill>
          </w14:textFill>
        </w:rPr>
        <w:sectPr>
          <w:footerReference r:id="rId12" w:type="default"/>
          <w:pgSz w:w="16838" w:h="11905" w:orient="landscape"/>
          <w:pgMar w:top="1417" w:right="1417" w:bottom="1417" w:left="1417" w:header="850" w:footer="850" w:gutter="0"/>
          <w:cols w:space="720" w:num="1"/>
          <w:docGrid w:linePitch="326" w:charSpace="0"/>
        </w:sectPr>
      </w:pPr>
    </w:p>
    <w:p w14:paraId="41C4E924">
      <w:pPr>
        <w:spacing w:before="53"/>
        <w:ind w:left="42"/>
        <w:outlineLvl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附件14 ：关于公开建设项目环评文件等信息情况的说明</w:t>
      </w:r>
    </w:p>
    <w:p w14:paraId="3B9F10A8">
      <w:pPr>
        <w:pStyle w:val="224"/>
      </w:pPr>
    </w:p>
    <w:p w14:paraId="72FA9877">
      <w:pPr>
        <w:pStyle w:val="224"/>
        <w:sectPr>
          <w:pgSz w:w="11905" w:h="16838"/>
          <w:pgMar w:top="1417" w:right="1417" w:bottom="1417" w:left="1417" w:header="850" w:footer="850" w:gutter="0"/>
          <w:cols w:space="720" w:num="1"/>
          <w:docGrid w:linePitch="312" w:charSpace="0"/>
        </w:sectPr>
      </w:pPr>
    </w:p>
    <w:p w14:paraId="38328CE7">
      <w:pPr>
        <w:spacing w:before="53"/>
        <w:ind w:left="42"/>
        <w:outlineLvl w:val="0"/>
        <w:rPr>
          <w:rFonts w:hint="eastAsia" w:ascii="宋体" w:hAnsi="宋体" w:eastAsia="宋体" w:cs="宋体"/>
          <w:b/>
          <w:bCs/>
          <w:color w:val="000000" w:themeColor="text1"/>
          <w:szCs w:val="24"/>
          <w:lang w:bidi="ar"/>
          <w14:textFill>
            <w14:solidFill>
              <w14:schemeClr w14:val="tx1"/>
            </w14:solidFill>
          </w14:textFill>
        </w:rPr>
      </w:pPr>
      <w:r>
        <w:rPr>
          <w:rFonts w:hint="eastAsia"/>
          <w:b/>
          <w:bCs/>
          <w:color w:val="000000" w:themeColor="text1"/>
          <w14:textFill>
            <w14:solidFill>
              <w14:schemeClr w14:val="tx1"/>
            </w14:solidFill>
          </w14:textFill>
        </w:rPr>
        <w:t>附件15 ：</w:t>
      </w:r>
      <w:r>
        <w:rPr>
          <w:rFonts w:hint="eastAsia" w:ascii="宋体" w:hAnsi="宋体" w:eastAsia="宋体" w:cs="宋体"/>
          <w:b/>
          <w:bCs/>
          <w:color w:val="000000" w:themeColor="text1"/>
          <w:szCs w:val="24"/>
          <w:lang w:bidi="ar"/>
          <w14:textFill>
            <w14:solidFill>
              <w14:schemeClr w14:val="tx1"/>
            </w14:solidFill>
          </w14:textFill>
        </w:rPr>
        <w:t>关于环评文件公开文本删除的涉及国家秘密、商业秘密等内容的删除依据和理由说明</w:t>
      </w:r>
    </w:p>
    <w:p w14:paraId="5C3F19B4">
      <w:pPr>
        <w:pStyle w:val="224"/>
      </w:pPr>
      <w:r>
        <w:drawing>
          <wp:inline distT="0" distB="0" distL="0" distR="0">
            <wp:extent cx="5760085" cy="8098790"/>
            <wp:effectExtent l="0" t="0" r="0" b="0"/>
            <wp:docPr id="67284964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49649" name="图片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60085" cy="8098790"/>
                    </a:xfrm>
                    <a:prstGeom prst="rect">
                      <a:avLst/>
                    </a:prstGeom>
                    <a:noFill/>
                    <a:ln>
                      <a:noFill/>
                    </a:ln>
                  </pic:spPr>
                </pic:pic>
              </a:graphicData>
            </a:graphic>
          </wp:inline>
        </w:drawing>
      </w:r>
    </w:p>
    <w:p w14:paraId="2CC8C91E">
      <w:pPr>
        <w:pStyle w:val="224"/>
      </w:pPr>
      <w:r>
        <w:drawing>
          <wp:inline distT="0" distB="0" distL="0" distR="0">
            <wp:extent cx="5760085" cy="8097520"/>
            <wp:effectExtent l="0" t="0" r="0" b="0"/>
            <wp:docPr id="66441804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18047" name="图片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60085" cy="8097520"/>
                    </a:xfrm>
                    <a:prstGeom prst="rect">
                      <a:avLst/>
                    </a:prstGeom>
                    <a:noFill/>
                    <a:ln>
                      <a:noFill/>
                    </a:ln>
                  </pic:spPr>
                </pic:pic>
              </a:graphicData>
            </a:graphic>
          </wp:inline>
        </w:drawing>
      </w:r>
    </w:p>
    <w:sectPr>
      <w:pgSz w:w="11905" w:h="16838"/>
      <w:pgMar w:top="1417" w:right="1417" w:bottom="1417" w:left="1417" w:header="850" w:footer="850"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4BCDFCF-7D2D-4A8D-A039-8DABD42E7FD3}"/>
  </w:font>
  <w:font w:name="黑体">
    <w:panose1 w:val="02010609060101010101"/>
    <w:charset w:val="86"/>
    <w:family w:val="auto"/>
    <w:pitch w:val="default"/>
    <w:sig w:usb0="800002BF" w:usb1="38CF7CFA" w:usb2="00000016" w:usb3="00000000" w:csb0="00040001" w:csb1="00000000"/>
    <w:embedRegular r:id="rId2" w:fontKey="{390385CF-D7F9-41F2-BA48-2541F64172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CD320D0-B9AC-4CB8-A2A7-CDF92513A927}"/>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B6410B9C-71D1-4E64-810F-A87A77B1DF23}"/>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gbsnu54">
    <w:altName w:val="Times New Roman"/>
    <w:panose1 w:val="00000000000000000000"/>
    <w:charset w:val="00"/>
    <w:family w:val="auto"/>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00" w:usb3="00000000" w:csb0="00000000" w:csb1="00000000"/>
    <w:embedRegular r:id="rId5" w:fontKey="{82EB8D17-103B-4AB8-82BC-AA1B3270D03D}"/>
  </w:font>
  <w:font w:name="方正楷体简体">
    <w:altName w:val="宋体"/>
    <w:panose1 w:val="00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embedRegular r:id="rId6" w:fontKey="{9272ED6B-2178-4EA0-85F8-DEC3510EF060}"/>
  </w:font>
  <w:font w:name="Wingdings 2">
    <w:panose1 w:val="05020102010507070707"/>
    <w:charset w:val="02"/>
    <w:family w:val="roman"/>
    <w:pitch w:val="default"/>
    <w:sig w:usb0="00000000" w:usb1="00000000" w:usb2="00000000" w:usb3="00000000" w:csb0="80000000" w:csb1="00000000"/>
    <w:embedRegular r:id="rId7" w:fontKey="{73E786E1-8DB1-4AAD-ADF8-29CB82F31B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10A70">
    <w:pPr>
      <w:pStyle w:val="2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D608D">
    <w:pPr>
      <w:pStyle w:val="28"/>
      <w:framePr w:wrap="around" w:vAnchor="text" w:hAnchor="margin" w:xAlign="center" w:y="1"/>
      <w:rPr>
        <w:rStyle w:val="41"/>
      </w:rPr>
    </w:pPr>
    <w:r>
      <w:fldChar w:fldCharType="begin"/>
    </w:r>
    <w:r>
      <w:rPr>
        <w:rStyle w:val="41"/>
      </w:rPr>
      <w:instrText xml:space="preserve">PAGE  </w:instrText>
    </w:r>
    <w:r>
      <w:fldChar w:fldCharType="end"/>
    </w:r>
  </w:p>
  <w:p w14:paraId="050AD8FD">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38442">
    <w:pPr>
      <w:pStyle w:val="28"/>
      <w:ind w:right="360" w:firstLine="36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5DA869">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14:paraId="195DA869">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A8BA3">
    <w:pPr>
      <w:pStyle w:val="28"/>
      <w:ind w:right="360" w:firstLine="360"/>
      <w:jc w:val="center"/>
    </w:pPr>
    <w:r>
      <mc:AlternateContent>
        <mc:Choice Requires="wps">
          <w:drawing>
            <wp:anchor distT="0" distB="0" distL="114300" distR="114300" simplePos="0" relativeHeight="251668480" behindDoc="0" locked="0" layoutInCell="1" allowOverlap="1">
              <wp:simplePos x="0" y="0"/>
              <wp:positionH relativeFrom="margin">
                <wp:posOffset>2757805</wp:posOffset>
              </wp:positionH>
              <wp:positionV relativeFrom="paragraph">
                <wp:posOffset>151765</wp:posOffset>
              </wp:positionV>
              <wp:extent cx="333375" cy="247650"/>
              <wp:effectExtent l="0" t="0" r="9525" b="0"/>
              <wp:wrapNone/>
              <wp:docPr id="72" name="文本框 72"/>
              <wp:cNvGraphicFramePr/>
              <a:graphic xmlns:a="http://schemas.openxmlformats.org/drawingml/2006/main">
                <a:graphicData uri="http://schemas.microsoft.com/office/word/2010/wordprocessingShape">
                  <wps:wsp>
                    <wps:cNvSpPr txBox="1"/>
                    <wps:spPr>
                      <a:xfrm>
                        <a:off x="0" y="0"/>
                        <a:ext cx="33337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859C8">
                          <w:pPr>
                            <w:pStyle w:val="28"/>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7.15pt;margin-top:11.95pt;height:19.5pt;width:26.25pt;mso-position-horizontal-relative:margin;z-index:251668480;mso-width-relative:page;mso-height-relative:page;" filled="f" stroked="f" coordsize="21600,21600" o:gfxdata="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8pYODYAAAACQEAAA8AAAAAAAAAAQAgAAAAIgAAAGRycy9kb3ducmV2Lnht&#10;bFBLAQIUABQAAAAIAIdO4kC8z111MgIAAFcEAAAOAAAAAAAAAAEAIAAAACcBAABkcnMvZTJvRG9j&#10;LnhtbFBLBQYAAAAABgAGAFkBAADLBQAAAAA=&#10;">
              <v:fill on="f" focussize="0,0"/>
              <v:stroke on="f" weight="0.5pt"/>
              <v:imagedata o:title=""/>
              <o:lock v:ext="edit" aspectratio="f"/>
              <v:textbox inset="0mm,0mm,0mm,0mm">
                <w:txbxContent>
                  <w:p w14:paraId="3F2859C8">
                    <w:pPr>
                      <w:pStyle w:val="28"/>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C947C">
    <w:pPr>
      <w:pStyle w:val="28"/>
      <w:ind w:right="360" w:firstLine="360"/>
      <w:jc w:val="center"/>
    </w:pPr>
    <w:r>
      <mc:AlternateContent>
        <mc:Choice Requires="wps">
          <w:drawing>
            <wp:anchor distT="0" distB="0" distL="114300" distR="114300" simplePos="0" relativeHeight="251665408" behindDoc="1" locked="0" layoutInCell="1" allowOverlap="1">
              <wp:simplePos x="0" y="0"/>
              <wp:positionH relativeFrom="margin">
                <wp:posOffset>2757170</wp:posOffset>
              </wp:positionH>
              <wp:positionV relativeFrom="page">
                <wp:posOffset>10048875</wp:posOffset>
              </wp:positionV>
              <wp:extent cx="371475" cy="228600"/>
              <wp:effectExtent l="0" t="0" r="9525" b="0"/>
              <wp:wrapSquare wrapText="bothSides"/>
              <wp:docPr id="73" name="文本框 73"/>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1441E">
                          <w:pPr>
                            <w:pStyle w:val="28"/>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7.1pt;margin-top:791.25pt;height:18pt;width:29.25pt;mso-position-horizontal-relative:margin;mso-position-vertical-relative:page;mso-wrap-distance-bottom:0pt;mso-wrap-distance-left:9pt;mso-wrap-distance-right:9pt;mso-wrap-distance-top:0pt;z-index:-251651072;mso-width-relative:page;mso-height-relative:page;" filled="f" stroked="f" coordsize="21600,21600" o:gfxdata="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p8JEt2wAAAA0BAAAPAAAAAAAAAAEAIAAAACIAAABkcnMvZG93bnJl&#10;di54bWxQSwECFAAUAAAACACHTuJAKndqWTMCAABXBAAADgAAAAAAAAABACAAAAAqAQAAZHJzL2Uy&#10;b0RvYy54bWxQSwUGAAAAAAYABgBZAQAAzwUAAAAA&#10;">
              <v:fill on="f" focussize="0,0"/>
              <v:stroke on="f" weight="0.5pt"/>
              <v:imagedata o:title=""/>
              <o:lock v:ext="edit" aspectratio="f"/>
              <v:textbox inset="0mm,0mm,0mm,0mm">
                <w:txbxContent>
                  <w:p w14:paraId="7731441E">
                    <w:pPr>
                      <w:pStyle w:val="28"/>
                    </w:pPr>
                    <w:r>
                      <w:fldChar w:fldCharType="begin"/>
                    </w:r>
                    <w:r>
                      <w:instrText xml:space="preserve"> PAGE  \* MERGEFORMAT </w:instrText>
                    </w:r>
                    <w:r>
                      <w:fldChar w:fldCharType="separate"/>
                    </w:r>
                    <w:r>
                      <w:t>77</w:t>
                    </w:r>
                    <w:r>
                      <w:fldChar w:fldCharType="end"/>
                    </w:r>
                  </w:p>
                </w:txbxContent>
              </v:textbox>
              <w10:wrap type="squar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787CA">
    <w:pPr>
      <w:pStyle w:val="28"/>
      <w:ind w:firstLine="3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352425" cy="1828800"/>
              <wp:effectExtent l="0" t="0" r="9525" b="8255"/>
              <wp:wrapNone/>
              <wp:docPr id="74" name="文本框 74"/>
              <wp:cNvGraphicFramePr/>
              <a:graphic xmlns:a="http://schemas.openxmlformats.org/drawingml/2006/main">
                <a:graphicData uri="http://schemas.microsoft.com/office/word/2010/wordprocessingShape">
                  <wps:wsp>
                    <wps:cNvSpPr txBox="1"/>
                    <wps:spPr>
                      <a:xfrm>
                        <a:off x="0" y="0"/>
                        <a:ext cx="35242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DE173">
                          <w:pPr>
                            <w:pStyle w:val="28"/>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27.75pt;mso-position-horizontal:center;mso-position-horizontal-relative:margin;z-index:251666432;mso-width-relative:page;mso-height-relative:page;" filled="f" stroked="f" coordsize="21600,21600" o:gfxdata="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330L1AAAAAQBAAAPAAAAAAAAAAEAIAAAACIAAABkcnMvZG93bnJldi54bWxQ&#10;SwECFAAUAAAACACHTuJACpj0HTQCAABYBAAADgAAAAAAAAABACAAAAAjAQAAZHJzL2Uyb0RvYy54&#10;bWxQSwUGAAAAAAYABgBZAQAAyQUAAAAA&#10;">
              <v:fill on="f" focussize="0,0"/>
              <v:stroke on="f" weight="0.5pt"/>
              <v:imagedata o:title=""/>
              <o:lock v:ext="edit" aspectratio="f"/>
              <v:textbox inset="0mm,0mm,0mm,0mm" style="mso-fit-shape-to-text:t;">
                <w:txbxContent>
                  <w:p w14:paraId="0DEDE173">
                    <w:pPr>
                      <w:pStyle w:val="28"/>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F83F6">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F9E81">
    <w:pPr>
      <w:pStyle w:val="3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7180A4"/>
    <w:multiLevelType w:val="singleLevel"/>
    <w:tmpl w:val="D37180A4"/>
    <w:lvl w:ilvl="0" w:tentative="0">
      <w:start w:val="2"/>
      <w:numFmt w:val="decimal"/>
      <w:suff w:val="nothing"/>
      <w:lvlText w:val="（%1）"/>
      <w:lvlJc w:val="left"/>
    </w:lvl>
  </w:abstractNum>
  <w:abstractNum w:abstractNumId="1">
    <w:nsid w:val="18EBFFE9"/>
    <w:multiLevelType w:val="singleLevel"/>
    <w:tmpl w:val="18EBFFE9"/>
    <w:lvl w:ilvl="0" w:tentative="0">
      <w:start w:val="2"/>
      <w:numFmt w:val="decimal"/>
      <w:suff w:val="nothing"/>
      <w:lvlText w:val="（%1）"/>
      <w:lvlJc w:val="left"/>
    </w:lvl>
  </w:abstractNum>
  <w:abstractNum w:abstractNumId="2">
    <w:nsid w:val="612C2EAF"/>
    <w:multiLevelType w:val="multilevel"/>
    <w:tmpl w:val="612C2EAF"/>
    <w:lvl w:ilvl="0" w:tentative="0">
      <w:start w:val="1"/>
      <w:numFmt w:val="chineseCountingThousand"/>
      <w:suff w:val="nothing"/>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pStyle w:val="136"/>
      <w:isLgl/>
      <w:suff w:val="space"/>
      <w:lvlText w:val="%1.%2.%3"/>
      <w:lvlJc w:val="left"/>
      <w:pPr>
        <w:ind w:left="0" w:firstLine="0"/>
      </w:pPr>
      <w:rPr>
        <w:rFonts w:hint="eastAsia"/>
      </w:rPr>
    </w:lvl>
    <w:lvl w:ilvl="3" w:tentative="0">
      <w:start w:val="1"/>
      <w:numFmt w:val="decimal"/>
      <w:lvlRestart w:val="2"/>
      <w:isLgl/>
      <w:suff w:val="space"/>
      <w:lvlText w:val="表%1.%2-%4"/>
      <w:lvlJc w:val="left"/>
      <w:pPr>
        <w:ind w:left="0" w:firstLine="0"/>
      </w:pPr>
      <w:rPr>
        <w:rFonts w:hint="eastAsia"/>
      </w:rPr>
    </w:lvl>
    <w:lvl w:ilvl="4" w:tentative="0">
      <w:start w:val="1"/>
      <w:numFmt w:val="decimal"/>
      <w:lvlRestart w:val="2"/>
      <w:isLgl/>
      <w:suff w:val="space"/>
      <w:lvlText w:val="图%1.%2-%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2OTE2ZTA2ZDkzYzdhZjA0NGI0MmI3MjhjODRkOGEifQ=="/>
  </w:docVars>
  <w:rsids>
    <w:rsidRoot w:val="00172A27"/>
    <w:rsid w:val="00003C7F"/>
    <w:rsid w:val="000060B3"/>
    <w:rsid w:val="000077C8"/>
    <w:rsid w:val="00016825"/>
    <w:rsid w:val="00017FBD"/>
    <w:rsid w:val="00024FA3"/>
    <w:rsid w:val="00025985"/>
    <w:rsid w:val="0003631E"/>
    <w:rsid w:val="00037F22"/>
    <w:rsid w:val="00041AEF"/>
    <w:rsid w:val="00041DE4"/>
    <w:rsid w:val="0004364B"/>
    <w:rsid w:val="00046FCF"/>
    <w:rsid w:val="000474C8"/>
    <w:rsid w:val="000544A8"/>
    <w:rsid w:val="00054A3E"/>
    <w:rsid w:val="00054EAA"/>
    <w:rsid w:val="000572C2"/>
    <w:rsid w:val="00061056"/>
    <w:rsid w:val="00061B1F"/>
    <w:rsid w:val="000648E1"/>
    <w:rsid w:val="0006500C"/>
    <w:rsid w:val="00065237"/>
    <w:rsid w:val="0006632F"/>
    <w:rsid w:val="0007010A"/>
    <w:rsid w:val="00071D46"/>
    <w:rsid w:val="000733C4"/>
    <w:rsid w:val="00074783"/>
    <w:rsid w:val="00076298"/>
    <w:rsid w:val="0008070B"/>
    <w:rsid w:val="00080B96"/>
    <w:rsid w:val="000810AC"/>
    <w:rsid w:val="00081A02"/>
    <w:rsid w:val="00082231"/>
    <w:rsid w:val="00084615"/>
    <w:rsid w:val="00084723"/>
    <w:rsid w:val="00084EDC"/>
    <w:rsid w:val="00091CB9"/>
    <w:rsid w:val="00091FEC"/>
    <w:rsid w:val="00092D38"/>
    <w:rsid w:val="0009377B"/>
    <w:rsid w:val="00095BCB"/>
    <w:rsid w:val="0009686B"/>
    <w:rsid w:val="00096D97"/>
    <w:rsid w:val="000A20C9"/>
    <w:rsid w:val="000A270F"/>
    <w:rsid w:val="000A3EEB"/>
    <w:rsid w:val="000A6B6A"/>
    <w:rsid w:val="000B058F"/>
    <w:rsid w:val="000B0F0A"/>
    <w:rsid w:val="000B4361"/>
    <w:rsid w:val="000B4467"/>
    <w:rsid w:val="000B4DB9"/>
    <w:rsid w:val="000B7728"/>
    <w:rsid w:val="000C0582"/>
    <w:rsid w:val="000C09AC"/>
    <w:rsid w:val="000C3B43"/>
    <w:rsid w:val="000C5A39"/>
    <w:rsid w:val="000C767F"/>
    <w:rsid w:val="000D32EF"/>
    <w:rsid w:val="000D3EA2"/>
    <w:rsid w:val="000D5A44"/>
    <w:rsid w:val="000D6594"/>
    <w:rsid w:val="000E0AAF"/>
    <w:rsid w:val="000E0FDA"/>
    <w:rsid w:val="000E2E1E"/>
    <w:rsid w:val="000E3ED2"/>
    <w:rsid w:val="000E46A5"/>
    <w:rsid w:val="000E78C4"/>
    <w:rsid w:val="000F4AE6"/>
    <w:rsid w:val="000F5AB9"/>
    <w:rsid w:val="00101FB2"/>
    <w:rsid w:val="00107796"/>
    <w:rsid w:val="001115D8"/>
    <w:rsid w:val="001140E2"/>
    <w:rsid w:val="001151F1"/>
    <w:rsid w:val="00115910"/>
    <w:rsid w:val="001204BE"/>
    <w:rsid w:val="00130BCB"/>
    <w:rsid w:val="00131F42"/>
    <w:rsid w:val="001320C6"/>
    <w:rsid w:val="00134D94"/>
    <w:rsid w:val="001357F1"/>
    <w:rsid w:val="0013662E"/>
    <w:rsid w:val="00136E7C"/>
    <w:rsid w:val="00140C8B"/>
    <w:rsid w:val="00140FA8"/>
    <w:rsid w:val="00140FF1"/>
    <w:rsid w:val="00141A77"/>
    <w:rsid w:val="00142506"/>
    <w:rsid w:val="00142FEB"/>
    <w:rsid w:val="00143A2D"/>
    <w:rsid w:val="00145A28"/>
    <w:rsid w:val="00145A41"/>
    <w:rsid w:val="00145EEF"/>
    <w:rsid w:val="00147BF6"/>
    <w:rsid w:val="0015064F"/>
    <w:rsid w:val="00151675"/>
    <w:rsid w:val="00151B2F"/>
    <w:rsid w:val="0015228D"/>
    <w:rsid w:val="00153725"/>
    <w:rsid w:val="001546A7"/>
    <w:rsid w:val="0015565D"/>
    <w:rsid w:val="00157435"/>
    <w:rsid w:val="00161330"/>
    <w:rsid w:val="001656FF"/>
    <w:rsid w:val="001657AA"/>
    <w:rsid w:val="00166618"/>
    <w:rsid w:val="00166EC3"/>
    <w:rsid w:val="001703D2"/>
    <w:rsid w:val="001717B7"/>
    <w:rsid w:val="001718A5"/>
    <w:rsid w:val="00171909"/>
    <w:rsid w:val="00172A27"/>
    <w:rsid w:val="001745D4"/>
    <w:rsid w:val="0017504D"/>
    <w:rsid w:val="0017517E"/>
    <w:rsid w:val="0017671A"/>
    <w:rsid w:val="00177422"/>
    <w:rsid w:val="0018166F"/>
    <w:rsid w:val="00183CED"/>
    <w:rsid w:val="001840C7"/>
    <w:rsid w:val="00184590"/>
    <w:rsid w:val="00186BF0"/>
    <w:rsid w:val="001870D1"/>
    <w:rsid w:val="0018781E"/>
    <w:rsid w:val="001903BD"/>
    <w:rsid w:val="00190E89"/>
    <w:rsid w:val="0019262D"/>
    <w:rsid w:val="001954D3"/>
    <w:rsid w:val="00196114"/>
    <w:rsid w:val="00197188"/>
    <w:rsid w:val="001A174D"/>
    <w:rsid w:val="001A1AA5"/>
    <w:rsid w:val="001A1B35"/>
    <w:rsid w:val="001A48A2"/>
    <w:rsid w:val="001A4A55"/>
    <w:rsid w:val="001A6F61"/>
    <w:rsid w:val="001B0B76"/>
    <w:rsid w:val="001B0CAD"/>
    <w:rsid w:val="001B1A39"/>
    <w:rsid w:val="001B4ACA"/>
    <w:rsid w:val="001B72B8"/>
    <w:rsid w:val="001C05AE"/>
    <w:rsid w:val="001C0BCC"/>
    <w:rsid w:val="001C118B"/>
    <w:rsid w:val="001C186E"/>
    <w:rsid w:val="001C1FC9"/>
    <w:rsid w:val="001C2B13"/>
    <w:rsid w:val="001C36EF"/>
    <w:rsid w:val="001C5E1B"/>
    <w:rsid w:val="001C69B3"/>
    <w:rsid w:val="001D364F"/>
    <w:rsid w:val="001D375A"/>
    <w:rsid w:val="001D3CBA"/>
    <w:rsid w:val="001D44F8"/>
    <w:rsid w:val="001D5595"/>
    <w:rsid w:val="001D5D36"/>
    <w:rsid w:val="001D7464"/>
    <w:rsid w:val="001D7874"/>
    <w:rsid w:val="001D796B"/>
    <w:rsid w:val="001D7F22"/>
    <w:rsid w:val="001E4EE7"/>
    <w:rsid w:val="001E4F1F"/>
    <w:rsid w:val="001E6B7C"/>
    <w:rsid w:val="001E7A6E"/>
    <w:rsid w:val="001F0F17"/>
    <w:rsid w:val="001F3347"/>
    <w:rsid w:val="001F651C"/>
    <w:rsid w:val="001F69E4"/>
    <w:rsid w:val="00200722"/>
    <w:rsid w:val="00202CBA"/>
    <w:rsid w:val="00204429"/>
    <w:rsid w:val="00204843"/>
    <w:rsid w:val="00207BC9"/>
    <w:rsid w:val="00210D6B"/>
    <w:rsid w:val="002125B4"/>
    <w:rsid w:val="002155B8"/>
    <w:rsid w:val="00215D2D"/>
    <w:rsid w:val="002179AC"/>
    <w:rsid w:val="00217F0D"/>
    <w:rsid w:val="002221FA"/>
    <w:rsid w:val="00224839"/>
    <w:rsid w:val="002249B2"/>
    <w:rsid w:val="0022640A"/>
    <w:rsid w:val="00226574"/>
    <w:rsid w:val="002278EC"/>
    <w:rsid w:val="0023253F"/>
    <w:rsid w:val="0023280E"/>
    <w:rsid w:val="0023456D"/>
    <w:rsid w:val="00234F43"/>
    <w:rsid w:val="00235EA3"/>
    <w:rsid w:val="0023614A"/>
    <w:rsid w:val="00236E3D"/>
    <w:rsid w:val="002377D1"/>
    <w:rsid w:val="00244DB9"/>
    <w:rsid w:val="002506BC"/>
    <w:rsid w:val="0025148B"/>
    <w:rsid w:val="00254345"/>
    <w:rsid w:val="0025574F"/>
    <w:rsid w:val="002619DD"/>
    <w:rsid w:val="00262DA0"/>
    <w:rsid w:val="00264557"/>
    <w:rsid w:val="00264C8E"/>
    <w:rsid w:val="002650F6"/>
    <w:rsid w:val="002662A8"/>
    <w:rsid w:val="0027387F"/>
    <w:rsid w:val="00276BF2"/>
    <w:rsid w:val="00277EAD"/>
    <w:rsid w:val="002805AB"/>
    <w:rsid w:val="00283D89"/>
    <w:rsid w:val="00284204"/>
    <w:rsid w:val="00290252"/>
    <w:rsid w:val="00291773"/>
    <w:rsid w:val="002917B1"/>
    <w:rsid w:val="00292CF2"/>
    <w:rsid w:val="0029498E"/>
    <w:rsid w:val="002950A5"/>
    <w:rsid w:val="002A168C"/>
    <w:rsid w:val="002A31D4"/>
    <w:rsid w:val="002A36EF"/>
    <w:rsid w:val="002A3A01"/>
    <w:rsid w:val="002A3DC7"/>
    <w:rsid w:val="002A5E21"/>
    <w:rsid w:val="002A6175"/>
    <w:rsid w:val="002A6873"/>
    <w:rsid w:val="002B49E2"/>
    <w:rsid w:val="002B7A75"/>
    <w:rsid w:val="002B7B00"/>
    <w:rsid w:val="002B7C44"/>
    <w:rsid w:val="002C262B"/>
    <w:rsid w:val="002C2B17"/>
    <w:rsid w:val="002C63D4"/>
    <w:rsid w:val="002C650A"/>
    <w:rsid w:val="002C6951"/>
    <w:rsid w:val="002C72D2"/>
    <w:rsid w:val="002D03D2"/>
    <w:rsid w:val="002D14B1"/>
    <w:rsid w:val="002D2AEE"/>
    <w:rsid w:val="002D3DD0"/>
    <w:rsid w:val="002D7395"/>
    <w:rsid w:val="002E1F3A"/>
    <w:rsid w:val="002E298A"/>
    <w:rsid w:val="002E2D18"/>
    <w:rsid w:val="002E795F"/>
    <w:rsid w:val="002F2265"/>
    <w:rsid w:val="002F5422"/>
    <w:rsid w:val="002F5B1B"/>
    <w:rsid w:val="002F67F2"/>
    <w:rsid w:val="00301978"/>
    <w:rsid w:val="0030332C"/>
    <w:rsid w:val="00304DB6"/>
    <w:rsid w:val="003051C2"/>
    <w:rsid w:val="0030677F"/>
    <w:rsid w:val="0030768B"/>
    <w:rsid w:val="00312296"/>
    <w:rsid w:val="003123A3"/>
    <w:rsid w:val="00313140"/>
    <w:rsid w:val="003136B8"/>
    <w:rsid w:val="0031380D"/>
    <w:rsid w:val="00314F0E"/>
    <w:rsid w:val="00316D85"/>
    <w:rsid w:val="0031711D"/>
    <w:rsid w:val="00321D8E"/>
    <w:rsid w:val="0032323E"/>
    <w:rsid w:val="00325928"/>
    <w:rsid w:val="00325CD5"/>
    <w:rsid w:val="00326395"/>
    <w:rsid w:val="00332863"/>
    <w:rsid w:val="00333E03"/>
    <w:rsid w:val="0033684D"/>
    <w:rsid w:val="00337B42"/>
    <w:rsid w:val="00341938"/>
    <w:rsid w:val="00341B42"/>
    <w:rsid w:val="0034348F"/>
    <w:rsid w:val="003449B2"/>
    <w:rsid w:val="00345106"/>
    <w:rsid w:val="00345F1F"/>
    <w:rsid w:val="00354587"/>
    <w:rsid w:val="00356046"/>
    <w:rsid w:val="00356653"/>
    <w:rsid w:val="0035743F"/>
    <w:rsid w:val="00357BE2"/>
    <w:rsid w:val="00360109"/>
    <w:rsid w:val="0036061A"/>
    <w:rsid w:val="00360759"/>
    <w:rsid w:val="0036170C"/>
    <w:rsid w:val="0036319B"/>
    <w:rsid w:val="00366500"/>
    <w:rsid w:val="00366E0F"/>
    <w:rsid w:val="003705B8"/>
    <w:rsid w:val="00372996"/>
    <w:rsid w:val="003778EF"/>
    <w:rsid w:val="00381A72"/>
    <w:rsid w:val="00382C78"/>
    <w:rsid w:val="00383E0E"/>
    <w:rsid w:val="00384676"/>
    <w:rsid w:val="00384E1A"/>
    <w:rsid w:val="00390857"/>
    <w:rsid w:val="003909D5"/>
    <w:rsid w:val="00392318"/>
    <w:rsid w:val="0039246F"/>
    <w:rsid w:val="003958BA"/>
    <w:rsid w:val="00396FA9"/>
    <w:rsid w:val="003A0E2A"/>
    <w:rsid w:val="003A2B0F"/>
    <w:rsid w:val="003A4BF3"/>
    <w:rsid w:val="003B420D"/>
    <w:rsid w:val="003B6770"/>
    <w:rsid w:val="003C023B"/>
    <w:rsid w:val="003C14D4"/>
    <w:rsid w:val="003C2D7E"/>
    <w:rsid w:val="003C4498"/>
    <w:rsid w:val="003C6C16"/>
    <w:rsid w:val="003C7466"/>
    <w:rsid w:val="003C785E"/>
    <w:rsid w:val="003D0B6E"/>
    <w:rsid w:val="003D260F"/>
    <w:rsid w:val="003D3520"/>
    <w:rsid w:val="003D39AF"/>
    <w:rsid w:val="003D4720"/>
    <w:rsid w:val="003D4722"/>
    <w:rsid w:val="003D794D"/>
    <w:rsid w:val="003E2FAC"/>
    <w:rsid w:val="003E3058"/>
    <w:rsid w:val="003E58ED"/>
    <w:rsid w:val="003E5E96"/>
    <w:rsid w:val="003E6FC1"/>
    <w:rsid w:val="003E76A9"/>
    <w:rsid w:val="003F019C"/>
    <w:rsid w:val="003F0809"/>
    <w:rsid w:val="003F15A0"/>
    <w:rsid w:val="003F59A9"/>
    <w:rsid w:val="003F6A8C"/>
    <w:rsid w:val="003F755C"/>
    <w:rsid w:val="00403814"/>
    <w:rsid w:val="00403C1F"/>
    <w:rsid w:val="00406F01"/>
    <w:rsid w:val="00410374"/>
    <w:rsid w:val="00411CA3"/>
    <w:rsid w:val="0041381D"/>
    <w:rsid w:val="0041493E"/>
    <w:rsid w:val="00414BDF"/>
    <w:rsid w:val="00416D50"/>
    <w:rsid w:val="00416FD5"/>
    <w:rsid w:val="0041769C"/>
    <w:rsid w:val="00417772"/>
    <w:rsid w:val="00420E6A"/>
    <w:rsid w:val="00421ADB"/>
    <w:rsid w:val="00425A9E"/>
    <w:rsid w:val="00426B5A"/>
    <w:rsid w:val="00426D6B"/>
    <w:rsid w:val="004277C9"/>
    <w:rsid w:val="004302EC"/>
    <w:rsid w:val="00431E6C"/>
    <w:rsid w:val="00433CE7"/>
    <w:rsid w:val="00434113"/>
    <w:rsid w:val="004346EF"/>
    <w:rsid w:val="00434766"/>
    <w:rsid w:val="00434D72"/>
    <w:rsid w:val="0044503D"/>
    <w:rsid w:val="004476DA"/>
    <w:rsid w:val="00447867"/>
    <w:rsid w:val="0045236C"/>
    <w:rsid w:val="00452738"/>
    <w:rsid w:val="00454B86"/>
    <w:rsid w:val="00454CEA"/>
    <w:rsid w:val="00456091"/>
    <w:rsid w:val="004635DE"/>
    <w:rsid w:val="00464A5F"/>
    <w:rsid w:val="00466321"/>
    <w:rsid w:val="00466569"/>
    <w:rsid w:val="004679EC"/>
    <w:rsid w:val="004717C6"/>
    <w:rsid w:val="00472252"/>
    <w:rsid w:val="0047772D"/>
    <w:rsid w:val="00477E75"/>
    <w:rsid w:val="00480EF6"/>
    <w:rsid w:val="004835F2"/>
    <w:rsid w:val="00484B9B"/>
    <w:rsid w:val="004853BF"/>
    <w:rsid w:val="004855F6"/>
    <w:rsid w:val="0048661E"/>
    <w:rsid w:val="00486693"/>
    <w:rsid w:val="0048782C"/>
    <w:rsid w:val="004905AD"/>
    <w:rsid w:val="004930D2"/>
    <w:rsid w:val="004938FB"/>
    <w:rsid w:val="004939D3"/>
    <w:rsid w:val="0049419D"/>
    <w:rsid w:val="00494670"/>
    <w:rsid w:val="004959E6"/>
    <w:rsid w:val="00496DE5"/>
    <w:rsid w:val="004977B9"/>
    <w:rsid w:val="004A11BC"/>
    <w:rsid w:val="004A26C2"/>
    <w:rsid w:val="004A33DB"/>
    <w:rsid w:val="004A36B5"/>
    <w:rsid w:val="004A3823"/>
    <w:rsid w:val="004A5442"/>
    <w:rsid w:val="004A6375"/>
    <w:rsid w:val="004B39F3"/>
    <w:rsid w:val="004B3F2E"/>
    <w:rsid w:val="004B47B4"/>
    <w:rsid w:val="004B580A"/>
    <w:rsid w:val="004B7700"/>
    <w:rsid w:val="004C5368"/>
    <w:rsid w:val="004C6112"/>
    <w:rsid w:val="004C62CB"/>
    <w:rsid w:val="004C79FF"/>
    <w:rsid w:val="004D0815"/>
    <w:rsid w:val="004D1AEC"/>
    <w:rsid w:val="004D5238"/>
    <w:rsid w:val="004D54DF"/>
    <w:rsid w:val="004D5CBE"/>
    <w:rsid w:val="004D71A1"/>
    <w:rsid w:val="004E044E"/>
    <w:rsid w:val="004E1058"/>
    <w:rsid w:val="004E158E"/>
    <w:rsid w:val="004E1AC3"/>
    <w:rsid w:val="004E1CDE"/>
    <w:rsid w:val="004E43BF"/>
    <w:rsid w:val="004E6946"/>
    <w:rsid w:val="004F1AD8"/>
    <w:rsid w:val="004F2FB5"/>
    <w:rsid w:val="004F41F2"/>
    <w:rsid w:val="004F6959"/>
    <w:rsid w:val="005037A7"/>
    <w:rsid w:val="005039CB"/>
    <w:rsid w:val="00504226"/>
    <w:rsid w:val="00504B1D"/>
    <w:rsid w:val="0050558F"/>
    <w:rsid w:val="00506286"/>
    <w:rsid w:val="005068A1"/>
    <w:rsid w:val="00507364"/>
    <w:rsid w:val="00507838"/>
    <w:rsid w:val="00507B98"/>
    <w:rsid w:val="0051071D"/>
    <w:rsid w:val="00510813"/>
    <w:rsid w:val="00511990"/>
    <w:rsid w:val="00511DE0"/>
    <w:rsid w:val="00514009"/>
    <w:rsid w:val="00514870"/>
    <w:rsid w:val="00514B9B"/>
    <w:rsid w:val="00515EAA"/>
    <w:rsid w:val="005168D3"/>
    <w:rsid w:val="0051741D"/>
    <w:rsid w:val="00517F02"/>
    <w:rsid w:val="00524303"/>
    <w:rsid w:val="005258A2"/>
    <w:rsid w:val="005262BB"/>
    <w:rsid w:val="005266B0"/>
    <w:rsid w:val="005307F1"/>
    <w:rsid w:val="00530E63"/>
    <w:rsid w:val="0053132D"/>
    <w:rsid w:val="00531BB7"/>
    <w:rsid w:val="00531CFA"/>
    <w:rsid w:val="00533390"/>
    <w:rsid w:val="005340A1"/>
    <w:rsid w:val="005355D4"/>
    <w:rsid w:val="00536200"/>
    <w:rsid w:val="005401AE"/>
    <w:rsid w:val="00540F67"/>
    <w:rsid w:val="00541B16"/>
    <w:rsid w:val="00542E07"/>
    <w:rsid w:val="005431C4"/>
    <w:rsid w:val="005448BF"/>
    <w:rsid w:val="00545424"/>
    <w:rsid w:val="00545744"/>
    <w:rsid w:val="00552907"/>
    <w:rsid w:val="00554A7B"/>
    <w:rsid w:val="00554AE3"/>
    <w:rsid w:val="0055572C"/>
    <w:rsid w:val="005558F4"/>
    <w:rsid w:val="0055673A"/>
    <w:rsid w:val="005568CF"/>
    <w:rsid w:val="0056106A"/>
    <w:rsid w:val="0056215A"/>
    <w:rsid w:val="00571D4C"/>
    <w:rsid w:val="005720AE"/>
    <w:rsid w:val="00574304"/>
    <w:rsid w:val="00577094"/>
    <w:rsid w:val="00584188"/>
    <w:rsid w:val="005842B5"/>
    <w:rsid w:val="00587F1B"/>
    <w:rsid w:val="00590F4B"/>
    <w:rsid w:val="00594D77"/>
    <w:rsid w:val="005961FE"/>
    <w:rsid w:val="005969E4"/>
    <w:rsid w:val="005A06B7"/>
    <w:rsid w:val="005A1759"/>
    <w:rsid w:val="005A19AA"/>
    <w:rsid w:val="005A4749"/>
    <w:rsid w:val="005A68A7"/>
    <w:rsid w:val="005A6922"/>
    <w:rsid w:val="005A75BB"/>
    <w:rsid w:val="005B2526"/>
    <w:rsid w:val="005B3069"/>
    <w:rsid w:val="005B316F"/>
    <w:rsid w:val="005B6E8A"/>
    <w:rsid w:val="005B7974"/>
    <w:rsid w:val="005C03C8"/>
    <w:rsid w:val="005C0F99"/>
    <w:rsid w:val="005C5328"/>
    <w:rsid w:val="005C6A9B"/>
    <w:rsid w:val="005C7D2F"/>
    <w:rsid w:val="005D0990"/>
    <w:rsid w:val="005D0F47"/>
    <w:rsid w:val="005D36AB"/>
    <w:rsid w:val="005D7776"/>
    <w:rsid w:val="005E1DBE"/>
    <w:rsid w:val="005E3AC0"/>
    <w:rsid w:val="005E3AFE"/>
    <w:rsid w:val="005E58CC"/>
    <w:rsid w:val="005E6722"/>
    <w:rsid w:val="005E7307"/>
    <w:rsid w:val="005F17F3"/>
    <w:rsid w:val="005F39F8"/>
    <w:rsid w:val="005F441C"/>
    <w:rsid w:val="005F4DA2"/>
    <w:rsid w:val="005F6D58"/>
    <w:rsid w:val="00601455"/>
    <w:rsid w:val="006017C4"/>
    <w:rsid w:val="006018EF"/>
    <w:rsid w:val="00603F9F"/>
    <w:rsid w:val="006041D1"/>
    <w:rsid w:val="00604611"/>
    <w:rsid w:val="00606871"/>
    <w:rsid w:val="0061040B"/>
    <w:rsid w:val="00613623"/>
    <w:rsid w:val="00615B82"/>
    <w:rsid w:val="00617CC3"/>
    <w:rsid w:val="00624B8B"/>
    <w:rsid w:val="006250A2"/>
    <w:rsid w:val="00627BDD"/>
    <w:rsid w:val="00630FBD"/>
    <w:rsid w:val="00631526"/>
    <w:rsid w:val="00633547"/>
    <w:rsid w:val="006342DE"/>
    <w:rsid w:val="006377A6"/>
    <w:rsid w:val="00637A3D"/>
    <w:rsid w:val="006411EF"/>
    <w:rsid w:val="00645991"/>
    <w:rsid w:val="00645D42"/>
    <w:rsid w:val="006474A9"/>
    <w:rsid w:val="00651496"/>
    <w:rsid w:val="00651B4C"/>
    <w:rsid w:val="0065270E"/>
    <w:rsid w:val="00654474"/>
    <w:rsid w:val="00656FE8"/>
    <w:rsid w:val="006570D3"/>
    <w:rsid w:val="006637BE"/>
    <w:rsid w:val="006653F3"/>
    <w:rsid w:val="006703C2"/>
    <w:rsid w:val="00670790"/>
    <w:rsid w:val="00673713"/>
    <w:rsid w:val="00673991"/>
    <w:rsid w:val="006748B8"/>
    <w:rsid w:val="00674C22"/>
    <w:rsid w:val="006756BD"/>
    <w:rsid w:val="006775C3"/>
    <w:rsid w:val="00680EC4"/>
    <w:rsid w:val="00680F96"/>
    <w:rsid w:val="0068208B"/>
    <w:rsid w:val="006905E0"/>
    <w:rsid w:val="00690972"/>
    <w:rsid w:val="0069290A"/>
    <w:rsid w:val="0069436C"/>
    <w:rsid w:val="0069775A"/>
    <w:rsid w:val="00697813"/>
    <w:rsid w:val="006A07C6"/>
    <w:rsid w:val="006A08EA"/>
    <w:rsid w:val="006A15B2"/>
    <w:rsid w:val="006A1C84"/>
    <w:rsid w:val="006A3EE8"/>
    <w:rsid w:val="006A4970"/>
    <w:rsid w:val="006A503B"/>
    <w:rsid w:val="006A72BF"/>
    <w:rsid w:val="006B03F2"/>
    <w:rsid w:val="006B37DC"/>
    <w:rsid w:val="006B3FFD"/>
    <w:rsid w:val="006B4F68"/>
    <w:rsid w:val="006B7DD2"/>
    <w:rsid w:val="006C0592"/>
    <w:rsid w:val="006C272E"/>
    <w:rsid w:val="006C5479"/>
    <w:rsid w:val="006C5A72"/>
    <w:rsid w:val="006C7C06"/>
    <w:rsid w:val="006D13B5"/>
    <w:rsid w:val="006D2CDB"/>
    <w:rsid w:val="006D45CF"/>
    <w:rsid w:val="006D661D"/>
    <w:rsid w:val="006E12FF"/>
    <w:rsid w:val="006E607E"/>
    <w:rsid w:val="006E7E90"/>
    <w:rsid w:val="006F65DC"/>
    <w:rsid w:val="006F7283"/>
    <w:rsid w:val="00704FD4"/>
    <w:rsid w:val="00706C5D"/>
    <w:rsid w:val="0071169E"/>
    <w:rsid w:val="00712040"/>
    <w:rsid w:val="00712FE0"/>
    <w:rsid w:val="007173EA"/>
    <w:rsid w:val="00717C94"/>
    <w:rsid w:val="00720D5A"/>
    <w:rsid w:val="00721E10"/>
    <w:rsid w:val="00723423"/>
    <w:rsid w:val="00723849"/>
    <w:rsid w:val="00730F6B"/>
    <w:rsid w:val="00732922"/>
    <w:rsid w:val="00732BE7"/>
    <w:rsid w:val="007353B9"/>
    <w:rsid w:val="0073546A"/>
    <w:rsid w:val="00737B79"/>
    <w:rsid w:val="00737EAA"/>
    <w:rsid w:val="007402CA"/>
    <w:rsid w:val="0075162E"/>
    <w:rsid w:val="0075199D"/>
    <w:rsid w:val="00751F35"/>
    <w:rsid w:val="00754034"/>
    <w:rsid w:val="00755847"/>
    <w:rsid w:val="00755860"/>
    <w:rsid w:val="00756074"/>
    <w:rsid w:val="00756556"/>
    <w:rsid w:val="007618C4"/>
    <w:rsid w:val="00765663"/>
    <w:rsid w:val="00766E1C"/>
    <w:rsid w:val="00767980"/>
    <w:rsid w:val="00770B19"/>
    <w:rsid w:val="00771428"/>
    <w:rsid w:val="00771AF6"/>
    <w:rsid w:val="00772666"/>
    <w:rsid w:val="00773361"/>
    <w:rsid w:val="0077463F"/>
    <w:rsid w:val="007756C4"/>
    <w:rsid w:val="00775B17"/>
    <w:rsid w:val="00776079"/>
    <w:rsid w:val="00782439"/>
    <w:rsid w:val="007836EA"/>
    <w:rsid w:val="00784CDA"/>
    <w:rsid w:val="007870DD"/>
    <w:rsid w:val="007906C4"/>
    <w:rsid w:val="00793AEA"/>
    <w:rsid w:val="00793EF5"/>
    <w:rsid w:val="007940EA"/>
    <w:rsid w:val="00794C3E"/>
    <w:rsid w:val="007967E8"/>
    <w:rsid w:val="007A2170"/>
    <w:rsid w:val="007A22BF"/>
    <w:rsid w:val="007A3033"/>
    <w:rsid w:val="007A3323"/>
    <w:rsid w:val="007A5771"/>
    <w:rsid w:val="007A583F"/>
    <w:rsid w:val="007A5AB3"/>
    <w:rsid w:val="007A756F"/>
    <w:rsid w:val="007B1D88"/>
    <w:rsid w:val="007B2C4E"/>
    <w:rsid w:val="007B436C"/>
    <w:rsid w:val="007B72B8"/>
    <w:rsid w:val="007B7A58"/>
    <w:rsid w:val="007C1175"/>
    <w:rsid w:val="007C209D"/>
    <w:rsid w:val="007C21B5"/>
    <w:rsid w:val="007C4C61"/>
    <w:rsid w:val="007C60A0"/>
    <w:rsid w:val="007C698C"/>
    <w:rsid w:val="007C703F"/>
    <w:rsid w:val="007D1209"/>
    <w:rsid w:val="007D4995"/>
    <w:rsid w:val="007D4F51"/>
    <w:rsid w:val="007D65E7"/>
    <w:rsid w:val="007E33F7"/>
    <w:rsid w:val="007E4004"/>
    <w:rsid w:val="007E4BD2"/>
    <w:rsid w:val="007F1FBA"/>
    <w:rsid w:val="007F387C"/>
    <w:rsid w:val="007F5D34"/>
    <w:rsid w:val="007F6CD8"/>
    <w:rsid w:val="00801393"/>
    <w:rsid w:val="00802F88"/>
    <w:rsid w:val="00803CF0"/>
    <w:rsid w:val="00807C9F"/>
    <w:rsid w:val="0081293E"/>
    <w:rsid w:val="00815465"/>
    <w:rsid w:val="00817E9A"/>
    <w:rsid w:val="008201DE"/>
    <w:rsid w:val="0082157A"/>
    <w:rsid w:val="008247AA"/>
    <w:rsid w:val="00824DE9"/>
    <w:rsid w:val="008306BD"/>
    <w:rsid w:val="0083157D"/>
    <w:rsid w:val="00831A80"/>
    <w:rsid w:val="00833743"/>
    <w:rsid w:val="008340A4"/>
    <w:rsid w:val="00835FD1"/>
    <w:rsid w:val="0084029C"/>
    <w:rsid w:val="00840921"/>
    <w:rsid w:val="008409C0"/>
    <w:rsid w:val="00843E1B"/>
    <w:rsid w:val="00846678"/>
    <w:rsid w:val="008574D7"/>
    <w:rsid w:val="00863817"/>
    <w:rsid w:val="008651D6"/>
    <w:rsid w:val="00866B5E"/>
    <w:rsid w:val="00870366"/>
    <w:rsid w:val="0087118A"/>
    <w:rsid w:val="0087135F"/>
    <w:rsid w:val="008718EB"/>
    <w:rsid w:val="00872D94"/>
    <w:rsid w:val="00876631"/>
    <w:rsid w:val="00876A9F"/>
    <w:rsid w:val="00880364"/>
    <w:rsid w:val="00880D6A"/>
    <w:rsid w:val="0088106B"/>
    <w:rsid w:val="00884753"/>
    <w:rsid w:val="00884D55"/>
    <w:rsid w:val="00885085"/>
    <w:rsid w:val="00885DAD"/>
    <w:rsid w:val="00891592"/>
    <w:rsid w:val="0089189B"/>
    <w:rsid w:val="00891E9E"/>
    <w:rsid w:val="00892253"/>
    <w:rsid w:val="0089294B"/>
    <w:rsid w:val="00892D3C"/>
    <w:rsid w:val="00895C03"/>
    <w:rsid w:val="008970DD"/>
    <w:rsid w:val="008A2F68"/>
    <w:rsid w:val="008A3562"/>
    <w:rsid w:val="008A395B"/>
    <w:rsid w:val="008A3DF2"/>
    <w:rsid w:val="008A4267"/>
    <w:rsid w:val="008A46D6"/>
    <w:rsid w:val="008A6805"/>
    <w:rsid w:val="008A7462"/>
    <w:rsid w:val="008B4FA6"/>
    <w:rsid w:val="008B5282"/>
    <w:rsid w:val="008B57F9"/>
    <w:rsid w:val="008B7C17"/>
    <w:rsid w:val="008C145D"/>
    <w:rsid w:val="008C183A"/>
    <w:rsid w:val="008C2D01"/>
    <w:rsid w:val="008C40E6"/>
    <w:rsid w:val="008D0371"/>
    <w:rsid w:val="008D03BA"/>
    <w:rsid w:val="008D097C"/>
    <w:rsid w:val="008D0F7A"/>
    <w:rsid w:val="008D120A"/>
    <w:rsid w:val="008D68E4"/>
    <w:rsid w:val="008E0506"/>
    <w:rsid w:val="008E0CFF"/>
    <w:rsid w:val="008E294F"/>
    <w:rsid w:val="008E5D6B"/>
    <w:rsid w:val="008E75BD"/>
    <w:rsid w:val="008E76F0"/>
    <w:rsid w:val="008E7A2B"/>
    <w:rsid w:val="008F15FE"/>
    <w:rsid w:val="008F2D29"/>
    <w:rsid w:val="008F5187"/>
    <w:rsid w:val="008F56E2"/>
    <w:rsid w:val="008F60D8"/>
    <w:rsid w:val="00902009"/>
    <w:rsid w:val="00902727"/>
    <w:rsid w:val="00902F36"/>
    <w:rsid w:val="0090312B"/>
    <w:rsid w:val="009063DA"/>
    <w:rsid w:val="0091043F"/>
    <w:rsid w:val="00911219"/>
    <w:rsid w:val="00913260"/>
    <w:rsid w:val="0091736D"/>
    <w:rsid w:val="00924332"/>
    <w:rsid w:val="009249B9"/>
    <w:rsid w:val="00926BD2"/>
    <w:rsid w:val="0093037A"/>
    <w:rsid w:val="00935FE5"/>
    <w:rsid w:val="009374E4"/>
    <w:rsid w:val="009403DD"/>
    <w:rsid w:val="0094154D"/>
    <w:rsid w:val="00941A6D"/>
    <w:rsid w:val="009468B8"/>
    <w:rsid w:val="00946CC4"/>
    <w:rsid w:val="00950510"/>
    <w:rsid w:val="0095155F"/>
    <w:rsid w:val="00952038"/>
    <w:rsid w:val="00954429"/>
    <w:rsid w:val="00954B2D"/>
    <w:rsid w:val="009563CE"/>
    <w:rsid w:val="009566D1"/>
    <w:rsid w:val="009616A3"/>
    <w:rsid w:val="0096208F"/>
    <w:rsid w:val="00964F59"/>
    <w:rsid w:val="0096676D"/>
    <w:rsid w:val="009744A6"/>
    <w:rsid w:val="00976328"/>
    <w:rsid w:val="0097680D"/>
    <w:rsid w:val="009775ED"/>
    <w:rsid w:val="00982438"/>
    <w:rsid w:val="0098404C"/>
    <w:rsid w:val="00985283"/>
    <w:rsid w:val="00985A5D"/>
    <w:rsid w:val="0099072A"/>
    <w:rsid w:val="00990CE0"/>
    <w:rsid w:val="00991683"/>
    <w:rsid w:val="0099272E"/>
    <w:rsid w:val="009937D9"/>
    <w:rsid w:val="00994AF3"/>
    <w:rsid w:val="00994BB9"/>
    <w:rsid w:val="0099591A"/>
    <w:rsid w:val="00995992"/>
    <w:rsid w:val="00996561"/>
    <w:rsid w:val="00996E39"/>
    <w:rsid w:val="009A0114"/>
    <w:rsid w:val="009A03E5"/>
    <w:rsid w:val="009A0F3B"/>
    <w:rsid w:val="009A1BB4"/>
    <w:rsid w:val="009A253E"/>
    <w:rsid w:val="009A2628"/>
    <w:rsid w:val="009A27CA"/>
    <w:rsid w:val="009A3200"/>
    <w:rsid w:val="009B0897"/>
    <w:rsid w:val="009B3143"/>
    <w:rsid w:val="009B5DD0"/>
    <w:rsid w:val="009B7BD9"/>
    <w:rsid w:val="009C1808"/>
    <w:rsid w:val="009C4C31"/>
    <w:rsid w:val="009C568B"/>
    <w:rsid w:val="009C63AA"/>
    <w:rsid w:val="009C6499"/>
    <w:rsid w:val="009C7DD5"/>
    <w:rsid w:val="009C7E78"/>
    <w:rsid w:val="009D010B"/>
    <w:rsid w:val="009D2B38"/>
    <w:rsid w:val="009D52DC"/>
    <w:rsid w:val="009D7DFA"/>
    <w:rsid w:val="009E227D"/>
    <w:rsid w:val="009E2CB0"/>
    <w:rsid w:val="009E2E13"/>
    <w:rsid w:val="009E4D8F"/>
    <w:rsid w:val="009E5019"/>
    <w:rsid w:val="009E5C22"/>
    <w:rsid w:val="009F20FF"/>
    <w:rsid w:val="009F2E13"/>
    <w:rsid w:val="009F4FAD"/>
    <w:rsid w:val="009F6047"/>
    <w:rsid w:val="009F79FF"/>
    <w:rsid w:val="009F7ECA"/>
    <w:rsid w:val="00A0125D"/>
    <w:rsid w:val="00A02D2A"/>
    <w:rsid w:val="00A04284"/>
    <w:rsid w:val="00A04F1B"/>
    <w:rsid w:val="00A0501B"/>
    <w:rsid w:val="00A05404"/>
    <w:rsid w:val="00A06450"/>
    <w:rsid w:val="00A14947"/>
    <w:rsid w:val="00A2364E"/>
    <w:rsid w:val="00A238C9"/>
    <w:rsid w:val="00A23CEC"/>
    <w:rsid w:val="00A23E7B"/>
    <w:rsid w:val="00A267E2"/>
    <w:rsid w:val="00A31725"/>
    <w:rsid w:val="00A32A83"/>
    <w:rsid w:val="00A341F4"/>
    <w:rsid w:val="00A359B0"/>
    <w:rsid w:val="00A35B89"/>
    <w:rsid w:val="00A35E6D"/>
    <w:rsid w:val="00A368DB"/>
    <w:rsid w:val="00A423AA"/>
    <w:rsid w:val="00A42A7E"/>
    <w:rsid w:val="00A512FF"/>
    <w:rsid w:val="00A53256"/>
    <w:rsid w:val="00A5335F"/>
    <w:rsid w:val="00A53EC6"/>
    <w:rsid w:val="00A54FC4"/>
    <w:rsid w:val="00A558A6"/>
    <w:rsid w:val="00A55C0F"/>
    <w:rsid w:val="00A62E6F"/>
    <w:rsid w:val="00A649F5"/>
    <w:rsid w:val="00A64DBE"/>
    <w:rsid w:val="00A65013"/>
    <w:rsid w:val="00A7249B"/>
    <w:rsid w:val="00A75489"/>
    <w:rsid w:val="00A77698"/>
    <w:rsid w:val="00A808B6"/>
    <w:rsid w:val="00A80AFA"/>
    <w:rsid w:val="00A81372"/>
    <w:rsid w:val="00A82677"/>
    <w:rsid w:val="00A82F1E"/>
    <w:rsid w:val="00A837B5"/>
    <w:rsid w:val="00A856A6"/>
    <w:rsid w:val="00A8713F"/>
    <w:rsid w:val="00A90953"/>
    <w:rsid w:val="00A90BA1"/>
    <w:rsid w:val="00A9166A"/>
    <w:rsid w:val="00A9570C"/>
    <w:rsid w:val="00A96228"/>
    <w:rsid w:val="00A97A9A"/>
    <w:rsid w:val="00A97B39"/>
    <w:rsid w:val="00AA0671"/>
    <w:rsid w:val="00AA0FC8"/>
    <w:rsid w:val="00AA2261"/>
    <w:rsid w:val="00AA2531"/>
    <w:rsid w:val="00AA3631"/>
    <w:rsid w:val="00AA3F9C"/>
    <w:rsid w:val="00AA4AF1"/>
    <w:rsid w:val="00AA7D46"/>
    <w:rsid w:val="00AA7DB3"/>
    <w:rsid w:val="00AB186B"/>
    <w:rsid w:val="00AB1E09"/>
    <w:rsid w:val="00AB2E25"/>
    <w:rsid w:val="00AB3000"/>
    <w:rsid w:val="00AB5330"/>
    <w:rsid w:val="00AB6030"/>
    <w:rsid w:val="00AB65F4"/>
    <w:rsid w:val="00AB7747"/>
    <w:rsid w:val="00AC14CE"/>
    <w:rsid w:val="00AC2A56"/>
    <w:rsid w:val="00AC6A52"/>
    <w:rsid w:val="00AC7F14"/>
    <w:rsid w:val="00AD055E"/>
    <w:rsid w:val="00AD22E5"/>
    <w:rsid w:val="00AD3720"/>
    <w:rsid w:val="00AD3D43"/>
    <w:rsid w:val="00AD47A7"/>
    <w:rsid w:val="00AD4EA5"/>
    <w:rsid w:val="00AD72C7"/>
    <w:rsid w:val="00AD7B54"/>
    <w:rsid w:val="00AE22B4"/>
    <w:rsid w:val="00AE26E2"/>
    <w:rsid w:val="00AE4D24"/>
    <w:rsid w:val="00AF0CBF"/>
    <w:rsid w:val="00AF1478"/>
    <w:rsid w:val="00AF1529"/>
    <w:rsid w:val="00AF257F"/>
    <w:rsid w:val="00AF33CF"/>
    <w:rsid w:val="00AF4D50"/>
    <w:rsid w:val="00AF6179"/>
    <w:rsid w:val="00AF6B78"/>
    <w:rsid w:val="00B01D09"/>
    <w:rsid w:val="00B04FF2"/>
    <w:rsid w:val="00B0603A"/>
    <w:rsid w:val="00B118FD"/>
    <w:rsid w:val="00B1295A"/>
    <w:rsid w:val="00B178DA"/>
    <w:rsid w:val="00B20A45"/>
    <w:rsid w:val="00B215FC"/>
    <w:rsid w:val="00B21AD0"/>
    <w:rsid w:val="00B21D56"/>
    <w:rsid w:val="00B22BF3"/>
    <w:rsid w:val="00B22C5C"/>
    <w:rsid w:val="00B235DC"/>
    <w:rsid w:val="00B24F30"/>
    <w:rsid w:val="00B26436"/>
    <w:rsid w:val="00B30915"/>
    <w:rsid w:val="00B31ABF"/>
    <w:rsid w:val="00B338EE"/>
    <w:rsid w:val="00B33BE3"/>
    <w:rsid w:val="00B34043"/>
    <w:rsid w:val="00B34633"/>
    <w:rsid w:val="00B3506E"/>
    <w:rsid w:val="00B352C1"/>
    <w:rsid w:val="00B36307"/>
    <w:rsid w:val="00B3651D"/>
    <w:rsid w:val="00B37E13"/>
    <w:rsid w:val="00B4497D"/>
    <w:rsid w:val="00B450DF"/>
    <w:rsid w:val="00B47B41"/>
    <w:rsid w:val="00B522F3"/>
    <w:rsid w:val="00B525A3"/>
    <w:rsid w:val="00B53B5D"/>
    <w:rsid w:val="00B5595F"/>
    <w:rsid w:val="00B55BA1"/>
    <w:rsid w:val="00B57B3E"/>
    <w:rsid w:val="00B6055E"/>
    <w:rsid w:val="00B62AF2"/>
    <w:rsid w:val="00B6317D"/>
    <w:rsid w:val="00B66682"/>
    <w:rsid w:val="00B701B7"/>
    <w:rsid w:val="00B70F08"/>
    <w:rsid w:val="00B70F1F"/>
    <w:rsid w:val="00B7160B"/>
    <w:rsid w:val="00B71D40"/>
    <w:rsid w:val="00B72C56"/>
    <w:rsid w:val="00B72E7F"/>
    <w:rsid w:val="00B7325D"/>
    <w:rsid w:val="00B7698F"/>
    <w:rsid w:val="00B76A44"/>
    <w:rsid w:val="00B7723F"/>
    <w:rsid w:val="00B80534"/>
    <w:rsid w:val="00B835D4"/>
    <w:rsid w:val="00B8433C"/>
    <w:rsid w:val="00B8614E"/>
    <w:rsid w:val="00B8712D"/>
    <w:rsid w:val="00B87491"/>
    <w:rsid w:val="00B91903"/>
    <w:rsid w:val="00B91DBF"/>
    <w:rsid w:val="00B9230A"/>
    <w:rsid w:val="00B92518"/>
    <w:rsid w:val="00B92C19"/>
    <w:rsid w:val="00B966E6"/>
    <w:rsid w:val="00BA0A0F"/>
    <w:rsid w:val="00BA21DF"/>
    <w:rsid w:val="00BA29E9"/>
    <w:rsid w:val="00BA2EAB"/>
    <w:rsid w:val="00BA3078"/>
    <w:rsid w:val="00BA4874"/>
    <w:rsid w:val="00BA50C6"/>
    <w:rsid w:val="00BA543B"/>
    <w:rsid w:val="00BA7142"/>
    <w:rsid w:val="00BB0839"/>
    <w:rsid w:val="00BB1B57"/>
    <w:rsid w:val="00BB237C"/>
    <w:rsid w:val="00BB2462"/>
    <w:rsid w:val="00BB25AD"/>
    <w:rsid w:val="00BB41A3"/>
    <w:rsid w:val="00BB674B"/>
    <w:rsid w:val="00BC074A"/>
    <w:rsid w:val="00BC32DC"/>
    <w:rsid w:val="00BC35B6"/>
    <w:rsid w:val="00BC7CB1"/>
    <w:rsid w:val="00BD1B51"/>
    <w:rsid w:val="00BD1D4B"/>
    <w:rsid w:val="00BD1EFA"/>
    <w:rsid w:val="00BD379B"/>
    <w:rsid w:val="00BD4596"/>
    <w:rsid w:val="00BD599F"/>
    <w:rsid w:val="00BD6840"/>
    <w:rsid w:val="00BE1405"/>
    <w:rsid w:val="00BE1B01"/>
    <w:rsid w:val="00BE312D"/>
    <w:rsid w:val="00BE658D"/>
    <w:rsid w:val="00BE7E2F"/>
    <w:rsid w:val="00BF0E19"/>
    <w:rsid w:val="00BF1C20"/>
    <w:rsid w:val="00BF29D6"/>
    <w:rsid w:val="00BF5C09"/>
    <w:rsid w:val="00BF7BA6"/>
    <w:rsid w:val="00C05479"/>
    <w:rsid w:val="00C06600"/>
    <w:rsid w:val="00C069BD"/>
    <w:rsid w:val="00C06D46"/>
    <w:rsid w:val="00C07C4E"/>
    <w:rsid w:val="00C10578"/>
    <w:rsid w:val="00C11768"/>
    <w:rsid w:val="00C11A3C"/>
    <w:rsid w:val="00C12C61"/>
    <w:rsid w:val="00C135BC"/>
    <w:rsid w:val="00C13A32"/>
    <w:rsid w:val="00C15C95"/>
    <w:rsid w:val="00C168F3"/>
    <w:rsid w:val="00C16BAE"/>
    <w:rsid w:val="00C21CD8"/>
    <w:rsid w:val="00C22BFD"/>
    <w:rsid w:val="00C24571"/>
    <w:rsid w:val="00C251B4"/>
    <w:rsid w:val="00C2596A"/>
    <w:rsid w:val="00C25D97"/>
    <w:rsid w:val="00C27537"/>
    <w:rsid w:val="00C328FE"/>
    <w:rsid w:val="00C32A26"/>
    <w:rsid w:val="00C33507"/>
    <w:rsid w:val="00C33A12"/>
    <w:rsid w:val="00C37390"/>
    <w:rsid w:val="00C43960"/>
    <w:rsid w:val="00C4409D"/>
    <w:rsid w:val="00C44E72"/>
    <w:rsid w:val="00C45A06"/>
    <w:rsid w:val="00C46189"/>
    <w:rsid w:val="00C47A50"/>
    <w:rsid w:val="00C47CED"/>
    <w:rsid w:val="00C47E5B"/>
    <w:rsid w:val="00C50C41"/>
    <w:rsid w:val="00C50F0B"/>
    <w:rsid w:val="00C53309"/>
    <w:rsid w:val="00C5424A"/>
    <w:rsid w:val="00C544EE"/>
    <w:rsid w:val="00C557E7"/>
    <w:rsid w:val="00C608C1"/>
    <w:rsid w:val="00C61E4B"/>
    <w:rsid w:val="00C6380F"/>
    <w:rsid w:val="00C642E9"/>
    <w:rsid w:val="00C64BFF"/>
    <w:rsid w:val="00C65599"/>
    <w:rsid w:val="00C658EB"/>
    <w:rsid w:val="00C667F6"/>
    <w:rsid w:val="00C704E9"/>
    <w:rsid w:val="00C70FF5"/>
    <w:rsid w:val="00C750AA"/>
    <w:rsid w:val="00C761A0"/>
    <w:rsid w:val="00C763C9"/>
    <w:rsid w:val="00C80057"/>
    <w:rsid w:val="00C82232"/>
    <w:rsid w:val="00C82913"/>
    <w:rsid w:val="00C84CF0"/>
    <w:rsid w:val="00C87E5B"/>
    <w:rsid w:val="00C913F4"/>
    <w:rsid w:val="00C96E8D"/>
    <w:rsid w:val="00C972B1"/>
    <w:rsid w:val="00C97640"/>
    <w:rsid w:val="00C97F4B"/>
    <w:rsid w:val="00CA004A"/>
    <w:rsid w:val="00CA26CB"/>
    <w:rsid w:val="00CA2CCE"/>
    <w:rsid w:val="00CA3885"/>
    <w:rsid w:val="00CA43FD"/>
    <w:rsid w:val="00CA5CC6"/>
    <w:rsid w:val="00CA62DA"/>
    <w:rsid w:val="00CA7EF8"/>
    <w:rsid w:val="00CB1088"/>
    <w:rsid w:val="00CB385B"/>
    <w:rsid w:val="00CB5660"/>
    <w:rsid w:val="00CB5EDF"/>
    <w:rsid w:val="00CC489B"/>
    <w:rsid w:val="00CC4974"/>
    <w:rsid w:val="00CD1179"/>
    <w:rsid w:val="00CD2BCD"/>
    <w:rsid w:val="00CD390A"/>
    <w:rsid w:val="00CD3A4C"/>
    <w:rsid w:val="00CD448B"/>
    <w:rsid w:val="00CD4EF0"/>
    <w:rsid w:val="00CE0C07"/>
    <w:rsid w:val="00CE10E9"/>
    <w:rsid w:val="00CE2910"/>
    <w:rsid w:val="00CE4719"/>
    <w:rsid w:val="00CE5393"/>
    <w:rsid w:val="00CE69B8"/>
    <w:rsid w:val="00CE6FD8"/>
    <w:rsid w:val="00CE7284"/>
    <w:rsid w:val="00CF368A"/>
    <w:rsid w:val="00CF36BE"/>
    <w:rsid w:val="00CF37DC"/>
    <w:rsid w:val="00CF6000"/>
    <w:rsid w:val="00CF6FF0"/>
    <w:rsid w:val="00CF74F2"/>
    <w:rsid w:val="00D003F3"/>
    <w:rsid w:val="00D01569"/>
    <w:rsid w:val="00D0364F"/>
    <w:rsid w:val="00D0402C"/>
    <w:rsid w:val="00D04708"/>
    <w:rsid w:val="00D04DD0"/>
    <w:rsid w:val="00D0605D"/>
    <w:rsid w:val="00D06834"/>
    <w:rsid w:val="00D070C4"/>
    <w:rsid w:val="00D1257C"/>
    <w:rsid w:val="00D20E5A"/>
    <w:rsid w:val="00D22CF8"/>
    <w:rsid w:val="00D2615A"/>
    <w:rsid w:val="00D27F0E"/>
    <w:rsid w:val="00D308ED"/>
    <w:rsid w:val="00D310F3"/>
    <w:rsid w:val="00D32BAB"/>
    <w:rsid w:val="00D36D86"/>
    <w:rsid w:val="00D428AA"/>
    <w:rsid w:val="00D45627"/>
    <w:rsid w:val="00D5041D"/>
    <w:rsid w:val="00D50A34"/>
    <w:rsid w:val="00D51110"/>
    <w:rsid w:val="00D5164A"/>
    <w:rsid w:val="00D535CA"/>
    <w:rsid w:val="00D53EFA"/>
    <w:rsid w:val="00D5688F"/>
    <w:rsid w:val="00D57444"/>
    <w:rsid w:val="00D57559"/>
    <w:rsid w:val="00D620D5"/>
    <w:rsid w:val="00D62B1A"/>
    <w:rsid w:val="00D64AE1"/>
    <w:rsid w:val="00D678FB"/>
    <w:rsid w:val="00D709DB"/>
    <w:rsid w:val="00D70D00"/>
    <w:rsid w:val="00D743B5"/>
    <w:rsid w:val="00D752AD"/>
    <w:rsid w:val="00D75C11"/>
    <w:rsid w:val="00D81342"/>
    <w:rsid w:val="00D82634"/>
    <w:rsid w:val="00D83E7B"/>
    <w:rsid w:val="00D85270"/>
    <w:rsid w:val="00D9310B"/>
    <w:rsid w:val="00D94A7C"/>
    <w:rsid w:val="00D95600"/>
    <w:rsid w:val="00D95896"/>
    <w:rsid w:val="00D9640E"/>
    <w:rsid w:val="00D964E7"/>
    <w:rsid w:val="00DA09C7"/>
    <w:rsid w:val="00DA65A4"/>
    <w:rsid w:val="00DA748F"/>
    <w:rsid w:val="00DB1BC1"/>
    <w:rsid w:val="00DB2106"/>
    <w:rsid w:val="00DB2983"/>
    <w:rsid w:val="00DB4EE1"/>
    <w:rsid w:val="00DB4F39"/>
    <w:rsid w:val="00DB5B1A"/>
    <w:rsid w:val="00DB5C71"/>
    <w:rsid w:val="00DB702B"/>
    <w:rsid w:val="00DB7F48"/>
    <w:rsid w:val="00DC1257"/>
    <w:rsid w:val="00DC3DC0"/>
    <w:rsid w:val="00DC3E8A"/>
    <w:rsid w:val="00DC4034"/>
    <w:rsid w:val="00DC5B2B"/>
    <w:rsid w:val="00DC7C1D"/>
    <w:rsid w:val="00DD22C6"/>
    <w:rsid w:val="00DD2FF9"/>
    <w:rsid w:val="00DD318D"/>
    <w:rsid w:val="00DE0CFA"/>
    <w:rsid w:val="00DE2B3D"/>
    <w:rsid w:val="00DE3D85"/>
    <w:rsid w:val="00DE5743"/>
    <w:rsid w:val="00DE746F"/>
    <w:rsid w:val="00DE7F8A"/>
    <w:rsid w:val="00DF06B4"/>
    <w:rsid w:val="00DF13DF"/>
    <w:rsid w:val="00DF2E12"/>
    <w:rsid w:val="00DF365E"/>
    <w:rsid w:val="00DF514A"/>
    <w:rsid w:val="00DF6690"/>
    <w:rsid w:val="00DF6804"/>
    <w:rsid w:val="00E01134"/>
    <w:rsid w:val="00E020F4"/>
    <w:rsid w:val="00E02F60"/>
    <w:rsid w:val="00E0358D"/>
    <w:rsid w:val="00E04323"/>
    <w:rsid w:val="00E04DEF"/>
    <w:rsid w:val="00E05988"/>
    <w:rsid w:val="00E05AE7"/>
    <w:rsid w:val="00E05E55"/>
    <w:rsid w:val="00E070A2"/>
    <w:rsid w:val="00E120EE"/>
    <w:rsid w:val="00E14BBA"/>
    <w:rsid w:val="00E15CAF"/>
    <w:rsid w:val="00E22C80"/>
    <w:rsid w:val="00E24062"/>
    <w:rsid w:val="00E255EE"/>
    <w:rsid w:val="00E2656A"/>
    <w:rsid w:val="00E317C6"/>
    <w:rsid w:val="00E326B0"/>
    <w:rsid w:val="00E3275E"/>
    <w:rsid w:val="00E345B2"/>
    <w:rsid w:val="00E36191"/>
    <w:rsid w:val="00E40E8B"/>
    <w:rsid w:val="00E412D0"/>
    <w:rsid w:val="00E44D4A"/>
    <w:rsid w:val="00E52D06"/>
    <w:rsid w:val="00E545A7"/>
    <w:rsid w:val="00E55481"/>
    <w:rsid w:val="00E56322"/>
    <w:rsid w:val="00E56F73"/>
    <w:rsid w:val="00E57094"/>
    <w:rsid w:val="00E60316"/>
    <w:rsid w:val="00E60982"/>
    <w:rsid w:val="00E61EAD"/>
    <w:rsid w:val="00E62C62"/>
    <w:rsid w:val="00E62FA6"/>
    <w:rsid w:val="00E64A1F"/>
    <w:rsid w:val="00E6528F"/>
    <w:rsid w:val="00E654C1"/>
    <w:rsid w:val="00E65D97"/>
    <w:rsid w:val="00E66B00"/>
    <w:rsid w:val="00E67DF9"/>
    <w:rsid w:val="00E71ED0"/>
    <w:rsid w:val="00E723D9"/>
    <w:rsid w:val="00E72A5A"/>
    <w:rsid w:val="00E73354"/>
    <w:rsid w:val="00E7493D"/>
    <w:rsid w:val="00E7765D"/>
    <w:rsid w:val="00E83B7D"/>
    <w:rsid w:val="00E84564"/>
    <w:rsid w:val="00E85330"/>
    <w:rsid w:val="00E90914"/>
    <w:rsid w:val="00E9242D"/>
    <w:rsid w:val="00E94647"/>
    <w:rsid w:val="00EA31CA"/>
    <w:rsid w:val="00EA55F3"/>
    <w:rsid w:val="00EA6541"/>
    <w:rsid w:val="00EA7D04"/>
    <w:rsid w:val="00EB5255"/>
    <w:rsid w:val="00EB5C47"/>
    <w:rsid w:val="00EB62C9"/>
    <w:rsid w:val="00EB78A1"/>
    <w:rsid w:val="00EC06B6"/>
    <w:rsid w:val="00EC31FC"/>
    <w:rsid w:val="00EC441B"/>
    <w:rsid w:val="00EC5E1A"/>
    <w:rsid w:val="00ED0639"/>
    <w:rsid w:val="00ED5986"/>
    <w:rsid w:val="00EE1A1D"/>
    <w:rsid w:val="00EE2499"/>
    <w:rsid w:val="00EE567A"/>
    <w:rsid w:val="00EE713E"/>
    <w:rsid w:val="00EE7F9F"/>
    <w:rsid w:val="00EF0469"/>
    <w:rsid w:val="00EF0A58"/>
    <w:rsid w:val="00EF289F"/>
    <w:rsid w:val="00EF293E"/>
    <w:rsid w:val="00EF32B0"/>
    <w:rsid w:val="00EF3AFE"/>
    <w:rsid w:val="00EF3F9F"/>
    <w:rsid w:val="00EF4271"/>
    <w:rsid w:val="00EF4755"/>
    <w:rsid w:val="00EF5838"/>
    <w:rsid w:val="00EF6807"/>
    <w:rsid w:val="00EF7135"/>
    <w:rsid w:val="00EF745E"/>
    <w:rsid w:val="00F002EC"/>
    <w:rsid w:val="00F027DB"/>
    <w:rsid w:val="00F0308D"/>
    <w:rsid w:val="00F03B77"/>
    <w:rsid w:val="00F03CE3"/>
    <w:rsid w:val="00F03E9A"/>
    <w:rsid w:val="00F04069"/>
    <w:rsid w:val="00F07964"/>
    <w:rsid w:val="00F11E55"/>
    <w:rsid w:val="00F1221E"/>
    <w:rsid w:val="00F12C61"/>
    <w:rsid w:val="00F13A71"/>
    <w:rsid w:val="00F1415F"/>
    <w:rsid w:val="00F14A7A"/>
    <w:rsid w:val="00F14E8F"/>
    <w:rsid w:val="00F1582A"/>
    <w:rsid w:val="00F204FE"/>
    <w:rsid w:val="00F22985"/>
    <w:rsid w:val="00F22F38"/>
    <w:rsid w:val="00F3088B"/>
    <w:rsid w:val="00F3136A"/>
    <w:rsid w:val="00F32D1F"/>
    <w:rsid w:val="00F3383E"/>
    <w:rsid w:val="00F4414E"/>
    <w:rsid w:val="00F465A7"/>
    <w:rsid w:val="00F50B7C"/>
    <w:rsid w:val="00F543D5"/>
    <w:rsid w:val="00F550E6"/>
    <w:rsid w:val="00F555E6"/>
    <w:rsid w:val="00F55FE3"/>
    <w:rsid w:val="00F57031"/>
    <w:rsid w:val="00F576AD"/>
    <w:rsid w:val="00F57AA7"/>
    <w:rsid w:val="00F63685"/>
    <w:rsid w:val="00F6444A"/>
    <w:rsid w:val="00F71D9A"/>
    <w:rsid w:val="00F72BB2"/>
    <w:rsid w:val="00F736E1"/>
    <w:rsid w:val="00F74345"/>
    <w:rsid w:val="00F7572B"/>
    <w:rsid w:val="00F76167"/>
    <w:rsid w:val="00F7699E"/>
    <w:rsid w:val="00F776E1"/>
    <w:rsid w:val="00F80A0A"/>
    <w:rsid w:val="00F8159B"/>
    <w:rsid w:val="00F82B19"/>
    <w:rsid w:val="00F83200"/>
    <w:rsid w:val="00F8483D"/>
    <w:rsid w:val="00F85F33"/>
    <w:rsid w:val="00F86168"/>
    <w:rsid w:val="00F861A0"/>
    <w:rsid w:val="00F9212D"/>
    <w:rsid w:val="00F93FF3"/>
    <w:rsid w:val="00F96530"/>
    <w:rsid w:val="00F965DA"/>
    <w:rsid w:val="00FA406A"/>
    <w:rsid w:val="00FA4CEC"/>
    <w:rsid w:val="00FB167F"/>
    <w:rsid w:val="00FB389E"/>
    <w:rsid w:val="00FB503A"/>
    <w:rsid w:val="00FB516C"/>
    <w:rsid w:val="00FB7CFD"/>
    <w:rsid w:val="00FC2A44"/>
    <w:rsid w:val="00FC603F"/>
    <w:rsid w:val="00FD0236"/>
    <w:rsid w:val="00FD18F4"/>
    <w:rsid w:val="00FD1F4E"/>
    <w:rsid w:val="00FD450D"/>
    <w:rsid w:val="00FD54DB"/>
    <w:rsid w:val="00FD619F"/>
    <w:rsid w:val="00FD7503"/>
    <w:rsid w:val="00FE1CB5"/>
    <w:rsid w:val="00FF1EBC"/>
    <w:rsid w:val="00FF5C0F"/>
    <w:rsid w:val="00FF5DFC"/>
    <w:rsid w:val="00FF6073"/>
    <w:rsid w:val="00FF74D5"/>
    <w:rsid w:val="00FF7D52"/>
    <w:rsid w:val="00FF7F9E"/>
    <w:rsid w:val="01064C9A"/>
    <w:rsid w:val="010A64E6"/>
    <w:rsid w:val="010C0502"/>
    <w:rsid w:val="0127121F"/>
    <w:rsid w:val="01284C10"/>
    <w:rsid w:val="01290F7E"/>
    <w:rsid w:val="0132783D"/>
    <w:rsid w:val="0136557F"/>
    <w:rsid w:val="013B2B96"/>
    <w:rsid w:val="015777C6"/>
    <w:rsid w:val="015821CD"/>
    <w:rsid w:val="015C2B0C"/>
    <w:rsid w:val="015D1E09"/>
    <w:rsid w:val="016977F8"/>
    <w:rsid w:val="016A6FD7"/>
    <w:rsid w:val="017165B7"/>
    <w:rsid w:val="017B2F92"/>
    <w:rsid w:val="01853E11"/>
    <w:rsid w:val="018600C9"/>
    <w:rsid w:val="01881AF6"/>
    <w:rsid w:val="018F38F6"/>
    <w:rsid w:val="01923A15"/>
    <w:rsid w:val="01A87AFF"/>
    <w:rsid w:val="01B42948"/>
    <w:rsid w:val="01C70332"/>
    <w:rsid w:val="01CA216C"/>
    <w:rsid w:val="01CA63A7"/>
    <w:rsid w:val="01D65505"/>
    <w:rsid w:val="01E5415A"/>
    <w:rsid w:val="01E94501"/>
    <w:rsid w:val="01EF744F"/>
    <w:rsid w:val="01F0289D"/>
    <w:rsid w:val="020F7B7E"/>
    <w:rsid w:val="022343E1"/>
    <w:rsid w:val="022E44A8"/>
    <w:rsid w:val="02353A89"/>
    <w:rsid w:val="0236335D"/>
    <w:rsid w:val="023B77F4"/>
    <w:rsid w:val="023C4E17"/>
    <w:rsid w:val="023D0B8F"/>
    <w:rsid w:val="024141DC"/>
    <w:rsid w:val="025832D3"/>
    <w:rsid w:val="02624152"/>
    <w:rsid w:val="026954E1"/>
    <w:rsid w:val="02697903"/>
    <w:rsid w:val="026B74AB"/>
    <w:rsid w:val="026D3223"/>
    <w:rsid w:val="02922C89"/>
    <w:rsid w:val="02970DCC"/>
    <w:rsid w:val="029A7D90"/>
    <w:rsid w:val="029B6B48"/>
    <w:rsid w:val="029C1412"/>
    <w:rsid w:val="029D33DC"/>
    <w:rsid w:val="02A66DC4"/>
    <w:rsid w:val="02AD7AC3"/>
    <w:rsid w:val="02B27065"/>
    <w:rsid w:val="02B82731"/>
    <w:rsid w:val="02BA21E0"/>
    <w:rsid w:val="02CB4D02"/>
    <w:rsid w:val="02D23086"/>
    <w:rsid w:val="02D54924"/>
    <w:rsid w:val="02E1151B"/>
    <w:rsid w:val="02F05C02"/>
    <w:rsid w:val="02F96569"/>
    <w:rsid w:val="03036481"/>
    <w:rsid w:val="03074706"/>
    <w:rsid w:val="031636B5"/>
    <w:rsid w:val="0329220A"/>
    <w:rsid w:val="03394EB3"/>
    <w:rsid w:val="033C49A3"/>
    <w:rsid w:val="033D6A2A"/>
    <w:rsid w:val="033E7623"/>
    <w:rsid w:val="033F6241"/>
    <w:rsid w:val="03486EE3"/>
    <w:rsid w:val="034B2E38"/>
    <w:rsid w:val="034D4E02"/>
    <w:rsid w:val="035C5045"/>
    <w:rsid w:val="03722BFA"/>
    <w:rsid w:val="03874A2A"/>
    <w:rsid w:val="038C0422"/>
    <w:rsid w:val="038C592B"/>
    <w:rsid w:val="03942A31"/>
    <w:rsid w:val="0397607D"/>
    <w:rsid w:val="03AA7B5F"/>
    <w:rsid w:val="03D251BA"/>
    <w:rsid w:val="03D6401F"/>
    <w:rsid w:val="03E4699D"/>
    <w:rsid w:val="03E811F5"/>
    <w:rsid w:val="03EA7B21"/>
    <w:rsid w:val="03FC35CA"/>
    <w:rsid w:val="040000C7"/>
    <w:rsid w:val="0404728D"/>
    <w:rsid w:val="04051239"/>
    <w:rsid w:val="040C25C7"/>
    <w:rsid w:val="041B7A76"/>
    <w:rsid w:val="041E1B93"/>
    <w:rsid w:val="043B086E"/>
    <w:rsid w:val="043F0BEF"/>
    <w:rsid w:val="04455AD9"/>
    <w:rsid w:val="0454227A"/>
    <w:rsid w:val="04671EF4"/>
    <w:rsid w:val="046A41AC"/>
    <w:rsid w:val="04781A0B"/>
    <w:rsid w:val="047F0FEB"/>
    <w:rsid w:val="048760F2"/>
    <w:rsid w:val="04912ACD"/>
    <w:rsid w:val="049A4077"/>
    <w:rsid w:val="049D778A"/>
    <w:rsid w:val="04A66578"/>
    <w:rsid w:val="04A9250C"/>
    <w:rsid w:val="04AB3BCF"/>
    <w:rsid w:val="04B844FD"/>
    <w:rsid w:val="04C3537C"/>
    <w:rsid w:val="04D035F5"/>
    <w:rsid w:val="04D05224"/>
    <w:rsid w:val="04D330E5"/>
    <w:rsid w:val="04F82B4C"/>
    <w:rsid w:val="05332F18"/>
    <w:rsid w:val="056106F1"/>
    <w:rsid w:val="05616943"/>
    <w:rsid w:val="056401E1"/>
    <w:rsid w:val="058A5E9A"/>
    <w:rsid w:val="058F58EC"/>
    <w:rsid w:val="059A29B0"/>
    <w:rsid w:val="059C0325"/>
    <w:rsid w:val="05A30D0A"/>
    <w:rsid w:val="05C72C4A"/>
    <w:rsid w:val="05CA44E8"/>
    <w:rsid w:val="05DB66F5"/>
    <w:rsid w:val="05DE1D42"/>
    <w:rsid w:val="05F83EAE"/>
    <w:rsid w:val="06007F0A"/>
    <w:rsid w:val="06020D60"/>
    <w:rsid w:val="06225F92"/>
    <w:rsid w:val="062260D2"/>
    <w:rsid w:val="0624009C"/>
    <w:rsid w:val="063B2C07"/>
    <w:rsid w:val="063E7D85"/>
    <w:rsid w:val="06532730"/>
    <w:rsid w:val="0656156B"/>
    <w:rsid w:val="06585F98"/>
    <w:rsid w:val="065B3BFA"/>
    <w:rsid w:val="06766E75"/>
    <w:rsid w:val="067B4119"/>
    <w:rsid w:val="06850C3E"/>
    <w:rsid w:val="06872B7E"/>
    <w:rsid w:val="06963466"/>
    <w:rsid w:val="069741C7"/>
    <w:rsid w:val="06AE5BB8"/>
    <w:rsid w:val="06BD404D"/>
    <w:rsid w:val="06C20886"/>
    <w:rsid w:val="06C61153"/>
    <w:rsid w:val="06C90C44"/>
    <w:rsid w:val="06D27AF8"/>
    <w:rsid w:val="06D519FE"/>
    <w:rsid w:val="06D849E3"/>
    <w:rsid w:val="06DC0977"/>
    <w:rsid w:val="06E33337"/>
    <w:rsid w:val="06EC048E"/>
    <w:rsid w:val="06F02757"/>
    <w:rsid w:val="06F442A9"/>
    <w:rsid w:val="06FC6128"/>
    <w:rsid w:val="06FC6923"/>
    <w:rsid w:val="071E4DE7"/>
    <w:rsid w:val="07261BF2"/>
    <w:rsid w:val="07293586"/>
    <w:rsid w:val="07295285"/>
    <w:rsid w:val="07391925"/>
    <w:rsid w:val="073D0CEA"/>
    <w:rsid w:val="073E518E"/>
    <w:rsid w:val="074C45A5"/>
    <w:rsid w:val="07577FFE"/>
    <w:rsid w:val="07591FC8"/>
    <w:rsid w:val="0760056B"/>
    <w:rsid w:val="07636392"/>
    <w:rsid w:val="07691ADF"/>
    <w:rsid w:val="076E3F95"/>
    <w:rsid w:val="07770C56"/>
    <w:rsid w:val="07837045"/>
    <w:rsid w:val="078E1545"/>
    <w:rsid w:val="078F7797"/>
    <w:rsid w:val="07930733"/>
    <w:rsid w:val="07A05C0E"/>
    <w:rsid w:val="07A31495"/>
    <w:rsid w:val="07A45828"/>
    <w:rsid w:val="07A80859"/>
    <w:rsid w:val="07B90CB8"/>
    <w:rsid w:val="07CF4038"/>
    <w:rsid w:val="07D63618"/>
    <w:rsid w:val="07DD49A7"/>
    <w:rsid w:val="07E13D6B"/>
    <w:rsid w:val="07ED0962"/>
    <w:rsid w:val="07EE58E7"/>
    <w:rsid w:val="07F910B5"/>
    <w:rsid w:val="080F2686"/>
    <w:rsid w:val="08183C31"/>
    <w:rsid w:val="081B102B"/>
    <w:rsid w:val="08202AE5"/>
    <w:rsid w:val="083420ED"/>
    <w:rsid w:val="0837398B"/>
    <w:rsid w:val="083C3EF0"/>
    <w:rsid w:val="083D3697"/>
    <w:rsid w:val="08471E20"/>
    <w:rsid w:val="084D037F"/>
    <w:rsid w:val="08634780"/>
    <w:rsid w:val="08670714"/>
    <w:rsid w:val="087B5F6E"/>
    <w:rsid w:val="08844E22"/>
    <w:rsid w:val="08874912"/>
    <w:rsid w:val="088A61B1"/>
    <w:rsid w:val="088B5B4C"/>
    <w:rsid w:val="088F5575"/>
    <w:rsid w:val="08A125AA"/>
    <w:rsid w:val="08A76D63"/>
    <w:rsid w:val="08B35707"/>
    <w:rsid w:val="08B5322E"/>
    <w:rsid w:val="08B66FA6"/>
    <w:rsid w:val="08BF530D"/>
    <w:rsid w:val="08BF736C"/>
    <w:rsid w:val="08C064E0"/>
    <w:rsid w:val="08E7715F"/>
    <w:rsid w:val="08EB269F"/>
    <w:rsid w:val="08FA2BEA"/>
    <w:rsid w:val="090D1B45"/>
    <w:rsid w:val="09192CB9"/>
    <w:rsid w:val="092217DD"/>
    <w:rsid w:val="09302957"/>
    <w:rsid w:val="0932487E"/>
    <w:rsid w:val="093A7294"/>
    <w:rsid w:val="094877B5"/>
    <w:rsid w:val="0949606C"/>
    <w:rsid w:val="095011A8"/>
    <w:rsid w:val="095A00C3"/>
    <w:rsid w:val="095A2897"/>
    <w:rsid w:val="095F3781"/>
    <w:rsid w:val="09627CCF"/>
    <w:rsid w:val="0965025A"/>
    <w:rsid w:val="096D1193"/>
    <w:rsid w:val="096E162E"/>
    <w:rsid w:val="096F5AD2"/>
    <w:rsid w:val="09807D20"/>
    <w:rsid w:val="09970B85"/>
    <w:rsid w:val="09A03EDE"/>
    <w:rsid w:val="09AF2373"/>
    <w:rsid w:val="09BA4874"/>
    <w:rsid w:val="09C474A0"/>
    <w:rsid w:val="09D45935"/>
    <w:rsid w:val="09D963FB"/>
    <w:rsid w:val="09DA51A9"/>
    <w:rsid w:val="09DC2A3C"/>
    <w:rsid w:val="09E0507F"/>
    <w:rsid w:val="09E244F6"/>
    <w:rsid w:val="09F75AC8"/>
    <w:rsid w:val="0A0124A3"/>
    <w:rsid w:val="0A0855DF"/>
    <w:rsid w:val="0A1026E6"/>
    <w:rsid w:val="0A24345E"/>
    <w:rsid w:val="0A263993"/>
    <w:rsid w:val="0A2D3AC2"/>
    <w:rsid w:val="0A2F02E7"/>
    <w:rsid w:val="0A344B0C"/>
    <w:rsid w:val="0A375EC4"/>
    <w:rsid w:val="0A40746F"/>
    <w:rsid w:val="0A456D37"/>
    <w:rsid w:val="0A4F1460"/>
    <w:rsid w:val="0A570314"/>
    <w:rsid w:val="0A58495A"/>
    <w:rsid w:val="0A5B7E05"/>
    <w:rsid w:val="0A5C43D0"/>
    <w:rsid w:val="0A5E519A"/>
    <w:rsid w:val="0A637B5A"/>
    <w:rsid w:val="0A67431A"/>
    <w:rsid w:val="0A752CB8"/>
    <w:rsid w:val="0A8C09D7"/>
    <w:rsid w:val="0A8E234B"/>
    <w:rsid w:val="0A8F3F52"/>
    <w:rsid w:val="0A94406A"/>
    <w:rsid w:val="0AA01CBB"/>
    <w:rsid w:val="0AA755DF"/>
    <w:rsid w:val="0AB1211B"/>
    <w:rsid w:val="0AD97CBD"/>
    <w:rsid w:val="0ADD081A"/>
    <w:rsid w:val="0AF352AC"/>
    <w:rsid w:val="0AF52007"/>
    <w:rsid w:val="0AFD2C6A"/>
    <w:rsid w:val="0B073AE9"/>
    <w:rsid w:val="0B0C60DD"/>
    <w:rsid w:val="0B120D44"/>
    <w:rsid w:val="0B1B1342"/>
    <w:rsid w:val="0B34558F"/>
    <w:rsid w:val="0B372620"/>
    <w:rsid w:val="0B4E7969"/>
    <w:rsid w:val="0B552304"/>
    <w:rsid w:val="0B837613"/>
    <w:rsid w:val="0B8E57A5"/>
    <w:rsid w:val="0B957346"/>
    <w:rsid w:val="0B985065"/>
    <w:rsid w:val="0B9A1A66"/>
    <w:rsid w:val="0B9B0319"/>
    <w:rsid w:val="0BA23811"/>
    <w:rsid w:val="0BAA1044"/>
    <w:rsid w:val="0BAD643E"/>
    <w:rsid w:val="0BB31137"/>
    <w:rsid w:val="0BC814CA"/>
    <w:rsid w:val="0BD25035"/>
    <w:rsid w:val="0BD27BF6"/>
    <w:rsid w:val="0BD54FA3"/>
    <w:rsid w:val="0BE47415"/>
    <w:rsid w:val="0BEC3253"/>
    <w:rsid w:val="0BEE52A9"/>
    <w:rsid w:val="0C0A1D5F"/>
    <w:rsid w:val="0C0D6C26"/>
    <w:rsid w:val="0C100AE7"/>
    <w:rsid w:val="0C175FAD"/>
    <w:rsid w:val="0C1B6ADB"/>
    <w:rsid w:val="0C35055F"/>
    <w:rsid w:val="0C3628D7"/>
    <w:rsid w:val="0C3748A2"/>
    <w:rsid w:val="0C3B3C7D"/>
    <w:rsid w:val="0C3E178C"/>
    <w:rsid w:val="0C3E6076"/>
    <w:rsid w:val="0C403756"/>
    <w:rsid w:val="0C5C7E64"/>
    <w:rsid w:val="0C600706"/>
    <w:rsid w:val="0C647D62"/>
    <w:rsid w:val="0C6E2E22"/>
    <w:rsid w:val="0C7A5796"/>
    <w:rsid w:val="0C831895"/>
    <w:rsid w:val="0C87510A"/>
    <w:rsid w:val="0C8D626F"/>
    <w:rsid w:val="0C913FB2"/>
    <w:rsid w:val="0C9413AC"/>
    <w:rsid w:val="0C9475FE"/>
    <w:rsid w:val="0CA35A93"/>
    <w:rsid w:val="0CAB2EAE"/>
    <w:rsid w:val="0CD65E68"/>
    <w:rsid w:val="0CD8398F"/>
    <w:rsid w:val="0CD875CA"/>
    <w:rsid w:val="0CE265BB"/>
    <w:rsid w:val="0CE340E1"/>
    <w:rsid w:val="0CE75980"/>
    <w:rsid w:val="0D066EAA"/>
    <w:rsid w:val="0D116EA1"/>
    <w:rsid w:val="0D1C6DBA"/>
    <w:rsid w:val="0D1D75F3"/>
    <w:rsid w:val="0D2E7A52"/>
    <w:rsid w:val="0D442DD2"/>
    <w:rsid w:val="0D576FA9"/>
    <w:rsid w:val="0D5864CD"/>
    <w:rsid w:val="0D621C7D"/>
    <w:rsid w:val="0D6276FC"/>
    <w:rsid w:val="0D645222"/>
    <w:rsid w:val="0D6671EC"/>
    <w:rsid w:val="0D6B035F"/>
    <w:rsid w:val="0D813C29"/>
    <w:rsid w:val="0D8853B5"/>
    <w:rsid w:val="0D8E6743"/>
    <w:rsid w:val="0DA45EA6"/>
    <w:rsid w:val="0DA8151C"/>
    <w:rsid w:val="0DB77A48"/>
    <w:rsid w:val="0DBF68FD"/>
    <w:rsid w:val="0DC161D1"/>
    <w:rsid w:val="0DC94CD9"/>
    <w:rsid w:val="0DD34156"/>
    <w:rsid w:val="0DD95C10"/>
    <w:rsid w:val="0DDD6D83"/>
    <w:rsid w:val="0DF5231E"/>
    <w:rsid w:val="0DFE7425"/>
    <w:rsid w:val="0E0D7668"/>
    <w:rsid w:val="0E124C7E"/>
    <w:rsid w:val="0E2055ED"/>
    <w:rsid w:val="0E2F75DE"/>
    <w:rsid w:val="0E3015A8"/>
    <w:rsid w:val="0E4806A0"/>
    <w:rsid w:val="0E4A08BC"/>
    <w:rsid w:val="0E4B0190"/>
    <w:rsid w:val="0E526682"/>
    <w:rsid w:val="0E6D6359"/>
    <w:rsid w:val="0E710DAC"/>
    <w:rsid w:val="0E73034D"/>
    <w:rsid w:val="0E770F85"/>
    <w:rsid w:val="0E782A66"/>
    <w:rsid w:val="0EA13663"/>
    <w:rsid w:val="0EAA4EB7"/>
    <w:rsid w:val="0EB32B5C"/>
    <w:rsid w:val="0EB83A78"/>
    <w:rsid w:val="0EBC4BEA"/>
    <w:rsid w:val="0EC20452"/>
    <w:rsid w:val="0EC94CD8"/>
    <w:rsid w:val="0ECA5559"/>
    <w:rsid w:val="0EDB32C2"/>
    <w:rsid w:val="0EDE1004"/>
    <w:rsid w:val="0EE04D7C"/>
    <w:rsid w:val="0EF0492F"/>
    <w:rsid w:val="0EF645A0"/>
    <w:rsid w:val="0EF6634E"/>
    <w:rsid w:val="0F136F00"/>
    <w:rsid w:val="0F13775A"/>
    <w:rsid w:val="0F144A26"/>
    <w:rsid w:val="0F1C2F56"/>
    <w:rsid w:val="0F1D14FC"/>
    <w:rsid w:val="0F2B6888"/>
    <w:rsid w:val="0F2C1D70"/>
    <w:rsid w:val="0F2F360E"/>
    <w:rsid w:val="0F44355D"/>
    <w:rsid w:val="0F544433"/>
    <w:rsid w:val="0F576E3B"/>
    <w:rsid w:val="0F5D7898"/>
    <w:rsid w:val="0F5F45FE"/>
    <w:rsid w:val="0F5F5667"/>
    <w:rsid w:val="0F6E05DA"/>
    <w:rsid w:val="0F7D25CB"/>
    <w:rsid w:val="0F7E171D"/>
    <w:rsid w:val="0F8971C2"/>
    <w:rsid w:val="0F8B02EB"/>
    <w:rsid w:val="0F8B118C"/>
    <w:rsid w:val="0F9A112B"/>
    <w:rsid w:val="0FA83AEC"/>
    <w:rsid w:val="0FAB0EE6"/>
    <w:rsid w:val="0FB81855"/>
    <w:rsid w:val="0FC1695C"/>
    <w:rsid w:val="0FC401FA"/>
    <w:rsid w:val="0FCD5301"/>
    <w:rsid w:val="0FDE2C74"/>
    <w:rsid w:val="0FE20680"/>
    <w:rsid w:val="0FF26B15"/>
    <w:rsid w:val="0FFA3C1C"/>
    <w:rsid w:val="0FFF56D6"/>
    <w:rsid w:val="10066A65"/>
    <w:rsid w:val="101051ED"/>
    <w:rsid w:val="10152CFE"/>
    <w:rsid w:val="10245EA5"/>
    <w:rsid w:val="102D5D9F"/>
    <w:rsid w:val="103A226A"/>
    <w:rsid w:val="104355C3"/>
    <w:rsid w:val="104511A7"/>
    <w:rsid w:val="10463305"/>
    <w:rsid w:val="104D2642"/>
    <w:rsid w:val="104D4694"/>
    <w:rsid w:val="105574D7"/>
    <w:rsid w:val="105E064F"/>
    <w:rsid w:val="10625508"/>
    <w:rsid w:val="106D2F64"/>
    <w:rsid w:val="106E0499"/>
    <w:rsid w:val="10703EDE"/>
    <w:rsid w:val="107517B6"/>
    <w:rsid w:val="108341D3"/>
    <w:rsid w:val="1088747A"/>
    <w:rsid w:val="108A1444"/>
    <w:rsid w:val="109127D2"/>
    <w:rsid w:val="10956024"/>
    <w:rsid w:val="10993435"/>
    <w:rsid w:val="109D57D6"/>
    <w:rsid w:val="109E0A4B"/>
    <w:rsid w:val="10AE08D0"/>
    <w:rsid w:val="10B269C4"/>
    <w:rsid w:val="10B63710"/>
    <w:rsid w:val="10D0447C"/>
    <w:rsid w:val="10D2374C"/>
    <w:rsid w:val="10E30B54"/>
    <w:rsid w:val="10E32902"/>
    <w:rsid w:val="10F10820"/>
    <w:rsid w:val="10F42D61"/>
    <w:rsid w:val="110C1E59"/>
    <w:rsid w:val="11180DEF"/>
    <w:rsid w:val="111C2F7A"/>
    <w:rsid w:val="111D4066"/>
    <w:rsid w:val="112C24FB"/>
    <w:rsid w:val="112E1DCF"/>
    <w:rsid w:val="11554042"/>
    <w:rsid w:val="115B693C"/>
    <w:rsid w:val="115E01DA"/>
    <w:rsid w:val="11655E95"/>
    <w:rsid w:val="11665CA1"/>
    <w:rsid w:val="11731ED8"/>
    <w:rsid w:val="11733C86"/>
    <w:rsid w:val="117A3266"/>
    <w:rsid w:val="11895257"/>
    <w:rsid w:val="11964CC3"/>
    <w:rsid w:val="11BB05F6"/>
    <w:rsid w:val="11BB562D"/>
    <w:rsid w:val="11BF55BC"/>
    <w:rsid w:val="11BF6ECB"/>
    <w:rsid w:val="11C20769"/>
    <w:rsid w:val="11C81388"/>
    <w:rsid w:val="11D230A2"/>
    <w:rsid w:val="11D44747"/>
    <w:rsid w:val="11E15093"/>
    <w:rsid w:val="11E44B84"/>
    <w:rsid w:val="11EF6A15"/>
    <w:rsid w:val="11FF376C"/>
    <w:rsid w:val="120F6673"/>
    <w:rsid w:val="122B57CA"/>
    <w:rsid w:val="122C2A91"/>
    <w:rsid w:val="12307DC9"/>
    <w:rsid w:val="12372F05"/>
    <w:rsid w:val="123A47A4"/>
    <w:rsid w:val="123C051C"/>
    <w:rsid w:val="123E4294"/>
    <w:rsid w:val="12413A23"/>
    <w:rsid w:val="12505D75"/>
    <w:rsid w:val="12514DCD"/>
    <w:rsid w:val="12591F6D"/>
    <w:rsid w:val="12631F4C"/>
    <w:rsid w:val="1278016C"/>
    <w:rsid w:val="128A74D9"/>
    <w:rsid w:val="12906AB9"/>
    <w:rsid w:val="12A06CFD"/>
    <w:rsid w:val="12AB56A1"/>
    <w:rsid w:val="12B2262F"/>
    <w:rsid w:val="12BA7692"/>
    <w:rsid w:val="12C7072D"/>
    <w:rsid w:val="12C86253"/>
    <w:rsid w:val="12CA0C12"/>
    <w:rsid w:val="12CD5618"/>
    <w:rsid w:val="12E27315"/>
    <w:rsid w:val="12EC0194"/>
    <w:rsid w:val="12F17558"/>
    <w:rsid w:val="12F63D44"/>
    <w:rsid w:val="12F64D40"/>
    <w:rsid w:val="12F72004"/>
    <w:rsid w:val="12FB0D49"/>
    <w:rsid w:val="12FE7EC7"/>
    <w:rsid w:val="1303728B"/>
    <w:rsid w:val="130F6C00"/>
    <w:rsid w:val="13174AE5"/>
    <w:rsid w:val="131A681F"/>
    <w:rsid w:val="131D6B8F"/>
    <w:rsid w:val="13250D15"/>
    <w:rsid w:val="132D18DF"/>
    <w:rsid w:val="13517FF7"/>
    <w:rsid w:val="13533AD2"/>
    <w:rsid w:val="135B0E75"/>
    <w:rsid w:val="135F602A"/>
    <w:rsid w:val="136F501E"/>
    <w:rsid w:val="13732F2F"/>
    <w:rsid w:val="137A57A0"/>
    <w:rsid w:val="138959E3"/>
    <w:rsid w:val="138E124B"/>
    <w:rsid w:val="138F28CD"/>
    <w:rsid w:val="13906D71"/>
    <w:rsid w:val="13951726"/>
    <w:rsid w:val="139D148E"/>
    <w:rsid w:val="13A32576"/>
    <w:rsid w:val="13A823A0"/>
    <w:rsid w:val="13B275C3"/>
    <w:rsid w:val="13B81E24"/>
    <w:rsid w:val="13BF7656"/>
    <w:rsid w:val="13C133CE"/>
    <w:rsid w:val="13D6674E"/>
    <w:rsid w:val="13DA0C71"/>
    <w:rsid w:val="13DA623E"/>
    <w:rsid w:val="13F54E26"/>
    <w:rsid w:val="13FC61B5"/>
    <w:rsid w:val="14005579"/>
    <w:rsid w:val="140C2170"/>
    <w:rsid w:val="14186D67"/>
    <w:rsid w:val="141A663B"/>
    <w:rsid w:val="143376FC"/>
    <w:rsid w:val="143503BA"/>
    <w:rsid w:val="14396509"/>
    <w:rsid w:val="145C4EA5"/>
    <w:rsid w:val="14641FAC"/>
    <w:rsid w:val="147026FF"/>
    <w:rsid w:val="147072F3"/>
    <w:rsid w:val="147D5D8D"/>
    <w:rsid w:val="1481490C"/>
    <w:rsid w:val="14830684"/>
    <w:rsid w:val="14885C9A"/>
    <w:rsid w:val="148D32B1"/>
    <w:rsid w:val="149F2FE4"/>
    <w:rsid w:val="14A46014"/>
    <w:rsid w:val="14AB3737"/>
    <w:rsid w:val="14AF4973"/>
    <w:rsid w:val="14C173FE"/>
    <w:rsid w:val="14CA0061"/>
    <w:rsid w:val="14CF38C9"/>
    <w:rsid w:val="14DD2C3C"/>
    <w:rsid w:val="14E82BDD"/>
    <w:rsid w:val="14F72E20"/>
    <w:rsid w:val="14F96B98"/>
    <w:rsid w:val="150712B5"/>
    <w:rsid w:val="150A4901"/>
    <w:rsid w:val="150D43F1"/>
    <w:rsid w:val="151B4D60"/>
    <w:rsid w:val="151C63E2"/>
    <w:rsid w:val="15232E3B"/>
    <w:rsid w:val="152B4878"/>
    <w:rsid w:val="15312A9E"/>
    <w:rsid w:val="1536302F"/>
    <w:rsid w:val="153B4ABB"/>
    <w:rsid w:val="15451DDD"/>
    <w:rsid w:val="15453B8B"/>
    <w:rsid w:val="15485429"/>
    <w:rsid w:val="154A2F50"/>
    <w:rsid w:val="15542020"/>
    <w:rsid w:val="155A2216"/>
    <w:rsid w:val="156D4E90"/>
    <w:rsid w:val="15744470"/>
    <w:rsid w:val="157E2FE7"/>
    <w:rsid w:val="15826B8D"/>
    <w:rsid w:val="158A77F0"/>
    <w:rsid w:val="15987930"/>
    <w:rsid w:val="15B250FF"/>
    <w:rsid w:val="15B34F99"/>
    <w:rsid w:val="15B731BB"/>
    <w:rsid w:val="15BB209F"/>
    <w:rsid w:val="15C03212"/>
    <w:rsid w:val="15C4283C"/>
    <w:rsid w:val="15D05B4B"/>
    <w:rsid w:val="15D30EFA"/>
    <w:rsid w:val="15D46CBD"/>
    <w:rsid w:val="15D63EB2"/>
    <w:rsid w:val="15DA10F2"/>
    <w:rsid w:val="15DD457C"/>
    <w:rsid w:val="15E96A4C"/>
    <w:rsid w:val="15EA028F"/>
    <w:rsid w:val="15F5110D"/>
    <w:rsid w:val="16087E1D"/>
    <w:rsid w:val="16144A8D"/>
    <w:rsid w:val="16187491"/>
    <w:rsid w:val="161D2412"/>
    <w:rsid w:val="1620742A"/>
    <w:rsid w:val="163756F8"/>
    <w:rsid w:val="163F4A7E"/>
    <w:rsid w:val="16437B7C"/>
    <w:rsid w:val="16594C83"/>
    <w:rsid w:val="16646293"/>
    <w:rsid w:val="167A1613"/>
    <w:rsid w:val="16852CFE"/>
    <w:rsid w:val="168F6EA7"/>
    <w:rsid w:val="16953BCD"/>
    <w:rsid w:val="1699418F"/>
    <w:rsid w:val="169E17A5"/>
    <w:rsid w:val="16B44623"/>
    <w:rsid w:val="16C61609"/>
    <w:rsid w:val="16D74CB7"/>
    <w:rsid w:val="16DB245C"/>
    <w:rsid w:val="16DF3B6C"/>
    <w:rsid w:val="16EB1622"/>
    <w:rsid w:val="16F72C63"/>
    <w:rsid w:val="17013AE2"/>
    <w:rsid w:val="17141470"/>
    <w:rsid w:val="17286CD0"/>
    <w:rsid w:val="172A3E82"/>
    <w:rsid w:val="17424826"/>
    <w:rsid w:val="17495DBF"/>
    <w:rsid w:val="1752433D"/>
    <w:rsid w:val="17527E35"/>
    <w:rsid w:val="17544559"/>
    <w:rsid w:val="17595F83"/>
    <w:rsid w:val="175E5E7D"/>
    <w:rsid w:val="176F3141"/>
    <w:rsid w:val="17701D14"/>
    <w:rsid w:val="177249E0"/>
    <w:rsid w:val="17735226"/>
    <w:rsid w:val="178070FD"/>
    <w:rsid w:val="178B1BAC"/>
    <w:rsid w:val="178B7795"/>
    <w:rsid w:val="17935082"/>
    <w:rsid w:val="179766B3"/>
    <w:rsid w:val="17B35ACD"/>
    <w:rsid w:val="17B54466"/>
    <w:rsid w:val="17BB6387"/>
    <w:rsid w:val="17BC1C4F"/>
    <w:rsid w:val="17E40A83"/>
    <w:rsid w:val="180A2E6A"/>
    <w:rsid w:val="183121A5"/>
    <w:rsid w:val="183F2CBF"/>
    <w:rsid w:val="184616E8"/>
    <w:rsid w:val="18504D21"/>
    <w:rsid w:val="185B3D4E"/>
    <w:rsid w:val="185C36C6"/>
    <w:rsid w:val="18626802"/>
    <w:rsid w:val="186E51A7"/>
    <w:rsid w:val="18787DD4"/>
    <w:rsid w:val="187B61AB"/>
    <w:rsid w:val="18883C44"/>
    <w:rsid w:val="18950986"/>
    <w:rsid w:val="18980476"/>
    <w:rsid w:val="189C0982"/>
    <w:rsid w:val="189F624C"/>
    <w:rsid w:val="18AD3F21"/>
    <w:rsid w:val="18B828C6"/>
    <w:rsid w:val="18C14F50"/>
    <w:rsid w:val="18C82B09"/>
    <w:rsid w:val="18CD6371"/>
    <w:rsid w:val="18D53478"/>
    <w:rsid w:val="18DC7CA7"/>
    <w:rsid w:val="18DD40DB"/>
    <w:rsid w:val="18ED6A14"/>
    <w:rsid w:val="19017DC9"/>
    <w:rsid w:val="191775DC"/>
    <w:rsid w:val="1921046B"/>
    <w:rsid w:val="19235F91"/>
    <w:rsid w:val="19241D0A"/>
    <w:rsid w:val="19246D19"/>
    <w:rsid w:val="1925123C"/>
    <w:rsid w:val="19306900"/>
    <w:rsid w:val="193261D5"/>
    <w:rsid w:val="1941466A"/>
    <w:rsid w:val="194660D8"/>
    <w:rsid w:val="19474EBB"/>
    <w:rsid w:val="194B7296"/>
    <w:rsid w:val="19570331"/>
    <w:rsid w:val="19597C05"/>
    <w:rsid w:val="19646C68"/>
    <w:rsid w:val="19662322"/>
    <w:rsid w:val="198527A8"/>
    <w:rsid w:val="1987620B"/>
    <w:rsid w:val="19924EC5"/>
    <w:rsid w:val="199455B4"/>
    <w:rsid w:val="19AA4A1C"/>
    <w:rsid w:val="19AE61A3"/>
    <w:rsid w:val="19BF485E"/>
    <w:rsid w:val="19CB0575"/>
    <w:rsid w:val="19CB1D3A"/>
    <w:rsid w:val="19E94C86"/>
    <w:rsid w:val="19EE2A43"/>
    <w:rsid w:val="19EF056A"/>
    <w:rsid w:val="19EF40C6"/>
    <w:rsid w:val="1A1C66C0"/>
    <w:rsid w:val="1A287FE7"/>
    <w:rsid w:val="1A42393B"/>
    <w:rsid w:val="1A4268EB"/>
    <w:rsid w:val="1A622AE9"/>
    <w:rsid w:val="1A651146"/>
    <w:rsid w:val="1A6D4BB7"/>
    <w:rsid w:val="1A6E148E"/>
    <w:rsid w:val="1A7806FD"/>
    <w:rsid w:val="1A787533"/>
    <w:rsid w:val="1A7A42D7"/>
    <w:rsid w:val="1A7B3BAB"/>
    <w:rsid w:val="1A815666"/>
    <w:rsid w:val="1A845156"/>
    <w:rsid w:val="1A854A21"/>
    <w:rsid w:val="1A8E7D82"/>
    <w:rsid w:val="1AA90718"/>
    <w:rsid w:val="1AAD45DE"/>
    <w:rsid w:val="1AB66933"/>
    <w:rsid w:val="1AC11F06"/>
    <w:rsid w:val="1AC15A62"/>
    <w:rsid w:val="1ADF238C"/>
    <w:rsid w:val="1AE14356"/>
    <w:rsid w:val="1AE17C0B"/>
    <w:rsid w:val="1B046F80"/>
    <w:rsid w:val="1B0B13D3"/>
    <w:rsid w:val="1B0B3181"/>
    <w:rsid w:val="1B0D131B"/>
    <w:rsid w:val="1B155DAE"/>
    <w:rsid w:val="1B210BF7"/>
    <w:rsid w:val="1B2B13B7"/>
    <w:rsid w:val="1B31159D"/>
    <w:rsid w:val="1B3267B5"/>
    <w:rsid w:val="1B3A5814"/>
    <w:rsid w:val="1B40161D"/>
    <w:rsid w:val="1B411A0A"/>
    <w:rsid w:val="1B43291B"/>
    <w:rsid w:val="1B4346C9"/>
    <w:rsid w:val="1B441859"/>
    <w:rsid w:val="1B6606B1"/>
    <w:rsid w:val="1B663A43"/>
    <w:rsid w:val="1B740D26"/>
    <w:rsid w:val="1B873D79"/>
    <w:rsid w:val="1B972C67"/>
    <w:rsid w:val="1B9B4505"/>
    <w:rsid w:val="1B9C1031"/>
    <w:rsid w:val="1BAA299A"/>
    <w:rsid w:val="1BB85145"/>
    <w:rsid w:val="1BC81072"/>
    <w:rsid w:val="1BCF0653"/>
    <w:rsid w:val="1BDE0896"/>
    <w:rsid w:val="1BF604D2"/>
    <w:rsid w:val="1BF73705"/>
    <w:rsid w:val="1BFC0812"/>
    <w:rsid w:val="1C09276F"/>
    <w:rsid w:val="1C0D6A33"/>
    <w:rsid w:val="1C1036BB"/>
    <w:rsid w:val="1C177904"/>
    <w:rsid w:val="1C2E1720"/>
    <w:rsid w:val="1C35495A"/>
    <w:rsid w:val="1C4A7CD9"/>
    <w:rsid w:val="1C5803F8"/>
    <w:rsid w:val="1C5E47EB"/>
    <w:rsid w:val="1C5E7925"/>
    <w:rsid w:val="1C8431EB"/>
    <w:rsid w:val="1C931680"/>
    <w:rsid w:val="1C962F1E"/>
    <w:rsid w:val="1CB2219C"/>
    <w:rsid w:val="1CB8334F"/>
    <w:rsid w:val="1CBC0BD7"/>
    <w:rsid w:val="1CCC06EE"/>
    <w:rsid w:val="1CD32CF2"/>
    <w:rsid w:val="1CE27F12"/>
    <w:rsid w:val="1CE617B0"/>
    <w:rsid w:val="1CEB5018"/>
    <w:rsid w:val="1CF10B92"/>
    <w:rsid w:val="1CF11810"/>
    <w:rsid w:val="1CFD070F"/>
    <w:rsid w:val="1D043A4B"/>
    <w:rsid w:val="1D097B94"/>
    <w:rsid w:val="1D1327C1"/>
    <w:rsid w:val="1D13704C"/>
    <w:rsid w:val="1D1A3B4F"/>
    <w:rsid w:val="1D1F2F14"/>
    <w:rsid w:val="1D2B3667"/>
    <w:rsid w:val="1D2F7CC7"/>
    <w:rsid w:val="1D423107"/>
    <w:rsid w:val="1D496BFF"/>
    <w:rsid w:val="1D5F6196"/>
    <w:rsid w:val="1D6132A5"/>
    <w:rsid w:val="1D6D3C7F"/>
    <w:rsid w:val="1D6E2F6B"/>
    <w:rsid w:val="1D74500E"/>
    <w:rsid w:val="1D774AFE"/>
    <w:rsid w:val="1D7768AC"/>
    <w:rsid w:val="1D7A319B"/>
    <w:rsid w:val="1D812310"/>
    <w:rsid w:val="1D852E89"/>
    <w:rsid w:val="1D880AB9"/>
    <w:rsid w:val="1D882867"/>
    <w:rsid w:val="1D8E56D5"/>
    <w:rsid w:val="1D927673"/>
    <w:rsid w:val="1DA10708"/>
    <w:rsid w:val="1DA13929"/>
    <w:rsid w:val="1DA35562"/>
    <w:rsid w:val="1DA43419"/>
    <w:rsid w:val="1DAB169F"/>
    <w:rsid w:val="1DCC309C"/>
    <w:rsid w:val="1DD261D8"/>
    <w:rsid w:val="1DF12B02"/>
    <w:rsid w:val="1E004AF3"/>
    <w:rsid w:val="1E01086B"/>
    <w:rsid w:val="1E0A1C72"/>
    <w:rsid w:val="1E110AAE"/>
    <w:rsid w:val="1E1D5C20"/>
    <w:rsid w:val="1E2F7187"/>
    <w:rsid w:val="1E3B1F14"/>
    <w:rsid w:val="1E454BFC"/>
    <w:rsid w:val="1E4C0CF3"/>
    <w:rsid w:val="1E74103D"/>
    <w:rsid w:val="1E7A43DA"/>
    <w:rsid w:val="1E88623C"/>
    <w:rsid w:val="1E8D144E"/>
    <w:rsid w:val="1EA336D1"/>
    <w:rsid w:val="1EA41923"/>
    <w:rsid w:val="1EAF2075"/>
    <w:rsid w:val="1ECE074D"/>
    <w:rsid w:val="1ED01768"/>
    <w:rsid w:val="1ED66369"/>
    <w:rsid w:val="1EDD453E"/>
    <w:rsid w:val="1EDF4270"/>
    <w:rsid w:val="1EE066D3"/>
    <w:rsid w:val="1EEB7551"/>
    <w:rsid w:val="1EF53F2C"/>
    <w:rsid w:val="1EF620A4"/>
    <w:rsid w:val="1EFD7285"/>
    <w:rsid w:val="1F040613"/>
    <w:rsid w:val="1F0625DD"/>
    <w:rsid w:val="1F114ADE"/>
    <w:rsid w:val="1F212F73"/>
    <w:rsid w:val="1F2760B0"/>
    <w:rsid w:val="1F3507CD"/>
    <w:rsid w:val="1F372797"/>
    <w:rsid w:val="1F3A2287"/>
    <w:rsid w:val="1F3E47CD"/>
    <w:rsid w:val="1F4629DA"/>
    <w:rsid w:val="1F470500"/>
    <w:rsid w:val="1F491442"/>
    <w:rsid w:val="1F5D7D23"/>
    <w:rsid w:val="1F5E5F75"/>
    <w:rsid w:val="1F602B3B"/>
    <w:rsid w:val="1F686DF4"/>
    <w:rsid w:val="1F6E3CDF"/>
    <w:rsid w:val="1F833C2E"/>
    <w:rsid w:val="1F843502"/>
    <w:rsid w:val="1FA660DC"/>
    <w:rsid w:val="1FA6791C"/>
    <w:rsid w:val="1FB02549"/>
    <w:rsid w:val="1FB43DE7"/>
    <w:rsid w:val="1FE7539E"/>
    <w:rsid w:val="1FF43BB1"/>
    <w:rsid w:val="1FFB35E3"/>
    <w:rsid w:val="20020FF7"/>
    <w:rsid w:val="200603BB"/>
    <w:rsid w:val="20200F8C"/>
    <w:rsid w:val="20280331"/>
    <w:rsid w:val="20313EF6"/>
    <w:rsid w:val="20564E9E"/>
    <w:rsid w:val="20621A95"/>
    <w:rsid w:val="20671BE0"/>
    <w:rsid w:val="208C6B12"/>
    <w:rsid w:val="20931C4F"/>
    <w:rsid w:val="20963CB8"/>
    <w:rsid w:val="209D0D1F"/>
    <w:rsid w:val="20A26336"/>
    <w:rsid w:val="20A3224D"/>
    <w:rsid w:val="20A81A1B"/>
    <w:rsid w:val="20AC033D"/>
    <w:rsid w:val="20B00A53"/>
    <w:rsid w:val="20B07FB6"/>
    <w:rsid w:val="20B646FB"/>
    <w:rsid w:val="20DB35F6"/>
    <w:rsid w:val="20E06E5E"/>
    <w:rsid w:val="21071715"/>
    <w:rsid w:val="21072813"/>
    <w:rsid w:val="211A2370"/>
    <w:rsid w:val="21246D4B"/>
    <w:rsid w:val="21333432"/>
    <w:rsid w:val="213B74B1"/>
    <w:rsid w:val="213D7E0C"/>
    <w:rsid w:val="214A44E5"/>
    <w:rsid w:val="214B12E7"/>
    <w:rsid w:val="214C62A1"/>
    <w:rsid w:val="215A2310"/>
    <w:rsid w:val="21601B8B"/>
    <w:rsid w:val="21627873"/>
    <w:rsid w:val="2168200C"/>
    <w:rsid w:val="216929AF"/>
    <w:rsid w:val="21696E53"/>
    <w:rsid w:val="216E0C3C"/>
    <w:rsid w:val="21701F90"/>
    <w:rsid w:val="21767713"/>
    <w:rsid w:val="21A07893"/>
    <w:rsid w:val="21A25EC1"/>
    <w:rsid w:val="21A970E2"/>
    <w:rsid w:val="21B225A8"/>
    <w:rsid w:val="21B93937"/>
    <w:rsid w:val="21C30312"/>
    <w:rsid w:val="21D249F9"/>
    <w:rsid w:val="21D50045"/>
    <w:rsid w:val="21DE318A"/>
    <w:rsid w:val="21EF5B80"/>
    <w:rsid w:val="21F20BF7"/>
    <w:rsid w:val="21FC7CC7"/>
    <w:rsid w:val="21FF7025"/>
    <w:rsid w:val="220B3A67"/>
    <w:rsid w:val="22160D89"/>
    <w:rsid w:val="221B767A"/>
    <w:rsid w:val="22250FCC"/>
    <w:rsid w:val="222705BD"/>
    <w:rsid w:val="222958CF"/>
    <w:rsid w:val="22364E11"/>
    <w:rsid w:val="223905D4"/>
    <w:rsid w:val="22497C84"/>
    <w:rsid w:val="224D407F"/>
    <w:rsid w:val="225047C3"/>
    <w:rsid w:val="22572055"/>
    <w:rsid w:val="22576990"/>
    <w:rsid w:val="22592A24"/>
    <w:rsid w:val="22605CB1"/>
    <w:rsid w:val="22613331"/>
    <w:rsid w:val="226D40A1"/>
    <w:rsid w:val="22721D38"/>
    <w:rsid w:val="22723AE6"/>
    <w:rsid w:val="227E248B"/>
    <w:rsid w:val="22804455"/>
    <w:rsid w:val="22821F7B"/>
    <w:rsid w:val="229B0D12"/>
    <w:rsid w:val="22A55C69"/>
    <w:rsid w:val="22B8599C"/>
    <w:rsid w:val="22E76282"/>
    <w:rsid w:val="22EC5646"/>
    <w:rsid w:val="22F47480"/>
    <w:rsid w:val="22F514EE"/>
    <w:rsid w:val="231A0405"/>
    <w:rsid w:val="23243032"/>
    <w:rsid w:val="23302BE7"/>
    <w:rsid w:val="233A4603"/>
    <w:rsid w:val="233B65CE"/>
    <w:rsid w:val="2342795C"/>
    <w:rsid w:val="234731C4"/>
    <w:rsid w:val="2355143D"/>
    <w:rsid w:val="235B641F"/>
    <w:rsid w:val="236C2D03"/>
    <w:rsid w:val="2370007A"/>
    <w:rsid w:val="23713D9D"/>
    <w:rsid w:val="23733FB9"/>
    <w:rsid w:val="237A5558"/>
    <w:rsid w:val="237D267E"/>
    <w:rsid w:val="2383244E"/>
    <w:rsid w:val="238654DF"/>
    <w:rsid w:val="239D1036"/>
    <w:rsid w:val="23A94469"/>
    <w:rsid w:val="23BD6681"/>
    <w:rsid w:val="23BE21BE"/>
    <w:rsid w:val="23C93BD9"/>
    <w:rsid w:val="23DE1C48"/>
    <w:rsid w:val="23F01166"/>
    <w:rsid w:val="23F07A01"/>
    <w:rsid w:val="23FA529B"/>
    <w:rsid w:val="23FC3FAF"/>
    <w:rsid w:val="24013373"/>
    <w:rsid w:val="240210CD"/>
    <w:rsid w:val="240A66CC"/>
    <w:rsid w:val="240D3AC6"/>
    <w:rsid w:val="2412732E"/>
    <w:rsid w:val="241430A6"/>
    <w:rsid w:val="24174945"/>
    <w:rsid w:val="241C63FF"/>
    <w:rsid w:val="243472A5"/>
    <w:rsid w:val="243B4AD7"/>
    <w:rsid w:val="244D65B8"/>
    <w:rsid w:val="24500B7F"/>
    <w:rsid w:val="245C2C9F"/>
    <w:rsid w:val="246336F4"/>
    <w:rsid w:val="24747FE9"/>
    <w:rsid w:val="24773635"/>
    <w:rsid w:val="2480073C"/>
    <w:rsid w:val="248151E3"/>
    <w:rsid w:val="24973CD7"/>
    <w:rsid w:val="249B7324"/>
    <w:rsid w:val="24A85EE5"/>
    <w:rsid w:val="24A86184"/>
    <w:rsid w:val="24AA3A0B"/>
    <w:rsid w:val="24B10C03"/>
    <w:rsid w:val="24B71C84"/>
    <w:rsid w:val="24BB4180"/>
    <w:rsid w:val="24BF09F7"/>
    <w:rsid w:val="24E54A43"/>
    <w:rsid w:val="24F64A0B"/>
    <w:rsid w:val="25057744"/>
    <w:rsid w:val="250E5D48"/>
    <w:rsid w:val="25273966"/>
    <w:rsid w:val="252B659C"/>
    <w:rsid w:val="252D53FE"/>
    <w:rsid w:val="253151AB"/>
    <w:rsid w:val="25331C52"/>
    <w:rsid w:val="253961E2"/>
    <w:rsid w:val="253E7682"/>
    <w:rsid w:val="254402E0"/>
    <w:rsid w:val="254B6F9C"/>
    <w:rsid w:val="254C6870"/>
    <w:rsid w:val="25547608"/>
    <w:rsid w:val="25575B08"/>
    <w:rsid w:val="25733DFD"/>
    <w:rsid w:val="257A5F66"/>
    <w:rsid w:val="2580651A"/>
    <w:rsid w:val="258129BE"/>
    <w:rsid w:val="258204E4"/>
    <w:rsid w:val="25897EAD"/>
    <w:rsid w:val="258B0691"/>
    <w:rsid w:val="25910727"/>
    <w:rsid w:val="25A04547"/>
    <w:rsid w:val="25BC4EA9"/>
    <w:rsid w:val="25BD776E"/>
    <w:rsid w:val="25BF34E6"/>
    <w:rsid w:val="25D1584C"/>
    <w:rsid w:val="25D52D09"/>
    <w:rsid w:val="25E66CC5"/>
    <w:rsid w:val="25EC2D81"/>
    <w:rsid w:val="25F72C80"/>
    <w:rsid w:val="25FC0296"/>
    <w:rsid w:val="260D5EB5"/>
    <w:rsid w:val="260E7FC9"/>
    <w:rsid w:val="261F5D33"/>
    <w:rsid w:val="26355556"/>
    <w:rsid w:val="264D7E79"/>
    <w:rsid w:val="26695200"/>
    <w:rsid w:val="266F6541"/>
    <w:rsid w:val="2677349D"/>
    <w:rsid w:val="2677791D"/>
    <w:rsid w:val="26920BFA"/>
    <w:rsid w:val="26AF0B88"/>
    <w:rsid w:val="26C863CA"/>
    <w:rsid w:val="26C879CF"/>
    <w:rsid w:val="26D27249"/>
    <w:rsid w:val="26D703BB"/>
    <w:rsid w:val="26ED5E31"/>
    <w:rsid w:val="26FD42C6"/>
    <w:rsid w:val="26FF5B24"/>
    <w:rsid w:val="27090EBD"/>
    <w:rsid w:val="270F5A60"/>
    <w:rsid w:val="27117D71"/>
    <w:rsid w:val="2722007C"/>
    <w:rsid w:val="272E26D1"/>
    <w:rsid w:val="273961A8"/>
    <w:rsid w:val="27561C28"/>
    <w:rsid w:val="275A34C6"/>
    <w:rsid w:val="275B0FEC"/>
    <w:rsid w:val="275B2D9A"/>
    <w:rsid w:val="275F0ADD"/>
    <w:rsid w:val="276E0D20"/>
    <w:rsid w:val="277057A2"/>
    <w:rsid w:val="27814EF7"/>
    <w:rsid w:val="27830026"/>
    <w:rsid w:val="278C42F2"/>
    <w:rsid w:val="27912C60"/>
    <w:rsid w:val="27983FEE"/>
    <w:rsid w:val="279938C3"/>
    <w:rsid w:val="279A3902"/>
    <w:rsid w:val="27A74232"/>
    <w:rsid w:val="27A75FE0"/>
    <w:rsid w:val="27B20563"/>
    <w:rsid w:val="27B5378A"/>
    <w:rsid w:val="27BF172E"/>
    <w:rsid w:val="27D33279"/>
    <w:rsid w:val="27D36DD5"/>
    <w:rsid w:val="27D52B4D"/>
    <w:rsid w:val="27DC037F"/>
    <w:rsid w:val="27DF39CB"/>
    <w:rsid w:val="27E65BDD"/>
    <w:rsid w:val="27FA6A57"/>
    <w:rsid w:val="28060F58"/>
    <w:rsid w:val="280751E1"/>
    <w:rsid w:val="280E42B1"/>
    <w:rsid w:val="28193B34"/>
    <w:rsid w:val="281F3B30"/>
    <w:rsid w:val="282509C7"/>
    <w:rsid w:val="2828082C"/>
    <w:rsid w:val="282B115F"/>
    <w:rsid w:val="28334373"/>
    <w:rsid w:val="284C64E6"/>
    <w:rsid w:val="284D6B87"/>
    <w:rsid w:val="285223EF"/>
    <w:rsid w:val="286918F0"/>
    <w:rsid w:val="28861EB0"/>
    <w:rsid w:val="2886653D"/>
    <w:rsid w:val="28941C39"/>
    <w:rsid w:val="289447B6"/>
    <w:rsid w:val="28A10C81"/>
    <w:rsid w:val="28B22E8E"/>
    <w:rsid w:val="28B5472C"/>
    <w:rsid w:val="28BB6529"/>
    <w:rsid w:val="28C055AB"/>
    <w:rsid w:val="28C17575"/>
    <w:rsid w:val="28C921EC"/>
    <w:rsid w:val="28D92B11"/>
    <w:rsid w:val="28DA4193"/>
    <w:rsid w:val="28DB0E62"/>
    <w:rsid w:val="28E026ED"/>
    <w:rsid w:val="28E374EB"/>
    <w:rsid w:val="28EF40E2"/>
    <w:rsid w:val="28F72F97"/>
    <w:rsid w:val="28FA3D43"/>
    <w:rsid w:val="29086F52"/>
    <w:rsid w:val="290B7953"/>
    <w:rsid w:val="290D4568"/>
    <w:rsid w:val="2916166F"/>
    <w:rsid w:val="291C35D2"/>
    <w:rsid w:val="29206EB8"/>
    <w:rsid w:val="29211A14"/>
    <w:rsid w:val="29324930"/>
    <w:rsid w:val="293D2205"/>
    <w:rsid w:val="2941600F"/>
    <w:rsid w:val="29471828"/>
    <w:rsid w:val="2959155B"/>
    <w:rsid w:val="29595666"/>
    <w:rsid w:val="295D54F0"/>
    <w:rsid w:val="296D5007"/>
    <w:rsid w:val="296D7344"/>
    <w:rsid w:val="29785E86"/>
    <w:rsid w:val="29874881"/>
    <w:rsid w:val="29946A38"/>
    <w:rsid w:val="299A67A7"/>
    <w:rsid w:val="299D769A"/>
    <w:rsid w:val="29AC5B2F"/>
    <w:rsid w:val="29BB2086"/>
    <w:rsid w:val="29BF1D06"/>
    <w:rsid w:val="29C9718D"/>
    <w:rsid w:val="29E11C7D"/>
    <w:rsid w:val="29E325E0"/>
    <w:rsid w:val="2A005E7B"/>
    <w:rsid w:val="2A047719"/>
    <w:rsid w:val="2A157B78"/>
    <w:rsid w:val="2A1C0F07"/>
    <w:rsid w:val="2A236073"/>
    <w:rsid w:val="2A276771"/>
    <w:rsid w:val="2A452503"/>
    <w:rsid w:val="2A482E41"/>
    <w:rsid w:val="2A5306A1"/>
    <w:rsid w:val="2A5F2BA2"/>
    <w:rsid w:val="2A6922B9"/>
    <w:rsid w:val="2A6D1762"/>
    <w:rsid w:val="2A75032D"/>
    <w:rsid w:val="2A787ED2"/>
    <w:rsid w:val="2A9314C9"/>
    <w:rsid w:val="2A96781F"/>
    <w:rsid w:val="2A9A62D0"/>
    <w:rsid w:val="2AAE5692"/>
    <w:rsid w:val="2AC241F2"/>
    <w:rsid w:val="2AC259D7"/>
    <w:rsid w:val="2ACA0963"/>
    <w:rsid w:val="2AD109C9"/>
    <w:rsid w:val="2AD27817"/>
    <w:rsid w:val="2AEC6B2B"/>
    <w:rsid w:val="2AFC6F9C"/>
    <w:rsid w:val="2B026071"/>
    <w:rsid w:val="2B1240B8"/>
    <w:rsid w:val="2B1478F6"/>
    <w:rsid w:val="2B28133B"/>
    <w:rsid w:val="2B2D4A4E"/>
    <w:rsid w:val="2B4A1AA4"/>
    <w:rsid w:val="2B5517A3"/>
    <w:rsid w:val="2B585F6F"/>
    <w:rsid w:val="2B593AD6"/>
    <w:rsid w:val="2B5F2304"/>
    <w:rsid w:val="2B633863"/>
    <w:rsid w:val="2B6E1413"/>
    <w:rsid w:val="2B822FEC"/>
    <w:rsid w:val="2B8925CC"/>
    <w:rsid w:val="2B8B7160"/>
    <w:rsid w:val="2B8E7BE2"/>
    <w:rsid w:val="2BA016C4"/>
    <w:rsid w:val="2BA15987"/>
    <w:rsid w:val="2BA936A8"/>
    <w:rsid w:val="2BB626C9"/>
    <w:rsid w:val="2BBA3CA9"/>
    <w:rsid w:val="2BBB474F"/>
    <w:rsid w:val="2BC374BB"/>
    <w:rsid w:val="2BE75544"/>
    <w:rsid w:val="2BF632B8"/>
    <w:rsid w:val="2BFF288E"/>
    <w:rsid w:val="2C167BD8"/>
    <w:rsid w:val="2C186E9C"/>
    <w:rsid w:val="2C2422F5"/>
    <w:rsid w:val="2C2F4A08"/>
    <w:rsid w:val="2C315A5A"/>
    <w:rsid w:val="2C4B1C25"/>
    <w:rsid w:val="2C4C53A8"/>
    <w:rsid w:val="2C5801F0"/>
    <w:rsid w:val="2C5F157F"/>
    <w:rsid w:val="2C6B7F24"/>
    <w:rsid w:val="2C78619D"/>
    <w:rsid w:val="2C862667"/>
    <w:rsid w:val="2C92725E"/>
    <w:rsid w:val="2CA84CD4"/>
    <w:rsid w:val="2CB216AE"/>
    <w:rsid w:val="2CCF04B2"/>
    <w:rsid w:val="2CD22F81"/>
    <w:rsid w:val="2CD70CBA"/>
    <w:rsid w:val="2CE02702"/>
    <w:rsid w:val="2CE2075A"/>
    <w:rsid w:val="2CED26E7"/>
    <w:rsid w:val="2CFF066C"/>
    <w:rsid w:val="2D1B3B17"/>
    <w:rsid w:val="2D1F486A"/>
    <w:rsid w:val="2D267460"/>
    <w:rsid w:val="2D2D342B"/>
    <w:rsid w:val="2D2F7431"/>
    <w:rsid w:val="2D396A90"/>
    <w:rsid w:val="2D4B565F"/>
    <w:rsid w:val="2D6B22BD"/>
    <w:rsid w:val="2D6D7CCB"/>
    <w:rsid w:val="2D6F57F1"/>
    <w:rsid w:val="2D855015"/>
    <w:rsid w:val="2D8D5C78"/>
    <w:rsid w:val="2D9154CB"/>
    <w:rsid w:val="2D9E56F5"/>
    <w:rsid w:val="2DB43204"/>
    <w:rsid w:val="2DCC49F2"/>
    <w:rsid w:val="2DD218DC"/>
    <w:rsid w:val="2DDD275B"/>
    <w:rsid w:val="2DDF7C5A"/>
    <w:rsid w:val="2DEA30CA"/>
    <w:rsid w:val="2DF80BB4"/>
    <w:rsid w:val="2E075A2A"/>
    <w:rsid w:val="2E083954"/>
    <w:rsid w:val="2E0C51E3"/>
    <w:rsid w:val="2E0C688C"/>
    <w:rsid w:val="2E1B3283"/>
    <w:rsid w:val="2E1D284D"/>
    <w:rsid w:val="2E2E7268"/>
    <w:rsid w:val="2E36630F"/>
    <w:rsid w:val="2E3B3926"/>
    <w:rsid w:val="2E440A2C"/>
    <w:rsid w:val="2E4427DA"/>
    <w:rsid w:val="2E4647A4"/>
    <w:rsid w:val="2E667F96"/>
    <w:rsid w:val="2E6B5A46"/>
    <w:rsid w:val="2E6C1899"/>
    <w:rsid w:val="2E6F0090"/>
    <w:rsid w:val="2E730AF8"/>
    <w:rsid w:val="2E7B0D8D"/>
    <w:rsid w:val="2E8226AB"/>
    <w:rsid w:val="2E894691"/>
    <w:rsid w:val="2E9F5C62"/>
    <w:rsid w:val="2ED76FED"/>
    <w:rsid w:val="2EEE2746"/>
    <w:rsid w:val="2F0121E9"/>
    <w:rsid w:val="2F0D52C2"/>
    <w:rsid w:val="2F1234FB"/>
    <w:rsid w:val="2F1877C3"/>
    <w:rsid w:val="2F1E36D3"/>
    <w:rsid w:val="2F281FC4"/>
    <w:rsid w:val="2F2820FC"/>
    <w:rsid w:val="2F2B5748"/>
    <w:rsid w:val="2F503401"/>
    <w:rsid w:val="2F520F27"/>
    <w:rsid w:val="2F540BF7"/>
    <w:rsid w:val="2F5E5DC9"/>
    <w:rsid w:val="2F662C24"/>
    <w:rsid w:val="2F6A001E"/>
    <w:rsid w:val="2F8B7921"/>
    <w:rsid w:val="2F923A19"/>
    <w:rsid w:val="2F92736A"/>
    <w:rsid w:val="2F94153F"/>
    <w:rsid w:val="2FAB6BD3"/>
    <w:rsid w:val="2FB120F1"/>
    <w:rsid w:val="2FB61DF6"/>
    <w:rsid w:val="2FB70D88"/>
    <w:rsid w:val="2FB90FA6"/>
    <w:rsid w:val="2FBA323E"/>
    <w:rsid w:val="2FC55B9D"/>
    <w:rsid w:val="2FC82F97"/>
    <w:rsid w:val="2FCF07C9"/>
    <w:rsid w:val="2FD065E6"/>
    <w:rsid w:val="2FD96870"/>
    <w:rsid w:val="2FDA7EC4"/>
    <w:rsid w:val="2FE51D9B"/>
    <w:rsid w:val="2FF12575"/>
    <w:rsid w:val="2FF827FE"/>
    <w:rsid w:val="300C7328"/>
    <w:rsid w:val="30134B5A"/>
    <w:rsid w:val="30161F54"/>
    <w:rsid w:val="302E7398"/>
    <w:rsid w:val="30325BB6"/>
    <w:rsid w:val="303D1BD7"/>
    <w:rsid w:val="30580BC9"/>
    <w:rsid w:val="306C426A"/>
    <w:rsid w:val="30751371"/>
    <w:rsid w:val="3082583C"/>
    <w:rsid w:val="30980055"/>
    <w:rsid w:val="30A65790"/>
    <w:rsid w:val="30B11C7D"/>
    <w:rsid w:val="30B21802"/>
    <w:rsid w:val="30C10112"/>
    <w:rsid w:val="30C60BE4"/>
    <w:rsid w:val="30D14BB1"/>
    <w:rsid w:val="30D5727F"/>
    <w:rsid w:val="30DC4F4C"/>
    <w:rsid w:val="30DD3E35"/>
    <w:rsid w:val="30E11085"/>
    <w:rsid w:val="30E72D87"/>
    <w:rsid w:val="30FD3114"/>
    <w:rsid w:val="311E2ED7"/>
    <w:rsid w:val="312132A7"/>
    <w:rsid w:val="31244195"/>
    <w:rsid w:val="31322DBE"/>
    <w:rsid w:val="313A42AE"/>
    <w:rsid w:val="313C7C2B"/>
    <w:rsid w:val="314174A5"/>
    <w:rsid w:val="31440D43"/>
    <w:rsid w:val="3153274D"/>
    <w:rsid w:val="315619EE"/>
    <w:rsid w:val="315C42DF"/>
    <w:rsid w:val="315C449C"/>
    <w:rsid w:val="317F1137"/>
    <w:rsid w:val="318B0720"/>
    <w:rsid w:val="319121DA"/>
    <w:rsid w:val="31A33CBC"/>
    <w:rsid w:val="31A737AC"/>
    <w:rsid w:val="31B425B2"/>
    <w:rsid w:val="31B45EC9"/>
    <w:rsid w:val="31B5579D"/>
    <w:rsid w:val="31B82709"/>
    <w:rsid w:val="31CA5529"/>
    <w:rsid w:val="31D010A8"/>
    <w:rsid w:val="31D05482"/>
    <w:rsid w:val="31DC0F7C"/>
    <w:rsid w:val="31DD60F7"/>
    <w:rsid w:val="32236BAB"/>
    <w:rsid w:val="32241728"/>
    <w:rsid w:val="32400B34"/>
    <w:rsid w:val="3241232A"/>
    <w:rsid w:val="324234D5"/>
    <w:rsid w:val="3247469D"/>
    <w:rsid w:val="324760F6"/>
    <w:rsid w:val="326351F9"/>
    <w:rsid w:val="3264169D"/>
    <w:rsid w:val="326C06C8"/>
    <w:rsid w:val="32713DBA"/>
    <w:rsid w:val="32803FFD"/>
    <w:rsid w:val="328533C1"/>
    <w:rsid w:val="32896631"/>
    <w:rsid w:val="329110B5"/>
    <w:rsid w:val="329E6876"/>
    <w:rsid w:val="32A54BEB"/>
    <w:rsid w:val="32B048E2"/>
    <w:rsid w:val="32B7300E"/>
    <w:rsid w:val="32B819E9"/>
    <w:rsid w:val="32BA306B"/>
    <w:rsid w:val="32BD2D68"/>
    <w:rsid w:val="32BD3D34"/>
    <w:rsid w:val="32CE1E89"/>
    <w:rsid w:val="32D35FBF"/>
    <w:rsid w:val="32DD144F"/>
    <w:rsid w:val="32F8303F"/>
    <w:rsid w:val="32FB60E4"/>
    <w:rsid w:val="3307027A"/>
    <w:rsid w:val="331309CD"/>
    <w:rsid w:val="33184235"/>
    <w:rsid w:val="33185FE3"/>
    <w:rsid w:val="331A1D5C"/>
    <w:rsid w:val="331F7372"/>
    <w:rsid w:val="333015F2"/>
    <w:rsid w:val="334B6320"/>
    <w:rsid w:val="334B63B9"/>
    <w:rsid w:val="337D5EB4"/>
    <w:rsid w:val="337E27C7"/>
    <w:rsid w:val="3380202C"/>
    <w:rsid w:val="338F274A"/>
    <w:rsid w:val="33917FD3"/>
    <w:rsid w:val="33977850"/>
    <w:rsid w:val="33BB353F"/>
    <w:rsid w:val="33BC62D4"/>
    <w:rsid w:val="33BF52A9"/>
    <w:rsid w:val="33C10429"/>
    <w:rsid w:val="33CD6DCE"/>
    <w:rsid w:val="33D068BE"/>
    <w:rsid w:val="33D934D4"/>
    <w:rsid w:val="33DE0FDB"/>
    <w:rsid w:val="33E6081A"/>
    <w:rsid w:val="33E671C5"/>
    <w:rsid w:val="33EC7B9C"/>
    <w:rsid w:val="33F56325"/>
    <w:rsid w:val="33F64577"/>
    <w:rsid w:val="33F87432"/>
    <w:rsid w:val="33FE2F6A"/>
    <w:rsid w:val="34086058"/>
    <w:rsid w:val="340E07E5"/>
    <w:rsid w:val="3420323F"/>
    <w:rsid w:val="34235BF7"/>
    <w:rsid w:val="34384B8F"/>
    <w:rsid w:val="346A6D13"/>
    <w:rsid w:val="34931DC5"/>
    <w:rsid w:val="34993154"/>
    <w:rsid w:val="349A13A6"/>
    <w:rsid w:val="34B561E0"/>
    <w:rsid w:val="34BC7277"/>
    <w:rsid w:val="34CC342B"/>
    <w:rsid w:val="34DA17F1"/>
    <w:rsid w:val="34DD52CB"/>
    <w:rsid w:val="34E94521"/>
    <w:rsid w:val="34EA39B0"/>
    <w:rsid w:val="35011425"/>
    <w:rsid w:val="35076310"/>
    <w:rsid w:val="350B4052"/>
    <w:rsid w:val="350F7B69"/>
    <w:rsid w:val="35123632"/>
    <w:rsid w:val="351647A5"/>
    <w:rsid w:val="35262C3A"/>
    <w:rsid w:val="355163EF"/>
    <w:rsid w:val="35527ED3"/>
    <w:rsid w:val="35535C24"/>
    <w:rsid w:val="355377A7"/>
    <w:rsid w:val="35575444"/>
    <w:rsid w:val="35577297"/>
    <w:rsid w:val="3558300F"/>
    <w:rsid w:val="35777939"/>
    <w:rsid w:val="357A2F85"/>
    <w:rsid w:val="35802682"/>
    <w:rsid w:val="358C5FA8"/>
    <w:rsid w:val="358E1DB0"/>
    <w:rsid w:val="35926521"/>
    <w:rsid w:val="35957DBF"/>
    <w:rsid w:val="3598340C"/>
    <w:rsid w:val="359866B0"/>
    <w:rsid w:val="359A7F9B"/>
    <w:rsid w:val="35AD5109"/>
    <w:rsid w:val="35BB3F9F"/>
    <w:rsid w:val="35C15DF1"/>
    <w:rsid w:val="35C65406"/>
    <w:rsid w:val="35D07049"/>
    <w:rsid w:val="35D16B00"/>
    <w:rsid w:val="35DE3514"/>
    <w:rsid w:val="35DF4B9C"/>
    <w:rsid w:val="35FB40C6"/>
    <w:rsid w:val="36074A7F"/>
    <w:rsid w:val="361B4126"/>
    <w:rsid w:val="362C0724"/>
    <w:rsid w:val="362F5B1E"/>
    <w:rsid w:val="363B0967"/>
    <w:rsid w:val="36420F81"/>
    <w:rsid w:val="3643781B"/>
    <w:rsid w:val="36453593"/>
    <w:rsid w:val="3645478B"/>
    <w:rsid w:val="36496FF1"/>
    <w:rsid w:val="3651018A"/>
    <w:rsid w:val="3652180C"/>
    <w:rsid w:val="36610482"/>
    <w:rsid w:val="36644727"/>
    <w:rsid w:val="3667175C"/>
    <w:rsid w:val="366C6D72"/>
    <w:rsid w:val="36923549"/>
    <w:rsid w:val="369342FF"/>
    <w:rsid w:val="36A33BF4"/>
    <w:rsid w:val="36A4650C"/>
    <w:rsid w:val="36B42484"/>
    <w:rsid w:val="36B75FBF"/>
    <w:rsid w:val="36BD0C45"/>
    <w:rsid w:val="36EB7DBF"/>
    <w:rsid w:val="36EC7EB3"/>
    <w:rsid w:val="36F86858"/>
    <w:rsid w:val="36FD79CA"/>
    <w:rsid w:val="37021484"/>
    <w:rsid w:val="37074CED"/>
    <w:rsid w:val="37133692"/>
    <w:rsid w:val="37415DB1"/>
    <w:rsid w:val="374C0952"/>
    <w:rsid w:val="374E6478"/>
    <w:rsid w:val="375241BA"/>
    <w:rsid w:val="37661A13"/>
    <w:rsid w:val="377309D7"/>
    <w:rsid w:val="37796963"/>
    <w:rsid w:val="37802DC5"/>
    <w:rsid w:val="37886865"/>
    <w:rsid w:val="37983B97"/>
    <w:rsid w:val="37AB5678"/>
    <w:rsid w:val="37CA01F4"/>
    <w:rsid w:val="37D746BF"/>
    <w:rsid w:val="37D90546"/>
    <w:rsid w:val="37DA7D0B"/>
    <w:rsid w:val="37E00298"/>
    <w:rsid w:val="37E213A2"/>
    <w:rsid w:val="37F041ED"/>
    <w:rsid w:val="38064FA4"/>
    <w:rsid w:val="380A28CA"/>
    <w:rsid w:val="3814146F"/>
    <w:rsid w:val="382F643A"/>
    <w:rsid w:val="38312021"/>
    <w:rsid w:val="38367638"/>
    <w:rsid w:val="383E64EC"/>
    <w:rsid w:val="38435613"/>
    <w:rsid w:val="38455ACD"/>
    <w:rsid w:val="38460BE9"/>
    <w:rsid w:val="388135EA"/>
    <w:rsid w:val="388A1731"/>
    <w:rsid w:val="388C7258"/>
    <w:rsid w:val="389242B4"/>
    <w:rsid w:val="389600D6"/>
    <w:rsid w:val="389B56ED"/>
    <w:rsid w:val="38A24CCD"/>
    <w:rsid w:val="38A8605B"/>
    <w:rsid w:val="38B302F9"/>
    <w:rsid w:val="38C2711D"/>
    <w:rsid w:val="38C537E4"/>
    <w:rsid w:val="38C745C2"/>
    <w:rsid w:val="38CE5AC2"/>
    <w:rsid w:val="38E04C60"/>
    <w:rsid w:val="38E54BBA"/>
    <w:rsid w:val="38EC7622"/>
    <w:rsid w:val="38F117B0"/>
    <w:rsid w:val="38F12CD3"/>
    <w:rsid w:val="38F20374"/>
    <w:rsid w:val="38F94775"/>
    <w:rsid w:val="38F9569D"/>
    <w:rsid w:val="38FB618B"/>
    <w:rsid w:val="38FE5C7B"/>
    <w:rsid w:val="390A4620"/>
    <w:rsid w:val="391334D5"/>
    <w:rsid w:val="3914549F"/>
    <w:rsid w:val="391C141C"/>
    <w:rsid w:val="392971ED"/>
    <w:rsid w:val="392E030F"/>
    <w:rsid w:val="39325651"/>
    <w:rsid w:val="393450E2"/>
    <w:rsid w:val="39365415"/>
    <w:rsid w:val="39535FC7"/>
    <w:rsid w:val="395E45E1"/>
    <w:rsid w:val="396F0351"/>
    <w:rsid w:val="3971644D"/>
    <w:rsid w:val="39743126"/>
    <w:rsid w:val="39873EC3"/>
    <w:rsid w:val="398D772B"/>
    <w:rsid w:val="39917C51"/>
    <w:rsid w:val="399A59A4"/>
    <w:rsid w:val="399F2FBB"/>
    <w:rsid w:val="39BA6046"/>
    <w:rsid w:val="39BC591B"/>
    <w:rsid w:val="39C173D5"/>
    <w:rsid w:val="39C944DB"/>
    <w:rsid w:val="39CA01D5"/>
    <w:rsid w:val="39D709A6"/>
    <w:rsid w:val="39DA2245"/>
    <w:rsid w:val="39E44E71"/>
    <w:rsid w:val="39F20325"/>
    <w:rsid w:val="39F72DF7"/>
    <w:rsid w:val="39FC0403"/>
    <w:rsid w:val="3A053765"/>
    <w:rsid w:val="3A145757"/>
    <w:rsid w:val="3A1E4827"/>
    <w:rsid w:val="3A27603D"/>
    <w:rsid w:val="3A2801BE"/>
    <w:rsid w:val="3A301503"/>
    <w:rsid w:val="3A4273A8"/>
    <w:rsid w:val="3A451191"/>
    <w:rsid w:val="3A465B2C"/>
    <w:rsid w:val="3A540249"/>
    <w:rsid w:val="3A5F274A"/>
    <w:rsid w:val="3A7206CF"/>
    <w:rsid w:val="3A80103E"/>
    <w:rsid w:val="3A872856"/>
    <w:rsid w:val="3A880EC7"/>
    <w:rsid w:val="3A8B1791"/>
    <w:rsid w:val="3A916DA7"/>
    <w:rsid w:val="3A920D71"/>
    <w:rsid w:val="3AA647EE"/>
    <w:rsid w:val="3AC55AB3"/>
    <w:rsid w:val="3ACD736D"/>
    <w:rsid w:val="3AD33C5B"/>
    <w:rsid w:val="3ADB0022"/>
    <w:rsid w:val="3AEC66D3"/>
    <w:rsid w:val="3AFC6F67"/>
    <w:rsid w:val="3B021A53"/>
    <w:rsid w:val="3B023801"/>
    <w:rsid w:val="3B091033"/>
    <w:rsid w:val="3B0C0D90"/>
    <w:rsid w:val="3B2319C9"/>
    <w:rsid w:val="3B2E2848"/>
    <w:rsid w:val="3B375F3D"/>
    <w:rsid w:val="3B3763D1"/>
    <w:rsid w:val="3B3E69F4"/>
    <w:rsid w:val="3B491430"/>
    <w:rsid w:val="3B4F0A10"/>
    <w:rsid w:val="3B5626E1"/>
    <w:rsid w:val="3B5C2A14"/>
    <w:rsid w:val="3B5E2A01"/>
    <w:rsid w:val="3B691AD2"/>
    <w:rsid w:val="3B7364AD"/>
    <w:rsid w:val="3B9F3746"/>
    <w:rsid w:val="3BA66882"/>
    <w:rsid w:val="3BC01081"/>
    <w:rsid w:val="3BC211E2"/>
    <w:rsid w:val="3BC92571"/>
    <w:rsid w:val="3BDB3226"/>
    <w:rsid w:val="3BDC22A4"/>
    <w:rsid w:val="3BE0324B"/>
    <w:rsid w:val="3BE178BA"/>
    <w:rsid w:val="3BF53366"/>
    <w:rsid w:val="3C090BBF"/>
    <w:rsid w:val="3C1A7270"/>
    <w:rsid w:val="3C1F6635"/>
    <w:rsid w:val="3C287664"/>
    <w:rsid w:val="3C2F6E1E"/>
    <w:rsid w:val="3C4F64BA"/>
    <w:rsid w:val="3C577B7C"/>
    <w:rsid w:val="3C5A4927"/>
    <w:rsid w:val="3C6B7ACC"/>
    <w:rsid w:val="3C6E670E"/>
    <w:rsid w:val="3C746980"/>
    <w:rsid w:val="3C771FCD"/>
    <w:rsid w:val="3C77353F"/>
    <w:rsid w:val="3C8A1D00"/>
    <w:rsid w:val="3CA20800"/>
    <w:rsid w:val="3CA32DC2"/>
    <w:rsid w:val="3CB32AD9"/>
    <w:rsid w:val="3CB52AF5"/>
    <w:rsid w:val="3CBE720A"/>
    <w:rsid w:val="3CCF1E09"/>
    <w:rsid w:val="3CDA245A"/>
    <w:rsid w:val="3CDC62D4"/>
    <w:rsid w:val="3CDE3D1B"/>
    <w:rsid w:val="3CE05DC4"/>
    <w:rsid w:val="3CEE34ED"/>
    <w:rsid w:val="3D0E0B83"/>
    <w:rsid w:val="3D1D0DC6"/>
    <w:rsid w:val="3D1D2B74"/>
    <w:rsid w:val="3D1E06B7"/>
    <w:rsid w:val="3D26172C"/>
    <w:rsid w:val="3D475E43"/>
    <w:rsid w:val="3D502BD6"/>
    <w:rsid w:val="3D5567B2"/>
    <w:rsid w:val="3D606F05"/>
    <w:rsid w:val="3D74650C"/>
    <w:rsid w:val="3D78424E"/>
    <w:rsid w:val="3D8A5D30"/>
    <w:rsid w:val="3DA6700D"/>
    <w:rsid w:val="3DA768E2"/>
    <w:rsid w:val="3DAC214A"/>
    <w:rsid w:val="3DAD1CC3"/>
    <w:rsid w:val="3DB37F8D"/>
    <w:rsid w:val="3DC72AE0"/>
    <w:rsid w:val="3DD562BA"/>
    <w:rsid w:val="3DD82F3F"/>
    <w:rsid w:val="3DEB4A20"/>
    <w:rsid w:val="3DEC0798"/>
    <w:rsid w:val="3DF17B5D"/>
    <w:rsid w:val="3DFC462E"/>
    <w:rsid w:val="3DFD6502"/>
    <w:rsid w:val="3E015FF2"/>
    <w:rsid w:val="3E043D34"/>
    <w:rsid w:val="3E09134A"/>
    <w:rsid w:val="3E0945B1"/>
    <w:rsid w:val="3E0F1616"/>
    <w:rsid w:val="3E1000F5"/>
    <w:rsid w:val="3E285C74"/>
    <w:rsid w:val="3E2D4427"/>
    <w:rsid w:val="3E3839DE"/>
    <w:rsid w:val="3E4405D4"/>
    <w:rsid w:val="3E483C21"/>
    <w:rsid w:val="3E5C40C3"/>
    <w:rsid w:val="3E671F4D"/>
    <w:rsid w:val="3E7F160D"/>
    <w:rsid w:val="3E8804C1"/>
    <w:rsid w:val="3E8D2B73"/>
    <w:rsid w:val="3E92675F"/>
    <w:rsid w:val="3E952BDE"/>
    <w:rsid w:val="3EA572C5"/>
    <w:rsid w:val="3EC51715"/>
    <w:rsid w:val="3ED22D6A"/>
    <w:rsid w:val="3ED71449"/>
    <w:rsid w:val="3EDA0523"/>
    <w:rsid w:val="3EEB0A50"/>
    <w:rsid w:val="3EF26282"/>
    <w:rsid w:val="3EFB6EE5"/>
    <w:rsid w:val="3EFC4A0B"/>
    <w:rsid w:val="3F081602"/>
    <w:rsid w:val="3F0F0BE2"/>
    <w:rsid w:val="3F1767A4"/>
    <w:rsid w:val="3F1B4469"/>
    <w:rsid w:val="3F3D686C"/>
    <w:rsid w:val="3F485DF7"/>
    <w:rsid w:val="3F4A39C9"/>
    <w:rsid w:val="3F544847"/>
    <w:rsid w:val="3F657FC1"/>
    <w:rsid w:val="3F710F55"/>
    <w:rsid w:val="3F870779"/>
    <w:rsid w:val="3F8F3AD1"/>
    <w:rsid w:val="3FA23805"/>
    <w:rsid w:val="3FAC6431"/>
    <w:rsid w:val="3FE200A5"/>
    <w:rsid w:val="3FEA68C5"/>
    <w:rsid w:val="3FFA0F4B"/>
    <w:rsid w:val="40155D85"/>
    <w:rsid w:val="40185875"/>
    <w:rsid w:val="40224945"/>
    <w:rsid w:val="404448BC"/>
    <w:rsid w:val="404B3E9C"/>
    <w:rsid w:val="40510A2D"/>
    <w:rsid w:val="40511B68"/>
    <w:rsid w:val="40610FCA"/>
    <w:rsid w:val="40714F85"/>
    <w:rsid w:val="40771D19"/>
    <w:rsid w:val="40784565"/>
    <w:rsid w:val="407A6407"/>
    <w:rsid w:val="407D392A"/>
    <w:rsid w:val="408178BE"/>
    <w:rsid w:val="40860A30"/>
    <w:rsid w:val="40994C08"/>
    <w:rsid w:val="40A23B78"/>
    <w:rsid w:val="40A86BF9"/>
    <w:rsid w:val="40D310C8"/>
    <w:rsid w:val="40E439A9"/>
    <w:rsid w:val="40F327A1"/>
    <w:rsid w:val="40F77B80"/>
    <w:rsid w:val="40FF373C"/>
    <w:rsid w:val="410142A2"/>
    <w:rsid w:val="410A340F"/>
    <w:rsid w:val="41102DB8"/>
    <w:rsid w:val="4114603C"/>
    <w:rsid w:val="41151DB4"/>
    <w:rsid w:val="411D521F"/>
    <w:rsid w:val="413A2E0B"/>
    <w:rsid w:val="413B4DE9"/>
    <w:rsid w:val="413F3604"/>
    <w:rsid w:val="414032D5"/>
    <w:rsid w:val="4142704D"/>
    <w:rsid w:val="41432F6C"/>
    <w:rsid w:val="41452699"/>
    <w:rsid w:val="414B7444"/>
    <w:rsid w:val="415D3E87"/>
    <w:rsid w:val="415F489E"/>
    <w:rsid w:val="417B60BB"/>
    <w:rsid w:val="41961147"/>
    <w:rsid w:val="41B06E4B"/>
    <w:rsid w:val="41C77552"/>
    <w:rsid w:val="41C90FBF"/>
    <w:rsid w:val="41E91C03"/>
    <w:rsid w:val="41F63994"/>
    <w:rsid w:val="41F75D39"/>
    <w:rsid w:val="4200449D"/>
    <w:rsid w:val="42132798"/>
    <w:rsid w:val="421F0F04"/>
    <w:rsid w:val="42291C79"/>
    <w:rsid w:val="422F6EA6"/>
    <w:rsid w:val="423A3BCC"/>
    <w:rsid w:val="42470923"/>
    <w:rsid w:val="424E57D2"/>
    <w:rsid w:val="425A2175"/>
    <w:rsid w:val="425C105C"/>
    <w:rsid w:val="42672AE3"/>
    <w:rsid w:val="4274031A"/>
    <w:rsid w:val="42755200"/>
    <w:rsid w:val="42A11E98"/>
    <w:rsid w:val="42A17DA3"/>
    <w:rsid w:val="42A33B1C"/>
    <w:rsid w:val="42B074AD"/>
    <w:rsid w:val="42B07FE6"/>
    <w:rsid w:val="42B26C49"/>
    <w:rsid w:val="42D34AAA"/>
    <w:rsid w:val="42F500EF"/>
    <w:rsid w:val="42FB5E19"/>
    <w:rsid w:val="42FF2D1C"/>
    <w:rsid w:val="43081BD1"/>
    <w:rsid w:val="43104F29"/>
    <w:rsid w:val="431247FD"/>
    <w:rsid w:val="43153C13"/>
    <w:rsid w:val="431C6452"/>
    <w:rsid w:val="432450BB"/>
    <w:rsid w:val="432A3781"/>
    <w:rsid w:val="432E715D"/>
    <w:rsid w:val="43301127"/>
    <w:rsid w:val="43340C18"/>
    <w:rsid w:val="43367407"/>
    <w:rsid w:val="43391936"/>
    <w:rsid w:val="433A6FE6"/>
    <w:rsid w:val="433C5D1E"/>
    <w:rsid w:val="43432C09"/>
    <w:rsid w:val="43480868"/>
    <w:rsid w:val="4350713C"/>
    <w:rsid w:val="43560B8E"/>
    <w:rsid w:val="43585209"/>
    <w:rsid w:val="435D316C"/>
    <w:rsid w:val="435E3EE6"/>
    <w:rsid w:val="436334A9"/>
    <w:rsid w:val="436653E0"/>
    <w:rsid w:val="436D4FAD"/>
    <w:rsid w:val="437B6846"/>
    <w:rsid w:val="438C45B0"/>
    <w:rsid w:val="439148A0"/>
    <w:rsid w:val="4392593E"/>
    <w:rsid w:val="43947908"/>
    <w:rsid w:val="43B91808"/>
    <w:rsid w:val="43C4431A"/>
    <w:rsid w:val="43D16466"/>
    <w:rsid w:val="43E029AE"/>
    <w:rsid w:val="43EA577A"/>
    <w:rsid w:val="43F839F3"/>
    <w:rsid w:val="43FD36FF"/>
    <w:rsid w:val="44013BD3"/>
    <w:rsid w:val="440C749E"/>
    <w:rsid w:val="44136A7F"/>
    <w:rsid w:val="441416DA"/>
    <w:rsid w:val="441427F7"/>
    <w:rsid w:val="44202F4A"/>
    <w:rsid w:val="442471ED"/>
    <w:rsid w:val="442C7B41"/>
    <w:rsid w:val="443D3AFC"/>
    <w:rsid w:val="443D58AA"/>
    <w:rsid w:val="445157F9"/>
    <w:rsid w:val="446612A5"/>
    <w:rsid w:val="44676E58"/>
    <w:rsid w:val="44685A7C"/>
    <w:rsid w:val="446A507F"/>
    <w:rsid w:val="44711358"/>
    <w:rsid w:val="447B1636"/>
    <w:rsid w:val="44936E0C"/>
    <w:rsid w:val="449A2CFC"/>
    <w:rsid w:val="449B5C55"/>
    <w:rsid w:val="449C6A74"/>
    <w:rsid w:val="449F28C0"/>
    <w:rsid w:val="449F47B6"/>
    <w:rsid w:val="449F6565"/>
    <w:rsid w:val="44A973E3"/>
    <w:rsid w:val="44B00772"/>
    <w:rsid w:val="44B64E17"/>
    <w:rsid w:val="44B951CC"/>
    <w:rsid w:val="44C45FCB"/>
    <w:rsid w:val="44C71617"/>
    <w:rsid w:val="44CB1108"/>
    <w:rsid w:val="44CD14E0"/>
    <w:rsid w:val="44D1645F"/>
    <w:rsid w:val="44D334D7"/>
    <w:rsid w:val="44D94BD0"/>
    <w:rsid w:val="44E64193"/>
    <w:rsid w:val="44F14DE5"/>
    <w:rsid w:val="44F20B0B"/>
    <w:rsid w:val="450D7972"/>
    <w:rsid w:val="45174543"/>
    <w:rsid w:val="45244CBC"/>
    <w:rsid w:val="452627E2"/>
    <w:rsid w:val="452E5F4C"/>
    <w:rsid w:val="45333C62"/>
    <w:rsid w:val="453E7B2C"/>
    <w:rsid w:val="45462E84"/>
    <w:rsid w:val="454B7E57"/>
    <w:rsid w:val="454D7C03"/>
    <w:rsid w:val="45600EFB"/>
    <w:rsid w:val="45612018"/>
    <w:rsid w:val="457C2402"/>
    <w:rsid w:val="458946E9"/>
    <w:rsid w:val="458E0C7A"/>
    <w:rsid w:val="458E50FB"/>
    <w:rsid w:val="45940BE7"/>
    <w:rsid w:val="459E3CDB"/>
    <w:rsid w:val="45A47C0E"/>
    <w:rsid w:val="45AF0A29"/>
    <w:rsid w:val="45C64F3E"/>
    <w:rsid w:val="45C85647"/>
    <w:rsid w:val="45D466E2"/>
    <w:rsid w:val="45E05087"/>
    <w:rsid w:val="45E2495B"/>
    <w:rsid w:val="45E65E42"/>
    <w:rsid w:val="45EA380F"/>
    <w:rsid w:val="45F4468E"/>
    <w:rsid w:val="4605689B"/>
    <w:rsid w:val="46074D52"/>
    <w:rsid w:val="4609638B"/>
    <w:rsid w:val="46144D30"/>
    <w:rsid w:val="461B1C1B"/>
    <w:rsid w:val="464949DA"/>
    <w:rsid w:val="46577FD6"/>
    <w:rsid w:val="465A14A9"/>
    <w:rsid w:val="466435C2"/>
    <w:rsid w:val="46693F3D"/>
    <w:rsid w:val="46803F66"/>
    <w:rsid w:val="46873754"/>
    <w:rsid w:val="468A0F7A"/>
    <w:rsid w:val="469D4D26"/>
    <w:rsid w:val="46A165C4"/>
    <w:rsid w:val="46A460B4"/>
    <w:rsid w:val="46AD12F7"/>
    <w:rsid w:val="46B53E1D"/>
    <w:rsid w:val="46CC73B9"/>
    <w:rsid w:val="46CE3131"/>
    <w:rsid w:val="46D36999"/>
    <w:rsid w:val="46D955A7"/>
    <w:rsid w:val="46E26BDC"/>
    <w:rsid w:val="46EE10DD"/>
    <w:rsid w:val="46F30DEA"/>
    <w:rsid w:val="47046B53"/>
    <w:rsid w:val="471072A6"/>
    <w:rsid w:val="47133957"/>
    <w:rsid w:val="4713781B"/>
    <w:rsid w:val="47146532"/>
    <w:rsid w:val="471A1ED2"/>
    <w:rsid w:val="472B0583"/>
    <w:rsid w:val="473361A9"/>
    <w:rsid w:val="47424AB1"/>
    <w:rsid w:val="47502C34"/>
    <w:rsid w:val="47507FEA"/>
    <w:rsid w:val="475E7622"/>
    <w:rsid w:val="4782258D"/>
    <w:rsid w:val="47863A0C"/>
    <w:rsid w:val="47A07E0C"/>
    <w:rsid w:val="47A65E5C"/>
    <w:rsid w:val="47A9027D"/>
    <w:rsid w:val="47AA56E9"/>
    <w:rsid w:val="47C63E08"/>
    <w:rsid w:val="47E32C0C"/>
    <w:rsid w:val="47EA16BA"/>
    <w:rsid w:val="47F866B8"/>
    <w:rsid w:val="48217291"/>
    <w:rsid w:val="482F5E51"/>
    <w:rsid w:val="48390A7E"/>
    <w:rsid w:val="48415AB2"/>
    <w:rsid w:val="48425B85"/>
    <w:rsid w:val="484B7280"/>
    <w:rsid w:val="484F25B3"/>
    <w:rsid w:val="484F4161"/>
    <w:rsid w:val="48587156"/>
    <w:rsid w:val="486C5F17"/>
    <w:rsid w:val="486F688E"/>
    <w:rsid w:val="4870272E"/>
    <w:rsid w:val="487B4BF3"/>
    <w:rsid w:val="487F2935"/>
    <w:rsid w:val="487F438D"/>
    <w:rsid w:val="48802209"/>
    <w:rsid w:val="48890A85"/>
    <w:rsid w:val="489363E0"/>
    <w:rsid w:val="48A8276D"/>
    <w:rsid w:val="48AA54D8"/>
    <w:rsid w:val="48B347C5"/>
    <w:rsid w:val="48B56357"/>
    <w:rsid w:val="48CC18F2"/>
    <w:rsid w:val="48D82045"/>
    <w:rsid w:val="48E22EC4"/>
    <w:rsid w:val="48E924A4"/>
    <w:rsid w:val="48EC3D42"/>
    <w:rsid w:val="490270C2"/>
    <w:rsid w:val="49066BB2"/>
    <w:rsid w:val="490746D8"/>
    <w:rsid w:val="491C0184"/>
    <w:rsid w:val="4924496C"/>
    <w:rsid w:val="49267AD3"/>
    <w:rsid w:val="492A36D2"/>
    <w:rsid w:val="492B486B"/>
    <w:rsid w:val="493354CD"/>
    <w:rsid w:val="493D0D2B"/>
    <w:rsid w:val="49417BEA"/>
    <w:rsid w:val="4961028C"/>
    <w:rsid w:val="4961203A"/>
    <w:rsid w:val="49697141"/>
    <w:rsid w:val="496E69A4"/>
    <w:rsid w:val="49975B39"/>
    <w:rsid w:val="499E3420"/>
    <w:rsid w:val="49A458D4"/>
    <w:rsid w:val="49AA39E1"/>
    <w:rsid w:val="49AD1724"/>
    <w:rsid w:val="49AD34D2"/>
    <w:rsid w:val="49B74350"/>
    <w:rsid w:val="49B963E8"/>
    <w:rsid w:val="49BB5939"/>
    <w:rsid w:val="49BE123B"/>
    <w:rsid w:val="49DC7715"/>
    <w:rsid w:val="49F42EAF"/>
    <w:rsid w:val="49F51014"/>
    <w:rsid w:val="49FC1D63"/>
    <w:rsid w:val="4A023139"/>
    <w:rsid w:val="4A191ED4"/>
    <w:rsid w:val="4A1E5C97"/>
    <w:rsid w:val="4A2009C9"/>
    <w:rsid w:val="4A233794"/>
    <w:rsid w:val="4A34774F"/>
    <w:rsid w:val="4A361719"/>
    <w:rsid w:val="4A372D9B"/>
    <w:rsid w:val="4A396B13"/>
    <w:rsid w:val="4A3A4921"/>
    <w:rsid w:val="4A3E05CE"/>
    <w:rsid w:val="4A437992"/>
    <w:rsid w:val="4A4E6A63"/>
    <w:rsid w:val="4A630034"/>
    <w:rsid w:val="4A6A3171"/>
    <w:rsid w:val="4A6C0C97"/>
    <w:rsid w:val="4A7B576F"/>
    <w:rsid w:val="4A835FE1"/>
    <w:rsid w:val="4A8C758B"/>
    <w:rsid w:val="4AA91EEB"/>
    <w:rsid w:val="4AAE12AF"/>
    <w:rsid w:val="4AB34B18"/>
    <w:rsid w:val="4AB81412"/>
    <w:rsid w:val="4AB83EDC"/>
    <w:rsid w:val="4ABD43B0"/>
    <w:rsid w:val="4AC46D25"/>
    <w:rsid w:val="4ACE54AE"/>
    <w:rsid w:val="4AD14F9E"/>
    <w:rsid w:val="4AE42F23"/>
    <w:rsid w:val="4AF01B03"/>
    <w:rsid w:val="4AF561A9"/>
    <w:rsid w:val="4AF60EA8"/>
    <w:rsid w:val="4B1530DD"/>
    <w:rsid w:val="4B337A07"/>
    <w:rsid w:val="4B345FB1"/>
    <w:rsid w:val="4B5A4F93"/>
    <w:rsid w:val="4B692D16"/>
    <w:rsid w:val="4B775B45"/>
    <w:rsid w:val="4B8F4955"/>
    <w:rsid w:val="4B90799F"/>
    <w:rsid w:val="4B9304A5"/>
    <w:rsid w:val="4B9506C1"/>
    <w:rsid w:val="4B9A1834"/>
    <w:rsid w:val="4BB2183B"/>
    <w:rsid w:val="4BB87F0C"/>
    <w:rsid w:val="4BBD5522"/>
    <w:rsid w:val="4BC13264"/>
    <w:rsid w:val="4BC30D8B"/>
    <w:rsid w:val="4BDB2578"/>
    <w:rsid w:val="4C043151"/>
    <w:rsid w:val="4C0A4C0B"/>
    <w:rsid w:val="4C15535E"/>
    <w:rsid w:val="4C1635B0"/>
    <w:rsid w:val="4C2271A7"/>
    <w:rsid w:val="4C2644E8"/>
    <w:rsid w:val="4C2D4456"/>
    <w:rsid w:val="4C2F01CE"/>
    <w:rsid w:val="4C497047"/>
    <w:rsid w:val="4C4A0649"/>
    <w:rsid w:val="4C4C5224"/>
    <w:rsid w:val="4C5B5467"/>
    <w:rsid w:val="4C716A38"/>
    <w:rsid w:val="4C786019"/>
    <w:rsid w:val="4C7E5ECA"/>
    <w:rsid w:val="4C876AA5"/>
    <w:rsid w:val="4C983FC5"/>
    <w:rsid w:val="4CB00C05"/>
    <w:rsid w:val="4CC27513"/>
    <w:rsid w:val="4CD858AC"/>
    <w:rsid w:val="4CD9638C"/>
    <w:rsid w:val="4CE67907"/>
    <w:rsid w:val="4CEA67EB"/>
    <w:rsid w:val="4CF51418"/>
    <w:rsid w:val="4CF66F3E"/>
    <w:rsid w:val="4CFB342A"/>
    <w:rsid w:val="4D0E00FB"/>
    <w:rsid w:val="4D0E24D9"/>
    <w:rsid w:val="4D1608A4"/>
    <w:rsid w:val="4D176606"/>
    <w:rsid w:val="4D36558C"/>
    <w:rsid w:val="4D3D691B"/>
    <w:rsid w:val="4D485708"/>
    <w:rsid w:val="4D4E28D6"/>
    <w:rsid w:val="4D5636C2"/>
    <w:rsid w:val="4D565246"/>
    <w:rsid w:val="4D6D36A4"/>
    <w:rsid w:val="4D7820B1"/>
    <w:rsid w:val="4D7A191D"/>
    <w:rsid w:val="4D9549A9"/>
    <w:rsid w:val="4DA60964"/>
    <w:rsid w:val="4DAB7D28"/>
    <w:rsid w:val="4DB82445"/>
    <w:rsid w:val="4DEC4FB0"/>
    <w:rsid w:val="4DF27705"/>
    <w:rsid w:val="4E041280"/>
    <w:rsid w:val="4E075D8A"/>
    <w:rsid w:val="4E0D2791"/>
    <w:rsid w:val="4E165AE9"/>
    <w:rsid w:val="4E3C4E24"/>
    <w:rsid w:val="4E473EF5"/>
    <w:rsid w:val="4E571C5E"/>
    <w:rsid w:val="4E6F6FA8"/>
    <w:rsid w:val="4E740A62"/>
    <w:rsid w:val="4E810A89"/>
    <w:rsid w:val="4E8A2033"/>
    <w:rsid w:val="4E8C15C7"/>
    <w:rsid w:val="4E8D5680"/>
    <w:rsid w:val="4E992277"/>
    <w:rsid w:val="4EC00FAD"/>
    <w:rsid w:val="4ED17C62"/>
    <w:rsid w:val="4EDB4732"/>
    <w:rsid w:val="4EDD03B5"/>
    <w:rsid w:val="4EEC05F8"/>
    <w:rsid w:val="4EEE2A3C"/>
    <w:rsid w:val="4F045E2D"/>
    <w:rsid w:val="4F1813ED"/>
    <w:rsid w:val="4F224610"/>
    <w:rsid w:val="4F244236"/>
    <w:rsid w:val="4F293E29"/>
    <w:rsid w:val="4F4E3061"/>
    <w:rsid w:val="4F5148FF"/>
    <w:rsid w:val="4F541CA3"/>
    <w:rsid w:val="4F5C783F"/>
    <w:rsid w:val="4F64710F"/>
    <w:rsid w:val="4F7423AB"/>
    <w:rsid w:val="4F754A92"/>
    <w:rsid w:val="4F7903EF"/>
    <w:rsid w:val="4F912F4E"/>
    <w:rsid w:val="4F936CC6"/>
    <w:rsid w:val="4F9667B6"/>
    <w:rsid w:val="4F9843DC"/>
    <w:rsid w:val="4FAB04B3"/>
    <w:rsid w:val="4FC4501C"/>
    <w:rsid w:val="4FC62A8C"/>
    <w:rsid w:val="4FE20F0D"/>
    <w:rsid w:val="4FE51552"/>
    <w:rsid w:val="4FE90FDC"/>
    <w:rsid w:val="50075DA1"/>
    <w:rsid w:val="500F1150"/>
    <w:rsid w:val="50137E07"/>
    <w:rsid w:val="501C7C09"/>
    <w:rsid w:val="503264DF"/>
    <w:rsid w:val="50342257"/>
    <w:rsid w:val="503C735D"/>
    <w:rsid w:val="50413F78"/>
    <w:rsid w:val="50480EA7"/>
    <w:rsid w:val="50504C4B"/>
    <w:rsid w:val="5054731E"/>
    <w:rsid w:val="507E34D2"/>
    <w:rsid w:val="50903205"/>
    <w:rsid w:val="509C6E7C"/>
    <w:rsid w:val="50A849F3"/>
    <w:rsid w:val="50AA42C7"/>
    <w:rsid w:val="50B1791F"/>
    <w:rsid w:val="50C636F7"/>
    <w:rsid w:val="50C80BF1"/>
    <w:rsid w:val="50D157DE"/>
    <w:rsid w:val="50D61560"/>
    <w:rsid w:val="50DA6C25"/>
    <w:rsid w:val="50E13A61"/>
    <w:rsid w:val="50E21CB3"/>
    <w:rsid w:val="50F11EF6"/>
    <w:rsid w:val="50F330D4"/>
    <w:rsid w:val="50F660E5"/>
    <w:rsid w:val="5107796B"/>
    <w:rsid w:val="510D0FC2"/>
    <w:rsid w:val="51121E6C"/>
    <w:rsid w:val="512027DB"/>
    <w:rsid w:val="51330760"/>
    <w:rsid w:val="51451264"/>
    <w:rsid w:val="51491D32"/>
    <w:rsid w:val="51510BE7"/>
    <w:rsid w:val="5153495F"/>
    <w:rsid w:val="51595CED"/>
    <w:rsid w:val="5162104E"/>
    <w:rsid w:val="517234D1"/>
    <w:rsid w:val="51752B27"/>
    <w:rsid w:val="518920CE"/>
    <w:rsid w:val="5193092D"/>
    <w:rsid w:val="51A056CA"/>
    <w:rsid w:val="51A514F5"/>
    <w:rsid w:val="51B33605"/>
    <w:rsid w:val="51B760F6"/>
    <w:rsid w:val="51BC69A8"/>
    <w:rsid w:val="51C306A9"/>
    <w:rsid w:val="51C6309D"/>
    <w:rsid w:val="51CF5C6B"/>
    <w:rsid w:val="51D03119"/>
    <w:rsid w:val="51DB6702"/>
    <w:rsid w:val="51E63A25"/>
    <w:rsid w:val="51F223CA"/>
    <w:rsid w:val="51F31C9E"/>
    <w:rsid w:val="51F7178E"/>
    <w:rsid w:val="52027881"/>
    <w:rsid w:val="521C002A"/>
    <w:rsid w:val="523A18EA"/>
    <w:rsid w:val="525070F0"/>
    <w:rsid w:val="525C7843"/>
    <w:rsid w:val="526037D7"/>
    <w:rsid w:val="52635075"/>
    <w:rsid w:val="52636E23"/>
    <w:rsid w:val="527728CF"/>
    <w:rsid w:val="527F652B"/>
    <w:rsid w:val="528F5E6A"/>
    <w:rsid w:val="52A5743C"/>
    <w:rsid w:val="52CB49C9"/>
    <w:rsid w:val="52CD6D59"/>
    <w:rsid w:val="52DA5D9C"/>
    <w:rsid w:val="52F757BE"/>
    <w:rsid w:val="530C3017"/>
    <w:rsid w:val="531540A5"/>
    <w:rsid w:val="531B7376"/>
    <w:rsid w:val="53234805"/>
    <w:rsid w:val="53265EE4"/>
    <w:rsid w:val="533E5903"/>
    <w:rsid w:val="53530C46"/>
    <w:rsid w:val="5354676C"/>
    <w:rsid w:val="53585AF8"/>
    <w:rsid w:val="5361397A"/>
    <w:rsid w:val="53715570"/>
    <w:rsid w:val="537806AC"/>
    <w:rsid w:val="537F7C8D"/>
    <w:rsid w:val="538E7D26"/>
    <w:rsid w:val="53972848"/>
    <w:rsid w:val="539D6365"/>
    <w:rsid w:val="53A039CC"/>
    <w:rsid w:val="53A1505A"/>
    <w:rsid w:val="53AC6661"/>
    <w:rsid w:val="53B35B89"/>
    <w:rsid w:val="53B82429"/>
    <w:rsid w:val="53BA1261"/>
    <w:rsid w:val="53C733E2"/>
    <w:rsid w:val="53FA7313"/>
    <w:rsid w:val="54063E08"/>
    <w:rsid w:val="54086B32"/>
    <w:rsid w:val="540F56E9"/>
    <w:rsid w:val="541128AF"/>
    <w:rsid w:val="542B7F95"/>
    <w:rsid w:val="543437E8"/>
    <w:rsid w:val="543A0058"/>
    <w:rsid w:val="543A1E06"/>
    <w:rsid w:val="545A24A8"/>
    <w:rsid w:val="545A4256"/>
    <w:rsid w:val="545F7ABE"/>
    <w:rsid w:val="546155E5"/>
    <w:rsid w:val="546832F7"/>
    <w:rsid w:val="547D6C5E"/>
    <w:rsid w:val="547F3CBD"/>
    <w:rsid w:val="549E4143"/>
    <w:rsid w:val="54A05D21"/>
    <w:rsid w:val="54B75204"/>
    <w:rsid w:val="54BC6A3F"/>
    <w:rsid w:val="54C16083"/>
    <w:rsid w:val="54C975BA"/>
    <w:rsid w:val="54F16968"/>
    <w:rsid w:val="54F73313"/>
    <w:rsid w:val="54F80955"/>
    <w:rsid w:val="550146D2"/>
    <w:rsid w:val="550D504A"/>
    <w:rsid w:val="55173EF5"/>
    <w:rsid w:val="55376345"/>
    <w:rsid w:val="553C395C"/>
    <w:rsid w:val="5540344C"/>
    <w:rsid w:val="55466806"/>
    <w:rsid w:val="554C1DF1"/>
    <w:rsid w:val="555170A7"/>
    <w:rsid w:val="556A04C9"/>
    <w:rsid w:val="556C3E3B"/>
    <w:rsid w:val="556F73C3"/>
    <w:rsid w:val="55711857"/>
    <w:rsid w:val="55794BB0"/>
    <w:rsid w:val="5587536D"/>
    <w:rsid w:val="559317CE"/>
    <w:rsid w:val="55936BA1"/>
    <w:rsid w:val="55990DAE"/>
    <w:rsid w:val="559B174B"/>
    <w:rsid w:val="559D64D2"/>
    <w:rsid w:val="55A0213D"/>
    <w:rsid w:val="55C061A9"/>
    <w:rsid w:val="55CE0CF4"/>
    <w:rsid w:val="55CE2806"/>
    <w:rsid w:val="55CE6CAA"/>
    <w:rsid w:val="55D342C0"/>
    <w:rsid w:val="55DD513F"/>
    <w:rsid w:val="55E02539"/>
    <w:rsid w:val="55E6461A"/>
    <w:rsid w:val="55F14746"/>
    <w:rsid w:val="55FA0F2C"/>
    <w:rsid w:val="56030062"/>
    <w:rsid w:val="56156687"/>
    <w:rsid w:val="561641AD"/>
    <w:rsid w:val="56196483"/>
    <w:rsid w:val="561C5C67"/>
    <w:rsid w:val="56252C91"/>
    <w:rsid w:val="56332C65"/>
    <w:rsid w:val="56337B86"/>
    <w:rsid w:val="563C00B7"/>
    <w:rsid w:val="56407A11"/>
    <w:rsid w:val="56446CFB"/>
    <w:rsid w:val="565076BF"/>
    <w:rsid w:val="56554CD5"/>
    <w:rsid w:val="56794E67"/>
    <w:rsid w:val="567A0BDF"/>
    <w:rsid w:val="567D42C2"/>
    <w:rsid w:val="56847368"/>
    <w:rsid w:val="568850AA"/>
    <w:rsid w:val="568C2E6B"/>
    <w:rsid w:val="568D26C1"/>
    <w:rsid w:val="568D516B"/>
    <w:rsid w:val="5694034B"/>
    <w:rsid w:val="569D042A"/>
    <w:rsid w:val="56AE58D0"/>
    <w:rsid w:val="56B22A9C"/>
    <w:rsid w:val="56B527FF"/>
    <w:rsid w:val="56B91708"/>
    <w:rsid w:val="56D45E7D"/>
    <w:rsid w:val="56F049FE"/>
    <w:rsid w:val="56F04AF3"/>
    <w:rsid w:val="56F51A31"/>
    <w:rsid w:val="570D1A54"/>
    <w:rsid w:val="57212E09"/>
    <w:rsid w:val="57295D0E"/>
    <w:rsid w:val="572C3BBB"/>
    <w:rsid w:val="573131FD"/>
    <w:rsid w:val="573C5E95"/>
    <w:rsid w:val="573D68B9"/>
    <w:rsid w:val="57435475"/>
    <w:rsid w:val="574B7E86"/>
    <w:rsid w:val="576158FB"/>
    <w:rsid w:val="57697C3F"/>
    <w:rsid w:val="576C30D0"/>
    <w:rsid w:val="57713D91"/>
    <w:rsid w:val="57827D4C"/>
    <w:rsid w:val="57835872"/>
    <w:rsid w:val="578515EA"/>
    <w:rsid w:val="578D049F"/>
    <w:rsid w:val="578F06BB"/>
    <w:rsid w:val="57914433"/>
    <w:rsid w:val="57A31A70"/>
    <w:rsid w:val="57A50376"/>
    <w:rsid w:val="57AB24DB"/>
    <w:rsid w:val="57AD558C"/>
    <w:rsid w:val="57B72A76"/>
    <w:rsid w:val="57C3426C"/>
    <w:rsid w:val="57CE1F93"/>
    <w:rsid w:val="57EE3CFC"/>
    <w:rsid w:val="580746F5"/>
    <w:rsid w:val="58240E03"/>
    <w:rsid w:val="58334AC7"/>
    <w:rsid w:val="58353010"/>
    <w:rsid w:val="58370398"/>
    <w:rsid w:val="58382B00"/>
    <w:rsid w:val="58403763"/>
    <w:rsid w:val="584D3D82"/>
    <w:rsid w:val="5853793A"/>
    <w:rsid w:val="58596B7D"/>
    <w:rsid w:val="5862382A"/>
    <w:rsid w:val="58692CBA"/>
    <w:rsid w:val="587E01DD"/>
    <w:rsid w:val="587F5993"/>
    <w:rsid w:val="588743D1"/>
    <w:rsid w:val="5887701A"/>
    <w:rsid w:val="589558F5"/>
    <w:rsid w:val="589C308F"/>
    <w:rsid w:val="58A02244"/>
    <w:rsid w:val="58A106A5"/>
    <w:rsid w:val="58A4140A"/>
    <w:rsid w:val="58B71C77"/>
    <w:rsid w:val="58BF0B2C"/>
    <w:rsid w:val="58CE1FC2"/>
    <w:rsid w:val="58D04AE7"/>
    <w:rsid w:val="58D740C7"/>
    <w:rsid w:val="58E80082"/>
    <w:rsid w:val="58EA0DDF"/>
    <w:rsid w:val="58EB13A1"/>
    <w:rsid w:val="58ED5699"/>
    <w:rsid w:val="58F24A5D"/>
    <w:rsid w:val="58F63101"/>
    <w:rsid w:val="58FB75F3"/>
    <w:rsid w:val="590D1897"/>
    <w:rsid w:val="594117BB"/>
    <w:rsid w:val="59477EAF"/>
    <w:rsid w:val="59605D5B"/>
    <w:rsid w:val="596C096E"/>
    <w:rsid w:val="5975743C"/>
    <w:rsid w:val="59814033"/>
    <w:rsid w:val="598C4EB2"/>
    <w:rsid w:val="59AC10B0"/>
    <w:rsid w:val="59C0439F"/>
    <w:rsid w:val="59D32A10"/>
    <w:rsid w:val="59E352E3"/>
    <w:rsid w:val="59E545C2"/>
    <w:rsid w:val="59E738B8"/>
    <w:rsid w:val="59F14D15"/>
    <w:rsid w:val="59FD190B"/>
    <w:rsid w:val="59FD307A"/>
    <w:rsid w:val="5A156FA8"/>
    <w:rsid w:val="5A252C10"/>
    <w:rsid w:val="5A3A2B60"/>
    <w:rsid w:val="5A4237C2"/>
    <w:rsid w:val="5A4526B5"/>
    <w:rsid w:val="5A504131"/>
    <w:rsid w:val="5A5B1C1D"/>
    <w:rsid w:val="5A5F6122"/>
    <w:rsid w:val="5A6220B6"/>
    <w:rsid w:val="5A6F20DD"/>
    <w:rsid w:val="5A7616BE"/>
    <w:rsid w:val="5A783688"/>
    <w:rsid w:val="5A851901"/>
    <w:rsid w:val="5A871B1D"/>
    <w:rsid w:val="5A89319F"/>
    <w:rsid w:val="5A9E4D37"/>
    <w:rsid w:val="5AB521E6"/>
    <w:rsid w:val="5AB75F5E"/>
    <w:rsid w:val="5ABA15AB"/>
    <w:rsid w:val="5ABE2233"/>
    <w:rsid w:val="5AC02939"/>
    <w:rsid w:val="5AC47B41"/>
    <w:rsid w:val="5AC71F19"/>
    <w:rsid w:val="5ACB37B8"/>
    <w:rsid w:val="5AD05272"/>
    <w:rsid w:val="5AE709EC"/>
    <w:rsid w:val="5AF745AD"/>
    <w:rsid w:val="5AF80325"/>
    <w:rsid w:val="5AFD6893"/>
    <w:rsid w:val="5B0B1E06"/>
    <w:rsid w:val="5B0E5D35"/>
    <w:rsid w:val="5B1433B1"/>
    <w:rsid w:val="5B144899"/>
    <w:rsid w:val="5B16743A"/>
    <w:rsid w:val="5B1970D1"/>
    <w:rsid w:val="5B2B24A8"/>
    <w:rsid w:val="5B37709F"/>
    <w:rsid w:val="5B4A5B4F"/>
    <w:rsid w:val="5B501F0F"/>
    <w:rsid w:val="5B5365B0"/>
    <w:rsid w:val="5B667984"/>
    <w:rsid w:val="5B743E4F"/>
    <w:rsid w:val="5B7B4AE6"/>
    <w:rsid w:val="5B841BB9"/>
    <w:rsid w:val="5B8F5593"/>
    <w:rsid w:val="5B922527"/>
    <w:rsid w:val="5B995664"/>
    <w:rsid w:val="5B9E711E"/>
    <w:rsid w:val="5BA81D4B"/>
    <w:rsid w:val="5BAA5AC3"/>
    <w:rsid w:val="5BAD47DE"/>
    <w:rsid w:val="5BB44B12"/>
    <w:rsid w:val="5BBB382C"/>
    <w:rsid w:val="5BC24D1C"/>
    <w:rsid w:val="5BD3501A"/>
    <w:rsid w:val="5BDF5D95"/>
    <w:rsid w:val="5BFB631F"/>
    <w:rsid w:val="5BFE7528"/>
    <w:rsid w:val="5C004550"/>
    <w:rsid w:val="5C1473E0"/>
    <w:rsid w:val="5C163158"/>
    <w:rsid w:val="5C164F06"/>
    <w:rsid w:val="5C367357"/>
    <w:rsid w:val="5C3B4731"/>
    <w:rsid w:val="5C52446F"/>
    <w:rsid w:val="5C5B500F"/>
    <w:rsid w:val="5C6500C4"/>
    <w:rsid w:val="5C68724D"/>
    <w:rsid w:val="5C7406BD"/>
    <w:rsid w:val="5C893F80"/>
    <w:rsid w:val="5C8E3DCD"/>
    <w:rsid w:val="5C91458D"/>
    <w:rsid w:val="5C9212C4"/>
    <w:rsid w:val="5CB3676D"/>
    <w:rsid w:val="5CCA7DBF"/>
    <w:rsid w:val="5CCC4C91"/>
    <w:rsid w:val="5CCD7CBB"/>
    <w:rsid w:val="5CDF354A"/>
    <w:rsid w:val="5D0134C1"/>
    <w:rsid w:val="5D0C00B7"/>
    <w:rsid w:val="5D0C11C7"/>
    <w:rsid w:val="5D0E2082"/>
    <w:rsid w:val="5D24469B"/>
    <w:rsid w:val="5D30024A"/>
    <w:rsid w:val="5D3C274B"/>
    <w:rsid w:val="5D3E3727"/>
    <w:rsid w:val="5D5F28DD"/>
    <w:rsid w:val="5D6C59C3"/>
    <w:rsid w:val="5D777C27"/>
    <w:rsid w:val="5D9205BD"/>
    <w:rsid w:val="5D997B9D"/>
    <w:rsid w:val="5D9A56C3"/>
    <w:rsid w:val="5DB46785"/>
    <w:rsid w:val="5DB83B00"/>
    <w:rsid w:val="5DC6470A"/>
    <w:rsid w:val="5DCB1D21"/>
    <w:rsid w:val="5DD66317"/>
    <w:rsid w:val="5DE51ACA"/>
    <w:rsid w:val="5DFB0858"/>
    <w:rsid w:val="5DFC1D51"/>
    <w:rsid w:val="5E0314BA"/>
    <w:rsid w:val="5E1611EE"/>
    <w:rsid w:val="5E2467F1"/>
    <w:rsid w:val="5E2C6C63"/>
    <w:rsid w:val="5E3B2A02"/>
    <w:rsid w:val="5E452F7B"/>
    <w:rsid w:val="5E4D2736"/>
    <w:rsid w:val="5E544C51"/>
    <w:rsid w:val="5E700844"/>
    <w:rsid w:val="5E7B5612"/>
    <w:rsid w:val="5E7D126D"/>
    <w:rsid w:val="5EA132E2"/>
    <w:rsid w:val="5EB17167"/>
    <w:rsid w:val="5EBE53E1"/>
    <w:rsid w:val="5EC14A97"/>
    <w:rsid w:val="5EDA046D"/>
    <w:rsid w:val="5EEF3A43"/>
    <w:rsid w:val="5EF744B5"/>
    <w:rsid w:val="5EFA28BD"/>
    <w:rsid w:val="5EFD0600"/>
    <w:rsid w:val="5EFF047B"/>
    <w:rsid w:val="5F0059FA"/>
    <w:rsid w:val="5F1A2B43"/>
    <w:rsid w:val="5F2E2567"/>
    <w:rsid w:val="5F2E6828"/>
    <w:rsid w:val="5F37766E"/>
    <w:rsid w:val="5F4725B8"/>
    <w:rsid w:val="5F4955F3"/>
    <w:rsid w:val="5F593A88"/>
    <w:rsid w:val="5F5C5FB8"/>
    <w:rsid w:val="5F6124AF"/>
    <w:rsid w:val="5F6474FD"/>
    <w:rsid w:val="5F6B37BB"/>
    <w:rsid w:val="5F7A39FE"/>
    <w:rsid w:val="5F7C32D2"/>
    <w:rsid w:val="5F896220"/>
    <w:rsid w:val="5F8B1768"/>
    <w:rsid w:val="5F925B11"/>
    <w:rsid w:val="5FA32F55"/>
    <w:rsid w:val="5FB837BB"/>
    <w:rsid w:val="5FBE38EB"/>
    <w:rsid w:val="5FC133DB"/>
    <w:rsid w:val="5FC52ECB"/>
    <w:rsid w:val="5FCC1FAC"/>
    <w:rsid w:val="5FD56E87"/>
    <w:rsid w:val="5FDA624B"/>
    <w:rsid w:val="5FDB04D8"/>
    <w:rsid w:val="5FDC03E0"/>
    <w:rsid w:val="5FE62E42"/>
    <w:rsid w:val="5FF11F12"/>
    <w:rsid w:val="5FF732A1"/>
    <w:rsid w:val="5FF75E46"/>
    <w:rsid w:val="600D3B89"/>
    <w:rsid w:val="600F3BC5"/>
    <w:rsid w:val="601D461E"/>
    <w:rsid w:val="60454C9A"/>
    <w:rsid w:val="60455DBA"/>
    <w:rsid w:val="604662CE"/>
    <w:rsid w:val="60471B32"/>
    <w:rsid w:val="604A517F"/>
    <w:rsid w:val="605129B1"/>
    <w:rsid w:val="605424A1"/>
    <w:rsid w:val="6082700E"/>
    <w:rsid w:val="60883EF9"/>
    <w:rsid w:val="608A1A1F"/>
    <w:rsid w:val="608A1CA5"/>
    <w:rsid w:val="609A7072"/>
    <w:rsid w:val="609D79A4"/>
    <w:rsid w:val="60A725D1"/>
    <w:rsid w:val="60B60A66"/>
    <w:rsid w:val="60C469EE"/>
    <w:rsid w:val="60C56EFB"/>
    <w:rsid w:val="60CC2038"/>
    <w:rsid w:val="60CC405A"/>
    <w:rsid w:val="60CF38D6"/>
    <w:rsid w:val="60DB671F"/>
    <w:rsid w:val="60E76E71"/>
    <w:rsid w:val="60FA6BA5"/>
    <w:rsid w:val="61045C75"/>
    <w:rsid w:val="6106379C"/>
    <w:rsid w:val="6119542D"/>
    <w:rsid w:val="611B4D6D"/>
    <w:rsid w:val="61234CD3"/>
    <w:rsid w:val="612400C6"/>
    <w:rsid w:val="61291238"/>
    <w:rsid w:val="61317B79"/>
    <w:rsid w:val="613F7EC3"/>
    <w:rsid w:val="614147D4"/>
    <w:rsid w:val="61414AD6"/>
    <w:rsid w:val="614442C4"/>
    <w:rsid w:val="61481727"/>
    <w:rsid w:val="615564D1"/>
    <w:rsid w:val="61684974"/>
    <w:rsid w:val="61691F7C"/>
    <w:rsid w:val="616B35FF"/>
    <w:rsid w:val="618C17C7"/>
    <w:rsid w:val="61AD00BB"/>
    <w:rsid w:val="61AD1E69"/>
    <w:rsid w:val="61B431F8"/>
    <w:rsid w:val="61BF1B9C"/>
    <w:rsid w:val="61BF7DEE"/>
    <w:rsid w:val="61C827FF"/>
    <w:rsid w:val="61C930FF"/>
    <w:rsid w:val="61CC20BB"/>
    <w:rsid w:val="61CD6067"/>
    <w:rsid w:val="61D54F1C"/>
    <w:rsid w:val="61E215D8"/>
    <w:rsid w:val="61ED6709"/>
    <w:rsid w:val="61F25ACE"/>
    <w:rsid w:val="621041A6"/>
    <w:rsid w:val="621B3775"/>
    <w:rsid w:val="621C0D9D"/>
    <w:rsid w:val="62364782"/>
    <w:rsid w:val="62426A55"/>
    <w:rsid w:val="62526006"/>
    <w:rsid w:val="625E3163"/>
    <w:rsid w:val="6271733B"/>
    <w:rsid w:val="629D1EDE"/>
    <w:rsid w:val="62A019CE"/>
    <w:rsid w:val="62A3326C"/>
    <w:rsid w:val="62AA0157"/>
    <w:rsid w:val="62B426CA"/>
    <w:rsid w:val="62B66AFB"/>
    <w:rsid w:val="62B92A90"/>
    <w:rsid w:val="62D358FF"/>
    <w:rsid w:val="62D376AD"/>
    <w:rsid w:val="62F15D85"/>
    <w:rsid w:val="62F260C5"/>
    <w:rsid w:val="631A352E"/>
    <w:rsid w:val="631B2E02"/>
    <w:rsid w:val="632048BD"/>
    <w:rsid w:val="6329551F"/>
    <w:rsid w:val="63422443"/>
    <w:rsid w:val="63462575"/>
    <w:rsid w:val="634C56B2"/>
    <w:rsid w:val="634E31D8"/>
    <w:rsid w:val="63500CFE"/>
    <w:rsid w:val="63664ED9"/>
    <w:rsid w:val="637A5D7B"/>
    <w:rsid w:val="637C7D45"/>
    <w:rsid w:val="638D3657"/>
    <w:rsid w:val="6394356A"/>
    <w:rsid w:val="639C2195"/>
    <w:rsid w:val="63B84AF5"/>
    <w:rsid w:val="63BA6A4B"/>
    <w:rsid w:val="63BE65AF"/>
    <w:rsid w:val="63C61B2C"/>
    <w:rsid w:val="63C90AB0"/>
    <w:rsid w:val="63D27965"/>
    <w:rsid w:val="63D40BE9"/>
    <w:rsid w:val="63D86F45"/>
    <w:rsid w:val="63DC6A36"/>
    <w:rsid w:val="63FF2724"/>
    <w:rsid w:val="64102431"/>
    <w:rsid w:val="64107E22"/>
    <w:rsid w:val="64127E15"/>
    <w:rsid w:val="6416019A"/>
    <w:rsid w:val="64185E08"/>
    <w:rsid w:val="64224927"/>
    <w:rsid w:val="642301C1"/>
    <w:rsid w:val="64290917"/>
    <w:rsid w:val="642F3009"/>
    <w:rsid w:val="643423CE"/>
    <w:rsid w:val="643B7C00"/>
    <w:rsid w:val="64405216"/>
    <w:rsid w:val="6477050C"/>
    <w:rsid w:val="64917820"/>
    <w:rsid w:val="649A3A1C"/>
    <w:rsid w:val="64A05CB5"/>
    <w:rsid w:val="64A5243A"/>
    <w:rsid w:val="64A6511C"/>
    <w:rsid w:val="64AC3E47"/>
    <w:rsid w:val="64B74DAD"/>
    <w:rsid w:val="64B902C0"/>
    <w:rsid w:val="64C574CA"/>
    <w:rsid w:val="64CD45D0"/>
    <w:rsid w:val="64CE639C"/>
    <w:rsid w:val="64DA6254"/>
    <w:rsid w:val="64E9765C"/>
    <w:rsid w:val="64F102BF"/>
    <w:rsid w:val="64F360F8"/>
    <w:rsid w:val="64F531DE"/>
    <w:rsid w:val="64F61D79"/>
    <w:rsid w:val="65071890"/>
    <w:rsid w:val="65202952"/>
    <w:rsid w:val="6530163A"/>
    <w:rsid w:val="65373578"/>
    <w:rsid w:val="653B3C30"/>
    <w:rsid w:val="65436640"/>
    <w:rsid w:val="654B3E73"/>
    <w:rsid w:val="65574DC9"/>
    <w:rsid w:val="65757142"/>
    <w:rsid w:val="659868BE"/>
    <w:rsid w:val="6598698C"/>
    <w:rsid w:val="659C46CE"/>
    <w:rsid w:val="65B0017A"/>
    <w:rsid w:val="65B67155"/>
    <w:rsid w:val="65BB267B"/>
    <w:rsid w:val="65BF03BD"/>
    <w:rsid w:val="65C02498"/>
    <w:rsid w:val="65C459D3"/>
    <w:rsid w:val="65D35C16"/>
    <w:rsid w:val="65D74CE7"/>
    <w:rsid w:val="65E05075"/>
    <w:rsid w:val="65E87914"/>
    <w:rsid w:val="66044434"/>
    <w:rsid w:val="662446C4"/>
    <w:rsid w:val="662621EA"/>
    <w:rsid w:val="663302AE"/>
    <w:rsid w:val="663B7F8E"/>
    <w:rsid w:val="664802EF"/>
    <w:rsid w:val="66495ED8"/>
    <w:rsid w:val="6655487D"/>
    <w:rsid w:val="665B6338"/>
    <w:rsid w:val="665E1984"/>
    <w:rsid w:val="665F74AA"/>
    <w:rsid w:val="66676D2D"/>
    <w:rsid w:val="666B5E4F"/>
    <w:rsid w:val="66756CCD"/>
    <w:rsid w:val="6684707D"/>
    <w:rsid w:val="66954647"/>
    <w:rsid w:val="669C24AC"/>
    <w:rsid w:val="66A55805"/>
    <w:rsid w:val="66D73BDC"/>
    <w:rsid w:val="66D9725C"/>
    <w:rsid w:val="66DB1226"/>
    <w:rsid w:val="66E867D7"/>
    <w:rsid w:val="6700022A"/>
    <w:rsid w:val="671B1623"/>
    <w:rsid w:val="671F124A"/>
    <w:rsid w:val="672636AE"/>
    <w:rsid w:val="67277FC8"/>
    <w:rsid w:val="67281F92"/>
    <w:rsid w:val="672C7CD4"/>
    <w:rsid w:val="67317098"/>
    <w:rsid w:val="67342DD7"/>
    <w:rsid w:val="673B3F29"/>
    <w:rsid w:val="673C7B87"/>
    <w:rsid w:val="67584625"/>
    <w:rsid w:val="675D1C3B"/>
    <w:rsid w:val="6760797E"/>
    <w:rsid w:val="67616FAC"/>
    <w:rsid w:val="676254A4"/>
    <w:rsid w:val="677A33C6"/>
    <w:rsid w:val="678278F4"/>
    <w:rsid w:val="67AC671F"/>
    <w:rsid w:val="67AE1CEA"/>
    <w:rsid w:val="67C779FD"/>
    <w:rsid w:val="67C972D1"/>
    <w:rsid w:val="67CD5013"/>
    <w:rsid w:val="67D00572"/>
    <w:rsid w:val="67DF6AF4"/>
    <w:rsid w:val="68010AE0"/>
    <w:rsid w:val="68064081"/>
    <w:rsid w:val="681F6961"/>
    <w:rsid w:val="68336E40"/>
    <w:rsid w:val="683F5EFA"/>
    <w:rsid w:val="68582403"/>
    <w:rsid w:val="685A43CD"/>
    <w:rsid w:val="68610A2F"/>
    <w:rsid w:val="686F60CA"/>
    <w:rsid w:val="687436E1"/>
    <w:rsid w:val="68805514"/>
    <w:rsid w:val="688D47A2"/>
    <w:rsid w:val="6897756F"/>
    <w:rsid w:val="68996CA3"/>
    <w:rsid w:val="689B5F43"/>
    <w:rsid w:val="68A044D6"/>
    <w:rsid w:val="68AB4C28"/>
    <w:rsid w:val="68AF3B46"/>
    <w:rsid w:val="68B00491"/>
    <w:rsid w:val="68B166E3"/>
    <w:rsid w:val="68B41D2F"/>
    <w:rsid w:val="68C3471D"/>
    <w:rsid w:val="68C55CEA"/>
    <w:rsid w:val="68C55FCD"/>
    <w:rsid w:val="68CE384C"/>
    <w:rsid w:val="68D0468F"/>
    <w:rsid w:val="68D979E8"/>
    <w:rsid w:val="68EB3277"/>
    <w:rsid w:val="68EF2D67"/>
    <w:rsid w:val="68F24AF6"/>
    <w:rsid w:val="69034D85"/>
    <w:rsid w:val="69104274"/>
    <w:rsid w:val="69196036"/>
    <w:rsid w:val="691B1DAE"/>
    <w:rsid w:val="691B3B5C"/>
    <w:rsid w:val="692109E6"/>
    <w:rsid w:val="69316E2F"/>
    <w:rsid w:val="693966D8"/>
    <w:rsid w:val="693E784B"/>
    <w:rsid w:val="69435FE9"/>
    <w:rsid w:val="69482477"/>
    <w:rsid w:val="694A4441"/>
    <w:rsid w:val="694E2071"/>
    <w:rsid w:val="694F48C3"/>
    <w:rsid w:val="69567D33"/>
    <w:rsid w:val="69586B5E"/>
    <w:rsid w:val="69653029"/>
    <w:rsid w:val="6969287D"/>
    <w:rsid w:val="696A6892"/>
    <w:rsid w:val="69725F19"/>
    <w:rsid w:val="69766163"/>
    <w:rsid w:val="697A3B33"/>
    <w:rsid w:val="69821E2D"/>
    <w:rsid w:val="69836B84"/>
    <w:rsid w:val="698B4C95"/>
    <w:rsid w:val="69AF3217"/>
    <w:rsid w:val="69B1626F"/>
    <w:rsid w:val="69B30239"/>
    <w:rsid w:val="69D44760"/>
    <w:rsid w:val="69DA7573"/>
    <w:rsid w:val="69E43118"/>
    <w:rsid w:val="69E91EAC"/>
    <w:rsid w:val="69EB79D2"/>
    <w:rsid w:val="69EC54F9"/>
    <w:rsid w:val="69F85C4B"/>
    <w:rsid w:val="6A022F6E"/>
    <w:rsid w:val="6A0942FC"/>
    <w:rsid w:val="6A107439"/>
    <w:rsid w:val="6A1A02B8"/>
    <w:rsid w:val="6A2E78BF"/>
    <w:rsid w:val="6A334ED5"/>
    <w:rsid w:val="6A3A2708"/>
    <w:rsid w:val="6A3D5D54"/>
    <w:rsid w:val="6A425119"/>
    <w:rsid w:val="6A466ADA"/>
    <w:rsid w:val="6A48145B"/>
    <w:rsid w:val="6A4B0471"/>
    <w:rsid w:val="6A4B66C3"/>
    <w:rsid w:val="6A4D243B"/>
    <w:rsid w:val="6A4D41E9"/>
    <w:rsid w:val="6A513BED"/>
    <w:rsid w:val="6A520EC7"/>
    <w:rsid w:val="6A674B7F"/>
    <w:rsid w:val="6A731776"/>
    <w:rsid w:val="6A7D43A3"/>
    <w:rsid w:val="6A8B6AC0"/>
    <w:rsid w:val="6A90057A"/>
    <w:rsid w:val="6A94006A"/>
    <w:rsid w:val="6A9516EC"/>
    <w:rsid w:val="6A95793E"/>
    <w:rsid w:val="6AA03569"/>
    <w:rsid w:val="6AA162E3"/>
    <w:rsid w:val="6AB04778"/>
    <w:rsid w:val="6AB4579C"/>
    <w:rsid w:val="6AC326FD"/>
    <w:rsid w:val="6AE663EC"/>
    <w:rsid w:val="6AF01018"/>
    <w:rsid w:val="6AF87E20"/>
    <w:rsid w:val="6AFE3735"/>
    <w:rsid w:val="6B005CDC"/>
    <w:rsid w:val="6B040620"/>
    <w:rsid w:val="6B15282D"/>
    <w:rsid w:val="6B3158B9"/>
    <w:rsid w:val="6B322639"/>
    <w:rsid w:val="6B3811CB"/>
    <w:rsid w:val="6B3B6738"/>
    <w:rsid w:val="6B4A697B"/>
    <w:rsid w:val="6B655563"/>
    <w:rsid w:val="6B685053"/>
    <w:rsid w:val="6B767770"/>
    <w:rsid w:val="6B8005EE"/>
    <w:rsid w:val="6B811C71"/>
    <w:rsid w:val="6B9876E6"/>
    <w:rsid w:val="6BA22313"/>
    <w:rsid w:val="6BA53054"/>
    <w:rsid w:val="6BB27B85"/>
    <w:rsid w:val="6BBF2EC5"/>
    <w:rsid w:val="6BD44496"/>
    <w:rsid w:val="6BDF70C3"/>
    <w:rsid w:val="6C026E9C"/>
    <w:rsid w:val="6C092392"/>
    <w:rsid w:val="6C101972"/>
    <w:rsid w:val="6C1C49E1"/>
    <w:rsid w:val="6C2471CC"/>
    <w:rsid w:val="6C272818"/>
    <w:rsid w:val="6C276CBC"/>
    <w:rsid w:val="6C2E2F51"/>
    <w:rsid w:val="6C2F0215"/>
    <w:rsid w:val="6C3D028D"/>
    <w:rsid w:val="6C3E3329"/>
    <w:rsid w:val="6C636C38"/>
    <w:rsid w:val="6C727F37"/>
    <w:rsid w:val="6C735A5D"/>
    <w:rsid w:val="6C7D68DC"/>
    <w:rsid w:val="6C944351"/>
    <w:rsid w:val="6C9500C9"/>
    <w:rsid w:val="6C983AD9"/>
    <w:rsid w:val="6CA66D11"/>
    <w:rsid w:val="6CBA457B"/>
    <w:rsid w:val="6CBE13CE"/>
    <w:rsid w:val="6CBF0CA2"/>
    <w:rsid w:val="6CC241C4"/>
    <w:rsid w:val="6CCB3AEB"/>
    <w:rsid w:val="6CD10828"/>
    <w:rsid w:val="6CD97FB6"/>
    <w:rsid w:val="6CEC0037"/>
    <w:rsid w:val="6CF84E59"/>
    <w:rsid w:val="6CFA617E"/>
    <w:rsid w:val="6D0112BB"/>
    <w:rsid w:val="6D1E3C1B"/>
    <w:rsid w:val="6D284A9A"/>
    <w:rsid w:val="6D2A08D5"/>
    <w:rsid w:val="6D512242"/>
    <w:rsid w:val="6D566C13"/>
    <w:rsid w:val="6D5C4209"/>
    <w:rsid w:val="6D611D5A"/>
    <w:rsid w:val="6D6D06FE"/>
    <w:rsid w:val="6D733672"/>
    <w:rsid w:val="6D793547"/>
    <w:rsid w:val="6D901DEE"/>
    <w:rsid w:val="6DAC7BC8"/>
    <w:rsid w:val="6DB34098"/>
    <w:rsid w:val="6DB36A59"/>
    <w:rsid w:val="6DB545B6"/>
    <w:rsid w:val="6DC02F24"/>
    <w:rsid w:val="6DC20A4A"/>
    <w:rsid w:val="6DCF4F15"/>
    <w:rsid w:val="6DDB1B0C"/>
    <w:rsid w:val="6DE02FB4"/>
    <w:rsid w:val="6DE67331"/>
    <w:rsid w:val="6E027099"/>
    <w:rsid w:val="6E0C6169"/>
    <w:rsid w:val="6E0F17B6"/>
    <w:rsid w:val="6E14501E"/>
    <w:rsid w:val="6E146DCC"/>
    <w:rsid w:val="6E1804E6"/>
    <w:rsid w:val="6E1A123E"/>
    <w:rsid w:val="6E1B015A"/>
    <w:rsid w:val="6E1E24BD"/>
    <w:rsid w:val="6E25722B"/>
    <w:rsid w:val="6E301E58"/>
    <w:rsid w:val="6E3A1C14"/>
    <w:rsid w:val="6E3F7222"/>
    <w:rsid w:val="6E412457"/>
    <w:rsid w:val="6E46167B"/>
    <w:rsid w:val="6E473E9E"/>
    <w:rsid w:val="6E4E2FDB"/>
    <w:rsid w:val="6E4E6782"/>
    <w:rsid w:val="6E514CED"/>
    <w:rsid w:val="6E5C415A"/>
    <w:rsid w:val="6E755ABD"/>
    <w:rsid w:val="6E841359"/>
    <w:rsid w:val="6E8E6B7E"/>
    <w:rsid w:val="6E957F0D"/>
    <w:rsid w:val="6EA2262A"/>
    <w:rsid w:val="6EA52E3A"/>
    <w:rsid w:val="6EAB14DE"/>
    <w:rsid w:val="6EB5308F"/>
    <w:rsid w:val="6EB563D5"/>
    <w:rsid w:val="6EBA7973"/>
    <w:rsid w:val="6EC16F54"/>
    <w:rsid w:val="6EC24A7A"/>
    <w:rsid w:val="6ECB4795"/>
    <w:rsid w:val="6ECC0578"/>
    <w:rsid w:val="6ED8604B"/>
    <w:rsid w:val="6ED91271"/>
    <w:rsid w:val="6ED92677"/>
    <w:rsid w:val="6EDA0016"/>
    <w:rsid w:val="6EE669BA"/>
    <w:rsid w:val="6EE71853"/>
    <w:rsid w:val="6EEE586F"/>
    <w:rsid w:val="6EF07839"/>
    <w:rsid w:val="6EF530A1"/>
    <w:rsid w:val="6F074469"/>
    <w:rsid w:val="6F0926A9"/>
    <w:rsid w:val="6F0A0AD3"/>
    <w:rsid w:val="6F135451"/>
    <w:rsid w:val="6F174DC6"/>
    <w:rsid w:val="6F225983"/>
    <w:rsid w:val="6F383CBE"/>
    <w:rsid w:val="6F3A0AB4"/>
    <w:rsid w:val="6F4251EF"/>
    <w:rsid w:val="6F437969"/>
    <w:rsid w:val="6F467459"/>
    <w:rsid w:val="6F4A333A"/>
    <w:rsid w:val="6F513CB1"/>
    <w:rsid w:val="6F525DFE"/>
    <w:rsid w:val="6F5A2F04"/>
    <w:rsid w:val="6F997ED1"/>
    <w:rsid w:val="6FA51ACE"/>
    <w:rsid w:val="6FA7614A"/>
    <w:rsid w:val="6FC15127"/>
    <w:rsid w:val="6FC50CC6"/>
    <w:rsid w:val="6FFC5590"/>
    <w:rsid w:val="70271038"/>
    <w:rsid w:val="705C333F"/>
    <w:rsid w:val="70666005"/>
    <w:rsid w:val="706D1DD0"/>
    <w:rsid w:val="7080699B"/>
    <w:rsid w:val="70856B87"/>
    <w:rsid w:val="70A72179"/>
    <w:rsid w:val="70C60851"/>
    <w:rsid w:val="70C66AA3"/>
    <w:rsid w:val="70CB230C"/>
    <w:rsid w:val="70D50A94"/>
    <w:rsid w:val="70D527EE"/>
    <w:rsid w:val="70D867D7"/>
    <w:rsid w:val="70DD1E39"/>
    <w:rsid w:val="70DE203F"/>
    <w:rsid w:val="70EA3307"/>
    <w:rsid w:val="70EB475C"/>
    <w:rsid w:val="70EC5626"/>
    <w:rsid w:val="70F125D6"/>
    <w:rsid w:val="70F27898"/>
    <w:rsid w:val="70F84925"/>
    <w:rsid w:val="711A294B"/>
    <w:rsid w:val="711F7F62"/>
    <w:rsid w:val="71202BA5"/>
    <w:rsid w:val="71257ACF"/>
    <w:rsid w:val="713A123F"/>
    <w:rsid w:val="713A6AF4"/>
    <w:rsid w:val="7140674B"/>
    <w:rsid w:val="714874B8"/>
    <w:rsid w:val="714A76D4"/>
    <w:rsid w:val="715144B4"/>
    <w:rsid w:val="715B5300"/>
    <w:rsid w:val="716D33C3"/>
    <w:rsid w:val="717464FF"/>
    <w:rsid w:val="71792BF4"/>
    <w:rsid w:val="717C7162"/>
    <w:rsid w:val="7189187F"/>
    <w:rsid w:val="718C1A9B"/>
    <w:rsid w:val="71950224"/>
    <w:rsid w:val="71B44B4E"/>
    <w:rsid w:val="71BE777B"/>
    <w:rsid w:val="71C22401"/>
    <w:rsid w:val="71CE718C"/>
    <w:rsid w:val="71CF7BDA"/>
    <w:rsid w:val="71D27F8A"/>
    <w:rsid w:val="71D64AC4"/>
    <w:rsid w:val="71D90A58"/>
    <w:rsid w:val="71DC40A5"/>
    <w:rsid w:val="720F7FD6"/>
    <w:rsid w:val="721F290F"/>
    <w:rsid w:val="72255A4C"/>
    <w:rsid w:val="723978A8"/>
    <w:rsid w:val="724E257A"/>
    <w:rsid w:val="72553024"/>
    <w:rsid w:val="725A3947"/>
    <w:rsid w:val="725B2B9B"/>
    <w:rsid w:val="725E4ABA"/>
    <w:rsid w:val="726301BA"/>
    <w:rsid w:val="727B156D"/>
    <w:rsid w:val="727E3CE5"/>
    <w:rsid w:val="72824C4C"/>
    <w:rsid w:val="72987FCC"/>
    <w:rsid w:val="729C3F60"/>
    <w:rsid w:val="72A2709C"/>
    <w:rsid w:val="72CB66EC"/>
    <w:rsid w:val="72D27981"/>
    <w:rsid w:val="72FD6976"/>
    <w:rsid w:val="730E028E"/>
    <w:rsid w:val="73122968"/>
    <w:rsid w:val="731F5D5E"/>
    <w:rsid w:val="732E26DE"/>
    <w:rsid w:val="733221CE"/>
    <w:rsid w:val="734B3290"/>
    <w:rsid w:val="735743F6"/>
    <w:rsid w:val="73612AB3"/>
    <w:rsid w:val="73853978"/>
    <w:rsid w:val="73AB01D2"/>
    <w:rsid w:val="73B07597"/>
    <w:rsid w:val="73BA21C4"/>
    <w:rsid w:val="73C51AD5"/>
    <w:rsid w:val="73C848E1"/>
    <w:rsid w:val="740A4EF9"/>
    <w:rsid w:val="741E793C"/>
    <w:rsid w:val="74381A66"/>
    <w:rsid w:val="74510BC5"/>
    <w:rsid w:val="745E3944"/>
    <w:rsid w:val="74673E70"/>
    <w:rsid w:val="7472484C"/>
    <w:rsid w:val="747B1953"/>
    <w:rsid w:val="748051BB"/>
    <w:rsid w:val="74890514"/>
    <w:rsid w:val="748A6630"/>
    <w:rsid w:val="74982505"/>
    <w:rsid w:val="74A569D0"/>
    <w:rsid w:val="74A94475"/>
    <w:rsid w:val="74B041AC"/>
    <w:rsid w:val="74B44EC7"/>
    <w:rsid w:val="74B530B7"/>
    <w:rsid w:val="74B66E2F"/>
    <w:rsid w:val="74BB5B1E"/>
    <w:rsid w:val="74C94DB4"/>
    <w:rsid w:val="74D3353D"/>
    <w:rsid w:val="74D55507"/>
    <w:rsid w:val="74DA48CB"/>
    <w:rsid w:val="74DC4AE7"/>
    <w:rsid w:val="74DF1EE2"/>
    <w:rsid w:val="74E41BEE"/>
    <w:rsid w:val="74F17E67"/>
    <w:rsid w:val="74FE15AB"/>
    <w:rsid w:val="75134281"/>
    <w:rsid w:val="752D650F"/>
    <w:rsid w:val="753B10E2"/>
    <w:rsid w:val="753F6E24"/>
    <w:rsid w:val="75457202"/>
    <w:rsid w:val="754C0670"/>
    <w:rsid w:val="754E52B9"/>
    <w:rsid w:val="755A5A0C"/>
    <w:rsid w:val="75662603"/>
    <w:rsid w:val="7592164A"/>
    <w:rsid w:val="75952EE8"/>
    <w:rsid w:val="75A44ED9"/>
    <w:rsid w:val="75B07D22"/>
    <w:rsid w:val="75CA545C"/>
    <w:rsid w:val="75D2632D"/>
    <w:rsid w:val="75F75951"/>
    <w:rsid w:val="75FE5C0C"/>
    <w:rsid w:val="760F4A49"/>
    <w:rsid w:val="76261D92"/>
    <w:rsid w:val="76277FE4"/>
    <w:rsid w:val="762F0C47"/>
    <w:rsid w:val="7635099D"/>
    <w:rsid w:val="763B575E"/>
    <w:rsid w:val="765039BD"/>
    <w:rsid w:val="76524935"/>
    <w:rsid w:val="765661D4"/>
    <w:rsid w:val="766052A4"/>
    <w:rsid w:val="767E1BCE"/>
    <w:rsid w:val="7681158E"/>
    <w:rsid w:val="7682521B"/>
    <w:rsid w:val="768D4D1F"/>
    <w:rsid w:val="769211D6"/>
    <w:rsid w:val="769E5415"/>
    <w:rsid w:val="76A2766B"/>
    <w:rsid w:val="76AF3B36"/>
    <w:rsid w:val="76BD471F"/>
    <w:rsid w:val="76C738D8"/>
    <w:rsid w:val="76CF5F86"/>
    <w:rsid w:val="76E934EC"/>
    <w:rsid w:val="76EB1A60"/>
    <w:rsid w:val="76EF2922"/>
    <w:rsid w:val="76F24FF3"/>
    <w:rsid w:val="771147F0"/>
    <w:rsid w:val="7718592D"/>
    <w:rsid w:val="772A72CE"/>
    <w:rsid w:val="772B7660"/>
    <w:rsid w:val="772E227A"/>
    <w:rsid w:val="7731279D"/>
    <w:rsid w:val="773D3837"/>
    <w:rsid w:val="774B1AB0"/>
    <w:rsid w:val="774E15A1"/>
    <w:rsid w:val="7750356B"/>
    <w:rsid w:val="77560ABE"/>
    <w:rsid w:val="77674410"/>
    <w:rsid w:val="776A0342"/>
    <w:rsid w:val="77762421"/>
    <w:rsid w:val="77894387"/>
    <w:rsid w:val="778969A8"/>
    <w:rsid w:val="779571D0"/>
    <w:rsid w:val="779F1DFC"/>
    <w:rsid w:val="77AC60C5"/>
    <w:rsid w:val="77B2509E"/>
    <w:rsid w:val="77B56B1F"/>
    <w:rsid w:val="77C15580"/>
    <w:rsid w:val="77CE623E"/>
    <w:rsid w:val="77D25D2E"/>
    <w:rsid w:val="77E14132"/>
    <w:rsid w:val="77F55EC0"/>
    <w:rsid w:val="780460F6"/>
    <w:rsid w:val="780F09F4"/>
    <w:rsid w:val="781639F1"/>
    <w:rsid w:val="78177BE5"/>
    <w:rsid w:val="78197E01"/>
    <w:rsid w:val="781F40D3"/>
    <w:rsid w:val="782B18E2"/>
    <w:rsid w:val="78411105"/>
    <w:rsid w:val="784671A4"/>
    <w:rsid w:val="784A620C"/>
    <w:rsid w:val="784D7AAA"/>
    <w:rsid w:val="78546E24"/>
    <w:rsid w:val="78570929"/>
    <w:rsid w:val="78593726"/>
    <w:rsid w:val="785D2852"/>
    <w:rsid w:val="785D5F3F"/>
    <w:rsid w:val="787B0173"/>
    <w:rsid w:val="78850FF2"/>
    <w:rsid w:val="78861271"/>
    <w:rsid w:val="788A6608"/>
    <w:rsid w:val="78911745"/>
    <w:rsid w:val="789254BD"/>
    <w:rsid w:val="789B6A68"/>
    <w:rsid w:val="78A90480"/>
    <w:rsid w:val="78C7785D"/>
    <w:rsid w:val="78E57CE3"/>
    <w:rsid w:val="78E75809"/>
    <w:rsid w:val="78EC72C3"/>
    <w:rsid w:val="79206F6D"/>
    <w:rsid w:val="792425B9"/>
    <w:rsid w:val="792541B8"/>
    <w:rsid w:val="792F71B0"/>
    <w:rsid w:val="79434761"/>
    <w:rsid w:val="79554E68"/>
    <w:rsid w:val="79674B9C"/>
    <w:rsid w:val="79694470"/>
    <w:rsid w:val="79780B57"/>
    <w:rsid w:val="79786DA9"/>
    <w:rsid w:val="797C0647"/>
    <w:rsid w:val="797F1CD4"/>
    <w:rsid w:val="798E3ED6"/>
    <w:rsid w:val="79951709"/>
    <w:rsid w:val="79A27982"/>
    <w:rsid w:val="79AD6A52"/>
    <w:rsid w:val="79B109F5"/>
    <w:rsid w:val="79C97604"/>
    <w:rsid w:val="79CE69C9"/>
    <w:rsid w:val="79DC10E6"/>
    <w:rsid w:val="79E166FC"/>
    <w:rsid w:val="79F0693F"/>
    <w:rsid w:val="79F301DD"/>
    <w:rsid w:val="79F50C10"/>
    <w:rsid w:val="79FD5908"/>
    <w:rsid w:val="7A0D418F"/>
    <w:rsid w:val="7A0F40D4"/>
    <w:rsid w:val="7A1268B5"/>
    <w:rsid w:val="7A195BF9"/>
    <w:rsid w:val="7A1B7E60"/>
    <w:rsid w:val="7A24780B"/>
    <w:rsid w:val="7A2B3E1B"/>
    <w:rsid w:val="7A320D06"/>
    <w:rsid w:val="7A3251AA"/>
    <w:rsid w:val="7A356A48"/>
    <w:rsid w:val="7A3613CA"/>
    <w:rsid w:val="7A364017"/>
    <w:rsid w:val="7A3643D4"/>
    <w:rsid w:val="7A4F18B8"/>
    <w:rsid w:val="7A543372"/>
    <w:rsid w:val="7A555E8C"/>
    <w:rsid w:val="7A5944E4"/>
    <w:rsid w:val="7A650521"/>
    <w:rsid w:val="7A652E89"/>
    <w:rsid w:val="7A6B246A"/>
    <w:rsid w:val="7A8265E1"/>
    <w:rsid w:val="7A9479AC"/>
    <w:rsid w:val="7A996FD7"/>
    <w:rsid w:val="7AD4000F"/>
    <w:rsid w:val="7ADC6EC3"/>
    <w:rsid w:val="7AEE7323"/>
    <w:rsid w:val="7AF1471D"/>
    <w:rsid w:val="7AF4245F"/>
    <w:rsid w:val="7AF430BB"/>
    <w:rsid w:val="7AFA5109"/>
    <w:rsid w:val="7B004F54"/>
    <w:rsid w:val="7B00565C"/>
    <w:rsid w:val="7B18439F"/>
    <w:rsid w:val="7B1B3E90"/>
    <w:rsid w:val="7B204C45"/>
    <w:rsid w:val="7B271119"/>
    <w:rsid w:val="7B3D3241"/>
    <w:rsid w:val="7B5724BB"/>
    <w:rsid w:val="7B58479C"/>
    <w:rsid w:val="7B686D42"/>
    <w:rsid w:val="7B6E5D6D"/>
    <w:rsid w:val="7B7C4E33"/>
    <w:rsid w:val="7B841746"/>
    <w:rsid w:val="7B845591"/>
    <w:rsid w:val="7B867C36"/>
    <w:rsid w:val="7B8732D3"/>
    <w:rsid w:val="7B9559F0"/>
    <w:rsid w:val="7B9571A7"/>
    <w:rsid w:val="7B974A82"/>
    <w:rsid w:val="7B9B0B2D"/>
    <w:rsid w:val="7BA06143"/>
    <w:rsid w:val="7BA46E03"/>
    <w:rsid w:val="7BA7127F"/>
    <w:rsid w:val="7BAB5214"/>
    <w:rsid w:val="7BC736D0"/>
    <w:rsid w:val="7BD06A28"/>
    <w:rsid w:val="7BD44861"/>
    <w:rsid w:val="7BDC53CD"/>
    <w:rsid w:val="7BEA38B4"/>
    <w:rsid w:val="7BF32717"/>
    <w:rsid w:val="7C077F70"/>
    <w:rsid w:val="7C0B5CB2"/>
    <w:rsid w:val="7C0C0BAF"/>
    <w:rsid w:val="7C1D098D"/>
    <w:rsid w:val="7C26489A"/>
    <w:rsid w:val="7C2B3C5E"/>
    <w:rsid w:val="7C2F7BF3"/>
    <w:rsid w:val="7C377F63"/>
    <w:rsid w:val="7C423C8F"/>
    <w:rsid w:val="7C431520"/>
    <w:rsid w:val="7C482A62"/>
    <w:rsid w:val="7C501917"/>
    <w:rsid w:val="7C596A1E"/>
    <w:rsid w:val="7C5F7DAC"/>
    <w:rsid w:val="7C675037"/>
    <w:rsid w:val="7C694787"/>
    <w:rsid w:val="7C6A53A9"/>
    <w:rsid w:val="7C6B04FF"/>
    <w:rsid w:val="7C6C5AC7"/>
    <w:rsid w:val="7C6F7FEF"/>
    <w:rsid w:val="7C75137E"/>
    <w:rsid w:val="7C8A1DD9"/>
    <w:rsid w:val="7C8E62B7"/>
    <w:rsid w:val="7C9712F4"/>
    <w:rsid w:val="7C9E6CC4"/>
    <w:rsid w:val="7CA53A11"/>
    <w:rsid w:val="7CB43349"/>
    <w:rsid w:val="7CBC51FE"/>
    <w:rsid w:val="7CC6544B"/>
    <w:rsid w:val="7CCA0125"/>
    <w:rsid w:val="7CD04806"/>
    <w:rsid w:val="7CD341EB"/>
    <w:rsid w:val="7CD47820"/>
    <w:rsid w:val="7CE309DD"/>
    <w:rsid w:val="7CEA1476"/>
    <w:rsid w:val="7CEE5606"/>
    <w:rsid w:val="7CF16C56"/>
    <w:rsid w:val="7CFD0DDD"/>
    <w:rsid w:val="7D0239FF"/>
    <w:rsid w:val="7D164121"/>
    <w:rsid w:val="7D1D5C9D"/>
    <w:rsid w:val="7D276B1C"/>
    <w:rsid w:val="7D4274B2"/>
    <w:rsid w:val="7D43322A"/>
    <w:rsid w:val="7D5A23B4"/>
    <w:rsid w:val="7D5E40CD"/>
    <w:rsid w:val="7D62010B"/>
    <w:rsid w:val="7D741635"/>
    <w:rsid w:val="7D7D2BE0"/>
    <w:rsid w:val="7D845D1C"/>
    <w:rsid w:val="7D8471D9"/>
    <w:rsid w:val="7DA43CC8"/>
    <w:rsid w:val="7DAE2D99"/>
    <w:rsid w:val="7DC12ACC"/>
    <w:rsid w:val="7DCD56F2"/>
    <w:rsid w:val="7DD722F0"/>
    <w:rsid w:val="7DD86068"/>
    <w:rsid w:val="7DE1316F"/>
    <w:rsid w:val="7DE93DD1"/>
    <w:rsid w:val="7DF47BAF"/>
    <w:rsid w:val="7DF52776"/>
    <w:rsid w:val="7DF54524"/>
    <w:rsid w:val="7DFD5ACF"/>
    <w:rsid w:val="7E07340F"/>
    <w:rsid w:val="7E1150D6"/>
    <w:rsid w:val="7E222935"/>
    <w:rsid w:val="7E237B36"/>
    <w:rsid w:val="7E2A7744"/>
    <w:rsid w:val="7E521BF9"/>
    <w:rsid w:val="7E525E1A"/>
    <w:rsid w:val="7E5F4093"/>
    <w:rsid w:val="7E742EE1"/>
    <w:rsid w:val="7E832F35"/>
    <w:rsid w:val="7E865AC4"/>
    <w:rsid w:val="7E925CCF"/>
    <w:rsid w:val="7EA71F32"/>
    <w:rsid w:val="7EA91828"/>
    <w:rsid w:val="7ECF1219"/>
    <w:rsid w:val="7ED24865"/>
    <w:rsid w:val="7ED444FD"/>
    <w:rsid w:val="7ED44A81"/>
    <w:rsid w:val="7ED500EA"/>
    <w:rsid w:val="7ED93E46"/>
    <w:rsid w:val="7EE54599"/>
    <w:rsid w:val="7EF84FD8"/>
    <w:rsid w:val="7F001CE7"/>
    <w:rsid w:val="7F005876"/>
    <w:rsid w:val="7F032C71"/>
    <w:rsid w:val="7F04073A"/>
    <w:rsid w:val="7F066F18"/>
    <w:rsid w:val="7F0B7D77"/>
    <w:rsid w:val="7F1C285B"/>
    <w:rsid w:val="7F21571F"/>
    <w:rsid w:val="7F2350C1"/>
    <w:rsid w:val="7F2D4191"/>
    <w:rsid w:val="7F54171E"/>
    <w:rsid w:val="7F5931D8"/>
    <w:rsid w:val="7F6236CF"/>
    <w:rsid w:val="7F631961"/>
    <w:rsid w:val="7F707618"/>
    <w:rsid w:val="7F7D7358"/>
    <w:rsid w:val="7F961D37"/>
    <w:rsid w:val="7F985AAF"/>
    <w:rsid w:val="7FB977D3"/>
    <w:rsid w:val="7FBD72C3"/>
    <w:rsid w:val="7FC22B2C"/>
    <w:rsid w:val="7FCF6FF7"/>
    <w:rsid w:val="7FD05249"/>
    <w:rsid w:val="7FE151A1"/>
    <w:rsid w:val="7FE47E50"/>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semiHidden="0" w:name="heading 2" w:locked="1"/>
    <w:lsdException w:qFormat="1" w:uiPriority="9" w:semiHidden="0" w:name="heading 3" w:locked="1"/>
    <w:lsdException w:qFormat="1" w:uiPriority="9" w:semiHidden="0" w:name="heading 4" w:locked="1"/>
    <w:lsdException w:qFormat="1" w:uiPriority="9" w:semiHidden="0" w:name="heading 5" w:locked="1"/>
    <w:lsdException w:qFormat="1" w:uiPriority="9" w:semiHidden="0" w:name="heading 6" w:locked="1"/>
    <w:lsdException w:qFormat="1" w:uiPriority="9" w:semiHidden="0" w:name="heading 7" w:locked="1"/>
    <w:lsdException w:qFormat="1" w:uiPriority="9" w:semiHidden="0" w:name="heading 8" w:locked="1"/>
    <w:lsdException w:qFormat="1" w:uiPriority="9"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35" w:semiHidden="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qFormat="1"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semiHidden="0"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4"/>
      <w:szCs w:val="22"/>
      <w:lang w:val="en-US" w:eastAsia="zh-CN" w:bidi="ar-SA"/>
    </w:rPr>
  </w:style>
  <w:style w:type="paragraph" w:styleId="2">
    <w:name w:val="heading 1"/>
    <w:basedOn w:val="1"/>
    <w:next w:val="1"/>
    <w:link w:val="48"/>
    <w:qFormat/>
    <w:locked/>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link w:val="49"/>
    <w:unhideWhenUsed/>
    <w:qFormat/>
    <w:locked/>
    <w:uiPriority w:val="9"/>
    <w:pPr>
      <w:keepNext/>
      <w:keepLines/>
      <w:spacing w:before="40" w:after="0"/>
      <w:outlineLvl w:val="1"/>
    </w:pPr>
    <w:rPr>
      <w:rFonts w:asciiTheme="majorHAnsi" w:hAnsiTheme="majorHAnsi" w:eastAsiaTheme="majorEastAsia" w:cstheme="majorBidi"/>
      <w:color w:val="376092" w:themeColor="accent1" w:themeShade="BF"/>
      <w:sz w:val="28"/>
      <w:szCs w:val="28"/>
    </w:rPr>
  </w:style>
  <w:style w:type="paragraph" w:styleId="4">
    <w:name w:val="heading 3"/>
    <w:basedOn w:val="1"/>
    <w:next w:val="1"/>
    <w:link w:val="74"/>
    <w:unhideWhenUsed/>
    <w:qFormat/>
    <w:locked/>
    <w:uiPriority w:val="9"/>
    <w:pPr>
      <w:keepNext/>
      <w:keepLines/>
      <w:spacing w:before="40" w:after="0"/>
      <w:outlineLvl w:val="2"/>
    </w:pPr>
    <w:rPr>
      <w:rFonts w:asciiTheme="majorHAnsi" w:hAnsiTheme="majorHAnsi" w:eastAsiaTheme="majorEastAsia" w:cstheme="majorBidi"/>
      <w:color w:val="254061" w:themeColor="accent1" w:themeShade="80"/>
      <w:szCs w:val="24"/>
    </w:rPr>
  </w:style>
  <w:style w:type="paragraph" w:styleId="5">
    <w:name w:val="heading 4"/>
    <w:basedOn w:val="1"/>
    <w:next w:val="1"/>
    <w:link w:val="194"/>
    <w:unhideWhenUsed/>
    <w:qFormat/>
    <w:locked/>
    <w:uiPriority w:val="9"/>
    <w:pPr>
      <w:keepNext/>
      <w:keepLines/>
      <w:spacing w:before="40" w:after="0"/>
      <w:outlineLvl w:val="3"/>
    </w:pPr>
    <w:rPr>
      <w:rFonts w:asciiTheme="majorHAnsi" w:hAnsiTheme="majorHAnsi" w:eastAsiaTheme="majorEastAsia" w:cstheme="majorBidi"/>
      <w:i/>
      <w:iCs/>
      <w:color w:val="376092" w:themeColor="accent1" w:themeShade="BF"/>
    </w:rPr>
  </w:style>
  <w:style w:type="paragraph" w:styleId="6">
    <w:name w:val="heading 5"/>
    <w:basedOn w:val="1"/>
    <w:next w:val="1"/>
    <w:link w:val="195"/>
    <w:unhideWhenUsed/>
    <w:qFormat/>
    <w:locked/>
    <w:uiPriority w:val="9"/>
    <w:pPr>
      <w:keepNext/>
      <w:keepLines/>
      <w:spacing w:before="40" w:after="0"/>
      <w:outlineLvl w:val="4"/>
    </w:pPr>
    <w:rPr>
      <w:rFonts w:asciiTheme="majorHAnsi" w:hAnsiTheme="majorHAnsi" w:eastAsiaTheme="majorEastAsia" w:cstheme="majorBidi"/>
      <w:color w:val="376092" w:themeColor="accent1" w:themeShade="BF"/>
    </w:rPr>
  </w:style>
  <w:style w:type="paragraph" w:styleId="7">
    <w:name w:val="heading 6"/>
    <w:basedOn w:val="1"/>
    <w:next w:val="1"/>
    <w:link w:val="196"/>
    <w:unhideWhenUsed/>
    <w:qFormat/>
    <w:locked/>
    <w:uiPriority w:val="9"/>
    <w:pPr>
      <w:keepNext/>
      <w:keepLines/>
      <w:spacing w:before="40" w:after="0"/>
      <w:outlineLvl w:val="5"/>
    </w:pPr>
    <w:rPr>
      <w:rFonts w:asciiTheme="majorHAnsi" w:hAnsiTheme="majorHAnsi" w:eastAsiaTheme="majorEastAsia" w:cstheme="majorBidi"/>
      <w:color w:val="254061" w:themeColor="accent1" w:themeShade="80"/>
    </w:rPr>
  </w:style>
  <w:style w:type="paragraph" w:styleId="8">
    <w:name w:val="heading 7"/>
    <w:basedOn w:val="1"/>
    <w:next w:val="1"/>
    <w:link w:val="197"/>
    <w:unhideWhenUsed/>
    <w:qFormat/>
    <w:locked/>
    <w:uiPriority w:val="9"/>
    <w:pPr>
      <w:keepNext/>
      <w:keepLines/>
      <w:spacing w:before="40" w:after="0"/>
      <w:outlineLvl w:val="6"/>
    </w:pPr>
    <w:rPr>
      <w:rFonts w:asciiTheme="majorHAnsi" w:hAnsiTheme="majorHAnsi" w:eastAsiaTheme="majorEastAsia" w:cstheme="majorBidi"/>
      <w:i/>
      <w:iCs/>
      <w:color w:val="254061" w:themeColor="accent1" w:themeShade="80"/>
    </w:rPr>
  </w:style>
  <w:style w:type="paragraph" w:styleId="9">
    <w:name w:val="heading 8"/>
    <w:basedOn w:val="1"/>
    <w:next w:val="1"/>
    <w:link w:val="198"/>
    <w:unhideWhenUsed/>
    <w:qFormat/>
    <w:locked/>
    <w:uiPriority w:val="9"/>
    <w:pPr>
      <w:keepNext/>
      <w:keepLines/>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199"/>
    <w:unhideWhenUsed/>
    <w:qFormat/>
    <w:locked/>
    <w:uiPriority w:val="9"/>
    <w:pPr>
      <w:keepNext/>
      <w:keepLines/>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39">
    <w:name w:val="Default Paragraph Font"/>
    <w:unhideWhenUsed/>
    <w:qFormat/>
    <w:uiPriority w:val="1"/>
  </w:style>
  <w:style w:type="table" w:default="1" w:styleId="37">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locked/>
    <w:uiPriority w:val="0"/>
    <w:pPr>
      <w:ind w:left="1260"/>
    </w:pPr>
    <w:rPr>
      <w:rFonts w:ascii="Calibri" w:hAnsi="Calibri" w:cs="Calibri"/>
      <w:sz w:val="18"/>
      <w:szCs w:val="18"/>
    </w:rPr>
  </w:style>
  <w:style w:type="paragraph" w:styleId="12">
    <w:name w:val="table of authorities"/>
    <w:basedOn w:val="1"/>
    <w:next w:val="1"/>
    <w:semiHidden/>
    <w:qFormat/>
    <w:locked/>
    <w:uiPriority w:val="0"/>
    <w:pPr>
      <w:ind w:left="420" w:leftChars="200"/>
    </w:pPr>
  </w:style>
  <w:style w:type="paragraph" w:styleId="13">
    <w:name w:val="Note Heading"/>
    <w:basedOn w:val="1"/>
    <w:next w:val="1"/>
    <w:qFormat/>
    <w:locked/>
    <w:uiPriority w:val="0"/>
  </w:style>
  <w:style w:type="paragraph" w:styleId="14">
    <w:name w:val="Normal Indent"/>
    <w:basedOn w:val="1"/>
    <w:link w:val="50"/>
    <w:qFormat/>
    <w:locked/>
    <w:uiPriority w:val="99"/>
    <w:pPr>
      <w:spacing w:line="360" w:lineRule="auto"/>
      <w:ind w:firstLine="200" w:firstLineChars="200"/>
    </w:pPr>
    <w:rPr>
      <w:szCs w:val="20"/>
    </w:rPr>
  </w:style>
  <w:style w:type="paragraph" w:styleId="15">
    <w:name w:val="caption"/>
    <w:basedOn w:val="1"/>
    <w:next w:val="1"/>
    <w:unhideWhenUsed/>
    <w:qFormat/>
    <w:locked/>
    <w:uiPriority w:val="35"/>
    <w:pPr>
      <w:spacing w:after="200" w:line="240" w:lineRule="auto"/>
    </w:pPr>
    <w:rPr>
      <w:i/>
      <w:iCs/>
      <w:color w:val="1F497D" w:themeColor="text2"/>
      <w:sz w:val="18"/>
      <w:szCs w:val="18"/>
      <w14:textFill>
        <w14:solidFill>
          <w14:schemeClr w14:val="tx2"/>
        </w14:solidFill>
      </w14:textFill>
    </w:rPr>
  </w:style>
  <w:style w:type="paragraph" w:styleId="16">
    <w:name w:val="Document Map"/>
    <w:basedOn w:val="1"/>
    <w:link w:val="52"/>
    <w:qFormat/>
    <w:locked/>
    <w:uiPriority w:val="0"/>
    <w:rPr>
      <w:rFonts w:ascii="宋体"/>
      <w:sz w:val="18"/>
      <w:szCs w:val="18"/>
    </w:rPr>
  </w:style>
  <w:style w:type="paragraph" w:styleId="17">
    <w:name w:val="annotation text"/>
    <w:basedOn w:val="1"/>
    <w:link w:val="53"/>
    <w:semiHidden/>
    <w:qFormat/>
    <w:uiPriority w:val="0"/>
    <w:pPr>
      <w:spacing w:line="360" w:lineRule="auto"/>
      <w:ind w:firstLine="200" w:firstLineChars="200"/>
    </w:pPr>
    <w:rPr>
      <w:szCs w:val="20"/>
    </w:rPr>
  </w:style>
  <w:style w:type="paragraph" w:styleId="18">
    <w:name w:val="Salutation"/>
    <w:next w:val="1"/>
    <w:unhideWhenUsed/>
    <w:qFormat/>
    <w:locked/>
    <w:uiPriority w:val="99"/>
    <w:pPr>
      <w:widowControl w:val="0"/>
      <w:spacing w:after="160" w:line="307" w:lineRule="auto"/>
      <w:jc w:val="both"/>
    </w:pPr>
    <w:rPr>
      <w:rFonts w:ascii="Times New Roman" w:hAnsi="Times New Roman" w:eastAsia="宋体" w:cs="Times New Roman"/>
      <w:kern w:val="2"/>
      <w:sz w:val="21"/>
      <w:szCs w:val="24"/>
      <w:lang w:val="en-US" w:eastAsia="zh-CN" w:bidi="ar-SA"/>
    </w:rPr>
  </w:style>
  <w:style w:type="paragraph" w:styleId="19">
    <w:name w:val="Body Text"/>
    <w:basedOn w:val="1"/>
    <w:link w:val="51"/>
    <w:qFormat/>
    <w:uiPriority w:val="0"/>
    <w:pPr>
      <w:snapToGrid w:val="0"/>
      <w:spacing w:before="60"/>
      <w:ind w:right="113"/>
    </w:pPr>
    <w:rPr>
      <w:sz w:val="18"/>
      <w:szCs w:val="20"/>
    </w:rPr>
  </w:style>
  <w:style w:type="paragraph" w:styleId="20">
    <w:name w:val="Body Text Indent"/>
    <w:basedOn w:val="1"/>
    <w:next w:val="21"/>
    <w:link w:val="54"/>
    <w:qFormat/>
    <w:uiPriority w:val="0"/>
    <w:pPr>
      <w:spacing w:after="120"/>
      <w:ind w:left="420" w:leftChars="200"/>
    </w:pPr>
    <w:rPr>
      <w:szCs w:val="20"/>
    </w:rPr>
  </w:style>
  <w:style w:type="paragraph" w:styleId="21">
    <w:name w:val="Body Text First Indent 2"/>
    <w:basedOn w:val="1"/>
    <w:next w:val="22"/>
    <w:qFormat/>
    <w:locked/>
    <w:uiPriority w:val="0"/>
    <w:pPr>
      <w:ind w:firstLine="420" w:firstLineChars="200"/>
    </w:pPr>
    <w:rPr>
      <w:sz w:val="21"/>
    </w:rPr>
  </w:style>
  <w:style w:type="paragraph" w:styleId="22">
    <w:name w:val="Body Text First Indent"/>
    <w:basedOn w:val="19"/>
    <w:next w:val="1"/>
    <w:qFormat/>
    <w:locked/>
    <w:uiPriority w:val="0"/>
    <w:pPr>
      <w:spacing w:line="360" w:lineRule="auto"/>
      <w:ind w:right="0" w:firstLine="720" w:firstLineChars="200"/>
    </w:pPr>
    <w:rPr>
      <w:sz w:val="21"/>
    </w:rPr>
  </w:style>
  <w:style w:type="paragraph" w:styleId="23">
    <w:name w:val="index 4"/>
    <w:basedOn w:val="1"/>
    <w:next w:val="1"/>
    <w:qFormat/>
    <w:locked/>
    <w:uiPriority w:val="0"/>
    <w:pPr>
      <w:ind w:left="600" w:leftChars="600"/>
    </w:pPr>
    <w:rPr>
      <w:sz w:val="21"/>
    </w:rPr>
  </w:style>
  <w:style w:type="paragraph" w:styleId="24">
    <w:name w:val="Plain Text"/>
    <w:basedOn w:val="1"/>
    <w:next w:val="19"/>
    <w:qFormat/>
    <w:locked/>
    <w:uiPriority w:val="0"/>
    <w:rPr>
      <w:rFonts w:ascii="宋体" w:hAnsi="Courier New"/>
    </w:rPr>
  </w:style>
  <w:style w:type="paragraph" w:styleId="25">
    <w:name w:val="Date"/>
    <w:basedOn w:val="1"/>
    <w:next w:val="1"/>
    <w:link w:val="55"/>
    <w:qFormat/>
    <w:uiPriority w:val="0"/>
    <w:pPr>
      <w:ind w:left="100" w:leftChars="2500"/>
    </w:pPr>
    <w:rPr>
      <w:szCs w:val="20"/>
    </w:rPr>
  </w:style>
  <w:style w:type="paragraph" w:styleId="26">
    <w:name w:val="Body Text Indent 2"/>
    <w:basedOn w:val="1"/>
    <w:next w:val="1"/>
    <w:qFormat/>
    <w:locked/>
    <w:uiPriority w:val="0"/>
    <w:pPr>
      <w:adjustRightInd w:val="0"/>
      <w:snapToGrid w:val="0"/>
      <w:spacing w:line="360" w:lineRule="auto"/>
      <w:ind w:firstLine="1944" w:firstLineChars="1080"/>
    </w:pPr>
    <w:rPr>
      <w:sz w:val="18"/>
    </w:rPr>
  </w:style>
  <w:style w:type="paragraph" w:styleId="27">
    <w:name w:val="Balloon Text"/>
    <w:basedOn w:val="1"/>
    <w:link w:val="56"/>
    <w:semiHidden/>
    <w:qFormat/>
    <w:uiPriority w:val="0"/>
    <w:rPr>
      <w:sz w:val="18"/>
      <w:szCs w:val="20"/>
    </w:rPr>
  </w:style>
  <w:style w:type="paragraph" w:styleId="28">
    <w:name w:val="footer"/>
    <w:basedOn w:val="1"/>
    <w:next w:val="29"/>
    <w:link w:val="57"/>
    <w:qFormat/>
    <w:uiPriority w:val="99"/>
    <w:pPr>
      <w:tabs>
        <w:tab w:val="center" w:pos="4153"/>
        <w:tab w:val="right" w:pos="8306"/>
      </w:tabs>
      <w:snapToGrid w:val="0"/>
    </w:pPr>
    <w:rPr>
      <w:sz w:val="18"/>
      <w:szCs w:val="20"/>
    </w:rPr>
  </w:style>
  <w:style w:type="paragraph" w:styleId="29">
    <w:name w:val="Normal (Web)"/>
    <w:basedOn w:val="1"/>
    <w:link w:val="59"/>
    <w:qFormat/>
    <w:uiPriority w:val="99"/>
    <w:pPr>
      <w:spacing w:before="100" w:beforeAutospacing="1" w:after="100" w:afterAutospacing="1"/>
    </w:pPr>
    <w:rPr>
      <w:rFonts w:ascii="宋体" w:hAnsi="宋体"/>
      <w:szCs w:val="20"/>
    </w:rPr>
  </w:style>
  <w:style w:type="paragraph" w:styleId="30">
    <w:name w:val="envelope return"/>
    <w:basedOn w:val="1"/>
    <w:qFormat/>
    <w:locked/>
    <w:uiPriority w:val="0"/>
    <w:pPr>
      <w:adjustRightInd w:val="0"/>
      <w:snapToGrid w:val="0"/>
    </w:pPr>
    <w:rPr>
      <w:rFonts w:ascii="Arial" w:hAnsi="Arial"/>
    </w:rPr>
  </w:style>
  <w:style w:type="paragraph" w:styleId="31">
    <w:name w:val="header"/>
    <w:basedOn w:val="1"/>
    <w:link w:val="215"/>
    <w:qFormat/>
    <w:uiPriority w:val="0"/>
    <w:pPr>
      <w:pBdr>
        <w:bottom w:val="single" w:color="auto" w:sz="6" w:space="1"/>
      </w:pBdr>
      <w:tabs>
        <w:tab w:val="center" w:pos="4153"/>
        <w:tab w:val="right" w:pos="8306"/>
      </w:tabs>
      <w:snapToGrid w:val="0"/>
      <w:jc w:val="center"/>
    </w:pPr>
    <w:rPr>
      <w:sz w:val="18"/>
      <w:szCs w:val="20"/>
    </w:rPr>
  </w:style>
  <w:style w:type="paragraph" w:styleId="32">
    <w:name w:val="toc 1"/>
    <w:basedOn w:val="1"/>
    <w:next w:val="1"/>
    <w:unhideWhenUsed/>
    <w:qFormat/>
    <w:locked/>
    <w:uiPriority w:val="39"/>
    <w:pPr>
      <w:spacing w:before="360"/>
    </w:pPr>
    <w:rPr>
      <w:rFonts w:ascii="等线 Light" w:hAnsi="等线 Light" w:eastAsia="宋体"/>
      <w:b/>
      <w:bCs/>
      <w:caps/>
    </w:rPr>
  </w:style>
  <w:style w:type="paragraph" w:styleId="33">
    <w:name w:val="Subtitle"/>
    <w:basedOn w:val="1"/>
    <w:next w:val="1"/>
    <w:link w:val="201"/>
    <w:qFormat/>
    <w:locked/>
    <w:uiPriority w:val="11"/>
    <w:rPr>
      <w:color w:val="595959" w:themeColor="text1" w:themeTint="A6"/>
      <w:spacing w:val="15"/>
      <w14:textFill>
        <w14:solidFill>
          <w14:schemeClr w14:val="tx1">
            <w14:lumMod w14:val="65000"/>
            <w14:lumOff w14:val="35000"/>
          </w14:schemeClr>
        </w14:solidFill>
      </w14:textFill>
    </w:rPr>
  </w:style>
  <w:style w:type="paragraph" w:styleId="34">
    <w:name w:val="toc 2"/>
    <w:basedOn w:val="1"/>
    <w:next w:val="1"/>
    <w:qFormat/>
    <w:locked/>
    <w:uiPriority w:val="0"/>
    <w:pPr>
      <w:ind w:left="420" w:leftChars="200"/>
    </w:pPr>
  </w:style>
  <w:style w:type="paragraph" w:styleId="35">
    <w:name w:val="Title"/>
    <w:basedOn w:val="1"/>
    <w:next w:val="1"/>
    <w:link w:val="200"/>
    <w:qFormat/>
    <w:locked/>
    <w:uiPriority w:val="10"/>
    <w:pPr>
      <w:spacing w:after="0" w:line="240" w:lineRule="auto"/>
      <w:contextualSpacing/>
    </w:pPr>
    <w:rPr>
      <w:rFonts w:asciiTheme="majorHAnsi" w:hAnsiTheme="majorHAnsi" w:eastAsiaTheme="majorEastAsia" w:cstheme="majorBidi"/>
      <w:spacing w:val="-10"/>
      <w:sz w:val="56"/>
      <w:szCs w:val="56"/>
    </w:rPr>
  </w:style>
  <w:style w:type="paragraph" w:styleId="36">
    <w:name w:val="annotation subject"/>
    <w:basedOn w:val="17"/>
    <w:next w:val="17"/>
    <w:link w:val="60"/>
    <w:semiHidden/>
    <w:qFormat/>
    <w:uiPriority w:val="0"/>
    <w:rPr>
      <w:b/>
    </w:rPr>
  </w:style>
  <w:style w:type="table" w:styleId="38">
    <w:name w:val="Table Grid"/>
    <w:basedOn w:val="3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locked/>
    <w:uiPriority w:val="22"/>
    <w:rPr>
      <w:b/>
      <w:bCs/>
      <w:color w:val="auto"/>
    </w:rPr>
  </w:style>
  <w:style w:type="character" w:styleId="41">
    <w:name w:val="page number"/>
    <w:basedOn w:val="39"/>
    <w:qFormat/>
    <w:locked/>
    <w:uiPriority w:val="0"/>
    <w:rPr>
      <w:rFonts w:hint="default" w:ascii="Times New Roman" w:hAnsi="Times New Roman" w:cs="Times New Roman"/>
    </w:rPr>
  </w:style>
  <w:style w:type="character" w:styleId="42">
    <w:name w:val="Emphasis"/>
    <w:basedOn w:val="39"/>
    <w:qFormat/>
    <w:locked/>
    <w:uiPriority w:val="20"/>
    <w:rPr>
      <w:i/>
      <w:iCs/>
      <w:color w:val="auto"/>
    </w:rPr>
  </w:style>
  <w:style w:type="character" w:styleId="43">
    <w:name w:val="Hyperlink"/>
    <w:qFormat/>
    <w:locked/>
    <w:uiPriority w:val="0"/>
    <w:rPr>
      <w:color w:val="0000FF"/>
      <w:u w:val="single"/>
    </w:rPr>
  </w:style>
  <w:style w:type="character" w:styleId="44">
    <w:name w:val="annotation reference"/>
    <w:semiHidden/>
    <w:qFormat/>
    <w:uiPriority w:val="0"/>
    <w:rPr>
      <w:sz w:val="21"/>
    </w:rPr>
  </w:style>
  <w:style w:type="paragraph" w:customStyle="1" w:styleId="45">
    <w:name w:val="Default"/>
    <w:basedOn w:val="46"/>
    <w:next w:val="11"/>
    <w:unhideWhenUsed/>
    <w:qFormat/>
    <w:uiPriority w:val="0"/>
    <w:pPr>
      <w:widowControl w:val="0"/>
      <w:autoSpaceDE w:val="0"/>
      <w:autoSpaceDN w:val="0"/>
    </w:pPr>
    <w:rPr>
      <w:rFonts w:hint="eastAsia" w:ascii="Calibri" w:hAnsi="Calibri" w:eastAsia="Times New Roman" w:cs="Times New Roman"/>
      <w:color w:val="000000"/>
    </w:rPr>
  </w:style>
  <w:style w:type="paragraph" w:customStyle="1" w:styleId="46">
    <w:name w:val="纯文本1"/>
    <w:basedOn w:val="1"/>
    <w:qFormat/>
    <w:uiPriority w:val="0"/>
    <w:pPr>
      <w:adjustRightInd w:val="0"/>
    </w:pPr>
    <w:rPr>
      <w:rFonts w:ascii="宋体" w:hAnsi="Courier New"/>
    </w:rPr>
  </w:style>
  <w:style w:type="paragraph" w:customStyle="1" w:styleId="47">
    <w:name w:val="标题 段落4级"/>
    <w:qFormat/>
    <w:uiPriority w:val="0"/>
    <w:pPr>
      <w:spacing w:after="160" w:line="500" w:lineRule="exact"/>
      <w:outlineLvl w:val="3"/>
    </w:pPr>
    <w:rPr>
      <w:rFonts w:ascii="Times New Roman" w:hAnsi="Times New Roman" w:eastAsia="仿宋_GB2312" w:cs="Calibri"/>
      <w:b/>
      <w:kern w:val="2"/>
      <w:sz w:val="28"/>
      <w:szCs w:val="24"/>
      <w:lang w:val="en-US" w:eastAsia="zh-CN" w:bidi="ar-SA"/>
    </w:rPr>
  </w:style>
  <w:style w:type="character" w:customStyle="1" w:styleId="48">
    <w:name w:val="标题 1 字符"/>
    <w:basedOn w:val="39"/>
    <w:link w:val="2"/>
    <w:qFormat/>
    <w:uiPriority w:val="9"/>
    <w:rPr>
      <w:rFonts w:asciiTheme="majorHAnsi" w:hAnsiTheme="majorHAnsi" w:eastAsiaTheme="majorEastAsia" w:cstheme="majorBidi"/>
      <w:color w:val="376092" w:themeColor="accent1" w:themeShade="BF"/>
      <w:sz w:val="32"/>
      <w:szCs w:val="32"/>
    </w:rPr>
  </w:style>
  <w:style w:type="character" w:customStyle="1" w:styleId="49">
    <w:name w:val="标题 2 字符"/>
    <w:basedOn w:val="39"/>
    <w:link w:val="3"/>
    <w:qFormat/>
    <w:uiPriority w:val="9"/>
    <w:rPr>
      <w:rFonts w:asciiTheme="majorHAnsi" w:hAnsiTheme="majorHAnsi" w:eastAsiaTheme="majorEastAsia" w:cstheme="majorBidi"/>
      <w:color w:val="376092" w:themeColor="accent1" w:themeShade="BF"/>
      <w:sz w:val="28"/>
      <w:szCs w:val="28"/>
    </w:rPr>
  </w:style>
  <w:style w:type="character" w:customStyle="1" w:styleId="50">
    <w:name w:val="正文缩进 字符"/>
    <w:link w:val="14"/>
    <w:qFormat/>
    <w:uiPriority w:val="99"/>
    <w:rPr>
      <w:rFonts w:hint="eastAsia" w:ascii="黑体" w:hAnsi="宋体" w:eastAsia="黑体" w:cs="黑体"/>
      <w:kern w:val="2"/>
      <w:sz w:val="24"/>
    </w:rPr>
  </w:style>
  <w:style w:type="character" w:customStyle="1" w:styleId="51">
    <w:name w:val="正文文本 字符"/>
    <w:link w:val="19"/>
    <w:qFormat/>
    <w:locked/>
    <w:uiPriority w:val="0"/>
    <w:rPr>
      <w:sz w:val="18"/>
    </w:rPr>
  </w:style>
  <w:style w:type="character" w:customStyle="1" w:styleId="52">
    <w:name w:val="文档结构图 字符"/>
    <w:link w:val="16"/>
    <w:qFormat/>
    <w:uiPriority w:val="0"/>
    <w:rPr>
      <w:rFonts w:ascii="宋体"/>
      <w:kern w:val="2"/>
      <w:sz w:val="18"/>
      <w:szCs w:val="18"/>
    </w:rPr>
  </w:style>
  <w:style w:type="character" w:customStyle="1" w:styleId="53">
    <w:name w:val="批注文字 字符"/>
    <w:link w:val="17"/>
    <w:qFormat/>
    <w:locked/>
    <w:uiPriority w:val="0"/>
    <w:rPr>
      <w:rFonts w:ascii="Times New Roman" w:hAnsi="Times New Roman" w:eastAsia="宋体"/>
      <w:sz w:val="24"/>
    </w:rPr>
  </w:style>
  <w:style w:type="character" w:customStyle="1" w:styleId="54">
    <w:name w:val="正文文本缩进 字符1"/>
    <w:link w:val="20"/>
    <w:qFormat/>
    <w:uiPriority w:val="0"/>
    <w:rPr>
      <w:rFonts w:ascii="宋体" w:hAnsi="宋体" w:eastAsia="仿宋_GB2312" w:cs="Courier New"/>
      <w:kern w:val="2"/>
      <w:sz w:val="28"/>
      <w:szCs w:val="32"/>
      <w:lang w:val="en-US" w:eastAsia="zh-CN" w:bidi="ar-SA"/>
    </w:rPr>
  </w:style>
  <w:style w:type="character" w:customStyle="1" w:styleId="55">
    <w:name w:val="日期 字符1"/>
    <w:link w:val="25"/>
    <w:qFormat/>
    <w:locked/>
    <w:uiPriority w:val="0"/>
    <w:rPr>
      <w:rFonts w:ascii="Times New Roman" w:hAnsi="Times New Roman" w:eastAsia="宋体"/>
      <w:sz w:val="24"/>
    </w:rPr>
  </w:style>
  <w:style w:type="character" w:customStyle="1" w:styleId="56">
    <w:name w:val="批注框文本 字符"/>
    <w:link w:val="27"/>
    <w:semiHidden/>
    <w:qFormat/>
    <w:locked/>
    <w:uiPriority w:val="0"/>
    <w:rPr>
      <w:rFonts w:ascii="Times New Roman" w:hAnsi="Times New Roman" w:eastAsia="宋体"/>
      <w:sz w:val="18"/>
    </w:rPr>
  </w:style>
  <w:style w:type="character" w:customStyle="1" w:styleId="57">
    <w:name w:val="页脚 字符1"/>
    <w:link w:val="28"/>
    <w:qFormat/>
    <w:locked/>
    <w:uiPriority w:val="99"/>
    <w:rPr>
      <w:sz w:val="18"/>
    </w:rPr>
  </w:style>
  <w:style w:type="character" w:customStyle="1" w:styleId="58">
    <w:name w:val="页眉 字符"/>
    <w:qFormat/>
    <w:locked/>
    <w:uiPriority w:val="0"/>
    <w:rPr>
      <w:sz w:val="18"/>
    </w:rPr>
  </w:style>
  <w:style w:type="character" w:customStyle="1" w:styleId="59">
    <w:name w:val="普通(网站) 字符"/>
    <w:link w:val="29"/>
    <w:qFormat/>
    <w:locked/>
    <w:uiPriority w:val="0"/>
    <w:rPr>
      <w:rFonts w:ascii="宋体" w:hAnsi="宋体" w:eastAsia="宋体"/>
      <w:sz w:val="24"/>
    </w:rPr>
  </w:style>
  <w:style w:type="character" w:customStyle="1" w:styleId="60">
    <w:name w:val="批注主题 字符"/>
    <w:link w:val="36"/>
    <w:semiHidden/>
    <w:qFormat/>
    <w:locked/>
    <w:uiPriority w:val="0"/>
    <w:rPr>
      <w:rFonts w:ascii="Times New Roman" w:hAnsi="Times New Roman" w:eastAsia="宋体"/>
      <w:b/>
      <w:kern w:val="2"/>
      <w:sz w:val="24"/>
    </w:rPr>
  </w:style>
  <w:style w:type="character" w:customStyle="1" w:styleId="61">
    <w:name w:val="font61"/>
    <w:qFormat/>
    <w:uiPriority w:val="0"/>
    <w:rPr>
      <w:rFonts w:hint="eastAsia" w:ascii="宋体" w:hAnsi="宋体" w:eastAsia="宋体" w:cs="宋体"/>
      <w:color w:val="000000"/>
      <w:sz w:val="18"/>
      <w:szCs w:val="18"/>
      <w:u w:val="none"/>
    </w:rPr>
  </w:style>
  <w:style w:type="character" w:customStyle="1" w:styleId="62">
    <w:name w:val="Q表格标题 Char"/>
    <w:link w:val="63"/>
    <w:qFormat/>
    <w:uiPriority w:val="0"/>
    <w:rPr>
      <w:b/>
      <w:kern w:val="2"/>
      <w:sz w:val="24"/>
      <w:szCs w:val="24"/>
    </w:rPr>
  </w:style>
  <w:style w:type="paragraph" w:customStyle="1" w:styleId="63">
    <w:name w:val="Q表格标题"/>
    <w:basedOn w:val="1"/>
    <w:link w:val="62"/>
    <w:qFormat/>
    <w:uiPriority w:val="0"/>
    <w:pPr>
      <w:spacing w:line="360" w:lineRule="auto"/>
      <w:jc w:val="center"/>
      <w:outlineLvl w:val="4"/>
    </w:pPr>
    <w:rPr>
      <w:b/>
    </w:rPr>
  </w:style>
  <w:style w:type="character" w:customStyle="1" w:styleId="64">
    <w:name w:val="Font Style92"/>
    <w:qFormat/>
    <w:uiPriority w:val="0"/>
    <w:rPr>
      <w:rFonts w:hint="eastAsia" w:ascii="宋体" w:hAnsi="宋体" w:eastAsia="宋体" w:cs="宋体"/>
      <w:spacing w:val="10"/>
      <w:sz w:val="26"/>
      <w:szCs w:val="26"/>
    </w:rPr>
  </w:style>
  <w:style w:type="character" w:customStyle="1" w:styleId="65">
    <w:name w:val="font31"/>
    <w:qFormat/>
    <w:uiPriority w:val="0"/>
    <w:rPr>
      <w:rFonts w:hint="default" w:ascii="Times New Roman" w:hAnsi="Times New Roman" w:cs="Times New Roman"/>
      <w:color w:val="000000"/>
      <w:sz w:val="21"/>
      <w:szCs w:val="21"/>
      <w:u w:val="none"/>
      <w:vertAlign w:val="superscript"/>
    </w:rPr>
  </w:style>
  <w:style w:type="character" w:customStyle="1" w:styleId="66">
    <w:name w:val="font21"/>
    <w:qFormat/>
    <w:uiPriority w:val="0"/>
    <w:rPr>
      <w:rFonts w:hint="eastAsia" w:ascii="宋体" w:hAnsi="宋体" w:eastAsia="宋体" w:cs="宋体"/>
      <w:color w:val="000000"/>
      <w:sz w:val="21"/>
      <w:szCs w:val="21"/>
      <w:u w:val="none"/>
    </w:rPr>
  </w:style>
  <w:style w:type="character" w:customStyle="1" w:styleId="67">
    <w:name w:val="表格 Char"/>
    <w:link w:val="68"/>
    <w:qFormat/>
    <w:locked/>
    <w:uiPriority w:val="0"/>
    <w:rPr>
      <w:rFonts w:ascii="宋体"/>
      <w:sz w:val="21"/>
    </w:rPr>
  </w:style>
  <w:style w:type="paragraph" w:customStyle="1" w:styleId="68">
    <w:name w:val="表格"/>
    <w:basedOn w:val="1"/>
    <w:next w:val="1"/>
    <w:link w:val="67"/>
    <w:qFormat/>
    <w:uiPriority w:val="0"/>
    <w:pPr>
      <w:adjustRightInd w:val="0"/>
      <w:snapToGrid w:val="0"/>
      <w:spacing w:beforeLines="10" w:afterLines="10"/>
      <w:jc w:val="center"/>
    </w:pPr>
    <w:rPr>
      <w:rFonts w:ascii="宋体"/>
      <w:szCs w:val="20"/>
    </w:rPr>
  </w:style>
  <w:style w:type="character" w:customStyle="1" w:styleId="69">
    <w:name w:val="表格内容 Char1"/>
    <w:qFormat/>
    <w:uiPriority w:val="0"/>
    <w:rPr>
      <w:rFonts w:hint="eastAsia" w:ascii="宋体" w:hAnsi="宋体" w:eastAsia="宋体" w:cs="宋体"/>
      <w:kern w:val="0"/>
      <w:sz w:val="21"/>
    </w:rPr>
  </w:style>
  <w:style w:type="character" w:customStyle="1" w:styleId="70">
    <w:name w:val="表格标题QQ Char"/>
    <w:link w:val="71"/>
    <w:qFormat/>
    <w:uiPriority w:val="0"/>
    <w:rPr>
      <w:b/>
    </w:rPr>
  </w:style>
  <w:style w:type="paragraph" w:customStyle="1" w:styleId="71">
    <w:name w:val="表格标题QQ"/>
    <w:basedOn w:val="1"/>
    <w:link w:val="70"/>
    <w:qFormat/>
    <w:uiPriority w:val="0"/>
    <w:pPr>
      <w:jc w:val="center"/>
      <w:outlineLvl w:val="4"/>
    </w:pPr>
    <w:rPr>
      <w:b/>
      <w:sz w:val="20"/>
      <w:szCs w:val="20"/>
    </w:rPr>
  </w:style>
  <w:style w:type="character" w:customStyle="1" w:styleId="72">
    <w:name w:val="页脚 字符"/>
    <w:qFormat/>
    <w:uiPriority w:val="99"/>
  </w:style>
  <w:style w:type="character" w:customStyle="1" w:styleId="73">
    <w:name w:val="批注文字 字符1"/>
    <w:semiHidden/>
    <w:qFormat/>
    <w:uiPriority w:val="0"/>
    <w:rPr>
      <w:rFonts w:ascii="Times New Roman" w:hAnsi="Times New Roman" w:eastAsia="宋体"/>
      <w:sz w:val="24"/>
    </w:rPr>
  </w:style>
  <w:style w:type="character" w:customStyle="1" w:styleId="74">
    <w:name w:val="标题 3 字符"/>
    <w:basedOn w:val="39"/>
    <w:link w:val="4"/>
    <w:qFormat/>
    <w:uiPriority w:val="9"/>
    <w:rPr>
      <w:rFonts w:asciiTheme="majorHAnsi" w:hAnsiTheme="majorHAnsi" w:eastAsiaTheme="majorEastAsia" w:cstheme="majorBidi"/>
      <w:color w:val="254061" w:themeColor="accent1" w:themeShade="80"/>
      <w:sz w:val="24"/>
      <w:szCs w:val="24"/>
    </w:rPr>
  </w:style>
  <w:style w:type="character" w:customStyle="1" w:styleId="75">
    <w:name w:val="样式 zhang正文 + 宋体 小四 Char"/>
    <w:link w:val="76"/>
    <w:qFormat/>
    <w:uiPriority w:val="0"/>
    <w:rPr>
      <w:rFonts w:ascii="宋体" w:hAnsi="宋体" w:eastAsia="宋体" w:cs="Courier New"/>
      <w:kern w:val="0"/>
      <w:sz w:val="24"/>
      <w:szCs w:val="32"/>
      <w:lang w:val="en-US" w:eastAsia="zh-CN" w:bidi="ar-SA"/>
    </w:rPr>
  </w:style>
  <w:style w:type="paragraph" w:customStyle="1" w:styleId="76">
    <w:name w:val="样式 zhang正文 + 宋体 小四"/>
    <w:basedOn w:val="77"/>
    <w:link w:val="75"/>
    <w:qFormat/>
    <w:uiPriority w:val="0"/>
    <w:rPr>
      <w:rFonts w:ascii="宋体" w:hAnsi="宋体" w:eastAsia="宋体"/>
    </w:rPr>
  </w:style>
  <w:style w:type="paragraph" w:customStyle="1" w:styleId="77">
    <w:name w:val="zhang正文"/>
    <w:basedOn w:val="20"/>
    <w:next w:val="1"/>
    <w:link w:val="78"/>
    <w:qFormat/>
    <w:uiPriority w:val="0"/>
    <w:pPr>
      <w:autoSpaceDE w:val="0"/>
      <w:autoSpaceDN w:val="0"/>
      <w:adjustRightInd w:val="0"/>
      <w:snapToGrid w:val="0"/>
      <w:spacing w:line="500" w:lineRule="exact"/>
      <w:ind w:firstLine="539"/>
      <w:textAlignment w:val="baseline"/>
    </w:pPr>
    <w:rPr>
      <w:rFonts w:eastAsia="楷体_GB2312"/>
    </w:rPr>
  </w:style>
  <w:style w:type="character" w:customStyle="1" w:styleId="78">
    <w:name w:val="zhang正文 Char1"/>
    <w:link w:val="77"/>
    <w:qFormat/>
    <w:uiPriority w:val="0"/>
    <w:rPr>
      <w:rFonts w:ascii="宋体" w:hAnsi="宋体" w:eastAsia="楷体_GB2312" w:cs="Courier New"/>
      <w:kern w:val="0"/>
      <w:sz w:val="28"/>
      <w:szCs w:val="32"/>
      <w:lang w:val="en-US" w:eastAsia="zh-CN" w:bidi="ar-SA"/>
    </w:rPr>
  </w:style>
  <w:style w:type="character" w:customStyle="1" w:styleId="79">
    <w:name w:val="font41"/>
    <w:qFormat/>
    <w:uiPriority w:val="0"/>
    <w:rPr>
      <w:rFonts w:hint="default" w:ascii="Times New Roman" w:hAnsi="Times New Roman" w:cs="Times New Roman"/>
      <w:color w:val="000000"/>
      <w:sz w:val="22"/>
      <w:szCs w:val="22"/>
      <w:u w:val="none"/>
    </w:rPr>
  </w:style>
  <w:style w:type="character" w:customStyle="1" w:styleId="80">
    <w:name w:val="正文文本缩进 字符"/>
    <w:semiHidden/>
    <w:qFormat/>
    <w:locked/>
    <w:uiPriority w:val="0"/>
    <w:rPr>
      <w:rFonts w:ascii="Times New Roman" w:hAnsi="Times New Roman" w:eastAsia="宋体"/>
      <w:sz w:val="24"/>
    </w:rPr>
  </w:style>
  <w:style w:type="character" w:customStyle="1" w:styleId="81">
    <w:name w:val="表格标题CCW Char"/>
    <w:qFormat/>
    <w:uiPriority w:val="0"/>
    <w:rPr>
      <w:b/>
      <w:sz w:val="24"/>
    </w:rPr>
  </w:style>
  <w:style w:type="character" w:customStyle="1" w:styleId="82">
    <w:name w:val="font81"/>
    <w:qFormat/>
    <w:uiPriority w:val="0"/>
    <w:rPr>
      <w:rFonts w:hint="eastAsia" w:ascii="宋体" w:hAnsi="宋体" w:eastAsia="宋体" w:cs="宋体"/>
      <w:color w:val="000000"/>
      <w:sz w:val="18"/>
      <w:szCs w:val="18"/>
      <w:u w:val="none"/>
    </w:rPr>
  </w:style>
  <w:style w:type="character" w:customStyle="1" w:styleId="83">
    <w:name w:val="15"/>
    <w:qFormat/>
    <w:uiPriority w:val="0"/>
    <w:rPr>
      <w:rFonts w:hint="eastAsia" w:ascii="宋体" w:hAnsi="宋体" w:eastAsia="宋体"/>
      <w:spacing w:val="10"/>
      <w:sz w:val="26"/>
      <w:szCs w:val="26"/>
    </w:rPr>
  </w:style>
  <w:style w:type="character" w:customStyle="1" w:styleId="84">
    <w:name w:val="表格内正文1 Char Char"/>
    <w:link w:val="85"/>
    <w:qFormat/>
    <w:uiPriority w:val="0"/>
    <w:rPr>
      <w:sz w:val="21"/>
    </w:rPr>
  </w:style>
  <w:style w:type="paragraph" w:customStyle="1" w:styleId="85">
    <w:name w:val="表格内正文1"/>
    <w:basedOn w:val="1"/>
    <w:next w:val="1"/>
    <w:link w:val="84"/>
    <w:qFormat/>
    <w:uiPriority w:val="0"/>
    <w:pPr>
      <w:adjustRightInd w:val="0"/>
      <w:snapToGrid w:val="0"/>
      <w:jc w:val="center"/>
    </w:pPr>
    <w:rPr>
      <w:sz w:val="21"/>
    </w:rPr>
  </w:style>
  <w:style w:type="character" w:customStyle="1" w:styleId="86">
    <w:name w:val="font11"/>
    <w:qFormat/>
    <w:uiPriority w:val="0"/>
    <w:rPr>
      <w:rFonts w:hint="eastAsia" w:ascii="宋体" w:hAnsi="宋体" w:eastAsia="宋体" w:cs="宋体"/>
      <w:color w:val="000000"/>
      <w:sz w:val="21"/>
      <w:szCs w:val="21"/>
      <w:u w:val="none"/>
    </w:rPr>
  </w:style>
  <w:style w:type="character" w:customStyle="1" w:styleId="87">
    <w:name w:val="正文文本 字符1"/>
    <w:semiHidden/>
    <w:qFormat/>
    <w:uiPriority w:val="0"/>
    <w:rPr>
      <w:rFonts w:ascii="Times New Roman" w:hAnsi="Times New Roman" w:eastAsia="宋体"/>
      <w:sz w:val="24"/>
    </w:rPr>
  </w:style>
  <w:style w:type="character" w:customStyle="1" w:styleId="88">
    <w:name w:val="表格内容 Char Char"/>
    <w:qFormat/>
    <w:uiPriority w:val="0"/>
    <w:rPr>
      <w:rFonts w:ascii="Times New Roman" w:hAnsi="Times New Roman" w:eastAsia="宋体" w:cs="Times New Roman"/>
      <w:kern w:val="2"/>
      <w:sz w:val="21"/>
      <w:szCs w:val="22"/>
    </w:rPr>
  </w:style>
  <w:style w:type="character" w:customStyle="1" w:styleId="89">
    <w:name w:val="font01"/>
    <w:qFormat/>
    <w:uiPriority w:val="0"/>
    <w:rPr>
      <w:rFonts w:hint="eastAsia" w:ascii="宋体" w:hAnsi="宋体" w:eastAsia="宋体" w:cs="宋体"/>
      <w:color w:val="000000"/>
      <w:sz w:val="21"/>
      <w:szCs w:val="21"/>
      <w:u w:val="none"/>
    </w:rPr>
  </w:style>
  <w:style w:type="character" w:customStyle="1" w:styleId="90">
    <w:name w:val="font71"/>
    <w:qFormat/>
    <w:uiPriority w:val="0"/>
    <w:rPr>
      <w:rFonts w:ascii="微软雅黑" w:hAnsi="微软雅黑" w:eastAsia="微软雅黑" w:cs="微软雅黑"/>
      <w:color w:val="333333"/>
      <w:sz w:val="24"/>
      <w:szCs w:val="24"/>
      <w:u w:val="none"/>
    </w:rPr>
  </w:style>
  <w:style w:type="character" w:customStyle="1" w:styleId="91">
    <w:name w:val="font51"/>
    <w:qFormat/>
    <w:uiPriority w:val="0"/>
    <w:rPr>
      <w:rFonts w:hint="eastAsia" w:ascii="微软雅黑" w:hAnsi="微软雅黑" w:eastAsia="微软雅黑" w:cs="微软雅黑"/>
      <w:color w:val="333333"/>
      <w:sz w:val="24"/>
      <w:szCs w:val="24"/>
      <w:u w:val="none"/>
    </w:rPr>
  </w:style>
  <w:style w:type="character" w:customStyle="1" w:styleId="92">
    <w:name w:val="正文文本首行缩进 2 字符"/>
    <w:qFormat/>
    <w:uiPriority w:val="0"/>
    <w:rPr>
      <w:kern w:val="2"/>
      <w:sz w:val="24"/>
      <w:szCs w:val="24"/>
    </w:rPr>
  </w:style>
  <w:style w:type="character" w:customStyle="1" w:styleId="93">
    <w:name w:val="日期 字符"/>
    <w:semiHidden/>
    <w:qFormat/>
    <w:uiPriority w:val="0"/>
    <w:rPr>
      <w:rFonts w:ascii="Times New Roman" w:hAnsi="Times New Roman" w:eastAsia="宋体"/>
      <w:sz w:val="24"/>
    </w:rPr>
  </w:style>
  <w:style w:type="character" w:customStyle="1" w:styleId="94">
    <w:name w:val="正文（小四） Char"/>
    <w:qFormat/>
    <w:uiPriority w:val="0"/>
    <w:rPr>
      <w:bCs/>
      <w:color w:val="000000"/>
      <w:kern w:val="2"/>
      <w:sz w:val="24"/>
      <w:szCs w:val="32"/>
    </w:rPr>
  </w:style>
  <w:style w:type="paragraph" w:customStyle="1" w:styleId="95">
    <w:name w:val="xl57"/>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b/>
      <w:bCs/>
      <w:sz w:val="20"/>
      <w:szCs w:val="20"/>
    </w:rPr>
  </w:style>
  <w:style w:type="paragraph" w:customStyle="1" w:styleId="96">
    <w:name w:val="表格正文"/>
    <w:basedOn w:val="1"/>
    <w:qFormat/>
    <w:uiPriority w:val="0"/>
    <w:pPr>
      <w:jc w:val="center"/>
    </w:pPr>
    <w:rPr>
      <w:sz w:val="21"/>
    </w:rPr>
  </w:style>
  <w:style w:type="paragraph" w:customStyle="1" w:styleId="97">
    <w:name w:val="List Paragraph"/>
    <w:basedOn w:val="1"/>
    <w:next w:val="1"/>
    <w:qFormat/>
    <w:uiPriority w:val="34"/>
    <w:pPr>
      <w:ind w:firstLine="420" w:firstLineChars="200"/>
    </w:pPr>
  </w:style>
  <w:style w:type="paragraph" w:customStyle="1" w:styleId="98">
    <w:name w:val="Quote"/>
    <w:basedOn w:val="1"/>
    <w:next w:val="1"/>
    <w:link w:val="202"/>
    <w:qFormat/>
    <w:uiPriority w:val="29"/>
    <w:pPr>
      <w:spacing w:before="200"/>
      <w:ind w:left="864" w:right="864"/>
    </w:pPr>
    <w:rPr>
      <w:i/>
      <w:iCs/>
      <w:color w:val="404040" w:themeColor="text1" w:themeTint="BF"/>
      <w14:textFill>
        <w14:solidFill>
          <w14:schemeClr w14:val="tx1">
            <w14:lumMod w14:val="75000"/>
            <w14:lumOff w14:val="25000"/>
          </w14:schemeClr>
        </w14:solidFill>
      </w14:textFill>
    </w:rPr>
  </w:style>
  <w:style w:type="paragraph" w:customStyle="1" w:styleId="99">
    <w:name w:val="J标题二"/>
    <w:next w:val="100"/>
    <w:qFormat/>
    <w:uiPriority w:val="0"/>
    <w:pPr>
      <w:spacing w:after="160" w:line="360" w:lineRule="auto"/>
    </w:pPr>
    <w:rPr>
      <w:rFonts w:ascii="Times New Roman" w:hAnsi="Times New Roman" w:eastAsia="宋体" w:cs="宋体"/>
      <w:b/>
      <w:snapToGrid w:val="0"/>
      <w:sz w:val="21"/>
      <w:szCs w:val="22"/>
      <w:lang w:val="en-US" w:eastAsia="zh-CN" w:bidi="ar-SA"/>
    </w:rPr>
  </w:style>
  <w:style w:type="paragraph" w:customStyle="1" w:styleId="100">
    <w:name w:val="J报告表正文"/>
    <w:qFormat/>
    <w:uiPriority w:val="0"/>
    <w:pPr>
      <w:spacing w:after="160" w:line="360" w:lineRule="auto"/>
      <w:ind w:firstLine="200" w:firstLineChars="200"/>
      <w:jc w:val="both"/>
    </w:pPr>
    <w:rPr>
      <w:rFonts w:ascii="Times New Roman" w:hAnsi="Times New Roman" w:eastAsia="宋体" w:cs="宋体"/>
      <w:snapToGrid w:val="0"/>
      <w:sz w:val="21"/>
      <w:szCs w:val="22"/>
      <w:lang w:val="en-US" w:eastAsia="zh-CN" w:bidi="ar-SA"/>
    </w:rPr>
  </w:style>
  <w:style w:type="paragraph" w:customStyle="1" w:styleId="101">
    <w:name w:val="图表标题"/>
    <w:basedOn w:val="1"/>
    <w:next w:val="1"/>
    <w:qFormat/>
    <w:uiPriority w:val="0"/>
    <w:pPr>
      <w:jc w:val="center"/>
    </w:pPr>
    <w:rPr>
      <w:b/>
    </w:rPr>
  </w:style>
  <w:style w:type="paragraph" w:customStyle="1" w:styleId="102">
    <w:name w:val="4表格标题"/>
    <w:basedOn w:val="103"/>
    <w:next w:val="104"/>
    <w:qFormat/>
    <w:uiPriority w:val="0"/>
    <w:pPr>
      <w:spacing w:before="100" w:beforeAutospacing="1" w:after="100" w:afterAutospacing="1"/>
      <w:jc w:val="center"/>
    </w:pPr>
    <w:rPr>
      <w:rFonts w:cs="宋体"/>
      <w:b/>
      <w:szCs w:val="21"/>
    </w:rPr>
  </w:style>
  <w:style w:type="paragraph" w:customStyle="1" w:styleId="103">
    <w:name w:val="段落"/>
    <w:basedOn w:val="1"/>
    <w:qFormat/>
    <w:uiPriority w:val="0"/>
    <w:pPr>
      <w:adjustRightInd w:val="0"/>
      <w:snapToGrid w:val="0"/>
      <w:spacing w:line="360" w:lineRule="auto"/>
      <w:ind w:firstLine="420" w:firstLineChars="200"/>
    </w:pPr>
    <w:rPr>
      <w:rFonts w:ascii="gbsnu54" w:hAnsi="gbsnu54" w:cs="gbsnu54"/>
      <w:bCs/>
      <w:color w:val="000000"/>
      <w:szCs w:val="16"/>
    </w:rPr>
  </w:style>
  <w:style w:type="paragraph" w:customStyle="1" w:styleId="104">
    <w:name w:val="5段落"/>
    <w:basedOn w:val="1"/>
    <w:qFormat/>
    <w:uiPriority w:val="0"/>
    <w:pPr>
      <w:spacing w:line="360" w:lineRule="auto"/>
      <w:ind w:firstLine="200" w:firstLineChars="200"/>
    </w:pPr>
    <w:rPr>
      <w:szCs w:val="21"/>
    </w:rPr>
  </w:style>
  <w:style w:type="paragraph" w:customStyle="1" w:styleId="105">
    <w:name w:val="表格内容Q1"/>
    <w:basedOn w:val="1"/>
    <w:qFormat/>
    <w:uiPriority w:val="0"/>
    <w:pPr>
      <w:jc w:val="center"/>
    </w:pPr>
    <w:rPr>
      <w:sz w:val="18"/>
      <w:szCs w:val="20"/>
    </w:rPr>
  </w:style>
  <w:style w:type="paragraph" w:customStyle="1" w:styleId="106">
    <w:name w:val="表内文字"/>
    <w:basedOn w:val="1"/>
    <w:qFormat/>
    <w:uiPriority w:val="0"/>
    <w:pPr>
      <w:adjustRightInd w:val="0"/>
      <w:snapToGrid w:val="0"/>
      <w:jc w:val="center"/>
    </w:pPr>
    <w:rPr>
      <w:sz w:val="20"/>
      <w:szCs w:val="20"/>
    </w:rPr>
  </w:style>
  <w:style w:type="paragraph" w:customStyle="1" w:styleId="107">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eastAsia="黑体"/>
    </w:rPr>
  </w:style>
  <w:style w:type="paragraph" w:customStyle="1" w:styleId="108">
    <w:name w:val="正文2"/>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paragraph" w:customStyle="1" w:styleId="109">
    <w:name w:val="_Style 96"/>
    <w:unhideWhenUsed/>
    <w:qFormat/>
    <w:uiPriority w:val="99"/>
    <w:pPr>
      <w:spacing w:after="160" w:line="259" w:lineRule="auto"/>
    </w:pPr>
    <w:rPr>
      <w:rFonts w:ascii="Times New Roman" w:hAnsi="Times New Roman" w:eastAsia="宋体" w:cs="Times New Roman"/>
      <w:kern w:val="2"/>
      <w:sz w:val="24"/>
      <w:szCs w:val="24"/>
      <w:lang w:val="en-US" w:eastAsia="zh-CN" w:bidi="ar-SA"/>
    </w:rPr>
  </w:style>
  <w:style w:type="paragraph" w:customStyle="1" w:styleId="110">
    <w:name w:val="表内容"/>
    <w:qFormat/>
    <w:uiPriority w:val="0"/>
    <w:pPr>
      <w:adjustRightInd w:val="0"/>
      <w:spacing w:after="160" w:line="259" w:lineRule="auto"/>
      <w:jc w:val="center"/>
    </w:pPr>
    <w:rPr>
      <w:rFonts w:ascii="Times New Roman" w:hAnsi="Times New Roman" w:eastAsia="宋体" w:cs="Times New Roman"/>
      <w:kern w:val="2"/>
      <w:sz w:val="21"/>
      <w:szCs w:val="21"/>
      <w:lang w:val="en-US" w:eastAsia="zh-CN" w:bidi="ar-SA"/>
    </w:rPr>
  </w:style>
  <w:style w:type="paragraph" w:customStyle="1" w:styleId="111">
    <w:name w:val="表格内容"/>
    <w:basedOn w:val="112"/>
    <w:next w:val="19"/>
    <w:qFormat/>
    <w:uiPriority w:val="0"/>
    <w:pPr>
      <w:spacing w:line="340" w:lineRule="exact"/>
    </w:pPr>
    <w:rPr>
      <w:iCs/>
      <w:szCs w:val="21"/>
    </w:rPr>
  </w:style>
  <w:style w:type="paragraph" w:customStyle="1" w:styleId="112">
    <w:name w:val="表头（图表题）"/>
    <w:basedOn w:val="1"/>
    <w:next w:val="1"/>
    <w:qFormat/>
    <w:uiPriority w:val="0"/>
    <w:pPr>
      <w:jc w:val="center"/>
    </w:pPr>
    <w:rPr>
      <w:b/>
      <w:szCs w:val="20"/>
    </w:rPr>
  </w:style>
  <w:style w:type="paragraph" w:customStyle="1" w:styleId="113">
    <w:name w:val="图标标题"/>
    <w:basedOn w:val="7"/>
    <w:qFormat/>
    <w:uiPriority w:val="0"/>
    <w:pPr>
      <w:keepNext w:val="0"/>
      <w:spacing w:before="50" w:beforeLines="50" w:line="360" w:lineRule="auto"/>
      <w:jc w:val="center"/>
    </w:pPr>
    <w:rPr>
      <w:szCs w:val="20"/>
    </w:rPr>
  </w:style>
  <w:style w:type="paragraph" w:customStyle="1" w:styleId="114">
    <w:name w:val="6表格"/>
    <w:basedOn w:val="1"/>
    <w:qFormat/>
    <w:uiPriority w:val="0"/>
    <w:pPr>
      <w:jc w:val="center"/>
    </w:pPr>
  </w:style>
  <w:style w:type="paragraph" w:customStyle="1" w:styleId="115">
    <w:name w:val="样式2"/>
    <w:basedOn w:val="23"/>
    <w:next w:val="5"/>
    <w:qFormat/>
    <w:uiPriority w:val="0"/>
    <w:pPr>
      <w:spacing w:line="360" w:lineRule="auto"/>
      <w:ind w:firstLine="482" w:firstLineChars="200"/>
    </w:pPr>
    <w:rPr>
      <w:b/>
      <w:sz w:val="24"/>
    </w:rPr>
  </w:style>
  <w:style w:type="paragraph" w:customStyle="1" w:styleId="116">
    <w:name w:val="1.表格标题CM"/>
    <w:basedOn w:val="1"/>
    <w:qFormat/>
    <w:uiPriority w:val="0"/>
    <w:pPr>
      <w:adjustRightInd w:val="0"/>
      <w:snapToGrid w:val="0"/>
      <w:jc w:val="center"/>
      <w:outlineLvl w:val="6"/>
    </w:pPr>
    <w:rPr>
      <w:b/>
      <w:lang w:val="zh-CN"/>
    </w:rPr>
  </w:style>
  <w:style w:type="paragraph" w:customStyle="1" w:styleId="117">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118">
    <w:name w:val="表格的字"/>
    <w:next w:val="1"/>
    <w:qFormat/>
    <w:uiPriority w:val="0"/>
    <w:pPr>
      <w:spacing w:after="160" w:line="259" w:lineRule="auto"/>
      <w:jc w:val="center"/>
    </w:pPr>
    <w:rPr>
      <w:rFonts w:ascii="Times New Roman" w:hAnsi="Times New Roman" w:eastAsia="宋体" w:cs="Times New Roman"/>
      <w:kern w:val="2"/>
      <w:sz w:val="21"/>
      <w:szCs w:val="21"/>
      <w:lang w:val="en-US" w:eastAsia="zh-CN" w:bidi="ar-SA"/>
    </w:rPr>
  </w:style>
  <w:style w:type="paragraph" w:customStyle="1" w:styleId="119">
    <w:name w:val="表格内文字"/>
    <w:basedOn w:val="1"/>
    <w:qFormat/>
    <w:uiPriority w:val="0"/>
    <w:pPr>
      <w:jc w:val="center"/>
    </w:pPr>
    <w:rPr>
      <w:color w:val="000000"/>
      <w:szCs w:val="21"/>
    </w:rPr>
  </w:style>
  <w:style w:type="paragraph" w:customStyle="1" w:styleId="120">
    <w:name w:val="正文（无网格）"/>
    <w:basedOn w:val="1"/>
    <w:qFormat/>
    <w:uiPriority w:val="0"/>
    <w:pPr>
      <w:adjustRightInd w:val="0"/>
      <w:snapToGrid w:val="0"/>
      <w:spacing w:line="360" w:lineRule="auto"/>
      <w:ind w:firstLine="480" w:firstLineChars="200"/>
    </w:pPr>
    <w:rPr>
      <w:rFonts w:cs="宋体"/>
      <w:szCs w:val="20"/>
    </w:rPr>
  </w:style>
  <w:style w:type="paragraph" w:customStyle="1" w:styleId="121">
    <w:name w:val="3表内文字"/>
    <w:basedOn w:val="1"/>
    <w:qFormat/>
    <w:uiPriority w:val="0"/>
    <w:pPr>
      <w:jc w:val="center"/>
    </w:pPr>
    <w:rPr>
      <w:color w:val="000000"/>
      <w:sz w:val="18"/>
    </w:rPr>
  </w:style>
  <w:style w:type="paragraph" w:customStyle="1" w:styleId="122">
    <w:name w:val="2图标名称"/>
    <w:basedOn w:val="1"/>
    <w:qFormat/>
    <w:uiPriority w:val="0"/>
    <w:pPr>
      <w:autoSpaceDE w:val="0"/>
      <w:autoSpaceDN w:val="0"/>
      <w:adjustRightInd w:val="0"/>
      <w:snapToGrid w:val="0"/>
      <w:ind w:firstLine="420"/>
      <w:jc w:val="center"/>
    </w:pPr>
    <w:rPr>
      <w:rFonts w:ascii="宋体" w:hAnsi="宋体"/>
      <w:b/>
      <w:szCs w:val="21"/>
    </w:rPr>
  </w:style>
  <w:style w:type="paragraph" w:customStyle="1" w:styleId="123">
    <w:name w:val="标题3"/>
    <w:basedOn w:val="1"/>
    <w:qFormat/>
    <w:uiPriority w:val="0"/>
  </w:style>
  <w:style w:type="paragraph" w:customStyle="1" w:styleId="124">
    <w:name w:val="H标题3"/>
    <w:basedOn w:val="1"/>
    <w:qFormat/>
    <w:uiPriority w:val="0"/>
    <w:pPr>
      <w:spacing w:before="120" w:beforeLines="50" w:after="120" w:afterLines="50" w:line="360" w:lineRule="auto"/>
      <w:outlineLvl w:val="2"/>
    </w:pPr>
    <w:rPr>
      <w:b/>
      <w:szCs w:val="20"/>
    </w:rPr>
  </w:style>
  <w:style w:type="paragraph" w:customStyle="1" w:styleId="125">
    <w:name w:val="无间隔1"/>
    <w:qFormat/>
    <w:uiPriority w:val="1"/>
    <w:pPr>
      <w:widowControl w:val="0"/>
      <w:spacing w:after="160" w:line="259" w:lineRule="auto"/>
      <w:ind w:firstLine="200" w:firstLineChars="200"/>
      <w:jc w:val="both"/>
    </w:pPr>
    <w:rPr>
      <w:rFonts w:ascii="Calibri" w:hAnsi="Calibri" w:eastAsia="宋体" w:cs="Calibri"/>
      <w:kern w:val="2"/>
      <w:sz w:val="24"/>
      <w:szCs w:val="24"/>
      <w:lang w:val="en-US" w:eastAsia="zh-CN" w:bidi="ar-SA"/>
    </w:rPr>
  </w:style>
  <w:style w:type="paragraph" w:customStyle="1" w:styleId="126">
    <w:name w:val="金皇-正文"/>
    <w:basedOn w:val="1"/>
    <w:qFormat/>
    <w:uiPriority w:val="0"/>
    <w:pPr>
      <w:spacing w:line="360" w:lineRule="auto"/>
      <w:ind w:firstLine="200" w:firstLineChars="200"/>
    </w:pPr>
  </w:style>
  <w:style w:type="paragraph" w:customStyle="1" w:styleId="127">
    <w:name w:val="2 图表标题"/>
    <w:basedOn w:val="122"/>
    <w:qFormat/>
    <w:uiPriority w:val="0"/>
    <w:pPr>
      <w:ind w:firstLine="0"/>
    </w:pPr>
    <w:rPr>
      <w:rFonts w:ascii="Times New Roman" w:hAnsi="Times New Roman"/>
    </w:rPr>
  </w:style>
  <w:style w:type="paragraph" w:customStyle="1" w:styleId="128">
    <w:name w:val="标题2"/>
    <w:basedOn w:val="12"/>
    <w:qFormat/>
    <w:uiPriority w:val="0"/>
    <w:pPr>
      <w:spacing w:beforeLines="50" w:afterLines="50"/>
      <w:ind w:left="0" w:leftChars="0"/>
    </w:pPr>
    <w:rPr>
      <w:rFonts w:ascii="宋体" w:hAnsi="宋体"/>
      <w:b/>
      <w:sz w:val="28"/>
      <w:szCs w:val="28"/>
    </w:rPr>
  </w:style>
  <w:style w:type="paragraph" w:customStyle="1" w:styleId="129">
    <w:name w:val="H图表标题"/>
    <w:basedOn w:val="1"/>
    <w:qFormat/>
    <w:uiPriority w:val="0"/>
    <w:pPr>
      <w:spacing w:before="120" w:beforeLines="50" w:line="360" w:lineRule="auto"/>
      <w:outlineLvl w:val="3"/>
    </w:pPr>
    <w:rPr>
      <w:b/>
      <w:snapToGrid w:val="0"/>
      <w:szCs w:val="30"/>
    </w:rPr>
  </w:style>
  <w:style w:type="paragraph" w:customStyle="1" w:styleId="130">
    <w:name w:val="自定义标题2"/>
    <w:basedOn w:val="1"/>
    <w:qFormat/>
    <w:uiPriority w:val="0"/>
    <w:pPr>
      <w:spacing w:before="50" w:beforeLines="50" w:after="50" w:afterLines="50" w:line="360" w:lineRule="auto"/>
      <w:ind w:firstLine="480" w:firstLineChars="200"/>
    </w:pPr>
    <w:rPr>
      <w:b/>
      <w:sz w:val="30"/>
      <w:szCs w:val="20"/>
    </w:rPr>
  </w:style>
  <w:style w:type="paragraph" w:customStyle="1" w:styleId="131">
    <w:name w:val="5.正文内容"/>
    <w:basedOn w:val="1"/>
    <w:qFormat/>
    <w:uiPriority w:val="0"/>
    <w:pPr>
      <w:adjustRightInd w:val="0"/>
      <w:snapToGrid w:val="0"/>
    </w:pPr>
    <w:rPr>
      <w:rFonts w:cs="宋体"/>
      <w:szCs w:val="20"/>
    </w:rPr>
  </w:style>
  <w:style w:type="paragraph" w:customStyle="1" w:styleId="132">
    <w:name w:val="5文章(金皇)"/>
    <w:basedOn w:val="1"/>
    <w:qFormat/>
    <w:uiPriority w:val="0"/>
    <w:pPr>
      <w:spacing w:line="360" w:lineRule="auto"/>
      <w:ind w:firstLine="480" w:firstLineChars="200"/>
    </w:pPr>
  </w:style>
  <w:style w:type="paragraph" w:customStyle="1" w:styleId="133">
    <w:name w:val="J报告表大文字"/>
    <w:qFormat/>
    <w:uiPriority w:val="0"/>
    <w:pPr>
      <w:adjustRightInd w:val="0"/>
      <w:snapToGrid w:val="0"/>
      <w:spacing w:after="160" w:line="259" w:lineRule="auto"/>
      <w:jc w:val="center"/>
    </w:pPr>
    <w:rPr>
      <w:rFonts w:ascii="Times New Roman" w:hAnsi="Times New Roman" w:eastAsia="宋体" w:cs="宋体"/>
      <w:color w:val="000000"/>
      <w:kern w:val="2"/>
      <w:sz w:val="21"/>
      <w:szCs w:val="21"/>
      <w:lang w:val="en-US" w:eastAsia="zh-CN" w:bidi="ar-SA"/>
    </w:rPr>
  </w:style>
  <w:style w:type="paragraph" w:customStyle="1" w:styleId="134">
    <w:name w:val="样式 标题 1 + 首行缩进:  0 字符"/>
    <w:basedOn w:val="2"/>
    <w:next w:val="95"/>
    <w:qFormat/>
    <w:uiPriority w:val="99"/>
    <w:pPr>
      <w:spacing w:before="0" w:line="520" w:lineRule="exact"/>
    </w:pPr>
    <w:rPr>
      <w:rFonts w:ascii="Arial" w:hAnsi="Arial" w:cs="宋体"/>
      <w:color w:val="auto"/>
      <w:szCs w:val="20"/>
    </w:rPr>
  </w:style>
  <w:style w:type="paragraph" w:customStyle="1" w:styleId="135">
    <w:name w:val="H标题2"/>
    <w:basedOn w:val="3"/>
    <w:qFormat/>
    <w:uiPriority w:val="0"/>
    <w:pPr>
      <w:keepNext w:val="0"/>
      <w:keepLines w:val="0"/>
      <w:tabs>
        <w:tab w:val="left" w:pos="5400"/>
      </w:tabs>
      <w:spacing w:before="120" w:after="120"/>
    </w:pPr>
  </w:style>
  <w:style w:type="paragraph" w:customStyle="1" w:styleId="136">
    <w:name w:val="3级标题"/>
    <w:basedOn w:val="103"/>
    <w:qFormat/>
    <w:uiPriority w:val="0"/>
    <w:pPr>
      <w:numPr>
        <w:ilvl w:val="2"/>
        <w:numId w:val="1"/>
      </w:numPr>
      <w:adjustRightInd/>
      <w:snapToGrid/>
      <w:ind w:firstLineChars="0"/>
    </w:pPr>
    <w:rPr>
      <w:b/>
    </w:rPr>
  </w:style>
  <w:style w:type="paragraph" w:customStyle="1" w:styleId="137">
    <w:name w:val="6表格后段落"/>
    <w:basedOn w:val="104"/>
    <w:qFormat/>
    <w:uiPriority w:val="0"/>
    <w:pPr>
      <w:spacing w:beforeLines="50" w:after="100" w:afterAutospacing="1"/>
    </w:pPr>
    <w:rPr>
      <w:rFonts w:cs="宋体"/>
    </w:rPr>
  </w:style>
  <w:style w:type="paragraph" w:customStyle="1" w:styleId="138">
    <w:name w:val="Table Paragraph"/>
    <w:basedOn w:val="1"/>
    <w:qFormat/>
    <w:uiPriority w:val="0"/>
    <w:rPr>
      <w:rFonts w:ascii="Calibri" w:hAnsi="Calibri"/>
    </w:rPr>
  </w:style>
  <w:style w:type="paragraph" w:customStyle="1" w:styleId="139">
    <w:name w:val="2表内正文CM"/>
    <w:basedOn w:val="1"/>
    <w:next w:val="1"/>
    <w:qFormat/>
    <w:uiPriority w:val="0"/>
    <w:pPr>
      <w:adjustRightInd w:val="0"/>
      <w:snapToGrid w:val="0"/>
      <w:jc w:val="center"/>
    </w:pPr>
    <w:rPr>
      <w:rFonts w:cs="宋体"/>
      <w:szCs w:val="21"/>
    </w:rPr>
  </w:style>
  <w:style w:type="paragraph" w:customStyle="1" w:styleId="140">
    <w:name w:val="表格标题CCW"/>
    <w:basedOn w:val="1"/>
    <w:next w:val="1"/>
    <w:qFormat/>
    <w:uiPriority w:val="0"/>
    <w:pPr>
      <w:spacing w:line="360" w:lineRule="auto"/>
      <w:jc w:val="center"/>
      <w:outlineLvl w:val="4"/>
    </w:pPr>
    <w:rPr>
      <w:b/>
    </w:rPr>
  </w:style>
  <w:style w:type="paragraph" w:customStyle="1" w:styleId="141">
    <w:name w:val="普通(网站)2"/>
    <w:basedOn w:val="1"/>
    <w:qFormat/>
    <w:uiPriority w:val="0"/>
    <w:pPr>
      <w:spacing w:before="100" w:beforeAutospacing="1" w:after="100" w:afterAutospacing="1"/>
    </w:pPr>
    <w:rPr>
      <w:rFonts w:ascii="宋体" w:hAnsi="宋体"/>
      <w:szCs w:val="20"/>
    </w:rPr>
  </w:style>
  <w:style w:type="paragraph" w:customStyle="1" w:styleId="142">
    <w:name w:val="正文（小四）"/>
    <w:qFormat/>
    <w:uiPriority w:val="0"/>
    <w:pPr>
      <w:spacing w:after="160"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43">
    <w:name w:val="CM11"/>
    <w:basedOn w:val="1"/>
    <w:next w:val="1"/>
    <w:qFormat/>
    <w:uiPriority w:val="0"/>
    <w:pPr>
      <w:autoSpaceDE w:val="0"/>
      <w:autoSpaceDN w:val="0"/>
      <w:adjustRightInd w:val="0"/>
      <w:spacing w:line="520" w:lineRule="atLeast"/>
    </w:pPr>
    <w:rPr>
      <w:rFonts w:ascii="宋体"/>
    </w:rPr>
  </w:style>
  <w:style w:type="paragraph" w:customStyle="1" w:styleId="144">
    <w:name w:val="常用"/>
    <w:basedOn w:val="1"/>
    <w:qFormat/>
    <w:uiPriority w:val="0"/>
    <w:pPr>
      <w:spacing w:line="360" w:lineRule="auto"/>
      <w:ind w:firstLine="200" w:firstLineChars="200"/>
    </w:pPr>
    <w:rPr>
      <w:rFonts w:ascii="宋体" w:hAnsi="宋体"/>
      <w:szCs w:val="28"/>
    </w:rPr>
  </w:style>
  <w:style w:type="paragraph" w:customStyle="1" w:styleId="145">
    <w:name w:val="表格内容Q"/>
    <w:basedOn w:val="1"/>
    <w:qFormat/>
    <w:uiPriority w:val="0"/>
    <w:pPr>
      <w:jc w:val="center"/>
    </w:pPr>
    <w:rPr>
      <w:szCs w:val="21"/>
    </w:rPr>
  </w:style>
  <w:style w:type="paragraph" w:customStyle="1" w:styleId="146">
    <w:name w:val="正文1"/>
    <w:basedOn w:val="20"/>
    <w:qFormat/>
    <w:uiPriority w:val="0"/>
    <w:pPr>
      <w:ind w:firstLine="200" w:firstLineChars="200"/>
    </w:pPr>
    <w:rPr>
      <w:rFonts w:cs="宋体"/>
    </w:rPr>
  </w:style>
  <w:style w:type="paragraph" w:customStyle="1" w:styleId="147">
    <w:name w:val="正文(首行缩进)"/>
    <w:basedOn w:val="1"/>
    <w:qFormat/>
    <w:uiPriority w:val="0"/>
    <w:pPr>
      <w:adjustRightInd w:val="0"/>
      <w:snapToGrid w:val="0"/>
    </w:pPr>
    <w:rPr>
      <w:rFonts w:ascii="宋体" w:hAnsi="宋体" w:cs="宋体"/>
      <w:snapToGrid w:val="0"/>
    </w:rPr>
  </w:style>
  <w:style w:type="paragraph" w:customStyle="1" w:styleId="148">
    <w:name w:val="表正文"/>
    <w:basedOn w:val="1"/>
    <w:qFormat/>
    <w:uiPriority w:val="0"/>
    <w:pPr>
      <w:spacing w:line="360" w:lineRule="auto"/>
      <w:ind w:firstLine="200" w:firstLineChars="200"/>
    </w:pPr>
  </w:style>
  <w:style w:type="paragraph" w:customStyle="1" w:styleId="149">
    <w:name w:val="Default1"/>
    <w:qFormat/>
    <w:uiPriority w:val="0"/>
    <w:pPr>
      <w:widowControl w:val="0"/>
      <w:autoSpaceDE w:val="0"/>
      <w:autoSpaceDN w:val="0"/>
      <w:adjustRightInd w:val="0"/>
      <w:spacing w:after="160" w:line="259" w:lineRule="auto"/>
    </w:pPr>
    <w:rPr>
      <w:rFonts w:ascii="宋体" w:hAnsi="Times New Roman" w:eastAsia="宋体" w:cs="宋体"/>
      <w:color w:val="000000"/>
      <w:sz w:val="24"/>
      <w:szCs w:val="24"/>
      <w:lang w:val="en-US" w:eastAsia="zh-CN" w:bidi="ar-SA"/>
    </w:rPr>
  </w:style>
  <w:style w:type="paragraph" w:customStyle="1" w:styleId="150">
    <w:name w:val="足乐正文"/>
    <w:basedOn w:val="1"/>
    <w:qFormat/>
    <w:uiPriority w:val="0"/>
    <w:pPr>
      <w:spacing w:line="360" w:lineRule="auto"/>
      <w:ind w:firstLine="720" w:firstLineChars="200"/>
    </w:pPr>
    <w:rPr>
      <w:sz w:val="20"/>
      <w:szCs w:val="20"/>
    </w:rPr>
  </w:style>
  <w:style w:type="paragraph" w:customStyle="1" w:styleId="151">
    <w:name w:val="表格内容CCW"/>
    <w:basedOn w:val="1"/>
    <w:qFormat/>
    <w:uiPriority w:val="0"/>
    <w:pPr>
      <w:jc w:val="center"/>
    </w:pPr>
    <w:rPr>
      <w:szCs w:val="21"/>
    </w:rPr>
  </w:style>
  <w:style w:type="paragraph" w:customStyle="1" w:styleId="152">
    <w:name w:val="足乐表格"/>
    <w:basedOn w:val="1"/>
    <w:qFormat/>
    <w:uiPriority w:val="0"/>
    <w:pPr>
      <w:adjustRightInd w:val="0"/>
      <w:snapToGrid w:val="0"/>
      <w:jc w:val="center"/>
    </w:pPr>
    <w:rPr>
      <w:sz w:val="21"/>
    </w:rPr>
  </w:style>
  <w:style w:type="paragraph" w:customStyle="1" w:styleId="153">
    <w:name w:val="文本"/>
    <w:basedOn w:val="1"/>
    <w:qFormat/>
    <w:uiPriority w:val="0"/>
    <w:pPr>
      <w:spacing w:line="360" w:lineRule="auto"/>
      <w:ind w:firstLine="200" w:firstLineChars="200"/>
    </w:pPr>
    <w:rPr>
      <w:rFonts w:cs="宋体"/>
    </w:rPr>
  </w:style>
  <w:style w:type="paragraph" w:customStyle="1" w:styleId="154">
    <w:name w:val="J标题一"/>
    <w:next w:val="100"/>
    <w:qFormat/>
    <w:uiPriority w:val="0"/>
    <w:pPr>
      <w:spacing w:after="160" w:line="360" w:lineRule="auto"/>
      <w:outlineLvl w:val="1"/>
    </w:pPr>
    <w:rPr>
      <w:rFonts w:ascii="Times New Roman" w:hAnsi="Times New Roman" w:eastAsia="宋体" w:cs="Times New Roman"/>
      <w:b/>
      <w:kern w:val="2"/>
      <w:sz w:val="24"/>
      <w:szCs w:val="22"/>
      <w:lang w:val="en-US" w:eastAsia="zh-CN" w:bidi="ar-SA"/>
    </w:rPr>
  </w:style>
  <w:style w:type="paragraph" w:customStyle="1" w:styleId="155">
    <w:name w:val="表格名称1"/>
    <w:basedOn w:val="1"/>
    <w:qFormat/>
    <w:uiPriority w:val="0"/>
    <w:pPr>
      <w:adjustRightInd w:val="0"/>
      <w:snapToGrid w:val="0"/>
      <w:jc w:val="center"/>
    </w:pPr>
    <w:rPr>
      <w:b/>
      <w:sz w:val="21"/>
    </w:rPr>
  </w:style>
  <w:style w:type="paragraph" w:customStyle="1" w:styleId="156">
    <w:name w:val="H图表内容"/>
    <w:basedOn w:val="1"/>
    <w:qFormat/>
    <w:uiPriority w:val="0"/>
    <w:rPr>
      <w:szCs w:val="20"/>
    </w:rPr>
  </w:style>
  <w:style w:type="paragraph" w:customStyle="1" w:styleId="157">
    <w:name w:val="7表格内容"/>
    <w:basedOn w:val="104"/>
    <w:qFormat/>
    <w:uiPriority w:val="0"/>
    <w:pPr>
      <w:spacing w:line="240" w:lineRule="auto"/>
      <w:ind w:firstLine="0" w:firstLineChars="0"/>
      <w:jc w:val="center"/>
    </w:pPr>
  </w:style>
  <w:style w:type="paragraph" w:customStyle="1" w:styleId="158">
    <w:name w:val="正文_10"/>
    <w:qFormat/>
    <w:uiPriority w:val="0"/>
    <w:pPr>
      <w:widowControl w:val="0"/>
      <w:spacing w:after="160" w:line="259" w:lineRule="auto"/>
      <w:jc w:val="both"/>
    </w:pPr>
    <w:rPr>
      <w:rFonts w:ascii="Times New Roman" w:hAnsi="Times New Roman" w:eastAsia="宋体" w:cs="Times New Roman"/>
      <w:kern w:val="2"/>
      <w:sz w:val="21"/>
      <w:szCs w:val="22"/>
      <w:lang w:val="en-US" w:eastAsia="zh-CN" w:bidi="ar-SA"/>
    </w:rPr>
  </w:style>
  <w:style w:type="paragraph" w:customStyle="1" w:styleId="159">
    <w:name w:val="No Spacing"/>
    <w:basedOn w:val="1"/>
    <w:qFormat/>
    <w:uiPriority w:val="1"/>
  </w:style>
  <w:style w:type="paragraph" w:customStyle="1" w:styleId="160">
    <w:name w:val="环评 表格"/>
    <w:basedOn w:val="125"/>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161">
    <w:name w:val="表格标题1111111"/>
    <w:basedOn w:val="1"/>
    <w:qFormat/>
    <w:uiPriority w:val="0"/>
    <w:pPr>
      <w:adjustRightInd w:val="0"/>
      <w:snapToGrid w:val="0"/>
      <w:spacing w:line="360" w:lineRule="auto"/>
      <w:jc w:val="center"/>
      <w:outlineLvl w:val="5"/>
    </w:pPr>
    <w:rPr>
      <w:rFonts w:eastAsia="黑体"/>
      <w:b/>
    </w:rPr>
  </w:style>
  <w:style w:type="paragraph" w:customStyle="1" w:styleId="162">
    <w:name w:val="正文内容"/>
    <w:basedOn w:val="1"/>
    <w:qFormat/>
    <w:uiPriority w:val="0"/>
    <w:pPr>
      <w:adjustRightInd w:val="0"/>
      <w:snapToGrid w:val="0"/>
      <w:spacing w:line="360" w:lineRule="auto"/>
      <w:ind w:firstLine="200" w:firstLineChars="200"/>
    </w:pPr>
    <w:rPr>
      <w:szCs w:val="20"/>
    </w:rPr>
  </w:style>
  <w:style w:type="paragraph" w:customStyle="1" w:styleId="163">
    <w:name w:val="表头"/>
    <w:basedOn w:val="1"/>
    <w:qFormat/>
    <w:uiPriority w:val="0"/>
    <w:pPr>
      <w:jc w:val="center"/>
    </w:pPr>
    <w:rPr>
      <w:b/>
      <w:szCs w:val="21"/>
    </w:rPr>
  </w:style>
  <w:style w:type="paragraph" w:customStyle="1" w:styleId="164">
    <w:name w:val="0.正文内容"/>
    <w:basedOn w:val="1"/>
    <w:qFormat/>
    <w:uiPriority w:val="0"/>
    <w:pPr>
      <w:adjustRightInd w:val="0"/>
      <w:snapToGrid w:val="0"/>
    </w:pPr>
    <w:rPr>
      <w:rFonts w:ascii="TimesNewRoman" w:hAnsi="TimesNewRoman" w:cs="宋体"/>
      <w:szCs w:val="20"/>
    </w:rPr>
  </w:style>
  <w:style w:type="paragraph" w:customStyle="1" w:styleId="165">
    <w:name w:val="Char Char Char Char Char Char Char Char Char1 Char"/>
    <w:basedOn w:val="1"/>
    <w:semiHidden/>
    <w:qFormat/>
    <w:uiPriority w:val="0"/>
    <w:rPr>
      <w:rFonts w:ascii="宋体" w:hAnsi="宋体" w:cs="Courier New"/>
      <w:sz w:val="32"/>
      <w:szCs w:val="32"/>
    </w:rPr>
  </w:style>
  <w:style w:type="paragraph" w:customStyle="1" w:styleId="166">
    <w:name w:val="表格标题"/>
    <w:basedOn w:val="1"/>
    <w:qFormat/>
    <w:uiPriority w:val="0"/>
    <w:pPr>
      <w:adjustRightInd w:val="0"/>
      <w:snapToGrid w:val="0"/>
      <w:spacing w:beforeLines="50" w:line="360" w:lineRule="auto"/>
      <w:jc w:val="center"/>
    </w:pPr>
    <w:rPr>
      <w:rFonts w:eastAsia="黑体"/>
      <w:b/>
    </w:rPr>
  </w:style>
  <w:style w:type="table" w:customStyle="1" w:styleId="167">
    <w:name w:val="表格样式刘"/>
    <w:basedOn w:val="37"/>
    <w:qFormat/>
    <w:uiPriority w:val="99"/>
    <w:tblPr>
      <w:tblBorders>
        <w:top w:val="single" w:color="auto" w:sz="12" w:space="0"/>
        <w:bottom w:val="single" w:color="auto" w:sz="12" w:space="0"/>
        <w:insideH w:val="single" w:color="auto" w:sz="4" w:space="0"/>
        <w:insideV w:val="single" w:color="auto" w:sz="4" w:space="0"/>
      </w:tblBorders>
    </w:tblPr>
  </w:style>
  <w:style w:type="table" w:customStyle="1" w:styleId="168">
    <w:name w:val="表格样式"/>
    <w:basedOn w:val="37"/>
    <w:qFormat/>
    <w:uiPriority w:val="0"/>
    <w:pPr>
      <w:jc w:val="center"/>
    </w:pPr>
    <w:rPr>
      <w:sz w:val="21"/>
      <w:szCs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169">
    <w:name w:val="网格型7"/>
    <w:basedOn w:val="37"/>
    <w:qFormat/>
    <w:uiPriority w:val="0"/>
    <w:pPr>
      <w:widowControl w:val="0"/>
      <w:jc w:val="both"/>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170">
    <w:name w:val="标题111"/>
    <w:basedOn w:val="29"/>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171">
    <w:name w:val="111正文的格式"/>
    <w:basedOn w:val="1"/>
    <w:qFormat/>
    <w:uiPriority w:val="0"/>
    <w:pPr>
      <w:adjustRightInd w:val="0"/>
      <w:snapToGrid w:val="0"/>
      <w:spacing w:line="360" w:lineRule="auto"/>
      <w:ind w:firstLine="200" w:firstLineChars="200"/>
    </w:pPr>
    <w:rPr>
      <w:color w:val="0000FF"/>
    </w:rPr>
  </w:style>
  <w:style w:type="paragraph" w:customStyle="1" w:styleId="172">
    <w:name w:val="Table Text"/>
    <w:basedOn w:val="1"/>
    <w:semiHidden/>
    <w:qFormat/>
    <w:uiPriority w:val="0"/>
    <w:rPr>
      <w:rFonts w:ascii="宋体" w:hAnsi="宋体" w:cs="宋体"/>
      <w:lang w:eastAsia="en-US"/>
    </w:rPr>
  </w:style>
  <w:style w:type="table" w:customStyle="1" w:styleId="173">
    <w:name w:val="Table Normal"/>
    <w:unhideWhenUsed/>
    <w:qFormat/>
    <w:uiPriority w:val="0"/>
    <w:tblPr>
      <w:tblCellMar>
        <w:top w:w="0" w:type="dxa"/>
        <w:left w:w="0" w:type="dxa"/>
        <w:bottom w:w="0" w:type="dxa"/>
        <w:right w:w="0" w:type="dxa"/>
      </w:tblCellMar>
    </w:tblPr>
  </w:style>
  <w:style w:type="paragraph" w:customStyle="1" w:styleId="174">
    <w:name w:val="11111表土"/>
    <w:basedOn w:val="1"/>
    <w:qFormat/>
    <w:uiPriority w:val="0"/>
    <w:pPr>
      <w:adjustRightInd w:val="0"/>
      <w:snapToGrid w:val="0"/>
      <w:jc w:val="center"/>
    </w:pPr>
    <w:rPr>
      <w:rFonts w:eastAsia="黑体"/>
    </w:rPr>
  </w:style>
  <w:style w:type="paragraph" w:customStyle="1" w:styleId="175">
    <w:name w:val="11正文"/>
    <w:basedOn w:val="176"/>
    <w:qFormat/>
    <w:uiPriority w:val="0"/>
  </w:style>
  <w:style w:type="paragraph" w:customStyle="1" w:styleId="176">
    <w:name w:val="正文111"/>
    <w:basedOn w:val="177"/>
    <w:qFormat/>
    <w:uiPriority w:val="0"/>
    <w:pPr>
      <w:ind w:firstLine="480"/>
    </w:pPr>
  </w:style>
  <w:style w:type="paragraph" w:customStyle="1" w:styleId="177">
    <w:name w:val="正文的格式52"/>
    <w:basedOn w:val="1"/>
    <w:qFormat/>
    <w:uiPriority w:val="0"/>
    <w:pPr>
      <w:spacing w:line="360" w:lineRule="auto"/>
      <w:ind w:firstLine="200" w:firstLineChars="200"/>
    </w:pPr>
    <w:rPr>
      <w:szCs w:val="20"/>
    </w:rPr>
  </w:style>
  <w:style w:type="paragraph" w:customStyle="1" w:styleId="178">
    <w:name w:val="111表头"/>
    <w:basedOn w:val="179"/>
    <w:qFormat/>
    <w:uiPriority w:val="0"/>
    <w:pPr>
      <w:adjustRightInd w:val="0"/>
      <w:snapToGrid w:val="0"/>
    </w:pPr>
  </w:style>
  <w:style w:type="paragraph" w:customStyle="1" w:styleId="179">
    <w:name w:val="表头 ylp"/>
    <w:basedOn w:val="1"/>
    <w:qFormat/>
    <w:uiPriority w:val="0"/>
    <w:pPr>
      <w:jc w:val="center"/>
    </w:pPr>
    <w:rPr>
      <w:rFonts w:eastAsia="黑体"/>
      <w:color w:val="0000FF"/>
      <w:lang w:bidi="he-IL"/>
    </w:rPr>
  </w:style>
  <w:style w:type="paragraph" w:customStyle="1" w:styleId="180">
    <w:name w:val="111表格的格式"/>
    <w:basedOn w:val="1"/>
    <w:qFormat/>
    <w:uiPriority w:val="0"/>
    <w:pPr>
      <w:adjustRightInd w:val="0"/>
      <w:snapToGrid w:val="0"/>
      <w:jc w:val="center"/>
    </w:pPr>
  </w:style>
  <w:style w:type="paragraph" w:customStyle="1" w:styleId="181">
    <w:name w:val="44标题444"/>
    <w:basedOn w:val="1"/>
    <w:qFormat/>
    <w:uiPriority w:val="0"/>
    <w:pPr>
      <w:adjustRightInd w:val="0"/>
      <w:snapToGrid w:val="0"/>
      <w:spacing w:line="360" w:lineRule="auto"/>
      <w:outlineLvl w:val="3"/>
    </w:pPr>
    <w:rPr>
      <w:rFonts w:eastAsia="黑体" w:cs="宋体"/>
      <w:bCs/>
      <w:spacing w:val="-10"/>
      <w:szCs w:val="21"/>
    </w:rPr>
  </w:style>
  <w:style w:type="paragraph" w:customStyle="1" w:styleId="182">
    <w:name w:val="22表格"/>
    <w:basedOn w:val="183"/>
    <w:qFormat/>
    <w:uiPriority w:val="0"/>
    <w:pPr>
      <w:adjustRightInd w:val="0"/>
      <w:snapToGrid w:val="0"/>
      <w:textAlignment w:val="center"/>
    </w:pPr>
    <w:rPr>
      <w:rFonts w:eastAsia="宋体"/>
      <w:color w:val="000000"/>
    </w:rPr>
  </w:style>
  <w:style w:type="paragraph" w:customStyle="1" w:styleId="183">
    <w:name w:val="表表表表"/>
    <w:basedOn w:val="184"/>
    <w:qFormat/>
    <w:uiPriority w:val="0"/>
    <w:rPr>
      <w:rFonts w:eastAsia="方正楷体简体"/>
    </w:rPr>
  </w:style>
  <w:style w:type="paragraph" w:customStyle="1" w:styleId="184">
    <w:name w:val="表格文字"/>
    <w:basedOn w:val="159"/>
    <w:next w:val="1"/>
    <w:qFormat/>
    <w:uiPriority w:val="0"/>
    <w:pPr>
      <w:spacing w:before="60" w:after="60" w:line="240" w:lineRule="atLeast"/>
      <w:jc w:val="center"/>
    </w:pPr>
  </w:style>
  <w:style w:type="paragraph" w:customStyle="1" w:styleId="185">
    <w:name w:val="0正文"/>
    <w:unhideWhenUsed/>
    <w:qFormat/>
    <w:uiPriority w:val="0"/>
    <w:pPr>
      <w:widowControl w:val="0"/>
      <w:spacing w:after="160" w:line="360" w:lineRule="auto"/>
      <w:ind w:firstLine="720" w:firstLineChars="200"/>
    </w:pPr>
    <w:rPr>
      <w:rFonts w:ascii="Times New Roman" w:hAnsi="Times New Roman" w:eastAsia="宋体" w:cs="Times New Roman"/>
      <w:sz w:val="24"/>
      <w:szCs w:val="22"/>
      <w:lang w:val="en-US" w:eastAsia="zh-CN" w:bidi="ar-SA"/>
    </w:rPr>
  </w:style>
  <w:style w:type="paragraph" w:customStyle="1" w:styleId="186">
    <w:name w:val="【表格文字】"/>
    <w:basedOn w:val="1"/>
    <w:next w:val="1"/>
    <w:qFormat/>
    <w:uiPriority w:val="0"/>
    <w:pPr>
      <w:adjustRightInd w:val="0"/>
      <w:snapToGrid w:val="0"/>
      <w:jc w:val="center"/>
    </w:pPr>
  </w:style>
  <w:style w:type="paragraph" w:customStyle="1" w:styleId="187">
    <w:name w:val="111zhengwen"/>
    <w:basedOn w:val="1"/>
    <w:qFormat/>
    <w:uiPriority w:val="0"/>
    <w:pPr>
      <w:adjustRightInd w:val="0"/>
      <w:snapToGrid w:val="0"/>
      <w:spacing w:line="360" w:lineRule="auto"/>
      <w:ind w:firstLine="200" w:firstLineChars="200"/>
    </w:pPr>
    <w:rPr>
      <w:szCs w:val="20"/>
    </w:rPr>
  </w:style>
  <w:style w:type="paragraph" w:customStyle="1" w:styleId="188">
    <w:name w:val="5文章(治) + 黑色"/>
    <w:basedOn w:val="189"/>
    <w:qFormat/>
    <w:uiPriority w:val="0"/>
    <w:pPr>
      <w:ind w:firstLine="560"/>
    </w:pPr>
    <w:rPr>
      <w:rFonts w:ascii="Arial" w:hAnsi="Arial" w:cs="Tahoma"/>
      <w:snapToGrid w:val="0"/>
      <w:color w:val="000000"/>
      <w:szCs w:val="21"/>
    </w:rPr>
  </w:style>
  <w:style w:type="paragraph" w:customStyle="1" w:styleId="189">
    <w:name w:val="5文章(治)"/>
    <w:basedOn w:val="1"/>
    <w:qFormat/>
    <w:uiPriority w:val="0"/>
    <w:pPr>
      <w:spacing w:line="360" w:lineRule="auto"/>
      <w:ind w:firstLine="561"/>
    </w:pPr>
    <w:rPr>
      <w:rFonts w:ascii="Calibri" w:hAnsi="Calibri" w:cs="黑体"/>
    </w:rPr>
  </w:style>
  <w:style w:type="paragraph" w:customStyle="1" w:styleId="190">
    <w:name w:val="WPSOffice手动目录 1"/>
    <w:qFormat/>
    <w:uiPriority w:val="0"/>
    <w:pPr>
      <w:spacing w:after="160" w:line="259" w:lineRule="auto"/>
    </w:pPr>
    <w:rPr>
      <w:rFonts w:ascii="Times New Roman" w:hAnsi="Times New Roman" w:eastAsia="宋体" w:cs="Times New Roman"/>
      <w:sz w:val="22"/>
      <w:szCs w:val="22"/>
      <w:lang w:val="en-US" w:eastAsia="zh-CN" w:bidi="ar-SA"/>
    </w:rPr>
  </w:style>
  <w:style w:type="paragraph" w:customStyle="1" w:styleId="191">
    <w:name w:val="WPSOffice手动目录 2"/>
    <w:qFormat/>
    <w:uiPriority w:val="0"/>
    <w:pPr>
      <w:spacing w:after="160" w:line="259" w:lineRule="auto"/>
      <w:ind w:left="200" w:leftChars="200"/>
    </w:pPr>
    <w:rPr>
      <w:rFonts w:ascii="Times New Roman" w:hAnsi="Times New Roman" w:eastAsia="宋体" w:cs="Times New Roman"/>
      <w:sz w:val="22"/>
      <w:szCs w:val="22"/>
      <w:lang w:val="en-US" w:eastAsia="zh-CN" w:bidi="ar-SA"/>
    </w:rPr>
  </w:style>
  <w:style w:type="paragraph" w:customStyle="1" w:styleId="192">
    <w:name w:val="111正文"/>
    <w:basedOn w:val="1"/>
    <w:qFormat/>
    <w:uiPriority w:val="0"/>
    <w:pPr>
      <w:tabs>
        <w:tab w:val="left" w:pos="7276"/>
      </w:tabs>
      <w:adjustRightInd w:val="0"/>
      <w:snapToGrid w:val="0"/>
      <w:spacing w:line="360" w:lineRule="auto"/>
      <w:ind w:firstLine="480" w:firstLineChars="200"/>
    </w:pPr>
    <w:rPr>
      <w:color w:val="C00000"/>
      <w:szCs w:val="32"/>
    </w:rPr>
  </w:style>
  <w:style w:type="paragraph" w:customStyle="1" w:styleId="193">
    <w:name w:val="彪哥文本"/>
    <w:basedOn w:val="1"/>
    <w:next w:val="1"/>
    <w:qFormat/>
    <w:uiPriority w:val="0"/>
    <w:pPr>
      <w:adjustRightInd w:val="0"/>
      <w:snapToGrid w:val="0"/>
      <w:spacing w:before="10" w:beforeLines="10" w:after="10" w:afterLines="10"/>
      <w:jc w:val="center"/>
    </w:pPr>
    <w:rPr>
      <w:szCs w:val="20"/>
    </w:rPr>
  </w:style>
  <w:style w:type="character" w:customStyle="1" w:styleId="194">
    <w:name w:val="标题 4 字符"/>
    <w:basedOn w:val="39"/>
    <w:link w:val="5"/>
    <w:qFormat/>
    <w:uiPriority w:val="9"/>
    <w:rPr>
      <w:rFonts w:asciiTheme="majorHAnsi" w:hAnsiTheme="majorHAnsi" w:eastAsiaTheme="majorEastAsia" w:cstheme="majorBidi"/>
      <w:i/>
      <w:iCs/>
      <w:color w:val="376092" w:themeColor="accent1" w:themeShade="BF"/>
    </w:rPr>
  </w:style>
  <w:style w:type="character" w:customStyle="1" w:styleId="195">
    <w:name w:val="标题 5 字符"/>
    <w:basedOn w:val="39"/>
    <w:link w:val="6"/>
    <w:semiHidden/>
    <w:qFormat/>
    <w:uiPriority w:val="9"/>
    <w:rPr>
      <w:rFonts w:asciiTheme="majorHAnsi" w:hAnsiTheme="majorHAnsi" w:eastAsiaTheme="majorEastAsia" w:cstheme="majorBidi"/>
      <w:color w:val="376092" w:themeColor="accent1" w:themeShade="BF"/>
    </w:rPr>
  </w:style>
  <w:style w:type="character" w:customStyle="1" w:styleId="196">
    <w:name w:val="标题 6 字符"/>
    <w:basedOn w:val="39"/>
    <w:link w:val="7"/>
    <w:qFormat/>
    <w:uiPriority w:val="9"/>
    <w:rPr>
      <w:rFonts w:asciiTheme="majorHAnsi" w:hAnsiTheme="majorHAnsi" w:eastAsiaTheme="majorEastAsia" w:cstheme="majorBidi"/>
      <w:color w:val="254061" w:themeColor="accent1" w:themeShade="80"/>
    </w:rPr>
  </w:style>
  <w:style w:type="character" w:customStyle="1" w:styleId="197">
    <w:name w:val="标题 7 字符"/>
    <w:basedOn w:val="39"/>
    <w:link w:val="8"/>
    <w:semiHidden/>
    <w:qFormat/>
    <w:uiPriority w:val="9"/>
    <w:rPr>
      <w:rFonts w:asciiTheme="majorHAnsi" w:hAnsiTheme="majorHAnsi" w:eastAsiaTheme="majorEastAsia" w:cstheme="majorBidi"/>
      <w:i/>
      <w:iCs/>
      <w:color w:val="254061" w:themeColor="accent1" w:themeShade="80"/>
    </w:rPr>
  </w:style>
  <w:style w:type="character" w:customStyle="1" w:styleId="198">
    <w:name w:val="标题 8 字符"/>
    <w:basedOn w:val="39"/>
    <w:link w:val="9"/>
    <w:semiHidden/>
    <w:qFormat/>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199">
    <w:name w:val="标题 9 字符"/>
    <w:basedOn w:val="39"/>
    <w:link w:val="10"/>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200">
    <w:name w:val="标题 字符"/>
    <w:basedOn w:val="39"/>
    <w:link w:val="35"/>
    <w:qFormat/>
    <w:uiPriority w:val="10"/>
    <w:rPr>
      <w:rFonts w:asciiTheme="majorHAnsi" w:hAnsiTheme="majorHAnsi" w:eastAsiaTheme="majorEastAsia" w:cstheme="majorBidi"/>
      <w:spacing w:val="-10"/>
      <w:sz w:val="56"/>
      <w:szCs w:val="56"/>
    </w:rPr>
  </w:style>
  <w:style w:type="character" w:customStyle="1" w:styleId="201">
    <w:name w:val="副标题 字符"/>
    <w:basedOn w:val="39"/>
    <w:link w:val="33"/>
    <w:qFormat/>
    <w:uiPriority w:val="11"/>
    <w:rPr>
      <w:color w:val="595959" w:themeColor="text1" w:themeTint="A6"/>
      <w:spacing w:val="15"/>
      <w14:textFill>
        <w14:solidFill>
          <w14:schemeClr w14:val="tx1">
            <w14:lumMod w14:val="65000"/>
            <w14:lumOff w14:val="35000"/>
          </w14:schemeClr>
        </w14:solidFill>
      </w14:textFill>
    </w:rPr>
  </w:style>
  <w:style w:type="character" w:customStyle="1" w:styleId="202">
    <w:name w:val="引用 字符"/>
    <w:basedOn w:val="39"/>
    <w:link w:val="98"/>
    <w:qFormat/>
    <w:uiPriority w:val="29"/>
    <w:rPr>
      <w:i/>
      <w:iCs/>
      <w:color w:val="404040" w:themeColor="text1" w:themeTint="BF"/>
      <w14:textFill>
        <w14:solidFill>
          <w14:schemeClr w14:val="tx1">
            <w14:lumMod w14:val="75000"/>
            <w14:lumOff w14:val="25000"/>
          </w14:schemeClr>
        </w14:solidFill>
      </w14:textFill>
    </w:rPr>
  </w:style>
  <w:style w:type="paragraph" w:customStyle="1" w:styleId="203">
    <w:name w:val="Intense Quote"/>
    <w:basedOn w:val="1"/>
    <w:next w:val="1"/>
    <w:link w:val="20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204">
    <w:name w:val="明显引用 字符"/>
    <w:basedOn w:val="39"/>
    <w:link w:val="203"/>
    <w:qFormat/>
    <w:uiPriority w:val="30"/>
    <w:rPr>
      <w:i/>
      <w:iCs/>
      <w:color w:val="4F81BD" w:themeColor="accent1"/>
      <w14:textFill>
        <w14:solidFill>
          <w14:schemeClr w14:val="accent1"/>
        </w14:solidFill>
      </w14:textFill>
    </w:rPr>
  </w:style>
  <w:style w:type="character" w:customStyle="1" w:styleId="205">
    <w:name w:val="不明显强调1"/>
    <w:basedOn w:val="39"/>
    <w:qFormat/>
    <w:uiPriority w:val="19"/>
    <w:rPr>
      <w:i/>
      <w:iCs/>
      <w:color w:val="404040" w:themeColor="text1" w:themeTint="BF"/>
      <w14:textFill>
        <w14:solidFill>
          <w14:schemeClr w14:val="tx1">
            <w14:lumMod w14:val="75000"/>
            <w14:lumOff w14:val="25000"/>
          </w14:schemeClr>
        </w14:solidFill>
      </w14:textFill>
    </w:rPr>
  </w:style>
  <w:style w:type="character" w:customStyle="1" w:styleId="206">
    <w:name w:val="明显强调1"/>
    <w:basedOn w:val="39"/>
    <w:qFormat/>
    <w:uiPriority w:val="21"/>
    <w:rPr>
      <w:i/>
      <w:iCs/>
      <w:color w:val="4F81BD" w:themeColor="accent1"/>
      <w14:textFill>
        <w14:solidFill>
          <w14:schemeClr w14:val="accent1"/>
        </w14:solidFill>
      </w14:textFill>
    </w:rPr>
  </w:style>
  <w:style w:type="character" w:customStyle="1" w:styleId="207">
    <w:name w:val="不明显参考1"/>
    <w:basedOn w:val="39"/>
    <w:qFormat/>
    <w:uiPriority w:val="31"/>
    <w:rPr>
      <w:smallCaps/>
      <w:color w:val="404040" w:themeColor="text1" w:themeTint="BF"/>
      <w14:textFill>
        <w14:solidFill>
          <w14:schemeClr w14:val="tx1">
            <w14:lumMod w14:val="75000"/>
            <w14:lumOff w14:val="25000"/>
          </w14:schemeClr>
        </w14:solidFill>
      </w14:textFill>
    </w:rPr>
  </w:style>
  <w:style w:type="character" w:customStyle="1" w:styleId="208">
    <w:name w:val="明显参考1"/>
    <w:basedOn w:val="39"/>
    <w:qFormat/>
    <w:uiPriority w:val="32"/>
    <w:rPr>
      <w:b/>
      <w:bCs/>
      <w:smallCaps/>
      <w:color w:val="4F81BD" w:themeColor="accent1"/>
      <w:spacing w:val="5"/>
      <w14:textFill>
        <w14:solidFill>
          <w14:schemeClr w14:val="accent1"/>
        </w14:solidFill>
      </w14:textFill>
    </w:rPr>
  </w:style>
  <w:style w:type="character" w:customStyle="1" w:styleId="209">
    <w:name w:val="书籍标题1"/>
    <w:basedOn w:val="39"/>
    <w:qFormat/>
    <w:uiPriority w:val="33"/>
    <w:rPr>
      <w:b/>
      <w:bCs/>
      <w:i/>
      <w:iCs/>
      <w:spacing w:val="5"/>
    </w:rPr>
  </w:style>
  <w:style w:type="paragraph" w:customStyle="1" w:styleId="210">
    <w:name w:val="TOC 标题1"/>
    <w:basedOn w:val="2"/>
    <w:next w:val="1"/>
    <w:unhideWhenUsed/>
    <w:qFormat/>
    <w:uiPriority w:val="39"/>
    <w:pPr>
      <w:outlineLvl w:val="9"/>
    </w:pPr>
  </w:style>
  <w:style w:type="paragraph" w:customStyle="1" w:styleId="211">
    <w:name w:val="修订1"/>
    <w:hidden/>
    <w:semiHidden/>
    <w:qFormat/>
    <w:uiPriority w:val="99"/>
    <w:rPr>
      <w:rFonts w:asciiTheme="minorHAnsi" w:hAnsiTheme="minorHAnsi" w:eastAsiaTheme="minorEastAsia" w:cstheme="minorBidi"/>
      <w:sz w:val="22"/>
      <w:szCs w:val="22"/>
      <w:lang w:val="en-US" w:eastAsia="zh-CN" w:bidi="ar-SA"/>
    </w:rPr>
  </w:style>
  <w:style w:type="paragraph" w:customStyle="1" w:styleId="212">
    <w:name w:val="10、表格内容"/>
    <w:basedOn w:val="19"/>
    <w:qFormat/>
    <w:uiPriority w:val="0"/>
    <w:pPr>
      <w:widowControl w:val="0"/>
      <w:adjustRightInd w:val="0"/>
      <w:spacing w:before="0" w:after="0" w:line="280" w:lineRule="exact"/>
      <w:ind w:right="0"/>
      <w:jc w:val="center"/>
    </w:pPr>
    <w:rPr>
      <w:color w:val="000000"/>
      <w:kern w:val="2"/>
      <w:sz w:val="21"/>
      <w:szCs w:val="24"/>
    </w:rPr>
  </w:style>
  <w:style w:type="paragraph" w:customStyle="1" w:styleId="213">
    <w:name w:val="修订2"/>
    <w:hidden/>
    <w:semiHidden/>
    <w:qFormat/>
    <w:uiPriority w:val="99"/>
    <w:rPr>
      <w:rFonts w:asciiTheme="minorHAnsi" w:hAnsiTheme="minorHAnsi" w:eastAsiaTheme="minorEastAsia" w:cstheme="minorBidi"/>
      <w:sz w:val="22"/>
      <w:szCs w:val="22"/>
      <w:lang w:val="en-US" w:eastAsia="zh-CN" w:bidi="ar-SA"/>
    </w:rPr>
  </w:style>
  <w:style w:type="paragraph" w:customStyle="1" w:styleId="214">
    <w:name w:val="标题33"/>
    <w:basedOn w:val="1"/>
    <w:qFormat/>
    <w:uiPriority w:val="0"/>
    <w:pPr>
      <w:tabs>
        <w:tab w:val="left" w:pos="3840"/>
      </w:tabs>
      <w:spacing w:line="360" w:lineRule="auto"/>
      <w:outlineLvl w:val="2"/>
    </w:pPr>
    <w:rPr>
      <w:rFonts w:eastAsia="黑体"/>
      <w:szCs w:val="30"/>
    </w:rPr>
  </w:style>
  <w:style w:type="character" w:customStyle="1" w:styleId="215">
    <w:name w:val="页眉 字符1"/>
    <w:basedOn w:val="39"/>
    <w:link w:val="31"/>
    <w:qFormat/>
    <w:uiPriority w:val="0"/>
    <w:rPr>
      <w:rFonts w:hint="default" w:ascii="Calibri" w:hAnsi="Calibri" w:cs="Calibri"/>
    </w:rPr>
  </w:style>
  <w:style w:type="character" w:customStyle="1" w:styleId="216">
    <w:name w:val="apple-converted-space"/>
    <w:basedOn w:val="39"/>
    <w:qFormat/>
    <w:uiPriority w:val="0"/>
    <w:rPr>
      <w:rFonts w:hint="default" w:ascii="Times New Roman" w:hAnsi="Times New Roman" w:cs="Times New Roman"/>
    </w:rPr>
  </w:style>
  <w:style w:type="paragraph" w:customStyle="1" w:styleId="217">
    <w:name w:val="BGZX"/>
    <w:next w:val="1"/>
    <w:qFormat/>
    <w:uiPriority w:val="0"/>
    <w:pPr>
      <w:widowControl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218">
    <w:name w:val="正文新"/>
    <w:basedOn w:val="24"/>
    <w:qFormat/>
    <w:uiPriority w:val="0"/>
    <w:pPr>
      <w:spacing w:before="120" w:after="120" w:line="300" w:lineRule="auto"/>
      <w:ind w:firstLine="510"/>
    </w:pPr>
    <w:rPr>
      <w:rFonts w:hAnsi="Arial"/>
      <w:snapToGrid w:val="0"/>
    </w:rPr>
  </w:style>
  <w:style w:type="paragraph" w:customStyle="1" w:styleId="219">
    <w:name w:val="7表格(治)"/>
    <w:qFormat/>
    <w:uiPriority w:val="0"/>
    <w:pPr>
      <w:jc w:val="center"/>
    </w:pPr>
    <w:rPr>
      <w:rFonts w:ascii="Times New Roman" w:hAnsi="Times New Roman" w:eastAsia="楷体_GB2312" w:cs="Times New Roman"/>
      <w:sz w:val="21"/>
      <w:lang w:val="en-US" w:eastAsia="zh-CN" w:bidi="ar-SA"/>
    </w:rPr>
  </w:style>
  <w:style w:type="paragraph" w:customStyle="1" w:styleId="220">
    <w:name w:val="报告表正文"/>
    <w:basedOn w:val="1"/>
    <w:qFormat/>
    <w:uiPriority w:val="0"/>
    <w:pPr>
      <w:spacing w:line="360" w:lineRule="auto"/>
      <w:ind w:firstLine="200" w:firstLineChars="200"/>
    </w:pPr>
  </w:style>
  <w:style w:type="paragraph" w:customStyle="1" w:styleId="221">
    <w:name w:val="【表格】"/>
    <w:next w:val="22"/>
    <w:qFormat/>
    <w:uiPriority w:val="0"/>
    <w:pPr>
      <w:jc w:val="center"/>
    </w:pPr>
    <w:rPr>
      <w:rFonts w:ascii="Times New Roman" w:hAnsi="Times New Roman" w:eastAsia="宋体" w:cs="Times New Roman"/>
      <w:sz w:val="21"/>
      <w:szCs w:val="24"/>
      <w:lang w:val="en-US" w:eastAsia="zh-CN" w:bidi="ar-SA"/>
      <w14:ligatures w14:val="standardContextual"/>
    </w:rPr>
  </w:style>
  <w:style w:type="paragraph" w:customStyle="1" w:styleId="222">
    <w:name w:val="【表头】"/>
    <w:basedOn w:val="1"/>
    <w:qFormat/>
    <w:uiPriority w:val="0"/>
    <w:pPr>
      <w:widowControl w:val="0"/>
      <w:adjustRightInd w:val="0"/>
      <w:snapToGrid w:val="0"/>
      <w:spacing w:beforeLines="50" w:after="0" w:line="240" w:lineRule="auto"/>
      <w:jc w:val="center"/>
    </w:pPr>
    <w:rPr>
      <w:rFonts w:ascii="Times New Roman" w:hAnsi="Times New Roman" w:eastAsia="宋体" w:cs="Times New Roman"/>
      <w:b/>
      <w:kern w:val="2"/>
      <w:szCs w:val="24"/>
      <w14:ligatures w14:val="standardContextual"/>
    </w:rPr>
  </w:style>
  <w:style w:type="paragraph" w:customStyle="1" w:styleId="223">
    <w:name w:val="【表下正文】"/>
    <w:basedOn w:val="1"/>
    <w:next w:val="1"/>
    <w:qFormat/>
    <w:uiPriority w:val="0"/>
    <w:pPr>
      <w:widowControl w:val="0"/>
      <w:spacing w:before="50" w:beforeLines="50" w:after="0" w:line="360" w:lineRule="auto"/>
      <w:ind w:firstLine="200" w:firstLineChars="200"/>
      <w:jc w:val="both"/>
    </w:pPr>
    <w:rPr>
      <w:rFonts w:ascii="Times New Roman" w:hAnsi="Times New Roman" w:eastAsia="宋体" w:cs="Times New Roman"/>
      <w:kern w:val="2"/>
      <w:szCs w:val="20"/>
      <w14:ligatures w14:val="standardContextual"/>
    </w:rPr>
  </w:style>
  <w:style w:type="paragraph" w:customStyle="1" w:styleId="224">
    <w:name w:val="【图】"/>
    <w:qFormat/>
    <w:uiPriority w:val="0"/>
    <w:pPr>
      <w:spacing w:line="360" w:lineRule="auto"/>
      <w:jc w:val="center"/>
    </w:pPr>
    <w:rPr>
      <w:rFonts w:ascii="Times New Roman" w:hAnsi="Times New Roman" w:eastAsia="宋体" w:cs="Times New Roman"/>
      <w:b/>
      <w:kern w:val="2"/>
      <w:sz w:val="24"/>
      <w:szCs w:val="24"/>
      <w:lang w:val="en-US" w:eastAsia="zh-CN" w:bidi="ar-SA"/>
      <w14:ligatures w14:val="standardContextual"/>
    </w:rPr>
  </w:style>
  <w:style w:type="paragraph" w:customStyle="1" w:styleId="225">
    <w:name w:val="【正文】"/>
    <w:qFormat/>
    <w:uiPriority w:val="0"/>
    <w:pPr>
      <w:spacing w:line="360" w:lineRule="auto"/>
      <w:ind w:firstLine="200" w:firstLineChars="200"/>
      <w:jc w:val="both"/>
    </w:pPr>
    <w:rPr>
      <w:rFonts w:ascii="Times New Roman" w:hAnsi="Times New Roman" w:eastAsia="宋体" w:cs="Times New Roman"/>
      <w:sz w:val="24"/>
      <w:szCs w:val="24"/>
      <w:lang w:val="zh-CN" w:eastAsia="zh-CN" w:bidi="zh-CN"/>
      <w14:ligatures w14:val="standardContextual"/>
    </w:rPr>
  </w:style>
  <w:style w:type="table" w:customStyle="1" w:styleId="226">
    <w:name w:val="样式1"/>
    <w:basedOn w:val="37"/>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227">
    <w:name w:val="修订3"/>
    <w:hidden/>
    <w:unhideWhenUsed/>
    <w:qFormat/>
    <w:uiPriority w:val="99"/>
    <w:rPr>
      <w:rFonts w:asciiTheme="minorHAnsi" w:hAnsiTheme="minorHAnsi" w:eastAsiaTheme="minorEastAsia" w:cstheme="minorBidi"/>
      <w:sz w:val="24"/>
      <w:szCs w:val="22"/>
      <w:lang w:val="en-US" w:eastAsia="zh-CN" w:bidi="ar-SA"/>
    </w:rPr>
  </w:style>
  <w:style w:type="paragraph" w:customStyle="1" w:styleId="228">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229">
    <w:name w:val="表2.3-1"/>
    <w:basedOn w:val="1"/>
    <w:qFormat/>
    <w:uiPriority w:val="0"/>
    <w:pPr>
      <w:widowControl w:val="0"/>
      <w:adjustRightInd w:val="0"/>
      <w:snapToGrid w:val="0"/>
      <w:spacing w:after="0" w:line="320" w:lineRule="exact"/>
      <w:ind w:firstLine="720" w:firstLineChars="200"/>
      <w:jc w:val="center"/>
      <w:outlineLvl w:val="4"/>
    </w:pPr>
    <w:rPr>
      <w:rFonts w:ascii="Arial" w:hAnsi="Arial" w:eastAsia="宋体" w:cs="Times New Roman"/>
      <w:kern w:val="2"/>
      <w:szCs w:val="24"/>
    </w:rPr>
  </w:style>
  <w:style w:type="character" w:customStyle="1" w:styleId="230">
    <w:name w:val="font101"/>
    <w:basedOn w:val="39"/>
    <w:qFormat/>
    <w:uiPriority w:val="0"/>
    <w:rPr>
      <w:rFonts w:hint="eastAsia" w:ascii="宋体" w:hAnsi="宋体" w:eastAsia="宋体"/>
      <w:color w:val="000000"/>
      <w:sz w:val="28"/>
      <w:szCs w:val="28"/>
      <w:u w:val="none"/>
    </w:rPr>
  </w:style>
  <w:style w:type="character" w:customStyle="1" w:styleId="231">
    <w:name w:val="font141"/>
    <w:basedOn w:val="39"/>
    <w:qFormat/>
    <w:uiPriority w:val="0"/>
    <w:rPr>
      <w:rFonts w:hint="eastAsia" w:ascii="宋体" w:hAnsi="宋体" w:eastAsia="宋体"/>
      <w:b/>
      <w:bCs/>
      <w:color w:val="000000"/>
      <w:sz w:val="28"/>
      <w:szCs w:val="28"/>
      <w:u w:val="none"/>
    </w:rPr>
  </w:style>
  <w:style w:type="table" w:customStyle="1" w:styleId="232">
    <w:name w:val="网格型1"/>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emf"/><Relationship Id="rId17" Type="http://schemas.openxmlformats.org/officeDocument/2006/relationships/oleObject" Target="embeddings/oleObject2.bin"/><Relationship Id="rId16" Type="http://schemas.openxmlformats.org/officeDocument/2006/relationships/image" Target="media/image2.emf"/><Relationship Id="rId15" Type="http://schemas.openxmlformats.org/officeDocument/2006/relationships/oleObject" Target="embeddings/oleObject1.bin"/><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61</Pages>
  <Words>6042</Words>
  <Characters>34440</Characters>
  <Lines>287</Lines>
  <Paragraphs>80</Paragraphs>
  <TotalTime>3</TotalTime>
  <ScaleCrop>false</ScaleCrop>
  <LinksUpToDate>false</LinksUpToDate>
  <CharactersWithSpaces>40402</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2025-10-16T02:48:00Z</dcterms:created>
  <dc:creator>lhj</dc:creator>
  <cp:lastModifiedBy>admin</cp:lastModifiedBy>
  <cp:lastPrinted>2024-05-31T06:14:00Z</cp:lastPrinted>
  <dcterms:modified xsi:type="dcterms:W3CDTF">2025-11-03T08:20:01Z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0385CC9842B6417B96021289C7215636_13</vt:lpwstr>
  </property>
  <property fmtid="{D5CDD505-2E9C-101B-9397-08002B2CF9AE}" pid="4" name="MSIP_Label_defa4170-0d19-0005-0004-bc88714345d2_Enabled">
    <vt:lpwstr>true</vt:lpwstr>
  </property>
  <property fmtid="{D5CDD505-2E9C-101B-9397-08002B2CF9AE}" pid="5" name="MSIP_Label_defa4170-0d19-0005-0004-bc88714345d2_SetDate">
    <vt:lpwstr>2024-10-21T07:32:05Z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f5fc9c0b-f80e-4bcc-bb1f-03e97bc2c076</vt:lpwstr>
  </property>
  <property fmtid="{D5CDD505-2E9C-101B-9397-08002B2CF9AE}" pid="9" name="MSIP_Label_defa4170-0d19-0005-0004-bc88714345d2_ActionId">
    <vt:lpwstr>77584b97-2a30-4fd4-a861-441eec4c18f0</vt:lpwstr>
  </property>
  <property fmtid="{D5CDD505-2E9C-101B-9397-08002B2CF9AE}" pid="10" name="MSIP_Label_defa4170-0d19-0005-0004-bc88714345d2_ContentBits">
    <vt:lpwstr>0</vt:lpwstr>
  </property>
</Properties>
</file>