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bookmarkStart w:id="164" w:name="_GoBack"/>
      <w:bookmarkEnd w:id="164"/>
      <w:r>
        <w:drawing>
          <wp:anchor distT="0" distB="0" distL="114300" distR="114300" simplePos="0" relativeHeight="251664384" behindDoc="0" locked="0" layoutInCell="1" allowOverlap="1">
            <wp:simplePos x="0" y="0"/>
            <wp:positionH relativeFrom="column">
              <wp:posOffset>-889000</wp:posOffset>
            </wp:positionH>
            <wp:positionV relativeFrom="paragraph">
              <wp:posOffset>-989330</wp:posOffset>
            </wp:positionV>
            <wp:extent cx="7551420" cy="10657840"/>
            <wp:effectExtent l="0" t="0" r="11430" b="1016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8"/>
                    <a:stretch>
                      <a:fillRect/>
                    </a:stretch>
                  </pic:blipFill>
                  <pic:spPr>
                    <a:xfrm>
                      <a:off x="0" y="0"/>
                      <a:ext cx="7551420" cy="10657840"/>
                    </a:xfrm>
                    <a:prstGeom prst="rect">
                      <a:avLst/>
                    </a:prstGeom>
                    <a:noFill/>
                    <a:ln>
                      <a:noFill/>
                    </a:ln>
                  </pic:spPr>
                </pic:pic>
              </a:graphicData>
            </a:graphic>
          </wp:anchor>
        </w:drawing>
      </w: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17132"/>
      <w:bookmarkStart w:id="1" w:name="_Toc9163"/>
      <w:bookmarkStart w:id="2" w:name="_Toc14623"/>
      <w:bookmarkStart w:id="3" w:name="_Toc29571"/>
      <w:bookmarkStart w:id="4" w:name="_Toc23611"/>
      <w:bookmarkStart w:id="5" w:name="_Toc2526"/>
      <w:bookmarkStart w:id="6" w:name="_Toc15153"/>
      <w:bookmarkStart w:id="7" w:name="_Toc19841"/>
      <w:bookmarkStart w:id="8" w:name="_Toc13859"/>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FA0632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eastAsia="宋体" w:cs="宋体"/>
          <w:color w:val="auto"/>
          <w:sz w:val="36"/>
          <w:szCs w:val="36"/>
          <w:u w:val="single"/>
          <w:lang w:eastAsia="zh-CN"/>
        </w:rPr>
        <w:t>福</w:t>
      </w:r>
      <w:r>
        <w:rPr>
          <w:rFonts w:hint="eastAsia" w:ascii="Times New Roman" w:hAnsi="Times New Roman" w:eastAsia="宋体" w:cs="Times New Roman"/>
          <w:color w:val="auto"/>
          <w:sz w:val="36"/>
          <w:szCs w:val="36"/>
          <w:highlight w:val="none"/>
          <w:u w:val="single"/>
          <w:lang w:eastAsia="zh-CN"/>
        </w:rPr>
        <w:t>清大松模具有限公司年加工汽车塑料配件</w:t>
      </w:r>
      <w:r>
        <w:rPr>
          <w:rFonts w:hint="eastAsia" w:ascii="Times New Roman" w:hAnsi="Times New Roman"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83万套</w:t>
      </w:r>
      <w:r>
        <w:rPr>
          <w:rFonts w:hint="eastAsia" w:cs="Times New Roman"/>
          <w:color w:val="auto"/>
          <w:sz w:val="36"/>
          <w:szCs w:val="36"/>
          <w:highlight w:val="none"/>
          <w:u w:val="single"/>
          <w:lang w:val="en-US" w:eastAsia="zh-CN"/>
        </w:rPr>
        <w:t xml:space="preserve">项目             </w:t>
      </w:r>
      <w:r>
        <w:rPr>
          <w:rFonts w:hint="eastAsia" w:ascii="Times New Roman" w:hAnsi="Times New Roman"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eastAsia" w:ascii="宋体" w:hAnsi="宋体" w:eastAsia="宋体" w:cs="宋体"/>
          <w:color w:val="auto"/>
          <w:sz w:val="36"/>
          <w:szCs w:val="36"/>
          <w:u w:val="single"/>
          <w:lang w:eastAsia="zh-CN"/>
        </w:rPr>
        <w:t>福</w:t>
      </w:r>
      <w:r>
        <w:rPr>
          <w:rFonts w:hint="eastAsia" w:ascii="Times New Roman" w:hAnsi="Times New Roman" w:eastAsia="宋体" w:cs="Times New Roman"/>
          <w:color w:val="auto"/>
          <w:sz w:val="36"/>
          <w:szCs w:val="36"/>
          <w:highlight w:val="none"/>
          <w:u w:val="single"/>
          <w:lang w:eastAsia="zh-CN"/>
        </w:rPr>
        <w:t>清大松模具有限公司</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lang w:val="en-US" w:eastAsia="zh-CN"/>
        </w:rPr>
        <w:t>年</w:t>
      </w:r>
      <w:r>
        <w:rPr>
          <w:rFonts w:hint="eastAsia" w:ascii="Times New Roman" w:hAnsi="Times New Roman" w:cs="Times New Roman"/>
          <w:color w:val="auto"/>
          <w:sz w:val="36"/>
          <w:szCs w:val="36"/>
          <w:highlight w:val="none"/>
          <w:u w:val="single"/>
          <w:lang w:val="en-US" w:eastAsia="zh-CN"/>
        </w:rPr>
        <w:t>9</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51012B6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4"/>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062A0CAC">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14:paraId="79F8F56A">
      <w:pPr>
        <w:rPr>
          <w:rFonts w:hint="eastAsia"/>
        </w:rPr>
      </w:pPr>
      <w:r>
        <w:rPr>
          <w:sz w:val="21"/>
        </w:rPr>
        <mc:AlternateContent>
          <mc:Choice Requires="wps">
            <w:drawing>
              <wp:anchor distT="0" distB="0" distL="114300" distR="114300" simplePos="0" relativeHeight="251678720" behindDoc="0" locked="0" layoutInCell="1" allowOverlap="1">
                <wp:simplePos x="0" y="0"/>
                <wp:positionH relativeFrom="column">
                  <wp:posOffset>3532505</wp:posOffset>
                </wp:positionH>
                <wp:positionV relativeFrom="paragraph">
                  <wp:posOffset>6316345</wp:posOffset>
                </wp:positionV>
                <wp:extent cx="2085340" cy="878205"/>
                <wp:effectExtent l="0" t="0" r="10160" b="17145"/>
                <wp:wrapNone/>
                <wp:docPr id="191" name="文本框 191"/>
                <wp:cNvGraphicFramePr/>
                <a:graphic xmlns:a="http://schemas.openxmlformats.org/drawingml/2006/main">
                  <a:graphicData uri="http://schemas.microsoft.com/office/word/2010/wordprocessingShape">
                    <wps:wsp>
                      <wps:cNvSpPr txBox="1"/>
                      <wps:spPr>
                        <a:xfrm>
                          <a:off x="0" y="0"/>
                          <a:ext cx="2085340" cy="878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80BFA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15pt;margin-top:497.35pt;height:69.15pt;width:164.2pt;z-index:251678720;mso-width-relative:page;mso-height-relative:page;" fillcolor="#FFFFFF [3201]" filled="t" stroked="f" coordsize="21600,21600" o:gfxdata="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A+Q7l2AAAAAwBAAAP&#10;AAAAAAAAAAEAIAAAACIAAABkcnMvZG93bnJldi54bWxQSwECFAAUAAAACACHTuJAeMaKmVECAACT&#10;BAAADgAAAAAAAAABACAAAAAnAQAAZHJzL2Uyb0RvYy54bWxQSwUGAAAAAAYABgBZAQAA6gUAAAAA&#10;">
                <v:fill on="t" focussize="0,0"/>
                <v:stroke on="f" weight="0.5pt"/>
                <v:imagedata o:title=""/>
                <o:lock v:ext="edit" aspectratio="f"/>
                <v:textbox>
                  <w:txbxContent>
                    <w:p w14:paraId="6580BFA7"/>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2813050</wp:posOffset>
                </wp:positionH>
                <wp:positionV relativeFrom="paragraph">
                  <wp:posOffset>4361180</wp:posOffset>
                </wp:positionV>
                <wp:extent cx="774065" cy="307340"/>
                <wp:effectExtent l="0" t="0" r="6985" b="16510"/>
                <wp:wrapNone/>
                <wp:docPr id="189" name="文本框 189"/>
                <wp:cNvGraphicFramePr/>
                <a:graphic xmlns:a="http://schemas.openxmlformats.org/drawingml/2006/main">
                  <a:graphicData uri="http://schemas.microsoft.com/office/word/2010/wordprocessingShape">
                    <wps:wsp>
                      <wps:cNvSpPr txBox="1"/>
                      <wps:spPr>
                        <a:xfrm>
                          <a:off x="0" y="0"/>
                          <a:ext cx="774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86493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343.4pt;height:24.2pt;width:60.95pt;z-index:251677696;mso-width-relative:page;mso-height-relative:page;" fillcolor="#FFFFFF [3201]" filled="t" stroked="f" coordsize="21600,21600" o:gfxdata="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8OCs7XAAAACwEA&#10;AA8AAAAAAAAAAQAgAAAAIgAAAGRycy9kb3ducmV2LnhtbFBLAQIUABQAAAAIAIdO4kBCZFFKVAIA&#10;AJIEAAAOAAAAAAAAAAEAIAAAACYBAABkcnMvZTJvRG9jLnhtbFBLBQYAAAAABgAGAFkBAADsBQAA&#10;AAA=&#10;">
                <v:fill on="t" focussize="0,0"/>
                <v:stroke on="f" weight="0.5pt"/>
                <v:imagedata o:title=""/>
                <o:lock v:ext="edit" aspectratio="f"/>
                <v:textbox>
                  <w:txbxContent>
                    <w:p w14:paraId="78864934"/>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219710</wp:posOffset>
                </wp:positionH>
                <wp:positionV relativeFrom="paragraph">
                  <wp:posOffset>4263390</wp:posOffset>
                </wp:positionV>
                <wp:extent cx="986155" cy="307340"/>
                <wp:effectExtent l="0" t="0" r="4445" b="16510"/>
                <wp:wrapNone/>
                <wp:docPr id="188" name="文本框 188"/>
                <wp:cNvGraphicFramePr/>
                <a:graphic xmlns:a="http://schemas.openxmlformats.org/drawingml/2006/main">
                  <a:graphicData uri="http://schemas.microsoft.com/office/word/2010/wordprocessingShape">
                    <wps:wsp>
                      <wps:cNvSpPr txBox="1"/>
                      <wps:spPr>
                        <a:xfrm>
                          <a:off x="0" y="0"/>
                          <a:ext cx="98615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3859A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pt;margin-top:335.7pt;height:24.2pt;width:77.65pt;z-index:251676672;mso-width-relative:page;mso-height-relative:page;" fillcolor="#FFFFFF [3201]" filled="t" stroked="f" coordsize="21600,21600" o:gfxdata="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M4KL1gAAAAoBAAAP&#10;AAAAAAAAAAEAIAAAACIAAABkcnMvZG93bnJldi54bWxQSwECFAAUAAAACACHTuJAX4L3V1MCAACS&#10;BAAADgAAAAAAAAABACAAAAAlAQAAZHJzL2Uyb0RvYy54bWxQSwUGAAAAAAYABgBZAQAA6gUAAAAA&#10;">
                <v:fill on="t" focussize="0,0"/>
                <v:stroke on="f" weight="0.5pt"/>
                <v:imagedata o:title=""/>
                <o:lock v:ext="edit" aspectratio="f"/>
                <v:textbox>
                  <w:txbxContent>
                    <w:p w14:paraId="6A3859A6"/>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3973195</wp:posOffset>
                </wp:positionH>
                <wp:positionV relativeFrom="paragraph">
                  <wp:posOffset>3990975</wp:posOffset>
                </wp:positionV>
                <wp:extent cx="520065" cy="307340"/>
                <wp:effectExtent l="0" t="0" r="13335" b="16510"/>
                <wp:wrapNone/>
                <wp:docPr id="187" name="文本框 187"/>
                <wp:cNvGraphicFramePr/>
                <a:graphic xmlns:a="http://schemas.openxmlformats.org/drawingml/2006/main">
                  <a:graphicData uri="http://schemas.microsoft.com/office/word/2010/wordprocessingShape">
                    <wps:wsp>
                      <wps:cNvSpPr txBox="1"/>
                      <wps:spPr>
                        <a:xfrm>
                          <a:off x="0" y="0"/>
                          <a:ext cx="520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DD1D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85pt;margin-top:314.25pt;height:24.2pt;width:40.95pt;z-index:251675648;mso-width-relative:page;mso-height-relative:page;" fillcolor="#FFFFFF [3201]" filled="t" stroked="f" coordsize="21600,21600" o:gfxdata="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DO1CzWAAAACwEAAA8A&#10;AAAAAAAAAQAgAAAAIgAAAGRycy9kb3ducmV2LnhtbFBLAQIUABQAAAAIAIdO4kB86amLUgIAAJIE&#10;AAAOAAAAAAAAAAEAIAAAACUBAABkcnMvZTJvRG9jLnhtbFBLBQYAAAAABgAGAFkBAADpBQAAAAA=&#10;">
                <v:fill on="t" focussize="0,0"/>
                <v:stroke on="f" weight="0.5pt"/>
                <v:imagedata o:title=""/>
                <o:lock v:ext="edit" aspectratio="f"/>
                <v:textbox>
                  <w:txbxContent>
                    <w:p w14:paraId="18DD1DD5"/>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1097915</wp:posOffset>
                </wp:positionH>
                <wp:positionV relativeFrom="paragraph">
                  <wp:posOffset>4009390</wp:posOffset>
                </wp:positionV>
                <wp:extent cx="763270" cy="307340"/>
                <wp:effectExtent l="0" t="0" r="17780" b="16510"/>
                <wp:wrapNone/>
                <wp:docPr id="186" name="文本框 186"/>
                <wp:cNvGraphicFramePr/>
                <a:graphic xmlns:a="http://schemas.openxmlformats.org/drawingml/2006/main">
                  <a:graphicData uri="http://schemas.microsoft.com/office/word/2010/wordprocessingShape">
                    <wps:wsp>
                      <wps:cNvSpPr txBox="1"/>
                      <wps:spPr>
                        <a:xfrm>
                          <a:off x="0" y="0"/>
                          <a:ext cx="76327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A6AC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45pt;margin-top:315.7pt;height:24.2pt;width:60.1pt;z-index:251674624;mso-width-relative:page;mso-height-relative:page;" fillcolor="#FFFFFF [3201]" filled="t" stroked="f" coordsize="21600,21600" o:gfxdata="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5JViW1gAAAAsBAAAP&#10;AAAAAAAAAAEAIAAAACIAAABkcnMvZG93bnJldi54bWxQSwECFAAUAAAACACHTuJAUT2Is1MCAACS&#10;BAAADgAAAAAAAAABACAAAAAlAQAAZHJzL2Uyb0RvYy54bWxQSwUGAAAAAAYABgBZAQAA6gUAAAAA&#10;">
                <v:fill on="t" focussize="0,0"/>
                <v:stroke on="f" weight="0.5pt"/>
                <v:imagedata o:title=""/>
                <o:lock v:ext="edit" aspectratio="f"/>
                <v:textbox>
                  <w:txbxContent>
                    <w:p w14:paraId="12A6ACF8"/>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3718560</wp:posOffset>
                </wp:positionH>
                <wp:positionV relativeFrom="paragraph">
                  <wp:posOffset>3274695</wp:posOffset>
                </wp:positionV>
                <wp:extent cx="520065" cy="307340"/>
                <wp:effectExtent l="0" t="0" r="13335" b="16510"/>
                <wp:wrapNone/>
                <wp:docPr id="185" name="文本框 185"/>
                <wp:cNvGraphicFramePr/>
                <a:graphic xmlns:a="http://schemas.openxmlformats.org/drawingml/2006/main">
                  <a:graphicData uri="http://schemas.microsoft.com/office/word/2010/wordprocessingShape">
                    <wps:wsp>
                      <wps:cNvSpPr txBox="1"/>
                      <wps:spPr>
                        <a:xfrm>
                          <a:off x="0" y="0"/>
                          <a:ext cx="520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DD2BA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8pt;margin-top:257.85pt;height:24.2pt;width:40.95pt;z-index:251673600;mso-width-relative:page;mso-height-relative:page;" fillcolor="#FFFFFF [3201]" filled="t" stroked="f" coordsize="21600,21600" o:gfxdata="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AVA9tYAAAALAQAADwAA&#10;AAAAAAABACAAAAAiAAAAZHJzL2Rvd25yZXYueG1sUEsBAhQAFAAAAAgAh07iQDbKkTBRAgAAkgQA&#10;AA4AAAAAAAAAAQAgAAAAJQEAAGRycy9lMm9Eb2MueG1sUEsFBgAAAAAGAAYAWQEAAOgFAAAAAA==&#10;">
                <v:fill on="t" focussize="0,0"/>
                <v:stroke on="f" weight="0.5pt"/>
                <v:imagedata o:title=""/>
                <o:lock v:ext="edit" aspectratio="f"/>
                <v:textbox>
                  <w:txbxContent>
                    <w:p w14:paraId="34DD2BA6"/>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2713990</wp:posOffset>
                </wp:positionH>
                <wp:positionV relativeFrom="paragraph">
                  <wp:posOffset>3603625</wp:posOffset>
                </wp:positionV>
                <wp:extent cx="2476500" cy="307340"/>
                <wp:effectExtent l="0" t="0" r="0" b="16510"/>
                <wp:wrapNone/>
                <wp:docPr id="183" name="文本框 183"/>
                <wp:cNvGraphicFramePr/>
                <a:graphic xmlns:a="http://schemas.openxmlformats.org/drawingml/2006/main">
                  <a:graphicData uri="http://schemas.microsoft.com/office/word/2010/wordprocessingShape">
                    <wps:wsp>
                      <wps:cNvSpPr txBox="1"/>
                      <wps:spPr>
                        <a:xfrm>
                          <a:off x="0" y="0"/>
                          <a:ext cx="247650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B9046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pt;margin-top:283.75pt;height:24.2pt;width:195pt;z-index:251672576;mso-width-relative:page;mso-height-relative:page;" fillcolor="#FFFFFF [3201]" filled="t" stroked="f" coordsize="21600,21600" o:gfxdata="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Pnro1gAAAAsBAAAP&#10;AAAAAAAAAAEAIAAAACIAAABkcnMvZG93bnJldi54bWxQSwECFAAUAAAACACHTuJA/byIDFMCAACT&#10;BAAADgAAAAAAAAABACAAAAAlAQAAZHJzL2Uyb0RvYy54bWxQSwUGAAAAAAYABgBZAQAA6gUAAAAA&#10;">
                <v:fill on="t" focussize="0,0"/>
                <v:stroke on="f" weight="0.5pt"/>
                <v:imagedata o:title=""/>
                <o:lock v:ext="edit" aspectratio="f"/>
                <v:textbox>
                  <w:txbxContent>
                    <w:p w14:paraId="01B90465"/>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466090</wp:posOffset>
                </wp:positionH>
                <wp:positionV relativeFrom="paragraph">
                  <wp:posOffset>1154430</wp:posOffset>
                </wp:positionV>
                <wp:extent cx="1714500" cy="307340"/>
                <wp:effectExtent l="0" t="0" r="0" b="16510"/>
                <wp:wrapNone/>
                <wp:docPr id="139" name="文本框 139"/>
                <wp:cNvGraphicFramePr/>
                <a:graphic xmlns:a="http://schemas.openxmlformats.org/drawingml/2006/main">
                  <a:graphicData uri="http://schemas.microsoft.com/office/word/2010/wordprocessingShape">
                    <wps:wsp>
                      <wps:cNvSpPr txBox="1"/>
                      <wps:spPr>
                        <a:xfrm>
                          <a:off x="702310" y="953135"/>
                          <a:ext cx="171450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8484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90.9pt;height:24.2pt;width:135pt;z-index:251671552;mso-width-relative:page;mso-height-relative:page;" fillcolor="#FFFFFF [3201]" filled="t" stroked="f" coordsize="21600,21600" o:gfxdata="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z/VuNMA&#10;AAAKAQAADwAAAAAAAAABACAAAAAiAAAAZHJzL2Rvd25yZXYueG1sUEsBAhQAFAAAAAgAh07iQJOa&#10;18tdAgAAnQQAAA4AAAAAAAAAAQAgAAAAIgEAAGRycy9lMm9Eb2MueG1sUEsFBgAAAAAGAAYAWQEA&#10;APEFAAAAAA==&#10;">
                <v:fill on="t" focussize="0,0"/>
                <v:stroke on="f" weight="0.5pt"/>
                <v:imagedata o:title=""/>
                <o:lock v:ext="edit" aspectratio="f"/>
                <v:textbox>
                  <w:txbxContent>
                    <w:p w14:paraId="7F84842E"/>
                  </w:txbxContent>
                </v:textbox>
              </v:shape>
            </w:pict>
          </mc:Fallback>
        </mc:AlternateContent>
      </w:r>
      <w:r>
        <w:rPr>
          <w:rFonts w:hint="eastAsia"/>
        </w:rPr>
        <w:br w:type="page"/>
      </w:r>
    </w:p>
    <w:p w14:paraId="0F41560D">
      <w:r>
        <w:drawing>
          <wp:anchor distT="0" distB="0" distL="114300" distR="114300" simplePos="0" relativeHeight="251665408" behindDoc="0" locked="0" layoutInCell="1" allowOverlap="1">
            <wp:simplePos x="0" y="0"/>
            <wp:positionH relativeFrom="column">
              <wp:posOffset>-16123920</wp:posOffset>
            </wp:positionH>
            <wp:positionV relativeFrom="paragraph">
              <wp:posOffset>7520305</wp:posOffset>
            </wp:positionV>
            <wp:extent cx="5514975" cy="7820025"/>
            <wp:effectExtent l="0" t="0" r="9525" b="9525"/>
            <wp:wrapNone/>
            <wp:docPr id="1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
                    <pic:cNvPicPr>
                      <a:picLocks noChangeAspect="1"/>
                    </pic:cNvPicPr>
                  </pic:nvPicPr>
                  <pic:blipFill>
                    <a:blip r:embed="rId9"/>
                    <a:stretch>
                      <a:fillRect/>
                    </a:stretch>
                  </pic:blipFill>
                  <pic:spPr>
                    <a:xfrm>
                      <a:off x="0" y="0"/>
                      <a:ext cx="5514975" cy="7820025"/>
                    </a:xfrm>
                    <a:prstGeom prst="rect">
                      <a:avLst/>
                    </a:prstGeom>
                    <a:noFill/>
                    <a:ln>
                      <a:noFill/>
                    </a:ln>
                  </pic:spPr>
                </pic:pic>
              </a:graphicData>
            </a:graphic>
          </wp:anchor>
        </w:drawing>
      </w:r>
    </w:p>
    <w:p w14:paraId="3741E93C">
      <w:r>
        <w:rPr>
          <w:sz w:val="21"/>
        </w:rPr>
        <mc:AlternateContent>
          <mc:Choice Requires="wps">
            <w:drawing>
              <wp:anchor distT="0" distB="0" distL="114300" distR="114300" simplePos="0" relativeHeight="251684864" behindDoc="0" locked="0" layoutInCell="1" allowOverlap="1">
                <wp:simplePos x="0" y="0"/>
                <wp:positionH relativeFrom="column">
                  <wp:posOffset>205105</wp:posOffset>
                </wp:positionH>
                <wp:positionV relativeFrom="paragraph">
                  <wp:posOffset>7115810</wp:posOffset>
                </wp:positionV>
                <wp:extent cx="520065" cy="793115"/>
                <wp:effectExtent l="0" t="0" r="13335" b="6985"/>
                <wp:wrapNone/>
                <wp:docPr id="197" name="文本框 197"/>
                <wp:cNvGraphicFramePr/>
                <a:graphic xmlns:a="http://schemas.openxmlformats.org/drawingml/2006/main">
                  <a:graphicData uri="http://schemas.microsoft.com/office/word/2010/wordprocessingShape">
                    <wps:wsp>
                      <wps:cNvSpPr txBox="1"/>
                      <wps:spPr>
                        <a:xfrm>
                          <a:off x="0" y="0"/>
                          <a:ext cx="520065" cy="793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07145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5pt;margin-top:560.3pt;height:62.45pt;width:40.95pt;z-index:251684864;mso-width-relative:page;mso-height-relative:page;" fillcolor="#FFFFFF [3201]" filled="t" stroked="f" coordsize="21600,21600" o:gfxdata="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RpJUTWAAAADAEAAA8AAAAA&#10;AAAAAQAgAAAAIgAAAGRycy9kb3ducmV2LnhtbFBLAQIUABQAAAAIAIdO4kCFd8qtTwIAAJIEAAAO&#10;AAAAAAAAAAEAIAAAACUBAABkcnMvZTJvRG9jLnhtbFBLBQYAAAAABgAGAFkBAADmBQAAAAA=&#10;">
                <v:fill on="t" focussize="0,0"/>
                <v:stroke on="f" weight="0.5pt"/>
                <v:imagedata o:title=""/>
                <o:lock v:ext="edit" aspectratio="f"/>
                <v:textbox>
                  <w:txbxContent>
                    <w:p w14:paraId="2B071459"/>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3633470</wp:posOffset>
                </wp:positionH>
                <wp:positionV relativeFrom="paragraph">
                  <wp:posOffset>7125970</wp:posOffset>
                </wp:positionV>
                <wp:extent cx="2244725" cy="1016635"/>
                <wp:effectExtent l="0" t="0" r="3175" b="12065"/>
                <wp:wrapNone/>
                <wp:docPr id="196" name="文本框 196"/>
                <wp:cNvGraphicFramePr/>
                <a:graphic xmlns:a="http://schemas.openxmlformats.org/drawingml/2006/main">
                  <a:graphicData uri="http://schemas.microsoft.com/office/word/2010/wordprocessingShape">
                    <wps:wsp>
                      <wps:cNvSpPr txBox="1"/>
                      <wps:spPr>
                        <a:xfrm>
                          <a:off x="0" y="0"/>
                          <a:ext cx="2244725" cy="1016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0B885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1pt;margin-top:561.1pt;height:80.05pt;width:176.75pt;z-index:251683840;mso-width-relative:page;mso-height-relative:page;" fillcolor="#FFFFFF [3201]" filled="t" stroked="f" coordsize="21600,21600" o:gfxdata="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uIDb1wAAAA0BAAAP&#10;AAAAAAAAAAEAIAAAACIAAABkcnMvZG93bnJldi54bWxQSwECFAAUAAAACACHTuJA4Tt1tFICAACU&#10;BAAADgAAAAAAAAABACAAAAAmAQAAZHJzL2Uyb0RvYy54bWxQSwUGAAAAAAYABgBZAQAA6gUAAAAA&#10;">
                <v:fill on="t" focussize="0,0"/>
                <v:stroke on="f" weight="0.5pt"/>
                <v:imagedata o:title=""/>
                <o:lock v:ext="edit" aspectratio="f"/>
                <v:textbox>
                  <w:txbxContent>
                    <w:p w14:paraId="7B0B885A"/>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163830</wp:posOffset>
                </wp:positionH>
                <wp:positionV relativeFrom="paragraph">
                  <wp:posOffset>6089015</wp:posOffset>
                </wp:positionV>
                <wp:extent cx="5546090" cy="307340"/>
                <wp:effectExtent l="0" t="0" r="16510" b="16510"/>
                <wp:wrapNone/>
                <wp:docPr id="195" name="文本框 195"/>
                <wp:cNvGraphicFramePr/>
                <a:graphic xmlns:a="http://schemas.openxmlformats.org/drawingml/2006/main">
                  <a:graphicData uri="http://schemas.microsoft.com/office/word/2010/wordprocessingShape">
                    <wps:wsp>
                      <wps:cNvSpPr txBox="1"/>
                      <wps:spPr>
                        <a:xfrm>
                          <a:off x="0" y="0"/>
                          <a:ext cx="554609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020F7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pt;margin-top:479.45pt;height:24.2pt;width:436.7pt;z-index:251682816;mso-width-relative:page;mso-height-relative:page;" fillcolor="#FFFFFF [3201]" filled="t" stroked="f" coordsize="21600,21600" o:gfxdata="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8lk+C1gAAAAsBAAAP&#10;AAAAAAAAAAEAIAAAACIAAABkcnMvZG93bnJldi54bWxQSwECFAAUAAAACACHTuJAKunpbFMCAACT&#10;BAAADgAAAAAAAAABACAAAAAlAQAAZHJzL2Uyb0RvYy54bWxQSwUGAAAAAAYABgBZAQAA6gUAAAAA&#10;">
                <v:fill on="t" focussize="0,0"/>
                <v:stroke on="f" weight="0.5pt"/>
                <v:imagedata o:title=""/>
                <o:lock v:ext="edit" aspectratio="f"/>
                <v:textbox>
                  <w:txbxContent>
                    <w:p w14:paraId="7F020F7C"/>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1993265</wp:posOffset>
                </wp:positionH>
                <wp:positionV relativeFrom="paragraph">
                  <wp:posOffset>4512310</wp:posOffset>
                </wp:positionV>
                <wp:extent cx="2933065" cy="508000"/>
                <wp:effectExtent l="0" t="0" r="635" b="6350"/>
                <wp:wrapNone/>
                <wp:docPr id="194" name="文本框 194"/>
                <wp:cNvGraphicFramePr/>
                <a:graphic xmlns:a="http://schemas.openxmlformats.org/drawingml/2006/main">
                  <a:graphicData uri="http://schemas.microsoft.com/office/word/2010/wordprocessingShape">
                    <wps:wsp>
                      <wps:cNvSpPr txBox="1"/>
                      <wps:spPr>
                        <a:xfrm>
                          <a:off x="0" y="0"/>
                          <a:ext cx="2933065" cy="508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EFF9E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95pt;margin-top:355.3pt;height:40pt;width:230.95pt;z-index:251681792;mso-width-relative:page;mso-height-relative:page;" fillcolor="#FFFFFF [3201]" filled="t" stroked="f" coordsize="21600,21600" o:gfxdata="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BRpj1gAAAAsBAAAP&#10;AAAAAAAAAAEAIAAAACIAAABkcnMvZG93bnJldi54bWxQSwECFAAUAAAACACHTuJAMJEJ6lMCAACT&#10;BAAADgAAAAAAAAABACAAAAAlAQAAZHJzL2Uyb0RvYy54bWxQSwUGAAAAAAYABgBZAQAA6gUAAAAA&#10;">
                <v:fill on="t" focussize="0,0"/>
                <v:stroke on="f" weight="0.5pt"/>
                <v:imagedata o:title=""/>
                <o:lock v:ext="edit" aspectratio="f"/>
                <v:textbox>
                  <w:txbxContent>
                    <w:p w14:paraId="6CEFF9E9"/>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2004060</wp:posOffset>
                </wp:positionH>
                <wp:positionV relativeFrom="paragraph">
                  <wp:posOffset>2893060</wp:posOffset>
                </wp:positionV>
                <wp:extent cx="1430020" cy="1005205"/>
                <wp:effectExtent l="0" t="0" r="17780" b="4445"/>
                <wp:wrapNone/>
                <wp:docPr id="193" name="文本框 193"/>
                <wp:cNvGraphicFramePr/>
                <a:graphic xmlns:a="http://schemas.openxmlformats.org/drawingml/2006/main">
                  <a:graphicData uri="http://schemas.microsoft.com/office/word/2010/wordprocessingShape">
                    <wps:wsp>
                      <wps:cNvSpPr txBox="1"/>
                      <wps:spPr>
                        <a:xfrm>
                          <a:off x="0" y="0"/>
                          <a:ext cx="1430020" cy="1005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135B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pt;margin-top:227.8pt;height:79.15pt;width:112.6pt;z-index:251680768;mso-width-relative:page;mso-height-relative:page;" fillcolor="#FFFFFF [3201]" filled="t" stroked="f" coordsize="21600,21600" o:gfxdata="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TeSN1gAAAAsBAAAPAAAA&#10;AAAAAAEAIAAAACIAAABkcnMvZG93bnJldi54bWxQSwECFAAUAAAACACHTuJAAwONMVACAACUBAAA&#10;DgAAAAAAAAABACAAAAAlAQAAZHJzL2Uyb0RvYy54bWxQSwUGAAAAAAYABgBZAQAA5wUAAAAA&#10;">
                <v:fill on="t" focussize="0,0"/>
                <v:stroke on="f" weight="0.5pt"/>
                <v:imagedata o:title=""/>
                <o:lock v:ext="edit" aspectratio="f"/>
                <v:textbox>
                  <w:txbxContent>
                    <w:p w14:paraId="1A135BD5"/>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2109470</wp:posOffset>
                </wp:positionH>
                <wp:positionV relativeFrom="paragraph">
                  <wp:posOffset>1866265</wp:posOffset>
                </wp:positionV>
                <wp:extent cx="1991360" cy="910590"/>
                <wp:effectExtent l="0" t="0" r="8890" b="3810"/>
                <wp:wrapNone/>
                <wp:docPr id="192" name="文本框 192"/>
                <wp:cNvGraphicFramePr/>
                <a:graphic xmlns:a="http://schemas.openxmlformats.org/drawingml/2006/main">
                  <a:graphicData uri="http://schemas.microsoft.com/office/word/2010/wordprocessingShape">
                    <wps:wsp>
                      <wps:cNvSpPr txBox="1"/>
                      <wps:spPr>
                        <a:xfrm>
                          <a:off x="0" y="0"/>
                          <a:ext cx="1991360" cy="910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F2211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1pt;margin-top:146.95pt;height:71.7pt;width:156.8pt;z-index:251679744;mso-width-relative:page;mso-height-relative:page;" fillcolor="#FFFFFF [3201]" filled="t" stroked="f" coordsize="21600,21600" o:gfxdata="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apQF9cAAAALAQAA&#10;DwAAAAAAAAABACAAAAAiAAAAZHJzL2Rvd25yZXYueG1sUEsBAhQAFAAAAAgAh07iQHs7jPJTAgAA&#10;kwQAAA4AAAAAAAAAAQAgAAAAJgEAAGRycy9lMm9Eb2MueG1sUEsFBgAAAAAGAAYAWQEAAOsFAAAA&#10;AA==&#10;">
                <v:fill on="t" focussize="0,0"/>
                <v:stroke on="f" weight="0.5pt"/>
                <v:imagedata o:title=""/>
                <o:lock v:ext="edit" aspectratio="f"/>
                <v:textbox>
                  <w:txbxContent>
                    <w:p w14:paraId="11F2211F"/>
                  </w:txbxContent>
                </v:textbox>
              </v:shape>
            </w:pict>
          </mc:Fallback>
        </mc:AlternateContent>
      </w:r>
      <w:r>
        <w:br w:type="page"/>
      </w:r>
    </w:p>
    <w:p w14:paraId="564730C1"/>
    <w:p w14:paraId="4347D918">
      <w:r>
        <w:rPr>
          <w:sz w:val="21"/>
        </w:rPr>
        <mc:AlternateContent>
          <mc:Choice Requires="wps">
            <w:drawing>
              <wp:anchor distT="0" distB="0" distL="114300" distR="114300" simplePos="0" relativeHeight="251686912" behindDoc="0" locked="0" layoutInCell="1" allowOverlap="1">
                <wp:simplePos x="0" y="0"/>
                <wp:positionH relativeFrom="column">
                  <wp:posOffset>3337560</wp:posOffset>
                </wp:positionH>
                <wp:positionV relativeFrom="paragraph">
                  <wp:posOffset>6830060</wp:posOffset>
                </wp:positionV>
                <wp:extent cx="2508885" cy="1174750"/>
                <wp:effectExtent l="0" t="0" r="5715" b="6350"/>
                <wp:wrapNone/>
                <wp:docPr id="199" name="文本框 199"/>
                <wp:cNvGraphicFramePr/>
                <a:graphic xmlns:a="http://schemas.openxmlformats.org/drawingml/2006/main">
                  <a:graphicData uri="http://schemas.microsoft.com/office/word/2010/wordprocessingShape">
                    <wps:wsp>
                      <wps:cNvSpPr txBox="1"/>
                      <wps:spPr>
                        <a:xfrm>
                          <a:off x="0" y="0"/>
                          <a:ext cx="2508885" cy="1174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1FC51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8pt;margin-top:537.8pt;height:92.5pt;width:197.55pt;z-index:251686912;mso-width-relative:page;mso-height-relative:page;" fillcolor="#FFFFFF [3201]" filled="t" stroked="f" coordsize="21600,21600" o:gfxdata="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ro/a1gAAAA0BAAAP&#10;AAAAAAAAAAEAIAAAACIAAABkcnMvZG93bnJldi54bWxQSwECFAAUAAAACACHTuJADcYD7lMCAACU&#10;BAAADgAAAAAAAAABACAAAAAlAQAAZHJzL2Uyb0RvYy54bWxQSwUGAAAAAAYABgBZAQAA6gUAAAAA&#10;">
                <v:fill on="t" focussize="0,0"/>
                <v:stroke on="f" weight="0.5pt"/>
                <v:imagedata o:title=""/>
                <o:lock v:ext="edit" aspectratio="f"/>
                <v:textbox>
                  <w:txbxContent>
                    <w:p w14:paraId="5A1FC512"/>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1168400</wp:posOffset>
                </wp:positionH>
                <wp:positionV relativeFrom="paragraph">
                  <wp:posOffset>775970</wp:posOffset>
                </wp:positionV>
                <wp:extent cx="1778635" cy="307340"/>
                <wp:effectExtent l="0" t="0" r="12065" b="16510"/>
                <wp:wrapNone/>
                <wp:docPr id="198" name="文本框 198"/>
                <wp:cNvGraphicFramePr/>
                <a:graphic xmlns:a="http://schemas.openxmlformats.org/drawingml/2006/main">
                  <a:graphicData uri="http://schemas.microsoft.com/office/word/2010/wordprocessingShape">
                    <wps:wsp>
                      <wps:cNvSpPr txBox="1"/>
                      <wps:spPr>
                        <a:xfrm>
                          <a:off x="0" y="0"/>
                          <a:ext cx="177863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889A1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pt;margin-top:61.1pt;height:24.2pt;width:140.05pt;z-index:251685888;mso-width-relative:page;mso-height-relative:page;" fillcolor="#FFFFFF [3201]" filled="t" stroked="f" coordsize="21600,21600" o:gfxdata="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M6V5bWAAAACwEAAA8A&#10;AAAAAAAAAQAgAAAAIgAAAGRycy9kb3ducmV2LnhtbFBLAQIUABQAAAAIAIdO4kAJMvBKUgIAAJME&#10;AAAOAAAAAAAAAAEAIAAAACUBAABkcnMvZTJvRG9jLnhtbFBLBQYAAAAABgAGAFkBAADpBQAAAAA=&#10;">
                <v:fill on="t" focussize="0,0"/>
                <v:stroke on="f" weight="0.5pt"/>
                <v:imagedata o:title=""/>
                <o:lock v:ext="edit" aspectratio="f"/>
                <v:textbox>
                  <w:txbxContent>
                    <w:p w14:paraId="0A889A11"/>
                  </w:txbxContent>
                </v:textbox>
              </v:shape>
            </w:pict>
          </mc:Fallback>
        </mc:AlternateContent>
      </w:r>
      <w:r>
        <w:br w:type="page"/>
      </w:r>
    </w:p>
    <w:p w14:paraId="66B27709">
      <w:r>
        <w:rPr>
          <w:sz w:val="21"/>
        </w:rPr>
        <mc:AlternateContent>
          <mc:Choice Requires="wps">
            <w:drawing>
              <wp:anchor distT="0" distB="0" distL="114300" distR="114300" simplePos="0" relativeHeight="251688960" behindDoc="0" locked="0" layoutInCell="1" allowOverlap="1">
                <wp:simplePos x="0" y="0"/>
                <wp:positionH relativeFrom="column">
                  <wp:posOffset>988060</wp:posOffset>
                </wp:positionH>
                <wp:positionV relativeFrom="paragraph">
                  <wp:posOffset>3380740</wp:posOffset>
                </wp:positionV>
                <wp:extent cx="1377315" cy="370840"/>
                <wp:effectExtent l="0" t="0" r="13335" b="10160"/>
                <wp:wrapNone/>
                <wp:docPr id="201" name="文本框 201"/>
                <wp:cNvGraphicFramePr/>
                <a:graphic xmlns:a="http://schemas.openxmlformats.org/drawingml/2006/main">
                  <a:graphicData uri="http://schemas.microsoft.com/office/word/2010/wordprocessingShape">
                    <wps:wsp>
                      <wps:cNvSpPr txBox="1"/>
                      <wps:spPr>
                        <a:xfrm>
                          <a:off x="0" y="0"/>
                          <a:ext cx="1377315" cy="3708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BD738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8pt;margin-top:266.2pt;height:29.2pt;width:108.45pt;z-index:251688960;mso-width-relative:page;mso-height-relative:page;" fillcolor="#FFFFFF [3201]" filled="t" stroked="f" coordsize="21600,21600" o:gfxdata="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s9pr1gAAAAsBAAAP&#10;AAAAAAAAAAEAIAAAACIAAABkcnMvZG93bnJldi54bWxQSwECFAAUAAAACACHTuJA9oJQ51MCAACT&#10;BAAADgAAAAAAAAABACAAAAAlAQAAZHJzL2Uyb0RvYy54bWxQSwUGAAAAAAYABgBZAQAA6gUAAAAA&#10;">
                <v:fill on="t" focussize="0,0"/>
                <v:stroke on="f" weight="0.5pt"/>
                <v:imagedata o:title=""/>
                <o:lock v:ext="edit" aspectratio="f"/>
                <v:textbox>
                  <w:txbxContent>
                    <w:p w14:paraId="22BD7383"/>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4733925</wp:posOffset>
                </wp:positionH>
                <wp:positionV relativeFrom="paragraph">
                  <wp:posOffset>816610</wp:posOffset>
                </wp:positionV>
                <wp:extent cx="520065" cy="307340"/>
                <wp:effectExtent l="0" t="0" r="13335" b="16510"/>
                <wp:wrapNone/>
                <wp:docPr id="200" name="文本框 200"/>
                <wp:cNvGraphicFramePr/>
                <a:graphic xmlns:a="http://schemas.openxmlformats.org/drawingml/2006/main">
                  <a:graphicData uri="http://schemas.microsoft.com/office/word/2010/wordprocessingShape">
                    <wps:wsp>
                      <wps:cNvSpPr txBox="1"/>
                      <wps:spPr>
                        <a:xfrm>
                          <a:off x="0" y="0"/>
                          <a:ext cx="520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AEC57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75pt;margin-top:64.3pt;height:24.2pt;width:40.95pt;z-index:251687936;mso-width-relative:page;mso-height-relative:page;" fillcolor="#FFFFFF [3201]" filled="t" stroked="f" coordsize="21600,21600" o:gfxdata="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Ag4i9YAAAALAQAADwAA&#10;AAAAAAABACAAAAAiAAAAZHJzL2Rvd25yZXYueG1sUEsBAhQAFAAAAAgAh07iQDaLZOZRAgAAkgQA&#10;AA4AAAAAAAAAAQAgAAAAJQEAAGRycy9lMm9Eb2MueG1sUEsFBgAAAAAGAAYAWQEAAOgFAAAAAA==&#10;">
                <v:fill on="t" focussize="0,0"/>
                <v:stroke on="f" weight="0.5pt"/>
                <v:imagedata o:title=""/>
                <o:lock v:ext="edit" aspectratio="f"/>
                <v:textbox>
                  <w:txbxContent>
                    <w:p w14:paraId="71AEC576"/>
                  </w:txbxContent>
                </v:textbox>
              </v:shape>
            </w:pict>
          </mc:Fallback>
        </mc:AlternateContent>
      </w:r>
      <w:r>
        <w:br w:type="page"/>
      </w:r>
    </w:p>
    <w:p w14:paraId="385B2C08">
      <w:r>
        <w:rPr>
          <w:sz w:val="21"/>
        </w:rPr>
        <mc:AlternateContent>
          <mc:Choice Requires="wps">
            <w:drawing>
              <wp:anchor distT="0" distB="0" distL="114300" distR="114300" simplePos="0" relativeHeight="251689984" behindDoc="0" locked="0" layoutInCell="1" allowOverlap="1">
                <wp:simplePos x="0" y="0"/>
                <wp:positionH relativeFrom="column">
                  <wp:posOffset>1432560</wp:posOffset>
                </wp:positionH>
                <wp:positionV relativeFrom="paragraph">
                  <wp:posOffset>6830695</wp:posOffset>
                </wp:positionV>
                <wp:extent cx="382270" cy="1365250"/>
                <wp:effectExtent l="0" t="0" r="17780" b="6350"/>
                <wp:wrapNone/>
                <wp:docPr id="202" name="文本框 202"/>
                <wp:cNvGraphicFramePr/>
                <a:graphic xmlns:a="http://schemas.openxmlformats.org/drawingml/2006/main">
                  <a:graphicData uri="http://schemas.microsoft.com/office/word/2010/wordprocessingShape">
                    <wps:wsp>
                      <wps:cNvSpPr txBox="1"/>
                      <wps:spPr>
                        <a:xfrm>
                          <a:off x="0" y="0"/>
                          <a:ext cx="382270" cy="1365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AD484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pt;margin-top:537.85pt;height:107.5pt;width:30.1pt;z-index:251689984;mso-width-relative:page;mso-height-relative:page;" fillcolor="#FFFFFF [3201]" filled="t" stroked="f" coordsize="21600,21600" o:gfxdata="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hHkG1wAAAA0BAAAP&#10;AAAAAAAAAAEAIAAAACIAAABkcnMvZG93bnJldi54bWxQSwECFAAUAAAACACHTuJAwO73o1ICAACT&#10;BAAADgAAAAAAAAABACAAAAAmAQAAZHJzL2Uyb0RvYy54bWxQSwUGAAAAAAYABgBZAQAA6gUAAAAA&#10;">
                <v:fill on="t" focussize="0,0"/>
                <v:stroke on="f" weight="0.5pt"/>
                <v:imagedata o:title=""/>
                <o:lock v:ext="edit" aspectratio="f"/>
                <v:textbox>
                  <w:txbxContent>
                    <w:p w14:paraId="52AD4849"/>
                  </w:txbxContent>
                </v:textbox>
              </v:shape>
            </w:pict>
          </mc:Fallback>
        </mc:AlternateContent>
      </w:r>
      <w:r>
        <w:br w:type="page"/>
      </w:r>
    </w:p>
    <w:p w14:paraId="2AEFF177">
      <w:r>
        <w:rPr>
          <w:sz w:val="21"/>
        </w:rPr>
        <mc:AlternateContent>
          <mc:Choice Requires="wps">
            <w:drawing>
              <wp:anchor distT="0" distB="0" distL="114300" distR="114300" simplePos="0" relativeHeight="251694080" behindDoc="0" locked="0" layoutInCell="1" allowOverlap="1">
                <wp:simplePos x="0" y="0"/>
                <wp:positionH relativeFrom="column">
                  <wp:posOffset>4480560</wp:posOffset>
                </wp:positionH>
                <wp:positionV relativeFrom="paragraph">
                  <wp:posOffset>6354445</wp:posOffset>
                </wp:positionV>
                <wp:extent cx="879475" cy="465455"/>
                <wp:effectExtent l="0" t="0" r="15875" b="10795"/>
                <wp:wrapNone/>
                <wp:docPr id="206" name="文本框 206"/>
                <wp:cNvGraphicFramePr/>
                <a:graphic xmlns:a="http://schemas.openxmlformats.org/drawingml/2006/main">
                  <a:graphicData uri="http://schemas.microsoft.com/office/word/2010/wordprocessingShape">
                    <wps:wsp>
                      <wps:cNvSpPr txBox="1"/>
                      <wps:spPr>
                        <a:xfrm>
                          <a:off x="0" y="0"/>
                          <a:ext cx="879475" cy="465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8A32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500.35pt;height:36.65pt;width:69.25pt;z-index:251694080;mso-width-relative:page;mso-height-relative:page;" fillcolor="#FFFFFF [3201]" filled="t" stroked="f" coordsize="21600,21600" o:gfxdata="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LWKkvWAAAADQEAAA8A&#10;AAAAAAAAAQAgAAAAIgAAAGRycy9kb3ducmV2LnhtbFBLAQIUABQAAAAIAIdO4kDaSuEAUgIAAJIE&#10;AAAOAAAAAAAAAAEAIAAAACUBAABkcnMvZTJvRG9jLnhtbFBLBQYAAAAABgAGAFkBAADpBQAAAAA=&#10;">
                <v:fill on="t" focussize="0,0"/>
                <v:stroke on="f" weight="0.5pt"/>
                <v:imagedata o:title=""/>
                <o:lock v:ext="edit" aspectratio="f"/>
                <v:textbox>
                  <w:txbxContent>
                    <w:p w14:paraId="158A3268"/>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2470150</wp:posOffset>
                </wp:positionH>
                <wp:positionV relativeFrom="paragraph">
                  <wp:posOffset>1433195</wp:posOffset>
                </wp:positionV>
                <wp:extent cx="1641475" cy="307340"/>
                <wp:effectExtent l="0" t="0" r="15875" b="16510"/>
                <wp:wrapNone/>
                <wp:docPr id="205" name="文本框 205"/>
                <wp:cNvGraphicFramePr/>
                <a:graphic xmlns:a="http://schemas.openxmlformats.org/drawingml/2006/main">
                  <a:graphicData uri="http://schemas.microsoft.com/office/word/2010/wordprocessingShape">
                    <wps:wsp>
                      <wps:cNvSpPr txBox="1"/>
                      <wps:spPr>
                        <a:xfrm>
                          <a:off x="0" y="0"/>
                          <a:ext cx="164147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67A94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pt;margin-top:112.85pt;height:24.2pt;width:129.25pt;z-index:251693056;mso-width-relative:page;mso-height-relative:page;" fillcolor="#FFFFFF [3201]" filled="t" stroked="f" coordsize="21600,21600" o:gfxdata="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JcbZDXAAAACwEA&#10;AA8AAAAAAAAAAQAgAAAAIgAAAGRycy9kb3ducmV2LnhtbFBLAQIUABQAAAAIAIdO4kCV9fdrVAIA&#10;AJMEAAAOAAAAAAAAAAEAIAAAACYBAABkcnMvZTJvRG9jLnhtbFBLBQYAAAAABgAGAFkBAADsBQAA&#10;AAA=&#10;">
                <v:fill on="t" focussize="0,0"/>
                <v:stroke on="f" weight="0.5pt"/>
                <v:imagedata o:title=""/>
                <o:lock v:ext="edit" aspectratio="f"/>
                <v:textbox>
                  <w:txbxContent>
                    <w:p w14:paraId="7C67A943"/>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3305810</wp:posOffset>
                </wp:positionH>
                <wp:positionV relativeFrom="paragraph">
                  <wp:posOffset>756285</wp:posOffset>
                </wp:positionV>
                <wp:extent cx="1757680" cy="307340"/>
                <wp:effectExtent l="0" t="0" r="13970" b="16510"/>
                <wp:wrapNone/>
                <wp:docPr id="204" name="文本框 204"/>
                <wp:cNvGraphicFramePr/>
                <a:graphic xmlns:a="http://schemas.openxmlformats.org/drawingml/2006/main">
                  <a:graphicData uri="http://schemas.microsoft.com/office/word/2010/wordprocessingShape">
                    <wps:wsp>
                      <wps:cNvSpPr txBox="1"/>
                      <wps:spPr>
                        <a:xfrm>
                          <a:off x="0" y="0"/>
                          <a:ext cx="175768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7A2C9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3pt;margin-top:59.55pt;height:24.2pt;width:138.4pt;z-index:251692032;mso-width-relative:page;mso-height-relative:page;" fillcolor="#FFFFFF [3201]" filled="t" stroked="f" coordsize="21600,21600" o:gfxdata="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tfFvNYAAAALAQAA&#10;DwAAAAAAAAABACAAAAAiAAAAZHJzL2Rvd25yZXYueG1sUEsBAhQAFAAAAAgAh07iQA3KgFVUAgAA&#10;kwQAAA4AAAAAAAAAAQAgAAAAJQEAAGRycy9lMm9Eb2MueG1sUEsFBgAAAAAGAAYAWQEAAOsFAAAA&#10;AA==&#10;">
                <v:fill on="t" focussize="0,0"/>
                <v:stroke on="f" weight="0.5pt"/>
                <v:imagedata o:title=""/>
                <o:lock v:ext="edit" aspectratio="f"/>
                <v:textbox>
                  <w:txbxContent>
                    <w:p w14:paraId="247A2C91"/>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1283970</wp:posOffset>
                </wp:positionH>
                <wp:positionV relativeFrom="paragraph">
                  <wp:posOffset>763905</wp:posOffset>
                </wp:positionV>
                <wp:extent cx="520065" cy="307340"/>
                <wp:effectExtent l="0" t="0" r="13335" b="16510"/>
                <wp:wrapNone/>
                <wp:docPr id="203" name="文本框 203"/>
                <wp:cNvGraphicFramePr/>
                <a:graphic xmlns:a="http://schemas.openxmlformats.org/drawingml/2006/main">
                  <a:graphicData uri="http://schemas.microsoft.com/office/word/2010/wordprocessingShape">
                    <wps:wsp>
                      <wps:cNvSpPr txBox="1"/>
                      <wps:spPr>
                        <a:xfrm>
                          <a:off x="0" y="0"/>
                          <a:ext cx="520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42703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1pt;margin-top:60.15pt;height:24.2pt;width:40.95pt;z-index:251691008;mso-width-relative:page;mso-height-relative:page;" fillcolor="#FFFFFF [3201]" filled="t" stroked="f" coordsize="21600,21600" o:gfxdata="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Y+07vWAAAACwEAAA8A&#10;AAAAAAAAAQAgAAAAIgAAAGRycy9kb3ducmV2LnhtbFBLAQIUABQAAAAIAIdO4kDZucAAUgIAAJIE&#10;AAAOAAAAAAAAAAEAIAAAACUBAABkcnMvZTJvRG9jLnhtbFBLBQYAAAAABgAGAFkBAADpBQAAAAA=&#10;">
                <v:fill on="t" focussize="0,0"/>
                <v:stroke on="f" weight="0.5pt"/>
                <v:imagedata o:title=""/>
                <o:lock v:ext="edit" aspectratio="f"/>
                <v:textbox>
                  <w:txbxContent>
                    <w:p w14:paraId="4E42703D"/>
                  </w:txbxContent>
                </v:textbox>
              </v:shape>
            </w:pict>
          </mc:Fallback>
        </mc:AlternateContent>
      </w:r>
      <w:r>
        <w:br w:type="page"/>
      </w:r>
    </w:p>
    <w:p w14:paraId="7CB4F02A">
      <w:r>
        <w:rPr>
          <w:sz w:val="21"/>
        </w:rPr>
        <mc:AlternateContent>
          <mc:Choice Requires="wps">
            <w:drawing>
              <wp:anchor distT="0" distB="0" distL="114300" distR="114300" simplePos="0" relativeHeight="251698176" behindDoc="0" locked="0" layoutInCell="1" allowOverlap="1">
                <wp:simplePos x="0" y="0"/>
                <wp:positionH relativeFrom="column">
                  <wp:posOffset>4565015</wp:posOffset>
                </wp:positionH>
                <wp:positionV relativeFrom="paragraph">
                  <wp:posOffset>6322695</wp:posOffset>
                </wp:positionV>
                <wp:extent cx="1282065" cy="751205"/>
                <wp:effectExtent l="0" t="0" r="13335" b="10795"/>
                <wp:wrapNone/>
                <wp:docPr id="210" name="文本框 210"/>
                <wp:cNvGraphicFramePr/>
                <a:graphic xmlns:a="http://schemas.openxmlformats.org/drawingml/2006/main">
                  <a:graphicData uri="http://schemas.microsoft.com/office/word/2010/wordprocessingShape">
                    <wps:wsp>
                      <wps:cNvSpPr txBox="1"/>
                      <wps:spPr>
                        <a:xfrm>
                          <a:off x="0" y="0"/>
                          <a:ext cx="1282065" cy="751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CE1D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45pt;margin-top:497.85pt;height:59.15pt;width:100.95pt;z-index:251698176;mso-width-relative:page;mso-height-relative:page;" fillcolor="#FFFFFF [3201]" filled="t" stroked="f" coordsize="21600,21600" o:gfxdata="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U92j9YAAAAMAQAADwAA&#10;AAAAAAABACAAAAAiAAAAZHJzL2Rvd25yZXYueG1sUEsBAhQAFAAAAAgAh07iQND684lRAgAAkwQA&#10;AA4AAAAAAAAAAQAgAAAAJQEAAGRycy9lMm9Eb2MueG1sUEsFBgAAAAAGAAYAWQEAAOgFAAAAAA==&#10;">
                <v:fill on="t" focussize="0,0"/>
                <v:stroke on="f" weight="0.5pt"/>
                <v:imagedata o:title=""/>
                <o:lock v:ext="edit" aspectratio="f"/>
                <v:textbox>
                  <w:txbxContent>
                    <w:p w14:paraId="79CE1D2E"/>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2459355</wp:posOffset>
                </wp:positionH>
                <wp:positionV relativeFrom="paragraph">
                  <wp:posOffset>1506855</wp:posOffset>
                </wp:positionV>
                <wp:extent cx="1715135" cy="307340"/>
                <wp:effectExtent l="0" t="0" r="18415" b="16510"/>
                <wp:wrapNone/>
                <wp:docPr id="209" name="文本框 209"/>
                <wp:cNvGraphicFramePr/>
                <a:graphic xmlns:a="http://schemas.openxmlformats.org/drawingml/2006/main">
                  <a:graphicData uri="http://schemas.microsoft.com/office/word/2010/wordprocessingShape">
                    <wps:wsp>
                      <wps:cNvSpPr txBox="1"/>
                      <wps:spPr>
                        <a:xfrm>
                          <a:off x="0" y="0"/>
                          <a:ext cx="171513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BF583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5pt;margin-top:118.65pt;height:24.2pt;width:135.05pt;z-index:251697152;mso-width-relative:page;mso-height-relative:page;" fillcolor="#FFFFFF [3201]" filled="t" stroked="f" coordsize="21600,21600" o:gfxdata="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buyjWAAAACwEA&#10;AA8AAAAAAAAAAQAgAAAAIgAAAGRycy9kb3ducmV2LnhtbFBLAQIUABQAAAAIAIdO4kDRq7IJVQIA&#10;AJMEAAAOAAAAAAAAAAEAIAAAACUBAABkcnMvZTJvRG9jLnhtbFBLBQYAAAAABgAGAFkBAADsBQAA&#10;AAA=&#10;">
                <v:fill on="t" focussize="0,0"/>
                <v:stroke on="f" weight="0.5pt"/>
                <v:imagedata o:title=""/>
                <o:lock v:ext="edit" aspectratio="f"/>
                <v:textbox>
                  <w:txbxContent>
                    <w:p w14:paraId="5DBF583F"/>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3337560</wp:posOffset>
                </wp:positionH>
                <wp:positionV relativeFrom="paragraph">
                  <wp:posOffset>819150</wp:posOffset>
                </wp:positionV>
                <wp:extent cx="1716405" cy="307340"/>
                <wp:effectExtent l="0" t="0" r="17145" b="16510"/>
                <wp:wrapNone/>
                <wp:docPr id="208" name="文本框 208"/>
                <wp:cNvGraphicFramePr/>
                <a:graphic xmlns:a="http://schemas.openxmlformats.org/drawingml/2006/main">
                  <a:graphicData uri="http://schemas.microsoft.com/office/word/2010/wordprocessingShape">
                    <wps:wsp>
                      <wps:cNvSpPr txBox="1"/>
                      <wps:spPr>
                        <a:xfrm>
                          <a:off x="0" y="0"/>
                          <a:ext cx="171640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E75A4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8pt;margin-top:64.5pt;height:24.2pt;width:135.15pt;z-index:251696128;mso-width-relative:page;mso-height-relative:page;" fillcolor="#FFFFFF [3201]" filled="t" stroked="f" coordsize="21600,21600" o:gfxdata="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ay4fNYAAAALAQAA&#10;DwAAAAAAAAABACAAAAAiAAAAZHJzL2Rvd25yZXYueG1sUEsBAhQAFAAAAAgAh07iQEEXvGNUAgAA&#10;kwQAAA4AAAAAAAAAAQAgAAAAJQEAAGRycy9lMm9Eb2MueG1sUEsFBgAAAAAGAAYAWQEAAOsFAAAA&#10;AA==&#10;">
                <v:fill on="t" focussize="0,0"/>
                <v:stroke on="f" weight="0.5pt"/>
                <v:imagedata o:title=""/>
                <o:lock v:ext="edit" aspectratio="f"/>
                <v:textbox>
                  <w:txbxContent>
                    <w:p w14:paraId="53E75A41"/>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1283970</wp:posOffset>
                </wp:positionH>
                <wp:positionV relativeFrom="paragraph">
                  <wp:posOffset>713105</wp:posOffset>
                </wp:positionV>
                <wp:extent cx="520065" cy="307340"/>
                <wp:effectExtent l="0" t="0" r="13335" b="16510"/>
                <wp:wrapNone/>
                <wp:docPr id="207" name="文本框 207"/>
                <wp:cNvGraphicFramePr/>
                <a:graphic xmlns:a="http://schemas.openxmlformats.org/drawingml/2006/main">
                  <a:graphicData uri="http://schemas.microsoft.com/office/word/2010/wordprocessingShape">
                    <wps:wsp>
                      <wps:cNvSpPr txBox="1"/>
                      <wps:spPr>
                        <a:xfrm>
                          <a:off x="0" y="0"/>
                          <a:ext cx="520065"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6573D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1pt;margin-top:56.15pt;height:24.2pt;width:40.95pt;z-index:251695104;mso-width-relative:page;mso-height-relative:page;" fillcolor="#FFFFFF [3201]" filled="t" stroked="f" coordsize="21600,21600" o:gfxdata="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gnzNdUAAAALAQAADwAA&#10;AAAAAAABACAAAAAiAAAAZHJzL2Rvd25yZXYueG1sUEsBAhQAFAAAAAgAh07iQAz5wa1SAgAAkgQA&#10;AA4AAAAAAAAAAQAgAAAAJAEAAGRycy9lMm9Eb2MueG1sUEsFBgAAAAAGAAYAWQEAAOgFAAAAAA==&#10;">
                <v:fill on="t" focussize="0,0"/>
                <v:stroke on="f" weight="0.5pt"/>
                <v:imagedata o:title=""/>
                <o:lock v:ext="edit" aspectratio="f"/>
                <v:textbox>
                  <w:txbxContent>
                    <w:p w14:paraId="616573D9"/>
                  </w:txbxContent>
                </v:textbox>
              </v:shape>
            </w:pict>
          </mc:Fallback>
        </mc:AlternateContent>
      </w:r>
      <w:r>
        <w:br w:type="page"/>
      </w:r>
    </w:p>
    <w:sdt>
      <w:sdtPr>
        <w:rPr>
          <w:rFonts w:ascii="宋体" w:hAnsi="宋体" w:eastAsia="宋体" w:cs="Times New Roman"/>
          <w:kern w:val="2"/>
          <w:sz w:val="21"/>
          <w:szCs w:val="24"/>
          <w:lang w:val="en-US" w:eastAsia="zh-CN" w:bidi="ar-SA"/>
        </w:rPr>
        <w:id w:val="147461123"/>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76B65237">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14:paraId="5C47422F">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"1-3"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5B2793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FC7DAAE">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2.1 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EDCD9E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_Toc8414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2.2工程概况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9839E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_Toc9404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2.2.1 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1C388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2.2.2 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C12F8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_Toc18841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2.2.3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BE38F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_Toc24491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2.2.4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CF8D0F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_Toc30151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2.2.5 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D166A85">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2.2.6 项目主要原辅材料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9D29D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_Toc31186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9086A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_Toc13719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D0DAE5">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8CC64CA">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EE2CF3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_Toc13788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D5ED0DC">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_Toc29722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_Toc29722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4AD182A">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CFDE2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ED4C4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5686283">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_Toc13108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D93727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32308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_Toc4828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_Toc4828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38DBC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_Toc27787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9F26ED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_Toc28348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_Toc28348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25B1AB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_Toc20954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8ED696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_Toc25881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2A95D7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_Toc18566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ED5B80A">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_Toc3574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AB17B9">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_Toc22767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3.7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E46B69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_Toc9944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3.7.1 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FF6E3C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3.7.2 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8EDB60">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89C469">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_Toc4224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3.7.4固废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C926A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_Toc11226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22A8E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_Toc24744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_Toc24744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D504D9">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_Toc8925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0D9DC0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_Toc6870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2C60F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_Toc5587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6CFDE7">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_Toc24593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 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_Toc24593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5BF7C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 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8C022D">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F6CD5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_Toc25956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924998">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7830AC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_Toc22065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18835B">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_Toc22874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_Toc22874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7429B50">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_Toc5960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4D44823">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_Toc20783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30842FE">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_Toc10899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_Toc10899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F5B00C1">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_Toc8846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A7B0DB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B292982">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_Toc21337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 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7721B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_Toc16892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_Toc16892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27A5AC">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6D73A6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_Toc26263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25579E8">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_Toc22084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 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38996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 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_Toc19666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19275F">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509A644">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_Toc27752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B360E36">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 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2E9CE0F">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_Toc29837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 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55D6887">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_Toc4336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F18E40F">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_Toc30083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0BD5B4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_Toc28805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A1DD567">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_Toc17280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CC6A4A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_Toc17929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4A657B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_Toc9821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附图一：项目地理位置图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DDCDC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_Toc16118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附图二：项目周边环境现状示意图及环境保护目标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_Toc16118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56703A">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附图三：项目周边环境现状照片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21AF86E">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_Toc11955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附图四：规划用地布局图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32C79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_Toc18044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附图五：均和云谷·福清科技港平面布置图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_Toc18044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7F9CDB3">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_Toc9922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附图六：项目平面布置图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7B4C2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_Toc12225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附图七：福建省生态环境分区管控数据应用平台查询结果截图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7B79A0">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_Toc30575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附件一：项目委托书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73F4AB">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_Toc5007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EBE1955">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附件三：法人身份信息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171C1C1">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附件四：项目发改备案表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C876458">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_Toc11398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附件五：厂房购置合同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_Toc11398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55A706B">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附件六：不动产登记信息查询结果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9E9E761">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附件七：入园申请手续函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5CC919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附件八：化粪池依托协议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3A845E6">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_Toc29810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附件九：接管证明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D06C71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_Toc30449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附件十：公开说明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18EBC2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附件十一：关于环评文件公开文本删除的涉及国家秘密、商业秘密等内容的删除依据和理由说明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_Toc9717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338868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附件十二：环评审批申请报告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E219B8">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附件十三：申请环评批复报告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7AA3E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_Toc27233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附件十四：总量承诺函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BB6706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_Toc26446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附件十五：福建省生态环境分区管控综合查询报告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C1BD68B">
          <w:pPr>
            <w:pStyle w:val="18"/>
            <w:tabs>
              <w:tab w:val="right" w:leader="dot" w:pos="9072"/>
            </w:tabs>
          </w:pPr>
        </w:p>
        <w:p w14:paraId="17E2B0A5">
          <w:pPr>
            <w:keepNext w:val="0"/>
            <w:keepLines w:val="0"/>
            <w:pageBreakBefore w:val="0"/>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Cs w:val="24"/>
            </w:rPr>
            <w:fldChar w:fldCharType="end"/>
          </w:r>
        </w:p>
      </w:sdtContent>
    </w:sdt>
    <w:p w14:paraId="7EF429C7"/>
    <w:p w14:paraId="22FDC1E8">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bookmarkStart w:id="9" w:name="_Toc9208"/>
      <w:bookmarkStart w:id="10" w:name="_Toc29265"/>
    </w:p>
    <w:p w14:paraId="1D12498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1" w:name="_Toc16304"/>
      <w:r>
        <w:rPr>
          <w:rFonts w:hint="default" w:ascii="Times New Roman" w:hAnsi="Times New Roman" w:eastAsia="黑体" w:cs="Times New Roman"/>
          <w:snapToGrid w:val="0"/>
          <w:color w:val="auto"/>
          <w:sz w:val="30"/>
          <w:szCs w:val="30"/>
          <w:u w:val="none"/>
          <w:lang w:val="en-US" w:eastAsia="zh-CN"/>
        </w:rPr>
        <w:t>一、建设项目基本情况</w:t>
      </w:r>
      <w:bookmarkEnd w:id="9"/>
      <w:bookmarkEnd w:id="10"/>
      <w:bookmarkEnd w:id="11"/>
    </w:p>
    <w:tbl>
      <w:tblPr>
        <w:tblStyle w:val="22"/>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73"/>
        <w:gridCol w:w="1126"/>
        <w:gridCol w:w="2238"/>
        <w:gridCol w:w="1557"/>
        <w:gridCol w:w="319"/>
        <w:gridCol w:w="3047"/>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1048"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51"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福清大松模具有限公司年加工汽车塑料配件</w:t>
            </w:r>
            <w:r>
              <w:rPr>
                <w:rFonts w:hint="default" w:ascii="Times New Roman" w:hAnsi="Times New Roman" w:eastAsia="宋体" w:cs="Times New Roman"/>
                <w:color w:val="auto"/>
                <w:sz w:val="24"/>
                <w:szCs w:val="24"/>
                <w:u w:val="none"/>
                <w:lang w:val="en-US" w:eastAsia="zh-CN"/>
              </w:rPr>
              <w:t>83万套项目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048"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3951"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2509-350181-04-01-746706</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048"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235"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35"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680"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048"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51" w:type="pct"/>
            <w:gridSpan w:val="4"/>
            <w:noWrap w:val="0"/>
            <w:vAlign w:val="center"/>
          </w:tcPr>
          <w:p w14:paraId="51479F0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8"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51"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119  </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26</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分</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4.338</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 xml:space="preserve"> 2</w:t>
            </w:r>
            <w:r>
              <w:rPr>
                <w:rFonts w:hint="eastAsia"/>
                <w:color w:val="000000" w:themeColor="text1"/>
                <w:sz w:val="24"/>
                <w:highlight w:val="none"/>
                <w:u w:val="single"/>
                <w14:textFill>
                  <w14:solidFill>
                    <w14:schemeClr w14:val="tx1"/>
                  </w14:solidFill>
                </w14:textFill>
              </w:rPr>
              <w:t>5</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45</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分</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lang w:val="en-US" w:eastAsia="zh-CN"/>
                <w14:textFill>
                  <w14:solidFill>
                    <w14:schemeClr w14:val="tx1"/>
                  </w14:solidFill>
                </w14:textFill>
              </w:rPr>
              <w:t>58.139</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地理位置图详见</w:t>
            </w:r>
            <w:r>
              <w:rPr>
                <w:rFonts w:hint="default" w:ascii="Times New Roman" w:hAnsi="Times New Roman" w:eastAsia="宋体" w:cs="Times New Roman"/>
                <w:b/>
                <w:bCs/>
                <w:color w:val="000000" w:themeColor="text1"/>
                <w:sz w:val="24"/>
                <w:szCs w:val="24"/>
                <w:highlight w:val="none"/>
                <w:u w:val="none"/>
                <w:lang w:eastAsia="zh-CN"/>
                <w14:textFill>
                  <w14:solidFill>
                    <w14:schemeClr w14:val="tx1"/>
                  </w14:solidFill>
                </w14:textFill>
              </w:rPr>
              <w:t>附图</w:t>
            </w:r>
            <w:r>
              <w:rPr>
                <w:rFonts w:hint="eastAsia" w:cs="Times New Roman"/>
                <w:b/>
                <w:bCs/>
                <w:color w:val="000000" w:themeColor="text1"/>
                <w:sz w:val="24"/>
                <w:szCs w:val="24"/>
                <w:highlight w:val="none"/>
                <w:u w:val="none"/>
                <w:lang w:val="en-US" w:eastAsia="zh-CN"/>
                <w14:textFill>
                  <w14:solidFill>
                    <w14:schemeClr w14:val="tx1"/>
                  </w14:solidFill>
                </w14:textFill>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8"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235" w:type="pct"/>
            <w:noWrap w:val="0"/>
            <w:vAlign w:val="center"/>
          </w:tcPr>
          <w:p w14:paraId="5BFD1D9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C2929塑料零件及其他</w:t>
            </w:r>
            <w:r>
              <w:rPr>
                <w:rFonts w:hint="eastAsia" w:cs="Times New Roman"/>
                <w:b w:val="0"/>
                <w:bCs w:val="0"/>
                <w:color w:val="000000" w:themeColor="text1"/>
                <w:sz w:val="24"/>
                <w:szCs w:val="24"/>
                <w:highlight w:val="none"/>
                <w:u w:val="none"/>
                <w:lang w:val="en-US" w:eastAsia="zh-CN"/>
                <w14:textFill>
                  <w14:solidFill>
                    <w14:schemeClr w14:val="tx1"/>
                  </w14:solidFill>
                </w14:textFill>
              </w:rPr>
              <w:t>塑料制品业</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C3670汽车零部件及配件制造</w:t>
            </w:r>
            <w:r>
              <w:rPr>
                <w:rFonts w:hint="eastAsia" w:cs="Times New Roman"/>
                <w:color w:val="000000" w:themeColor="text1"/>
                <w:sz w:val="24"/>
                <w:szCs w:val="24"/>
                <w:highlight w:val="none"/>
                <w:u w:val="none"/>
                <w:lang w:val="en-US" w:eastAsia="zh-CN"/>
                <w14:textFill>
                  <w14:solidFill>
                    <w14:schemeClr w14:val="tx1"/>
                  </w14:solidFill>
                </w14:textFill>
              </w:rPr>
              <w:t>；</w:t>
            </w:r>
          </w:p>
        </w:tc>
        <w:tc>
          <w:tcPr>
            <w:tcW w:w="859"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行业类别</w:t>
            </w:r>
          </w:p>
        </w:tc>
        <w:tc>
          <w:tcPr>
            <w:tcW w:w="1856" w:type="pct"/>
            <w:gridSpan w:val="2"/>
            <w:noWrap w:val="0"/>
            <w:vAlign w:val="center"/>
          </w:tcPr>
          <w:p w14:paraId="23C5EFA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二十六、橡胶和塑料制品业 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9-53 塑料制品业 292-其他；三十三、汽车制造业 36-71 汽车零部件及配件制造 367</w:t>
            </w:r>
            <w:r>
              <w:rPr>
                <w:rFonts w:hint="eastAsia" w:cs="Times New Roman"/>
                <w:color w:val="000000" w:themeColor="text1"/>
                <w:sz w:val="24"/>
                <w:szCs w:val="24"/>
                <w:highlight w:val="none"/>
                <w:u w:val="none"/>
                <w:lang w:val="en-US" w:eastAsia="zh-CN"/>
                <w14:textFill>
                  <w14:solidFill>
                    <w14:schemeClr w14:val="tx1"/>
                  </w14:solidFill>
                </w14:textFill>
              </w:rPr>
              <w:t>-其他</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8"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235"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技术改造</w:t>
            </w:r>
          </w:p>
        </w:tc>
        <w:tc>
          <w:tcPr>
            <w:tcW w:w="859"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申报情形</w:t>
            </w:r>
          </w:p>
        </w:tc>
        <w:tc>
          <w:tcPr>
            <w:tcW w:w="1856"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8"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235"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福清</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市发展和改革局</w:t>
            </w:r>
          </w:p>
        </w:tc>
        <w:tc>
          <w:tcPr>
            <w:tcW w:w="1035"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1680"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346</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8"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235"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1600</w:t>
            </w:r>
          </w:p>
        </w:tc>
        <w:tc>
          <w:tcPr>
            <w:tcW w:w="1035"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环保投资（万元）</w:t>
            </w:r>
          </w:p>
        </w:tc>
        <w:tc>
          <w:tcPr>
            <w:tcW w:w="1680"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1</w:t>
            </w:r>
            <w:r>
              <w:rPr>
                <w:rFonts w:hint="eastAsia" w:cs="Times New Roman"/>
                <w:color w:val="000000" w:themeColor="text1"/>
                <w:sz w:val="24"/>
                <w:szCs w:val="24"/>
                <w:u w:val="none"/>
                <w:lang w:val="en-US" w:eastAsia="zh-CN"/>
                <w14:textFill>
                  <w14:solidFill>
                    <w14:schemeClr w14:val="tx1"/>
                  </w14:solidFill>
                </w14:textFill>
              </w:rPr>
              <w:t>5</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8"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235"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035"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施工工期</w:t>
            </w:r>
          </w:p>
        </w:tc>
        <w:tc>
          <w:tcPr>
            <w:tcW w:w="1680" w:type="pct"/>
            <w:noWrap w:val="0"/>
            <w:vAlign w:val="center"/>
          </w:tcPr>
          <w:p w14:paraId="1EF963A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2025年</w:t>
            </w:r>
            <w:r>
              <w:rPr>
                <w:rFonts w:hint="eastAsia"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8"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235"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35"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680" w:type="pct"/>
            <w:noWrap w:val="0"/>
            <w:vAlign w:val="center"/>
          </w:tcPr>
          <w:p w14:paraId="35DC938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ascii="Times New Roman" w:hAnsi="Times New Roman" w:eastAsia="宋体" w:cs="Times New Roman"/>
                <w:color w:val="auto"/>
                <w:sz w:val="24"/>
                <w:szCs w:val="24"/>
                <w:highlight w:val="none"/>
                <w:u w:val="none"/>
                <w:lang w:val="en-US" w:eastAsia="zh-CN"/>
              </w:rPr>
              <w:t>3515.66</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7"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72"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  项目专项评价设置表</w:t>
            </w:r>
          </w:p>
          <w:tbl>
            <w:tblPr>
              <w:tblStyle w:val="23"/>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3483"/>
              <w:gridCol w:w="2375"/>
              <w:gridCol w:w="906"/>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2191"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494"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570"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743"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2191"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494"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本项目排放的废气污染物不涉及左列大气污染物。</w:t>
                  </w:r>
                </w:p>
              </w:tc>
              <w:tc>
                <w:tcPr>
                  <w:tcW w:w="570"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2191"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494"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生产废水为冷却水循环使用不外排</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570"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43"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2191"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494"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ascii="Times New Roman" w:hAnsi="Times New Roman" w:eastAsia="宋体" w:cs="Times New Roman"/>
                      <w:color w:val="auto"/>
                      <w:sz w:val="21"/>
                      <w:szCs w:val="21"/>
                      <w:u w:val="none"/>
                      <w:vertAlign w:val="baseline"/>
                      <w:lang w:eastAsia="zh-CN"/>
                    </w:rPr>
                    <w:t>油类物质</w:t>
                  </w:r>
                  <w:r>
                    <w:rPr>
                      <w:rFonts w:hint="default" w:ascii="Times New Roman" w:hAnsi="Times New Roman" w:eastAsia="宋体" w:cs="Times New Roman"/>
                      <w:color w:val="auto"/>
                      <w:sz w:val="21"/>
                      <w:szCs w:val="21"/>
                      <w:u w:val="none"/>
                      <w:vertAlign w:val="baseline"/>
                      <w:lang w:eastAsia="zh-CN"/>
                    </w:rPr>
                    <w:t>，储量未超过临界量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Q＜1。</w:t>
                  </w:r>
                </w:p>
              </w:tc>
              <w:tc>
                <w:tcPr>
                  <w:tcW w:w="570"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2191"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494"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bottom w:val="single" w:color="auto" w:sz="12" w:space="0"/>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2191" w:type="pct"/>
                  <w:tcBorders>
                    <w:bottom w:val="single" w:color="auto" w:sz="12" w:space="0"/>
                  </w:tcBorders>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494" w:type="pct"/>
                  <w:tcBorders>
                    <w:bottom w:val="single" w:color="auto" w:sz="12" w:space="0"/>
                  </w:tcBorders>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bottom w:val="single" w:color="auto" w:sz="12" w:space="0"/>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0628EC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7"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72" w:type="pct"/>
            <w:gridSpan w:val="5"/>
            <w:noWrap w:val="0"/>
            <w:vAlign w:val="center"/>
          </w:tcPr>
          <w:p w14:paraId="6E7D7B42">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0DBC43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0322A3FA">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75459391">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72" w:type="pct"/>
            <w:gridSpan w:val="5"/>
            <w:noWrap w:val="0"/>
            <w:vAlign w:val="center"/>
          </w:tcPr>
          <w:p w14:paraId="2CE72AC8">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642994F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00BB9773">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72" w:type="pct"/>
            <w:gridSpan w:val="5"/>
            <w:noWrap w:val="0"/>
            <w:vAlign w:val="center"/>
          </w:tcPr>
          <w:p w14:paraId="24D5A31D">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65622624">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7A5EBA12">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B4B7DF7">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15B76371">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23D746">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1AB30ABB">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2F619DF4">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65912A7A">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电子信息产业：显示科技、云计算、电子元器件、光电科技、计算机与智能终端设备等。</w:t>
            </w:r>
          </w:p>
          <w:p w14:paraId="4717DADF">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51564D5E">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5F349741">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16C01BF3">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5EDCA27A">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与服务型制造业。</w:t>
            </w:r>
          </w:p>
          <w:p w14:paraId="2E921780">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购置</w:t>
            </w:r>
            <w:r>
              <w:rPr>
                <w:rFonts w:hint="default" w:ascii="Times New Roman" w:hAnsi="Times New Roman" w:eastAsia="宋体" w:cs="Times New Roman"/>
                <w:color w:val="000000" w:themeColor="text1"/>
                <w:sz w:val="24"/>
                <w:szCs w:val="24"/>
                <w:highlight w:val="none"/>
                <w14:textFill>
                  <w14:solidFill>
                    <w14:schemeClr w14:val="tx1"/>
                  </w14:solidFill>
                </w14:textFill>
              </w:rPr>
              <w:t>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eastAsia" w:cs="Times New Roman"/>
                <w:color w:val="000000" w:themeColor="text1"/>
                <w:sz w:val="24"/>
                <w:szCs w:val="24"/>
                <w:highlight w:val="none"/>
                <w:u w:val="none"/>
                <w:lang w:val="en-US" w:eastAsia="zh-CN"/>
                <w14:textFill>
                  <w14:solidFill>
                    <w14:schemeClr w14:val="tx1"/>
                  </w14:solidFill>
                </w14:textFill>
              </w:rPr>
              <w:t>）（详见</w:t>
            </w:r>
            <w:r>
              <w:rPr>
                <w:rFonts w:hint="eastAsia" w:cs="Times New Roman"/>
                <w:b/>
                <w:bCs/>
                <w:color w:val="000000" w:themeColor="text1"/>
                <w:sz w:val="24"/>
                <w:szCs w:val="24"/>
                <w:highlight w:val="none"/>
                <w:u w:val="none"/>
                <w:lang w:val="en-US" w:eastAsia="zh-CN"/>
                <w14:textFill>
                  <w14:solidFill>
                    <w14:schemeClr w14:val="tx1"/>
                  </w14:solidFill>
                </w14:textFill>
              </w:rPr>
              <w:t>附图一</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根据福清融侨经济技术开发区对主导产业发展方向的定位，对照《国民经济行业分类》（GB/T4754-2017），主导行业涉及国民经济类别主要包括C29、C304、C33、C34、C35、C36、C38、C39、C40，</w:t>
            </w:r>
            <w:r>
              <w:rPr>
                <w:rFonts w:hint="eastAsia"/>
                <w:color w:val="000000" w:themeColor="text1"/>
                <w:sz w:val="24"/>
                <w:highlight w:val="none"/>
                <w14:textFill>
                  <w14:solidFill>
                    <w14:schemeClr w14:val="tx1"/>
                  </w14:solidFill>
                </w14:textFill>
              </w:rPr>
              <w:t>禁止新建，含电镀工艺、冶炼工艺、电解铝的项目，现有生产能力一定期限内搬迁；包装印刷业禁止使用不符合环保要求的油墨、胶黏剂。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本项目行业类别为“C2929塑料零件及其他塑料制品制造”，属于规划区内主导产业。</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因此</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项目的建设符合《福清融侨经济技术开发区总体规划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》有关要求。</w:t>
            </w:r>
          </w:p>
          <w:p w14:paraId="37713105">
            <w:pPr>
              <w:pStyle w:val="29"/>
              <w:keepNext w:val="0"/>
              <w:keepLines w:val="0"/>
              <w:pageBreakBefore w:val="0"/>
              <w:numPr>
                <w:ilvl w:val="0"/>
                <w:numId w:val="2"/>
              </w:numPr>
              <w:kinsoku/>
              <w:wordWrap/>
              <w:overflowPunct/>
              <w:topLinePunct w:val="0"/>
              <w:autoSpaceDE/>
              <w:autoSpaceDN/>
              <w:bidi w:val="0"/>
              <w:spacing w:line="360" w:lineRule="auto"/>
              <w:ind w:leftChars="0" w:right="0" w:rightChars="0" w:firstLine="482" w:firstLineChars="200"/>
              <w:jc w:val="left"/>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0B388B1B">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w:t>
            </w:r>
            <w:r>
              <w:rPr>
                <w:rFonts w:hint="eastAsia" w:cs="Times New Roman"/>
                <w:color w:val="000000" w:themeColor="text1"/>
                <w:sz w:val="24"/>
                <w:szCs w:val="24"/>
                <w:highlight w:val="none"/>
                <w:u w:val="none"/>
                <w:lang w:val="en-US" w:eastAsia="zh-CN"/>
                <w14:textFill>
                  <w14:solidFill>
                    <w14:schemeClr w14:val="tx1"/>
                  </w14:solidFill>
                </w14:textFill>
              </w:rPr>
              <w:t>主”。</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购置</w:t>
            </w:r>
            <w:r>
              <w:rPr>
                <w:rFonts w:hint="default" w:ascii="Times New Roman" w:hAnsi="Times New Roman" w:eastAsia="宋体" w:cs="Times New Roman"/>
                <w:color w:val="000000" w:themeColor="text1"/>
                <w:sz w:val="24"/>
                <w:szCs w:val="24"/>
                <w:highlight w:val="none"/>
                <w14:textFill>
                  <w14:solidFill>
                    <w14:schemeClr w14:val="tx1"/>
                  </w14:solidFill>
                </w14:textFill>
              </w:rPr>
              <w:t>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位于城北组团。主要生产汽车塑料配件，属于精密汽车部件产业，符合规划中壮大四大优势产业规划。因此本项目符合</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eastAsia" w:cs="Times New Roman"/>
                <w:color w:val="000000" w:themeColor="text1"/>
                <w:sz w:val="24"/>
                <w:szCs w:val="24"/>
                <w:highlight w:val="none"/>
                <w:u w:val="none"/>
                <w:lang w:val="en-US" w:eastAsia="zh-CN"/>
                <w14:textFill>
                  <w14:solidFill>
                    <w14:schemeClr w14:val="tx1"/>
                  </w14:solidFill>
                </w14:textFill>
              </w:rPr>
              <w:t>有关要求。</w:t>
            </w:r>
          </w:p>
          <w:p w14:paraId="4F063636">
            <w:pPr>
              <w:pStyle w:val="29"/>
              <w:keepNext w:val="0"/>
              <w:keepLines w:val="0"/>
              <w:pageBreakBefore w:val="0"/>
              <w:numPr>
                <w:ilvl w:val="0"/>
                <w:numId w:val="3"/>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与《福清融侨经济技术开发区总体规划环境影响报告书（2018</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工业企业准入产业为电子信息、精密汽车部件、光学三大产业</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。本项目产品为</w:t>
            </w:r>
            <w:r>
              <w:rPr>
                <w:rFonts w:hint="default" w:ascii="Times New Roman" w:hAnsi="Times New Roman" w:eastAsia="宋体" w:cs="Times New Roman"/>
                <w:color w:val="auto"/>
                <w:sz w:val="24"/>
                <w:szCs w:val="24"/>
                <w:highlight w:val="none"/>
                <w:u w:val="none"/>
                <w:lang w:val="en-US" w:eastAsia="zh-CN"/>
              </w:rPr>
              <w:t>汽车塑料配件加工制</w:t>
            </w:r>
            <w:r>
              <w:rPr>
                <w:rFonts w:hint="default" w:ascii="Times New Roman" w:hAnsi="Times New Roman" w:eastAsia="宋体" w:cs="Times New Roman"/>
                <w:b w:val="0"/>
                <w:bCs w:val="0"/>
                <w:color w:val="auto"/>
                <w:sz w:val="24"/>
                <w:szCs w:val="24"/>
                <w:highlight w:val="none"/>
                <w:u w:val="none"/>
                <w:lang w:val="en-US" w:eastAsia="zh-CN"/>
              </w:rPr>
              <w:t>造，主要为福清融侨经济技术开发区内的各大企业提供汽车配件加工供应服务，国民经济代码为C2929塑料零件及其他</w:t>
            </w:r>
            <w:r>
              <w:rPr>
                <w:rFonts w:hint="eastAsia" w:cs="Times New Roman"/>
                <w:b w:val="0"/>
                <w:bCs w:val="0"/>
                <w:color w:val="auto"/>
                <w:sz w:val="24"/>
                <w:szCs w:val="24"/>
                <w:highlight w:val="none"/>
                <w:u w:val="none"/>
                <w:lang w:val="en-US" w:eastAsia="zh-CN"/>
              </w:rPr>
              <w:t>塑料制品业</w:t>
            </w:r>
            <w:r>
              <w:rPr>
                <w:rFonts w:hint="default"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C3670汽车零部件及配件制造</w:t>
            </w:r>
            <w:r>
              <w:rPr>
                <w:rFonts w:hint="default" w:ascii="Times New Roman" w:hAnsi="Times New Roman" w:eastAsia="宋体" w:cs="Times New Roman"/>
                <w:b w:val="0"/>
                <w:bCs w:val="0"/>
                <w:color w:val="auto"/>
                <w:sz w:val="24"/>
                <w:szCs w:val="24"/>
                <w:highlight w:val="none"/>
                <w:u w:val="none"/>
                <w:lang w:val="en-US" w:eastAsia="zh-CN"/>
              </w:rPr>
              <w:t>，项目涉及的行业（汽车配件、塑料配件）均属于规划区主导行业</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C29和C36</w:t>
            </w:r>
            <w:r>
              <w:rPr>
                <w:rFonts w:hint="eastAsia" w:cs="Times New Roman"/>
                <w:b w:val="0"/>
                <w:bCs w:val="0"/>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因此，应遵循福清融侨经济开发区的产业准入要求，根据前文分析，本项目为汽车塑料配件加工制造，属于精密汽车部件，符合福清融侨经济开发区准入产业。</w:t>
            </w:r>
          </w:p>
          <w:p w14:paraId="7F21585C">
            <w:pPr>
              <w:pStyle w:val="29"/>
              <w:keepNext w:val="0"/>
              <w:keepLines w:val="0"/>
              <w:pageBreakBefore w:val="0"/>
              <w:numPr>
                <w:ilvl w:val="0"/>
                <w:numId w:val="0"/>
              </w:numPr>
              <w:kinsoku/>
              <w:wordWrap/>
              <w:overflowPunct/>
              <w:topLinePunct w:val="0"/>
              <w:autoSpaceDE/>
              <w:autoSpaceDN/>
              <w:bidi w:val="0"/>
              <w:spacing w:line="360" w:lineRule="auto"/>
              <w:ind w:leftChars="20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与规划环评及审查意见符合性分析</w:t>
            </w:r>
          </w:p>
          <w:p w14:paraId="726FC683">
            <w:pPr>
              <w:pStyle w:val="29"/>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《福清融侨经济技术开发区总体规划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，本项目与规划区主导产业环境准入清单符合性分析详见表1.1-2。</w:t>
            </w:r>
          </w:p>
          <w:p w14:paraId="1AD4F84C">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7C7A3791">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1249C9C4">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表1.1-2 本项目与规划区主导产业环境准入清单符合性分析表</w:t>
            </w:r>
          </w:p>
          <w:tbl>
            <w:tblPr>
              <w:tblStyle w:val="2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139"/>
              <w:gridCol w:w="3232"/>
              <w:gridCol w:w="1029"/>
            </w:tblGrid>
            <w:tr w14:paraId="1198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14:paraId="4C40C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类别</w:t>
                  </w:r>
                </w:p>
                <w:p w14:paraId="52328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名称</w:t>
                  </w:r>
                </w:p>
              </w:tc>
              <w:tc>
                <w:tcPr>
                  <w:tcW w:w="1946" w:type="pct"/>
                  <w:noWrap w:val="0"/>
                  <w:vAlign w:val="center"/>
                </w:tcPr>
                <w:p w14:paraId="7D6CE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空间布局</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约束</w:t>
                  </w:r>
                </w:p>
              </w:tc>
              <w:tc>
                <w:tcPr>
                  <w:tcW w:w="2004" w:type="pct"/>
                  <w:noWrap w:val="0"/>
                  <w:vAlign w:val="center"/>
                </w:tcPr>
                <w:p w14:paraId="1FA2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0E60CC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05D3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restart"/>
                  <w:noWrap w:val="0"/>
                  <w:vAlign w:val="center"/>
                </w:tcPr>
                <w:p w14:paraId="01C6B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29橡胶和塑料制品业</w:t>
                  </w:r>
                </w:p>
              </w:tc>
              <w:tc>
                <w:tcPr>
                  <w:tcW w:w="1946" w:type="pct"/>
                  <w:noWrap w:val="0"/>
                  <w:vAlign w:val="center"/>
                </w:tcPr>
                <w:p w14:paraId="04BD768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w:t>
                  </w:r>
                </w:p>
                <w:p w14:paraId="78B06E9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1、涉及开炼、密炼、硫化工艺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36337B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774D1B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09972BD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4、废旧塑料再生现有生产能力允许企业在一定期限内采取措施改造升级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04" w:type="pct"/>
                  <w:noWrap w:val="0"/>
                  <w:vAlign w:val="center"/>
                </w:tcPr>
                <w:p w14:paraId="32728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1、本项目不涉及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0C5F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2、本项目不</w:t>
                  </w:r>
                  <w:r>
                    <w:rPr>
                      <w:rFonts w:hint="default" w:ascii="Times New Roman" w:hAnsi="Times New Roman" w:eastAsia="宋体" w:cs="Times New Roman"/>
                      <w:color w:val="000000" w:themeColor="text1"/>
                      <w:sz w:val="21"/>
                      <w:szCs w:val="21"/>
                      <w:highlight w:val="none"/>
                      <w14:textFill>
                        <w14:solidFill>
                          <w14:schemeClr w14:val="tx1"/>
                        </w14:solidFill>
                      </w14:textFill>
                    </w:rPr>
                    <w:t>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EAAC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C3FD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废旧塑料再生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w:t>
                  </w:r>
                </w:p>
              </w:tc>
              <w:tc>
                <w:tcPr>
                  <w:tcW w:w="638" w:type="pct"/>
                  <w:noWrap w:val="0"/>
                  <w:vAlign w:val="center"/>
                </w:tcPr>
                <w:p w14:paraId="0E888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0DB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000F8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2DB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防控</w:t>
                  </w:r>
                </w:p>
              </w:tc>
              <w:tc>
                <w:tcPr>
                  <w:tcW w:w="2004" w:type="pct"/>
                  <w:noWrap w:val="0"/>
                  <w:vAlign w:val="center"/>
                </w:tcPr>
                <w:p w14:paraId="75993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A21A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39554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111E0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59392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1、必须规范配套应急池，建设企业、园区和周边水系三级环境风险防控工程，确保有效拦截、降污和倒流；受园区排污影响的周边水系应建设应急闸门，防止泄漏物和消防水等排入外环境。</w:t>
                  </w:r>
                </w:p>
                <w:p w14:paraId="53824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2、开发区内污水处理设施应采取必要的防渗处理，不得污染地下水环境。</w:t>
                  </w:r>
                </w:p>
              </w:tc>
              <w:tc>
                <w:tcPr>
                  <w:tcW w:w="2004" w:type="pct"/>
                  <w:noWrap w:val="0"/>
                  <w:vAlign w:val="center"/>
                </w:tcPr>
                <w:p w14:paraId="014D0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1、园区将严格按照要求，统一建设事故应急池，</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建设企业、园区和周边水系三级环境风险防控工程，确保有效拦截、降污和倒流；</w:t>
                  </w:r>
                </w:p>
                <w:p w14:paraId="574A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3B597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637E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604D6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F89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w:t>
                  </w:r>
                </w:p>
              </w:tc>
              <w:tc>
                <w:tcPr>
                  <w:tcW w:w="2004" w:type="pct"/>
                  <w:noWrap w:val="0"/>
                  <w:vAlign w:val="center"/>
                </w:tcPr>
                <w:p w14:paraId="60983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0E17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6E25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4280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9361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1、新、改、扩建项目新增大气污染物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现阶段指SO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排放量实行1.5 倍削减替代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不含使用天然气、液化石油气等作为燃料的非火电锅炉和工业炉窑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05F55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2、新、改、扩建项目新增VOCs 排放量实行倍量削减替代。</w:t>
                  </w:r>
                </w:p>
                <w:p w14:paraId="3CF0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3、工业企业废水全部纳管进入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集中处理后达标排放。</w:t>
                  </w:r>
                </w:p>
              </w:tc>
              <w:tc>
                <w:tcPr>
                  <w:tcW w:w="2004" w:type="pct"/>
                  <w:noWrap w:val="0"/>
                  <w:vAlign w:val="center"/>
                </w:tcPr>
                <w:p w14:paraId="2B34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等污染物排放。</w:t>
                  </w:r>
                </w:p>
                <w:p w14:paraId="60700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highlight w:val="none"/>
                      <w14:textFill>
                        <w14:solidFill>
                          <w14:schemeClr w14:val="tx1"/>
                        </w14:solidFill>
                      </w14:textFill>
                    </w:rPr>
                    <w:t>拟实行区域内倍量替代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F467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64D1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37735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0E049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289FF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资源环境效率管控</w:t>
                  </w:r>
                </w:p>
              </w:tc>
              <w:tc>
                <w:tcPr>
                  <w:tcW w:w="2004" w:type="pct"/>
                  <w:noWrap w:val="0"/>
                  <w:vAlign w:val="center"/>
                </w:tcPr>
                <w:p w14:paraId="2B2739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4515E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1E30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vMerge w:val="continue"/>
                  <w:noWrap w:val="0"/>
                  <w:vAlign w:val="center"/>
                </w:tcPr>
                <w:p w14:paraId="2F4D7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7E70B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1、能耗不超过0.23吨标煤/万元工业增加值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C615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2、水耗不超过1.19t/万元工业增加值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4BF3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3、污水排放量不超过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.46t/万元工业增加值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76B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4、VOCs排放量不超过0.46kg/万元工业增加值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04" w:type="pct"/>
                  <w:noWrap w:val="0"/>
                  <w:vAlign w:val="center"/>
                </w:tcPr>
                <w:p w14:paraId="3385E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本项目工业增加值约为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万元；</w:t>
                  </w:r>
                </w:p>
                <w:p w14:paraId="6CCA7C2D">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能耗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为电能</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kW</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h/a</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折标为</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则项目能耗约</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5983336">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项目年耗</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量为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t，则水</w:t>
                  </w:r>
                  <w:r>
                    <w:rPr>
                      <w:rFonts w:hint="default" w:ascii="Times New Roman" w:hAnsi="Times New Roman" w:eastAsia="宋体" w:cs="Times New Roman"/>
                      <w:color w:val="000000" w:themeColor="text1"/>
                      <w:sz w:val="21"/>
                      <w:szCs w:val="21"/>
                      <w:highlight w:val="none"/>
                      <w14:textFill>
                        <w14:solidFill>
                          <w14:schemeClr w14:val="tx1"/>
                        </w14:solidFill>
                      </w14:textFill>
                    </w:rPr>
                    <w:t>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625</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9172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污水排放量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t/a，则污水排放量为0.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225</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2CE6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4303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t/a，则</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2689</w:t>
                  </w:r>
                  <w:r>
                    <w:rPr>
                      <w:rFonts w:hint="default" w:ascii="Times New Roman" w:hAnsi="Times New Roman" w:eastAsia="宋体" w:cs="Times New Roman"/>
                      <w:color w:val="000000" w:themeColor="text1"/>
                      <w:sz w:val="21"/>
                      <w:szCs w:val="21"/>
                      <w:highlight w:val="none"/>
                      <w14:textFill>
                        <w14:solidFill>
                          <w14:schemeClr w14:val="tx1"/>
                        </w14:solidFill>
                      </w14:textFill>
                    </w:rPr>
                    <w:t>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38" w:type="pct"/>
                  <w:noWrap w:val="0"/>
                  <w:vAlign w:val="center"/>
                </w:tcPr>
                <w:p w14:paraId="60CCD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65B35B3E">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0A086C99">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表1.1-3 本项目与规划环评审查意见的符合性分析</w:t>
            </w:r>
          </w:p>
          <w:tbl>
            <w:tblPr>
              <w:tblStyle w:val="22"/>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630"/>
              <w:gridCol w:w="2721"/>
              <w:gridCol w:w="949"/>
            </w:tblGrid>
            <w:tr w14:paraId="53AD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434DE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251" w:type="pct"/>
                  <w:noWrap w:val="0"/>
                  <w:vAlign w:val="center"/>
                </w:tcPr>
                <w:p w14:paraId="52AC7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规划环评审查意见要求</w:t>
                  </w:r>
                </w:p>
              </w:tc>
              <w:tc>
                <w:tcPr>
                  <w:tcW w:w="1687" w:type="pct"/>
                  <w:noWrap w:val="0"/>
                  <w:vAlign w:val="center"/>
                </w:tcPr>
                <w:p w14:paraId="21859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本项目内容</w:t>
                  </w:r>
                </w:p>
              </w:tc>
              <w:tc>
                <w:tcPr>
                  <w:tcW w:w="588" w:type="pct"/>
                  <w:noWrap w:val="0"/>
                  <w:vAlign w:val="center"/>
                </w:tcPr>
                <w:p w14:paraId="2720A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C43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E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51" w:type="pct"/>
                  <w:noWrap w:val="0"/>
                  <w:vAlign w:val="center"/>
                </w:tcPr>
                <w:p w14:paraId="0323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坚持绿色发展和协调发展理念，加强《规划》引导。落实国家、区域发展战略，坚持生态优先、高效集约发展，以环境质量改善为核心，进一步优化《规划》范围、布局、发展规模和产业结构等，做好与省市国土空间规划和“三线一单”（生态保护红线、环境质量底线、资源利用上线和生态环境准入清单)的协调衔接。</w:t>
                  </w:r>
                </w:p>
              </w:tc>
              <w:tc>
                <w:tcPr>
                  <w:tcW w:w="1687" w:type="pct"/>
                  <w:noWrap w:val="0"/>
                  <w:vAlign w:val="center"/>
                </w:tcPr>
                <w:p w14:paraId="4809E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本项目主要从事汽车塑料制品制造等，属于开发区主导行业，项目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符合园区产业发展定位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符合国土空间规划和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88" w:type="pct"/>
                  <w:noWrap w:val="0"/>
                  <w:vAlign w:val="center"/>
                </w:tcPr>
                <w:p w14:paraId="76186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4E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0AC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51" w:type="pct"/>
                  <w:noWrap w:val="0"/>
                  <w:vAlign w:val="center"/>
                </w:tcPr>
                <w:p w14:paraId="134C2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着力推动开发区结构调整和转型升级。落实《报告书》提出的现有重污染企业和用地布局不合理企业的搬迁、淘汰进度，强化拟退出污染企业存续期间环境管控和风险防控，合理安排重污染企业腾退及周边土地开发时序，做好腾退企业遗留场地的土壤环境调查和风险评估，确保土地安全利用。促进开发区产业转型升级与生态环境保护、人居环境安全相协调。</w:t>
                  </w:r>
                </w:p>
              </w:tc>
              <w:tc>
                <w:tcPr>
                  <w:tcW w:w="1687" w:type="pct"/>
                  <w:noWrap w:val="0"/>
                  <w:vAlign w:val="center"/>
                </w:tcPr>
                <w:p w14:paraId="53FC3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项目不属于重污染企业，利用均和云谷·福清科技港已建厂房作为生产经营场所，属于工业厂房，符合用地规划。</w:t>
                  </w:r>
                </w:p>
              </w:tc>
              <w:tc>
                <w:tcPr>
                  <w:tcW w:w="588" w:type="pct"/>
                  <w:noWrap w:val="0"/>
                  <w:vAlign w:val="center"/>
                </w:tcPr>
                <w:p w14:paraId="78B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6F6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6A9F9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51" w:type="pct"/>
                  <w:noWrap w:val="0"/>
                  <w:vAlign w:val="center"/>
                </w:tcPr>
                <w:p w14:paraId="70938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严格空间管控，优化区内空间布局。做好《规划》控制和生态隔离带建设，加强对开发区内及周边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的保护，严禁不符合管控要求的各类开发建设活动，严禁占用现有自然水体等生态空间。结合福清市国土空间规划最新结果，进一步优化园区范围和空间布局，避让永久基本农田。</w:t>
                  </w:r>
                </w:p>
              </w:tc>
              <w:tc>
                <w:tcPr>
                  <w:tcW w:w="1687" w:type="pct"/>
                  <w:noWrap w:val="0"/>
                  <w:vAlign w:val="center"/>
                </w:tcPr>
                <w:p w14:paraId="1C7CB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项目周边最近的环境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西南侧约380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处的下田村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有一定隔离带；项目用地不涉及闽江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，不占用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自然水体等生态空间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永久基本农田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30561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DEF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9" w:hRule="atLeast"/>
              </w:trPr>
              <w:tc>
                <w:tcPr>
                  <w:tcW w:w="472" w:type="pct"/>
                  <w:noWrap w:val="0"/>
                  <w:vAlign w:val="center"/>
                </w:tcPr>
                <w:p w14:paraId="75043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51" w:type="pct"/>
                  <w:noWrap w:val="0"/>
                  <w:vAlign w:val="center"/>
                </w:tcPr>
                <w:p w14:paraId="34851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和福建省关于大气、水、土壤污染防治相关要求和区域“三线一单”成果，衔接龙江流域水环境综合整治结果，制定开发区污染减排方案及污染物总量管控要求，严格重金属总量管控。采取有效措施减少主要污染物和特征污染物的排放量，确保区域环境质量持续改善，促进产业发展与城市发展、生态环境保护相协调。</w:t>
                  </w:r>
                </w:p>
              </w:tc>
              <w:tc>
                <w:tcPr>
                  <w:tcW w:w="1687" w:type="pct"/>
                  <w:noWrap w:val="0"/>
                  <w:vAlign w:val="center"/>
                </w:tcPr>
                <w:p w14:paraId="5FA4C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VOCs拟采用1套活性炭吸附装置处理后排放，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废气排放源强较低，对周边环境影响较小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项目厂区已实现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雨污分流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，项目不涉及生产废水排放，生活污水依托厂区内现有的排水管网排入市政污水管网送往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项目不涉及重金属等污染物，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项目将依法依规做好一般工业固体废物和危险废物的分类收集、利用、处理处置工作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0181D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0B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0" w:hRule="atLeast"/>
              </w:trPr>
              <w:tc>
                <w:tcPr>
                  <w:tcW w:w="472" w:type="pct"/>
                  <w:noWrap w:val="0"/>
                  <w:vAlign w:val="center"/>
                </w:tcPr>
                <w:p w14:paraId="16C10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251" w:type="pct"/>
                  <w:noWrap w:val="0"/>
                  <w:vAlign w:val="center"/>
                </w:tcPr>
                <w:p w14:paraId="42FBE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2030)》关于禁止大气污染型建设项目入区的要求。执行最严格的行业废水、废气排放控制指标，引进项目的生产工艺、设备，以及单位产品能耗、污染物排放和资源利用效率等均需达到同行业国际先进水平。</w:t>
                  </w:r>
                </w:p>
              </w:tc>
              <w:tc>
                <w:tcPr>
                  <w:tcW w:w="1687" w:type="pct"/>
                  <w:noWrap w:val="0"/>
                  <w:vAlign w:val="center"/>
                </w:tcPr>
                <w:p w14:paraId="03107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拟实行区域内倍量替代；</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项目符合园区产业规划，不属于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《福州市环境总体规划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2030)》关于禁止大气污染型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项目；项目严格执行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行业废水、废气排放控制指标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项目生产工艺、技术装备、污染治理水平以及单位产品能耗、物耗等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达同行业国际先进水平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519A9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E20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0625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251" w:type="pct"/>
                  <w:noWrap w:val="0"/>
                  <w:vAlign w:val="center"/>
                </w:tcPr>
                <w:p w14:paraId="410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生态环境保护，统筹考虑区内污染防治、生态恢复与建设、环境风险防范、环境管理等事宜。严格落实《报告书》及重点风险企业突发环境事件应急预案提出的各项要求，从环境风险防控角度，加强京东方一期、二期工程周边用地规划控制。建立健全区域环境风险防范体系，建立应急响应联动机制，提升开发区环境风险防控和应急响应能力，保障区域环境安全。</w:t>
                  </w:r>
                </w:p>
              </w:tc>
              <w:tc>
                <w:tcPr>
                  <w:tcW w:w="1687" w:type="pct"/>
                  <w:noWrap w:val="0"/>
                  <w:vAlign w:val="center"/>
                </w:tcPr>
                <w:p w14:paraId="5878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本项目将严格落实环境风险事故防范措施，并做好与园区的应急联动。</w:t>
                  </w:r>
                </w:p>
              </w:tc>
              <w:tc>
                <w:tcPr>
                  <w:tcW w:w="588" w:type="pct"/>
                  <w:noWrap w:val="0"/>
                  <w:vAlign w:val="center"/>
                </w:tcPr>
                <w:p w14:paraId="6FA29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A48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53A17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251" w:type="pct"/>
                  <w:noWrap w:val="0"/>
                  <w:vAlign w:val="center"/>
                </w:tcPr>
                <w:p w14:paraId="6B3F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完善环境监测体系，明确实施时限、责任主体等。根据开发区的功能分区、产业布局、重点企业分布、特征污染物的排放种类和状况、环境敏感目标分布等情况，建立包括环境空气、地表水、地下水、土壤、底泥等环境要素的监控体系，强化阳下污水处理厂排放口附近底泥重金属的定期监测与管理。</w:t>
                  </w:r>
                </w:p>
              </w:tc>
              <w:tc>
                <w:tcPr>
                  <w:tcW w:w="1687" w:type="pct"/>
                  <w:noWrap w:val="0"/>
                  <w:vAlign w:val="center"/>
                </w:tcPr>
                <w:p w14:paraId="7F82D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项目根据环境监测计划做好厂区内的跟踪监测与管理，并根据监测结果及时采取相应措施。</w:t>
                  </w:r>
                </w:p>
              </w:tc>
              <w:tc>
                <w:tcPr>
                  <w:tcW w:w="588" w:type="pct"/>
                  <w:noWrap w:val="0"/>
                  <w:vAlign w:val="center"/>
                </w:tcPr>
                <w:p w14:paraId="12F87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ECAE8DD">
            <w:pPr>
              <w:keepNext w:val="0"/>
              <w:keepLines w:val="0"/>
              <w:pageBreakBefore w:val="0"/>
              <w:widowControl/>
              <w:numPr>
                <w:ilvl w:val="0"/>
                <w:numId w:val="0"/>
              </w:numPr>
              <w:suppressLineNumbers w:val="0"/>
              <w:kinsoku/>
              <w:wordWrap/>
              <w:overflowPunct/>
              <w:topLinePunct w:val="0"/>
              <w:autoSpaceDE/>
              <w:autoSpaceDN/>
              <w:bidi w:val="0"/>
              <w:spacing w:line="360" w:lineRule="auto"/>
              <w:ind w:right="0"/>
              <w:jc w:val="both"/>
              <w:textAlignment w:val="auto"/>
              <w:rPr>
                <w:rFonts w:hint="default" w:ascii="Times New Roman" w:hAnsi="Times New Roman" w:eastAsia="宋体" w:cs="Times New Roman"/>
                <w:color w:val="auto"/>
                <w:sz w:val="24"/>
                <w:szCs w:val="24"/>
                <w:highlight w:val="none"/>
                <w:u w:val="none"/>
                <w:lang w:val="en-US" w:eastAsia="zh-CN"/>
              </w:rPr>
            </w:pP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27"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72" w:type="pct"/>
            <w:gridSpan w:val="5"/>
            <w:noWrap w:val="0"/>
            <w:vAlign w:val="center"/>
          </w:tcPr>
          <w:p w14:paraId="07BD2452">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2"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2"/>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从事汽车塑料配件加工生产</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于允许类</w:t>
            </w:r>
            <w:r>
              <w:rPr>
                <w:rFonts w:hint="eastAsia" w:cs="Times New Roman"/>
                <w:color w:val="000000" w:themeColor="text1"/>
                <w:spacing w:val="0"/>
                <w:sz w:val="24"/>
                <w:szCs w:val="24"/>
                <w:highlight w:val="none"/>
                <w:u w:val="none"/>
                <w:lang w:eastAsia="zh-CN"/>
                <w14:textFill>
                  <w14:solidFill>
                    <w14:schemeClr w14:val="tx1"/>
                  </w14:solidFill>
                </w14:textFill>
              </w:rPr>
              <w:t>且</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该项目于</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年</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月</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18</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日</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通过了</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福清市发展和改革局</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的备案(</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346</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四</w:t>
            </w:r>
            <w:r>
              <w:rPr>
                <w:rFonts w:hint="eastAsia" w:cs="Times New Roman"/>
                <w:b w:val="0"/>
                <w:bCs w:val="0"/>
                <w:color w:val="000000" w:themeColor="text1"/>
                <w:spacing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，因此项目的建设内容符合当前国家</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和地方</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的产业政策。</w:t>
            </w:r>
          </w:p>
          <w:p w14:paraId="6F2D044C">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3" w:name="_Toc26906"/>
            <w:r>
              <w:rPr>
                <w:rFonts w:hint="eastAsia" w:ascii="Times New Roman" w:cs="Times New Roman"/>
                <w:b/>
                <w:color w:val="000000" w:themeColor="text1"/>
                <w:sz w:val="24"/>
                <w:szCs w:val="24"/>
                <w:highlight w:val="none"/>
                <w:u w:val="none"/>
                <w:lang w:val="en-US" w:eastAsia="zh-CN"/>
                <w14:textFill>
                  <w14:solidFill>
                    <w14:schemeClr w14:val="tx1"/>
                  </w14:solidFill>
                </w14:textFill>
              </w:rPr>
              <w:t>2.国土空间规划</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3"/>
          </w:p>
          <w:p w14:paraId="723638E0">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000000" w:themeColor="text1"/>
                <w:spacing w:val="0"/>
                <w:sz w:val="24"/>
                <w:szCs w:val="24"/>
                <w:highlight w:val="yellow"/>
                <w:u w:val="none"/>
                <w14:textFill>
                  <w14:solidFill>
                    <w14:schemeClr w14:val="tx1"/>
                  </w14:solidFill>
                </w14:textFill>
              </w:rPr>
            </w:pPr>
            <w:r>
              <w:rPr>
                <w:rFonts w:hint="eastAsia" w:cs="Times New Roman"/>
                <w:color w:val="000000" w:themeColor="text1"/>
                <w:spacing w:val="0"/>
                <w:sz w:val="24"/>
                <w:szCs w:val="24"/>
                <w:highlight w:val="none"/>
                <w:u w:val="none"/>
                <w:lang w:eastAsia="zh-CN"/>
                <w14:textFill>
                  <w14:solidFill>
                    <w14:schemeClr w14:val="tx1"/>
                  </w14:solidFill>
                </w14:textFill>
              </w:rPr>
              <w:t>根据</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内，</w:t>
            </w:r>
            <w:r>
              <w:rPr>
                <w:rFonts w:hint="eastAsia" w:cs="Times New Roman"/>
                <w:color w:val="000000" w:themeColor="text1"/>
                <w:sz w:val="24"/>
                <w:szCs w:val="24"/>
                <w:highlight w:val="none"/>
                <w:u w:val="none"/>
                <w:lang w:val="en-US" w:eastAsia="zh-CN"/>
                <w14:textFill>
                  <w14:solidFill>
                    <w14:schemeClr w14:val="tx1"/>
                  </w14:solidFill>
                </w14:textFill>
              </w:rPr>
              <w:t>位于城北组团。主要生产汽车塑料配件，属于精密汽车部件产业，符合规划中壮大四大优势产业规划。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根据</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w:t>
            </w:r>
            <w:r>
              <w:rPr>
                <w:rFonts w:hint="eastAsia" w:cs="Times New Roman"/>
                <w:color w:val="000000" w:themeColor="text1"/>
                <w:spacing w:val="0"/>
                <w:sz w:val="24"/>
                <w:szCs w:val="24"/>
                <w:highlight w:val="none"/>
                <w:u w:val="none"/>
                <w:lang w:val="en-US" w:eastAsia="zh-CN"/>
                <w14:textFill>
                  <w14:solidFill>
                    <w14:schemeClr w14:val="tx1"/>
                  </w14:solidFill>
                </w14:textFill>
              </w:rPr>
              <w:t>资料</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w:t>
            </w:r>
            <w:r>
              <w:rPr>
                <w:rFonts w:hint="eastAsia" w:cs="Times New Roman"/>
                <w:color w:val="000000" w:themeColor="text1"/>
                <w:spacing w:val="0"/>
                <w:sz w:val="24"/>
                <w:szCs w:val="24"/>
                <w:highlight w:val="none"/>
                <w:u w:val="none"/>
                <w:lang w:val="en-US" w:eastAsia="zh-CN"/>
                <w14:textFill>
                  <w14:solidFill>
                    <w14:schemeClr w14:val="tx1"/>
                  </w14:solidFill>
                </w14:textFill>
              </w:rPr>
              <w:t>已取得</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五</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eastAsia" w:cs="Times New Roman"/>
                <w:color w:val="000000" w:themeColor="text1"/>
                <w:spacing w:val="0"/>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目前正在办理产权分割。</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本项目从事汽车塑料配件的加工，属于工业企业，因此，项目选址符合</w:t>
            </w:r>
            <w:r>
              <w:rPr>
                <w:rFonts w:hint="eastAsia" w:cs="Times New Roman"/>
                <w:color w:val="000000" w:themeColor="text1"/>
                <w:spacing w:val="0"/>
                <w:sz w:val="24"/>
                <w:szCs w:val="24"/>
                <w:highlight w:val="none"/>
                <w:u w:val="none"/>
                <w:lang w:eastAsia="zh-CN"/>
                <w14:textFill>
                  <w14:solidFill>
                    <w14:schemeClr w14:val="tx1"/>
                  </w14:solidFill>
                </w14:textFill>
              </w:rPr>
              <w:t>国土空间规划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w:t>
            </w:r>
          </w:p>
          <w:p w14:paraId="77BC4E4B">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4" w:name="_Toc12021"/>
            <w:r>
              <w:rPr>
                <w:rFonts w:hint="eastAsia" w:ascii="Times New Roman" w:cs="Times New Roman"/>
                <w:b/>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三线一单</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控制要求的符合性分析</w:t>
            </w:r>
            <w:bookmarkEnd w:id="14"/>
          </w:p>
          <w:p w14:paraId="27B57F83">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60324224">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021552D">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保护红线划定方案》及其调整方案</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《福清市生态功能区划》</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2003年</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内</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。项目周边无国家公园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7F5CB0E">
            <w:pPr>
              <w:pStyle w:val="31"/>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2D1D3D58">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周边罗汉溪地表水环境质量目标为《地表水环境质量标准》（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）中Ⅳ类水质标准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本项目生产过程生产废水为冷却水循环使用不外排，生活污水园区内化粪池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接入市政污水管网，纳入福清市融元污水处理厂进行集中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090D1073">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5A28027A">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6371B513">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项目符合国家产业政策，符合《福建省人民政府关于实施</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三线一单</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生态环境分区管控的通知</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闽政〔2020〕12号</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》全省生态环境总体准入要求及</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GB" w:eastAsia="zh-CN"/>
              </w:rPr>
              <w:t>福州市人民政府关于实施“</w:t>
            </w:r>
            <w:r>
              <w:rPr>
                <w:rFonts w:hint="default" w:ascii="Times New Roman" w:hAnsi="Times New Roman" w:eastAsia="宋体" w:cs="Times New Roman"/>
                <w:color w:val="auto"/>
                <w:spacing w:val="0"/>
                <w:w w:val="100"/>
                <w:position w:val="0"/>
                <w:sz w:val="24"/>
                <w:szCs w:val="24"/>
                <w:u w:val="none"/>
                <w:lang w:val="en-GB" w:eastAsia="zh-CN"/>
              </w:rPr>
              <w:t>三线一单”生态分区管控的通知</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榕政综〔2021〕178号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福州市生态环境局关于发布福州市2024年生产环境分区管控动态更新成果的通知</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（榕环保综</w:t>
            </w:r>
            <w:r>
              <w:rPr>
                <w:rFonts w:hint="default" w:ascii="Times New Roman" w:hAnsi="Times New Roman" w:eastAsia="宋体" w:cs="Times New Roman"/>
                <w:color w:val="auto"/>
                <w:spacing w:val="0"/>
                <w:w w:val="100"/>
                <w:position w:val="0"/>
                <w:sz w:val="24"/>
                <w:szCs w:val="24"/>
                <w:u w:val="none"/>
              </w:rPr>
              <w:t>〔202</w:t>
            </w:r>
            <w:r>
              <w:rPr>
                <w:rFonts w:hint="eastAsia" w:ascii="Times New Roman" w:hAnsi="Times New Roman" w:cs="Times New Roman"/>
                <w:color w:val="auto"/>
                <w:spacing w:val="0"/>
                <w:w w:val="100"/>
                <w:position w:val="0"/>
                <w:sz w:val="24"/>
                <w:szCs w:val="24"/>
                <w:u w:val="none"/>
                <w:lang w:val="en-US" w:eastAsia="zh-CN"/>
              </w:rPr>
              <w:t>5</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val="en-US" w:eastAsia="zh-CN"/>
              </w:rPr>
              <w:t>1号）</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2020年版</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中禁止准入类的项目。</w:t>
            </w:r>
          </w:p>
          <w:p w14:paraId="7D28D66D">
            <w:pPr>
              <w:pStyle w:val="30"/>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5" w:name="_Toc24656"/>
            <w:r>
              <w:rPr>
                <w:rFonts w:hint="eastAsia" w:ascii="Times New Roman" w:cs="Times New Roman"/>
                <w:b/>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与</w:t>
            </w:r>
            <w:r>
              <w:rPr>
                <w:rFonts w:hint="eastAsia" w:ascii="Times New Roman" w:cs="Times New Roman"/>
                <w:b/>
                <w:color w:val="000000" w:themeColor="text1"/>
                <w:sz w:val="24"/>
                <w:szCs w:val="24"/>
                <w:highlight w:val="none"/>
                <w:u w:val="none"/>
                <w:lang w:val="en-US" w:eastAsia="zh-CN"/>
                <w14:textFill>
                  <w14:solidFill>
                    <w14:schemeClr w14:val="tx1"/>
                  </w14:solidFill>
                </w14:textFill>
              </w:rPr>
              <w:t>省、市生态环境分区管控要求的</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5"/>
          </w:p>
          <w:p w14:paraId="3BEE1C82">
            <w:pPr>
              <w:pStyle w:val="31"/>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ascii="Times New Roman" w:hAnsi="Times New Roman"/>
                <w:color w:val="000000" w:themeColor="text1"/>
                <w:sz w:val="24"/>
                <w:szCs w:val="24"/>
                <w:highlight w:val="none"/>
                <w:lang w:val="en-GB"/>
                <w14:textFill>
                  <w14:solidFill>
                    <w14:schemeClr w14:val="tx1"/>
                  </w14:solidFill>
                </w14:textFill>
              </w:rPr>
              <w:t>《福建省人民政府关于实施“三线一单”生态环境分区管控的通知》（</w:t>
            </w:r>
            <w:r>
              <w:rPr>
                <w:rFonts w:hint="eastAsia" w:ascii="Times New Roman" w:hAnsi="Times New Roman"/>
                <w:color w:val="000000" w:themeColor="text1"/>
                <w:sz w:val="24"/>
                <w:szCs w:val="24"/>
                <w:highlight w:val="none"/>
                <w14:textFill>
                  <w14:solidFill>
                    <w14:schemeClr w14:val="tx1"/>
                  </w14:solidFill>
                </w14:textFill>
              </w:rPr>
              <w:t>闽政〔2020〕12号</w:t>
            </w:r>
            <w:r>
              <w:rPr>
                <w:rFonts w:hint="eastAsia" w:ascii="Times New Roman" w:hAnsi="Times New Roman"/>
                <w:color w:val="000000" w:themeColor="text1"/>
                <w:sz w:val="24"/>
                <w:szCs w:val="24"/>
                <w:highlight w:val="none"/>
                <w:lang w:val="en-GB"/>
                <w14:textFill>
                  <w14:solidFill>
                    <w14:schemeClr w14:val="tx1"/>
                  </w14:solidFill>
                </w14:textFill>
              </w:rPr>
              <w:t>）</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GB"/>
                <w14:textFill>
                  <w14:solidFill>
                    <w14:schemeClr w14:val="tx1"/>
                  </w14:solidFill>
                </w14:textFill>
              </w:rPr>
              <w:t>中共福建省委办公厅 福建省人民政府办公厅关于加强生态环境分区管控的实施意见</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2024年11月10日</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福州市生态环境局关于发布福州市2024年生态环境分区管控动态更新成果的通知</w:t>
            </w:r>
            <w:r>
              <w:rPr>
                <w:rFonts w:hint="eastAsia" w:ascii="Times New Roman" w:hAnsi="Times New Roman"/>
                <w:color w:val="000000" w:themeColor="text1"/>
                <w:sz w:val="24"/>
                <w:szCs w:val="24"/>
                <w:highlight w:val="none"/>
                <w14:textFill>
                  <w14:solidFill>
                    <w14:schemeClr w14:val="tx1"/>
                  </w14:solidFill>
                </w14:textFill>
              </w:rPr>
              <w:t>》（榕</w:t>
            </w:r>
            <w:r>
              <w:rPr>
                <w:rFonts w:hint="eastAsia" w:ascii="Times New Roman" w:hAnsi="Times New Roman"/>
                <w:color w:val="000000" w:themeColor="text1"/>
                <w:sz w:val="24"/>
                <w:szCs w:val="24"/>
                <w:highlight w:val="none"/>
                <w:lang w:val="en-US" w:eastAsia="zh-CN"/>
                <w14:textFill>
                  <w14:solidFill>
                    <w14:schemeClr w14:val="tx1"/>
                  </w14:solidFill>
                </w14:textFill>
              </w:rPr>
              <w:t>环保综</w:t>
            </w:r>
            <w:r>
              <w:rPr>
                <w:rFonts w:hint="eastAsia" w:ascii="Times New Roman" w:hAnsi="Times New Roman"/>
                <w:color w:val="000000" w:themeColor="text1"/>
                <w:sz w:val="24"/>
                <w:szCs w:val="24"/>
                <w:highlight w:val="none"/>
                <w14:textFill>
                  <w14:solidFill>
                    <w14:schemeClr w14:val="tx1"/>
                  </w14:solidFill>
                </w14:textFill>
              </w:rPr>
              <w:t>〔202</w:t>
            </w:r>
            <w:r>
              <w:rPr>
                <w:rFonts w:hint="eastAsia" w:ascii="Times New Roman" w:hAnsi="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olor w:val="000000" w:themeColor="text1"/>
                <w:sz w:val="24"/>
                <w:szCs w:val="24"/>
                <w:highlight w:val="none"/>
                <w14:textFill>
                  <w14:solidFill>
                    <w14:schemeClr w14:val="tx1"/>
                  </w14:solidFill>
                </w14:textFill>
              </w:rPr>
              <w:t>号）</w:t>
            </w:r>
            <w:r>
              <w:rPr>
                <w:rFonts w:hint="eastAsia" w:ascii="Times New Roman" w:hAnsi="Times New Roman"/>
                <w:color w:val="000000" w:themeColor="text1"/>
                <w:sz w:val="24"/>
                <w:szCs w:val="24"/>
                <w:highlight w:val="none"/>
                <w:lang w:val="en-US" w:eastAsia="zh-CN"/>
                <w14:textFill>
                  <w14:solidFill>
                    <w14:schemeClr w14:val="tx1"/>
                  </w14:solidFill>
                </w14:textFill>
              </w:rPr>
              <w:t>以及</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《福建省生态环境分区管控综合查询报告》报告编号：</w:t>
            </w:r>
            <w:r>
              <w:rPr>
                <w:rFonts w:hint="eastAsia" w:ascii="宋体" w:hAnsi="宋体" w:eastAsia="宋体" w:cs="宋体"/>
                <w:color w:val="000000" w:themeColor="text1"/>
                <w:sz w:val="24"/>
                <w:szCs w:val="24"/>
                <w:highlight w:val="none"/>
                <w:vertAlign w:val="baseline"/>
                <w:lang w:val="en-US" w:eastAsia="zh-CN"/>
                <w14:textFill>
                  <w14:solidFill>
                    <w14:schemeClr w14:val="tx1"/>
                  </w14:solidFill>
                </w14:textFill>
              </w:rPr>
              <w:t>FQGK1757572439970</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福清融侨经济开发区（工业园区）内且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项目属于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汽车塑料零配件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制造业，不属于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福州市生</w:t>
            </w:r>
            <w:r>
              <w:rPr>
                <w:rFonts w:hint="default" w:ascii="Times New Roman" w:hAnsi="Times New Roman" w:eastAsia="宋体" w:cs="Times New Roman"/>
                <w:color w:val="auto"/>
                <w:sz w:val="24"/>
                <w:szCs w:val="24"/>
                <w:highlight w:val="none"/>
                <w:lang w:val="en-US" w:eastAsia="zh-CN"/>
              </w:rPr>
              <w:t>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cs="Times New Roman"/>
                <w:sz w:val="24"/>
                <w:szCs w:val="24"/>
                <w:lang w:eastAsia="zh-CN"/>
              </w:rPr>
              <w:t>：</w:t>
            </w:r>
            <w:r>
              <w:rPr>
                <w:rFonts w:hint="eastAsia"/>
                <w:vertAlign w:val="baseline"/>
                <w:lang w:val="en-US" w:eastAsia="zh-CN"/>
              </w:rPr>
              <w:t>ZH35018120008</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lang w:val="en-US" w:eastAsia="zh-CN"/>
              </w:rPr>
              <w:t>附件十</w:t>
            </w:r>
            <w:r>
              <w:rPr>
                <w:rFonts w:hint="eastAsia" w:ascii="Times New Roman" w:hAnsi="Times New Roman" w:cs="Times New Roman"/>
                <w:b/>
                <w:bCs/>
                <w:sz w:val="24"/>
                <w:szCs w:val="24"/>
                <w:highlight w:val="none"/>
                <w:lang w:val="en-US" w:eastAsia="zh-CN"/>
              </w:rPr>
              <w:t>五</w:t>
            </w:r>
            <w:r>
              <w:rPr>
                <w:rFonts w:hint="default" w:ascii="Times New Roman" w:hAnsi="Times New Roman" w:eastAsia="宋体" w:cs="Times New Roman"/>
                <w:color w:val="auto"/>
                <w:spacing w:val="0"/>
                <w:w w:val="100"/>
                <w:position w:val="0"/>
                <w:sz w:val="24"/>
                <w:szCs w:val="24"/>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67F914D4">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2"/>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231E3E50">
            <w:pPr>
              <w:rPr>
                <w:rFonts w:hint="default"/>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 xml:space="preserve"> 与</w:t>
            </w:r>
            <w:r>
              <w:rPr>
                <w:rFonts w:hint="eastAsia" w:cs="Times New Roman"/>
                <w:b/>
                <w:bCs/>
                <w:color w:val="auto"/>
                <w:kern w:val="0"/>
                <w:sz w:val="24"/>
                <w:szCs w:val="24"/>
                <w:u w:val="none"/>
                <w:lang w:val="en-US" w:eastAsia="zh-CN"/>
              </w:rPr>
              <w:t>全省生态环境总体准入要求的符合性分析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24"/>
              <w:gridCol w:w="6970"/>
              <w:gridCol w:w="2941"/>
              <w:gridCol w:w="884"/>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5"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1.石化、汽车、船舶、冶金、水泥、制浆造纸、印染等重点产业，要符合全省规划布局要求。</w:t>
                  </w:r>
                </w:p>
              </w:tc>
              <w:tc>
                <w:tcPr>
                  <w:tcW w:w="1165" w:type="pct"/>
                  <w:vMerge w:val="restart"/>
                  <w:tcBorders>
                    <w:tl2br w:val="nil"/>
                    <w:tr2bl w:val="nil"/>
                  </w:tcBorders>
                  <w:noWrap w:val="0"/>
                  <w:vAlign w:val="center"/>
                </w:tcPr>
                <w:p w14:paraId="2DE8EDA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1-2、本项目属于汽车塑料制品生产，不涉及石化、汽车、冶金、钢铁、水泥等重点行业。</w:t>
                  </w:r>
                </w:p>
                <w:p w14:paraId="467ED59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3-4本项目不属于煤电、氟化工项目。</w:t>
                  </w:r>
                </w:p>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u w:val="none"/>
                      <w14:textFill>
                        <w14:solidFill>
                          <w14:schemeClr w14:val="tx1"/>
                        </w14:solidFill>
                      </w14:textFill>
                    </w:rPr>
                    <w:t>项目周边水环境质量达标。生活污水经化粪池处理后接入市政管网汇入</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污水处理</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厂</w:t>
                  </w:r>
                  <w:r>
                    <w:rPr>
                      <w:rFonts w:hint="eastAsia" w:cs="Times New Roman"/>
                      <w:color w:val="000000" w:themeColor="text1"/>
                      <w:sz w:val="21"/>
                      <w:szCs w:val="21"/>
                      <w:u w:val="none"/>
                      <w:lang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与空间布局约束不冲突。</w:t>
                  </w:r>
                </w:p>
                <w:p w14:paraId="66B629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7、本项目不属于</w:t>
                  </w:r>
                  <w:r>
                    <w:rPr>
                      <w:rFonts w:hint="eastAsia"/>
                      <w:color w:val="000000" w:themeColor="text1"/>
                      <w:vertAlign w:val="baseline"/>
                      <w:lang w:val="en-US" w:eastAsia="zh-CN"/>
                      <w14:textFill>
                        <w14:solidFill>
                          <w14:schemeClr w14:val="tx1"/>
                        </w14:solidFill>
                      </w14:textFill>
                    </w:rPr>
                    <w:t>新建用汞的电石法（聚）氯乙烯生产工艺</w:t>
                  </w:r>
                </w:p>
              </w:tc>
              <w:tc>
                <w:tcPr>
                  <w:tcW w:w="350"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5"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p>
              </w:tc>
              <w:tc>
                <w:tcPr>
                  <w:tcW w:w="350"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5"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75"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5"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5"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75"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。涉新增VOCs排放项目，VOCs排放实行区域内等量替代，福州、厦门、漳州、泉州、莆田、宁德等6个重点控制区可实施倍量替代。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50"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5"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165"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本项目生产过程中不产生生产废水，生活污水依托园区内化粪池处理达标后接入市政污水管网，纳入福清市融元污水处理厂进行集中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p>
              </w:tc>
              <w:tc>
                <w:tcPr>
                  <w:tcW w:w="350"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5"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 xml:space="preserve"> </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85"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本项目不属于危险化学品生产企业，不属于有色金属、印染、原料药制造、化工等企业；本项目位于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61D60F5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w:t>
                  </w:r>
                  <w:r>
                    <w:rPr>
                      <w:rFonts w:hint="eastAsia" w:cs="Times New Roman"/>
                      <w:vertAlign w:val="baseline"/>
                      <w:lang w:val="en-US" w:eastAsia="zh-CN"/>
                    </w:rPr>
                    <w:t>和改革委员会</w:t>
                  </w:r>
                  <w:r>
                    <w:rPr>
                      <w:rFonts w:hint="eastAsia" w:ascii="Times New Roman" w:hAnsi="Times New Roman" w:eastAsia="宋体" w:cs="Times New Roman"/>
                      <w:vertAlign w:val="baseline"/>
                      <w:lang w:val="en-US" w:eastAsia="zh-CN"/>
                    </w:rPr>
                    <w:t>同有关部门确认的需中央加大建设用地保障力度，确实难以避让的国家重大项目。</w:t>
                  </w:r>
                </w:p>
              </w:tc>
              <w:tc>
                <w:tcPr>
                  <w:tcW w:w="1076"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本项目不属于石化植物制浆、印染、合成革及人造革、电镀项目，不涉及油墨、涂料、胶粘剂的使用，不属于陶瓷企业。不属于煤电、钢铁、建材、石化、化工等“两高”项目；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7AA93DE8">
                  <w:pPr>
                    <w:keepNext w:val="0"/>
                    <w:keepLines w:val="0"/>
                    <w:pageBreakBefore w:val="0"/>
                    <w:widowControl w:val="0"/>
                    <w:numPr>
                      <w:ilvl w:val="0"/>
                      <w:numId w:val="5"/>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0066DB96">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34B90F8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6.本项目不设置锅炉，不燃煤、燃油、生物质和其他使用高污染燃料的锅炉；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0AFA832F">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本项目不设置锅炉，不燃煤、燃油、生物质和其他使用高污染燃料的锅炉；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085"/>
              <w:gridCol w:w="758"/>
              <w:gridCol w:w="692"/>
              <w:gridCol w:w="5611"/>
              <w:gridCol w:w="2071"/>
              <w:gridCol w:w="725"/>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30"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300"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496"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820"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30"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福清市重点管控单元1</w:t>
                  </w:r>
                </w:p>
              </w:tc>
              <w:tc>
                <w:tcPr>
                  <w:tcW w:w="300"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221" w:type="pct"/>
                  <w:tcBorders>
                    <w:tl2br w:val="nil"/>
                    <w:tr2bl w:val="nil"/>
                  </w:tcBorders>
                  <w:vAlign w:val="center"/>
                </w:tcPr>
                <w:p w14:paraId="3B263182">
                  <w:pPr>
                    <w:keepNext w:val="0"/>
                    <w:keepLines w:val="0"/>
                    <w:pageBreakBefore w:val="0"/>
                    <w:widowControl w:val="0"/>
                    <w:numPr>
                      <w:ilvl w:val="0"/>
                      <w:numId w:val="7"/>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7"/>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820" w:type="pct"/>
                  <w:tcBorders>
                    <w:tl2br w:val="nil"/>
                    <w:tr2bl w:val="nil"/>
                  </w:tcBorders>
                  <w:vAlign w:val="center"/>
                </w:tcPr>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val="en-US" w:eastAsia="zh-CN"/>
                    </w:rPr>
                    <w:t>本项目不属于危险化学品生产企业，不属于有色金属、印染、原料药制造、化工等企业；本项目位于</w:t>
                  </w:r>
                  <w:r>
                    <w:rPr>
                      <w:rFonts w:hint="default" w:ascii="Times New Roman" w:hAnsi="Times New Roman" w:eastAsia="宋体" w:cs="Times New Roman"/>
                      <w:color w:val="auto"/>
                      <w:sz w:val="21"/>
                      <w:szCs w:val="21"/>
                      <w:u w:val="none"/>
                      <w:lang w:eastAsia="zh-CN"/>
                    </w:rPr>
                    <w:t>福清融侨经济技术开发区内。</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221"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820"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221"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20"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221"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820"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t>项目用电作为能源，未使用高污染燃料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744776BC">
            <w:pPr>
              <w:pStyle w:val="20"/>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43FE8004">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646"/>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594F6A01">
            <w:pPr>
              <w:pStyle w:val="10"/>
              <w:rPr>
                <w:rFonts w:hint="eastAsia"/>
                <w:color w:val="000000" w:themeColor="text1"/>
                <w:highlight w:val="none"/>
                <w:vertAlign w:val="baseline"/>
                <w:lang w:eastAsia="zh-CN"/>
                <w14:textFill>
                  <w14:solidFill>
                    <w14:schemeClr w14:val="tx1"/>
                  </w14:solidFill>
                </w14:textFill>
              </w:rPr>
            </w:pPr>
          </w:p>
        </w:tc>
        <w:tc>
          <w:tcPr>
            <w:tcW w:w="4653" w:type="pct"/>
          </w:tcPr>
          <w:p w14:paraId="636E50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根据上述分析，本项目与《福建省人民政府关于实施</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三线一单</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生态环境分区管控的通知》</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闽政</w:t>
            </w:r>
            <w:r>
              <w:rPr>
                <w:rFonts w:hint="eastAsia" w:cs="Times New Roman"/>
                <w:color w:val="000000" w:themeColor="text1"/>
                <w:sz w:val="24"/>
                <w:szCs w:val="24"/>
                <w:highlight w:val="none"/>
                <w:u w:val="none"/>
                <w:lang w:eastAsia="zh-CN"/>
                <w14:textFill>
                  <w14:solidFill>
                    <w14:schemeClr w14:val="tx1"/>
                  </w14:solidFill>
                </w14:textFill>
              </w:rPr>
              <w:t>〔2020〕12号</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GB"/>
                <w14:textFill>
                  <w14:solidFill>
                    <w14:schemeClr w14:val="tx1"/>
                  </w14:solidFill>
                </w14:textFill>
              </w:rPr>
              <w:t>中共福建省委办公厅 福建省人民政府办公厅关于加强生态环境分区管控的实施意见</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2024年11月10日</w:t>
            </w:r>
            <w:r>
              <w:rPr>
                <w:rFonts w:hint="eastAsia" w:ascii="Times New Roman" w:hAnsi="Times New Roman"/>
                <w:color w:val="000000" w:themeColor="text1"/>
                <w:sz w:val="24"/>
                <w:szCs w:val="24"/>
                <w:highlight w:val="none"/>
                <w:lang w:val="en-GB" w:eastAsia="zh-CN"/>
                <w14:textFill>
                  <w14:solidFill>
                    <w14:schemeClr w14:val="tx1"/>
                  </w14:solidFill>
                </w14:textFill>
              </w:rPr>
              <w:t>）</w:t>
            </w:r>
            <w:r>
              <w:rPr>
                <w:rFonts w:hint="eastAsia"/>
                <w:color w:val="000000" w:themeColor="text1"/>
                <w:sz w:val="24"/>
                <w:szCs w:val="24"/>
                <w:highlight w:val="none"/>
                <w:lang w:val="en-GB" w:eastAsia="zh-CN"/>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福州市生态环境局关于发布福州市2024年生态环境分区管控动态更新成果的通知</w:t>
            </w:r>
            <w:r>
              <w:rPr>
                <w:rFonts w:hint="eastAsia" w:ascii="Times New Roman" w:hAnsi="Times New Roman"/>
                <w:color w:val="000000" w:themeColor="text1"/>
                <w:sz w:val="24"/>
                <w:szCs w:val="24"/>
                <w:highlight w:val="none"/>
                <w14:textFill>
                  <w14:solidFill>
                    <w14:schemeClr w14:val="tx1"/>
                  </w14:solidFill>
                </w14:textFill>
              </w:rPr>
              <w:t>》（榕</w:t>
            </w:r>
            <w:r>
              <w:rPr>
                <w:rFonts w:hint="eastAsia" w:ascii="Times New Roman" w:hAnsi="Times New Roman"/>
                <w:color w:val="000000" w:themeColor="text1"/>
                <w:sz w:val="24"/>
                <w:szCs w:val="24"/>
                <w:highlight w:val="none"/>
                <w:lang w:val="en-US" w:eastAsia="zh-CN"/>
                <w14:textFill>
                  <w14:solidFill>
                    <w14:schemeClr w14:val="tx1"/>
                  </w14:solidFill>
                </w14:textFill>
              </w:rPr>
              <w:t>环保综</w:t>
            </w:r>
            <w:r>
              <w:rPr>
                <w:rFonts w:hint="eastAsia" w:ascii="Times New Roman" w:hAnsi="Times New Roman"/>
                <w:color w:val="000000" w:themeColor="text1"/>
                <w:sz w:val="24"/>
                <w:szCs w:val="24"/>
                <w:highlight w:val="none"/>
                <w14:textFill>
                  <w14:solidFill>
                    <w14:schemeClr w14:val="tx1"/>
                  </w14:solidFill>
                </w14:textFill>
              </w:rPr>
              <w:t>〔202</w:t>
            </w:r>
            <w:r>
              <w:rPr>
                <w:rFonts w:hint="eastAsia" w:ascii="Times New Roman" w:hAnsi="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中的相关规定是符合的。</w:t>
            </w:r>
          </w:p>
          <w:p w14:paraId="4442B9EA">
            <w:pPr>
              <w:pStyle w:val="33"/>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平面布局合理性分析</w:t>
            </w:r>
          </w:p>
          <w:p w14:paraId="304689A3">
            <w:pPr>
              <w:pStyle w:val="34"/>
              <w:keepNext w:val="0"/>
              <w:keepLines w:val="0"/>
              <w:pageBreakBefore w:val="0"/>
              <w:kinsoku/>
              <w:wordWrap/>
              <w:overflowPunct/>
              <w:topLinePunct w:val="0"/>
              <w:bidi w:val="0"/>
              <w:spacing w:line="360" w:lineRule="auto"/>
              <w:ind w:firstLine="480"/>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购置</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均和云谷</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·福清科技港31栋厂房</w:t>
            </w:r>
            <w:r>
              <w:rPr>
                <w:rFonts w:hint="eastAsia" w:ascii="宋体" w:hAnsi="宋体" w:cs="宋体"/>
                <w:color w:val="000000" w:themeColor="text1"/>
                <w:sz w:val="24"/>
                <w:szCs w:val="24"/>
                <w:highlight w:val="none"/>
                <w:u w:val="none"/>
                <w:lang w:val="en-US" w:eastAsia="zh-CN"/>
                <w14:textFill>
                  <w14:solidFill>
                    <w14:schemeClr w14:val="tx1"/>
                  </w14:solidFill>
                </w14:textFill>
              </w:rPr>
              <w:t>1-4</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层作为生产场所，合计面积3515.66m</w:t>
            </w:r>
            <w:r>
              <w:rPr>
                <w:rFonts w:hint="eastAsia" w:ascii="宋体" w:hAnsi="宋体" w:eastAsia="宋体" w:cs="宋体"/>
                <w:color w:val="000000" w:themeColor="text1"/>
                <w:sz w:val="24"/>
                <w:szCs w:val="24"/>
                <w:highlight w:val="none"/>
                <w:u w:val="none"/>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s="宋体"/>
                <w:color w:val="000000" w:themeColor="text1"/>
                <w:sz w:val="24"/>
                <w:szCs w:val="24"/>
                <w:highlight w:val="none"/>
                <w:u w:val="none"/>
                <w:lang w:val="en-US" w:eastAsia="zh-CN"/>
                <w14:textFill>
                  <w14:solidFill>
                    <w14:schemeClr w14:val="tx1"/>
                  </w14:solidFill>
                </w14:textFill>
              </w:rPr>
              <w:t>厂房</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购置合同详见</w:t>
            </w:r>
            <w:r>
              <w:rPr>
                <w:rFonts w:hint="eastAsia" w:ascii="宋体" w:hAnsi="宋体" w:eastAsia="宋体" w:cs="宋体"/>
                <w:b/>
                <w:bCs/>
                <w:color w:val="000000" w:themeColor="text1"/>
                <w:sz w:val="24"/>
                <w:szCs w:val="24"/>
                <w:highlight w:val="none"/>
                <w:u w:val="none"/>
                <w:lang w:val="en-US" w:eastAsia="zh-CN"/>
                <w14:textFill>
                  <w14:solidFill>
                    <w14:schemeClr w14:val="tx1"/>
                  </w14:solidFill>
                </w14:textFill>
              </w:rPr>
              <w:t>附件</w:t>
            </w:r>
            <w:r>
              <w:rPr>
                <w:rFonts w:hint="eastAsia" w:ascii="宋体" w:hAnsi="宋体" w:cs="宋体"/>
                <w:b/>
                <w:bCs/>
                <w:color w:val="000000" w:themeColor="text1"/>
                <w:sz w:val="24"/>
                <w:szCs w:val="24"/>
                <w:highlight w:val="none"/>
                <w:u w:val="non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厂区内厂房布置简单，</w:t>
            </w:r>
            <w:r>
              <w:rPr>
                <w:rFonts w:hint="eastAsia" w:cs="Times New Roman"/>
                <w:color w:val="000000" w:themeColor="text1"/>
                <w:sz w:val="24"/>
                <w:szCs w:val="24"/>
                <w:highlight w:val="none"/>
                <w:lang w:val="en-US" w:eastAsia="zh-CN"/>
                <w14:textFill>
                  <w14:solidFill>
                    <w14:schemeClr w14:val="tx1"/>
                  </w14:solidFill>
                </w14:textFill>
              </w:rPr>
              <w:t>一层部分区域为本项目汽车塑料配件生产区，二层东侧按要求建设一间危险废物贮存库，三层为原料与成品存放区，三层楼顶放置冷却塔及二级活性炭吸附装置，破碎所产生的颗粒物通过布袋除尘器处理后接入生产废气管道，合并后由排气筒（DA001）排放。布袋除尘器位于一层破碎机房旁。</w:t>
            </w:r>
            <w:r>
              <w:rPr>
                <w:rFonts w:hint="default" w:ascii="Times New Roman" w:hAnsi="Times New Roman" w:eastAsia="宋体" w:cs="Times New Roman"/>
                <w:color w:val="000000" w:themeColor="text1"/>
                <w:sz w:val="24"/>
                <w:szCs w:val="24"/>
                <w:highlight w:val="none"/>
                <w14:textFill>
                  <w14:solidFill>
                    <w14:schemeClr w14:val="tx1"/>
                  </w14:solidFill>
                </w14:textFill>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本合理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本厂房一层部分区域、二层均为汽车注塑模具生产线（仅切割、组装），根据《建设项目分类管理名录》</w:t>
            </w:r>
            <w:r>
              <w:rPr>
                <w:rFonts w:hint="eastAsia" w:cs="Times New Roman"/>
                <w:color w:val="000000" w:themeColor="text1"/>
                <w:sz w:val="24"/>
                <w:szCs w:val="24"/>
                <w:highlight w:val="none"/>
                <w:vertAlign w:val="baseline"/>
                <w:lang w:val="en-US" w:eastAsia="zh-CN"/>
                <w14:textFill>
                  <w14:solidFill>
                    <w14:schemeClr w14:val="tx1"/>
                  </w14:solidFill>
                </w14:textFill>
              </w:rPr>
              <w:t>（2021版）第三十二、专用设备制造业 35 化工、木材、非金属加工专用设备制造352）本项目汽车注塑模具生产线无需进行环评申报。</w:t>
            </w:r>
          </w:p>
          <w:p w14:paraId="07AFA48C">
            <w:pPr>
              <w:pStyle w:val="33"/>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6.项目选址合理性分析</w:t>
            </w:r>
          </w:p>
          <w:p w14:paraId="7577BA08">
            <w:pPr>
              <w:widowControl/>
              <w:spacing w:line="360" w:lineRule="auto"/>
              <w:ind w:firstLine="480" w:firstLineChars="200"/>
              <w:jc w:val="left"/>
              <w:rPr>
                <w:rFonts w:hint="eastAsia"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《关于</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均和云谷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·福清科技港</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入园企业申请办理环评手续的函</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“均和云谷</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·福清科技港</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项目占地面积143.9亩，总建筑面积157370.99m</w:t>
            </w:r>
            <w:r>
              <w:rPr>
                <w:rFonts w:hint="eastAsia" w:ascii="Times New Roman" w:hAnsi="Times New Roman" w:cs="Times New Roman"/>
                <w:color w:val="000000" w:themeColor="text1"/>
                <w:sz w:val="24"/>
                <w:szCs w:val="24"/>
                <w:highlight w:val="none"/>
                <w:u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，共建设40栋标准厂房及1栋综合配套。目前，福州创文贸易有限公司、福州创文五金制品有限公司、福建亚中欧贸易有限公司、福建融永拓新材料有限公司、福州大火牛新材料科技有限公司、</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福清大松模具有限公司</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、福建多盈新材料科技有限公司等7家企业已经我委审核把关同意入园，并签订投资合同”。（详见</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七</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入园</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申请办理环评手续函）</w:t>
            </w:r>
            <w:r>
              <w:rPr>
                <w:rFonts w:hint="eastAsia" w:cs="Times New Roman"/>
                <w:color w:val="000000" w:themeColor="text1"/>
                <w:sz w:val="24"/>
                <w:szCs w:val="24"/>
                <w:highlight w:val="none"/>
                <w:u w:val="none"/>
                <w:lang w:val="en-US" w:eastAsia="zh-CN"/>
                <w14:textFill>
                  <w14:solidFill>
                    <w14:schemeClr w14:val="tx1"/>
                  </w14:solidFill>
                </w14:textFill>
              </w:rPr>
              <w:t>。</w:t>
            </w:r>
          </w:p>
          <w:p w14:paraId="16E485B4">
            <w:pPr>
              <w:widowControl/>
              <w:spacing w:line="360" w:lineRule="auto"/>
              <w:ind w:firstLine="480" w:firstLineChars="200"/>
              <w:jc w:val="left"/>
              <w:rPr>
                <w:rFonts w:hint="eastAsia"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根据</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提供的</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五</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。根据福清市自然资源和规划局审定的均和云谷福清科技港总平面</w:t>
            </w:r>
            <w:r>
              <w:rPr>
                <w:rFonts w:hint="eastAsia" w:cs="Times New Roman"/>
                <w:color w:val="000000" w:themeColor="text1"/>
                <w:sz w:val="24"/>
                <w:szCs w:val="24"/>
                <w:highlight w:val="none"/>
                <w:lang w:eastAsia="zh-CN"/>
                <w14:textFill>
                  <w14:solidFill>
                    <w14:schemeClr w14:val="tx1"/>
                  </w14:solidFill>
                </w14:textFill>
              </w:rPr>
              <w:t>布置</w:t>
            </w:r>
            <w:r>
              <w:rPr>
                <w:rFonts w:hint="default" w:ascii="Times New Roman" w:hAnsi="Times New Roman" w:eastAsia="宋体" w:cs="Times New Roman"/>
                <w:color w:val="000000" w:themeColor="text1"/>
                <w:sz w:val="24"/>
                <w:szCs w:val="24"/>
                <w:highlight w:val="none"/>
                <w14:textFill>
                  <w14:solidFill>
                    <w14:schemeClr w14:val="tx1"/>
                  </w14:solidFill>
                </w14:textFill>
              </w:rPr>
              <w:t>图及均和产业发展（福清）有限公司规划条件核实意见书（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整区</w:t>
            </w:r>
            <w:r>
              <w:rPr>
                <w:rFonts w:hint="default" w:ascii="Times New Roman" w:hAnsi="Times New Roman" w:eastAsia="宋体" w:cs="Times New Roman"/>
                <w:color w:val="000000" w:themeColor="text1"/>
                <w:sz w:val="24"/>
                <w:szCs w:val="24"/>
                <w:highlight w:val="none"/>
                <w14:textFill>
                  <w14:solidFill>
                    <w14:schemeClr w14:val="tx1"/>
                  </w14:solidFill>
                </w14:textFill>
              </w:rPr>
              <w:t>）（编号：融规核〔202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112</w:t>
            </w:r>
            <w:r>
              <w:rPr>
                <w:rFonts w:hint="default" w:ascii="Times New Roman" w:hAnsi="Times New Roman" w:eastAsia="宋体" w:cs="Times New Roman"/>
                <w:color w:val="000000" w:themeColor="text1"/>
                <w:sz w:val="24"/>
                <w:szCs w:val="24"/>
                <w:highlight w:val="none"/>
                <w14:textFill>
                  <w14:solidFill>
                    <w14:schemeClr w14:val="tx1"/>
                  </w14:solidFill>
                </w14:textFill>
              </w:rPr>
              <w:t>号）可知，项目位于均和云谷福清科技港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#厂房构筑物主要经济技术指标均通过规划部门审核审定。</w:t>
            </w:r>
          </w:p>
          <w:p w14:paraId="72C61243">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根据现场勘查，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厂界外50米范围内不存在声环境保护目标，厂界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外500米范围内距离项目最近的西南侧约3</w:t>
            </w:r>
            <w:r>
              <w:rPr>
                <w:rFonts w:hint="eastAsia" w:cs="Times New Roman"/>
                <w:color w:val="000000" w:themeColor="text1"/>
                <w:sz w:val="24"/>
                <w:highlight w:val="none"/>
                <w:lang w:val="en-US" w:eastAsia="zh-CN"/>
                <w14:textFill>
                  <w14:solidFill>
                    <w14:schemeClr w14:val="tx1"/>
                  </w14:solidFill>
                </w14:textFill>
              </w:rPr>
              <w:t>80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m的下田村居民点，</w:t>
            </w:r>
            <w:r>
              <w:rPr>
                <w:rFonts w:hint="eastAsia" w:cs="Times New Roman"/>
                <w:color w:val="000000" w:themeColor="text1"/>
                <w:sz w:val="24"/>
                <w:highlight w:val="none"/>
                <w:lang w:val="en-US" w:eastAsia="zh-CN"/>
                <w14:textFill>
                  <w14:solidFill>
                    <w14:schemeClr w14:val="tx1"/>
                  </w14:solidFill>
                </w14:textFill>
              </w:rPr>
              <w:t>水环境保护目标为厂界西北侧345m的罗汉溪</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Ⅲ类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水体</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周边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主要分</w:t>
            </w:r>
            <w:r>
              <w:rPr>
                <w:rFonts w:hint="eastAsia" w:cs="Times New Roman"/>
                <w:color w:val="000000" w:themeColor="text1"/>
                <w:sz w:val="24"/>
                <w:highlight w:val="none"/>
                <w:lang w:val="en-US" w:eastAsia="zh-CN"/>
                <w14:textFill>
                  <w14:solidFill>
                    <w14:schemeClr w14:val="tx1"/>
                  </w14:solidFill>
                </w14:textFill>
              </w:rPr>
              <w:t>布以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工业企业</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为主等</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，项目周边环境示意图</w:t>
            </w:r>
            <w:r>
              <w:rPr>
                <w:rFonts w:hint="eastAsia" w:cs="Times New Roman"/>
                <w:color w:val="000000" w:themeColor="text1"/>
                <w:sz w:val="24"/>
                <w:highlight w:val="none"/>
                <w:lang w:val="en-US" w:eastAsia="zh-CN"/>
                <w14:textFill>
                  <w14:solidFill>
                    <w14:schemeClr w14:val="tx1"/>
                  </w14:solidFill>
                </w14:textFill>
              </w:rPr>
              <w:t>及保护目标</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项目周边环境现状拍摄图详</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建设单位在</w:t>
            </w:r>
            <w:r>
              <w:rPr>
                <w:rFonts w:hint="eastAsia" w:cs="Times New Roman"/>
                <w:color w:val="000000" w:themeColor="text1"/>
                <w:sz w:val="24"/>
                <w:highlight w:val="none"/>
                <w:lang w:eastAsia="zh-CN"/>
                <w14:textFill>
                  <w14:solidFill>
                    <w14:schemeClr w14:val="tx1"/>
                  </w14:solidFill>
                </w14:textFill>
              </w:rPr>
              <w:t>切实落实</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本评价提出的各项污染治理措施的前提下，可实现污染物达标排放</w:t>
            </w:r>
            <w:r>
              <w:rPr>
                <w:rFonts w:hint="eastAsia" w:cs="Times New Roman"/>
                <w:color w:val="000000" w:themeColor="text1"/>
                <w:sz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各污染物排放源强较低，运营期产生的</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三废</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及噪声对周边环境影响不明显，因此，项目</w:t>
            </w:r>
            <w:r>
              <w:rPr>
                <w:rFonts w:hint="eastAsia" w:cs="Times New Roman"/>
                <w:color w:val="000000" w:themeColor="text1"/>
                <w:sz w:val="24"/>
                <w:highlight w:val="none"/>
                <w:lang w:val="en-US" w:eastAsia="zh-CN"/>
                <w14:textFill>
                  <w14:solidFill>
                    <w14:schemeClr w14:val="tx1"/>
                  </w14:solidFill>
                </w14:textFill>
              </w:rPr>
              <w:t>建设选址可行。</w:t>
            </w:r>
          </w:p>
          <w:p w14:paraId="33CA0927">
            <w:pPr>
              <w:widowControl/>
              <w:numPr>
                <w:ilvl w:val="0"/>
                <w:numId w:val="0"/>
              </w:numPr>
              <w:spacing w:line="360" w:lineRule="auto"/>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w:t>
            </w:r>
            <w:r>
              <w:rPr>
                <w:b/>
                <w:bCs/>
                <w:color w:val="000000" w:themeColor="text1"/>
                <w:sz w:val="24"/>
                <w:highlight w:val="none"/>
                <w14:textFill>
                  <w14:solidFill>
                    <w14:schemeClr w14:val="tx1"/>
                  </w14:solidFill>
                </w14:textFill>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000000" w:themeColor="text1"/>
                <w:sz w:val="24"/>
                <w:szCs w:val="24"/>
                <w:highlight w:val="none"/>
                <w:u w:val="none"/>
                <w:lang w:val="en-US" w:eastAsia="zh-CN" w:bidi="ar"/>
                <w14:textFill>
                  <w14:solidFill>
                    <w14:schemeClr w14:val="tx1"/>
                  </w14:solidFill>
                </w14:textFill>
              </w:rPr>
            </w:pPr>
            <w:r>
              <w:rPr>
                <w:rFonts w:hint="eastAsia" w:cs="宋体"/>
                <w:color w:val="000000" w:themeColor="text1"/>
                <w:sz w:val="24"/>
                <w:szCs w:val="24"/>
                <w:highlight w:val="none"/>
                <w:u w:val="none"/>
                <w:lang w:bidi="ar"/>
                <w14:textFill>
                  <w14:solidFill>
                    <w14:schemeClr w14:val="tx1"/>
                  </w14:solidFill>
                </w14:textFill>
              </w:rPr>
              <w:t>本项目与挥发性有机物污染防治政策相关内容符合性分析，符合性分析详见表</w:t>
            </w:r>
            <w:r>
              <w:rPr>
                <w:rFonts w:hint="eastAsia" w:cs="宋体"/>
                <w:color w:val="000000" w:themeColor="text1"/>
                <w:sz w:val="24"/>
                <w:szCs w:val="24"/>
                <w:highlight w:val="none"/>
                <w:u w:val="none"/>
                <w:lang w:val="en-US" w:eastAsia="zh-CN" w:bidi="ar"/>
                <w14:textFill>
                  <w14:solidFill>
                    <w14:schemeClr w14:val="tx1"/>
                  </w14:solidFill>
                </w14:textFill>
              </w:rPr>
              <w:t>1.1-5</w:t>
            </w:r>
            <w:r>
              <w:rPr>
                <w:rFonts w:hint="eastAsia" w:cs="宋体"/>
                <w:color w:val="000000" w:themeColor="text1"/>
                <w:sz w:val="24"/>
                <w:szCs w:val="24"/>
                <w:highlight w:val="none"/>
                <w:u w:val="none"/>
                <w:lang w:bidi="ar"/>
                <w14:textFill>
                  <w14:solidFill>
                    <w14:schemeClr w14:val="tx1"/>
                  </w14:solidFill>
                </w14:textFill>
              </w:rPr>
              <w:t>。</w:t>
            </w:r>
            <w:r>
              <w:rPr>
                <w:rFonts w:hint="eastAsia" w:cs="宋体"/>
                <w:color w:val="000000" w:themeColor="text1"/>
                <w:sz w:val="24"/>
                <w:szCs w:val="24"/>
                <w:highlight w:val="none"/>
                <w:u w:val="none"/>
                <w:lang w:eastAsia="zh-CN" w:bidi="ar"/>
                <w14:textFill>
                  <w14:solidFill>
                    <w14:schemeClr w14:val="tx1"/>
                  </w14:solidFill>
                </w14:textFill>
              </w:rPr>
              <w:t>根据表</w:t>
            </w:r>
            <w:r>
              <w:rPr>
                <w:rFonts w:hint="eastAsia" w:cs="宋体"/>
                <w:color w:val="000000" w:themeColor="text1"/>
                <w:sz w:val="24"/>
                <w:szCs w:val="24"/>
                <w:highlight w:val="none"/>
                <w:u w:val="none"/>
                <w:lang w:val="en-US" w:eastAsia="zh-CN" w:bidi="ar"/>
                <w14:textFill>
                  <w14:solidFill>
                    <w14:schemeClr w14:val="tx1"/>
                  </w14:solidFill>
                </w14:textFill>
              </w:rPr>
              <w:t>1.1-5的分析可知，本项目建设符合国家及地方的</w:t>
            </w:r>
            <w:r>
              <w:rPr>
                <w:rFonts w:hint="eastAsia" w:cs="宋体"/>
                <w:color w:val="000000" w:themeColor="text1"/>
                <w:sz w:val="24"/>
                <w:szCs w:val="24"/>
                <w:highlight w:val="none"/>
                <w:u w:val="none"/>
                <w:lang w:bidi="ar"/>
                <w14:textFill>
                  <w14:solidFill>
                    <w14:schemeClr w14:val="tx1"/>
                  </w14:solidFill>
                </w14:textFill>
              </w:rPr>
              <w:t>挥发性有机物污染防治政策相关内容</w:t>
            </w:r>
            <w:r>
              <w:rPr>
                <w:rFonts w:hint="eastAsia" w:cs="宋体"/>
                <w:color w:val="000000" w:themeColor="text1"/>
                <w:sz w:val="24"/>
                <w:szCs w:val="24"/>
                <w:highlight w:val="none"/>
                <w:u w:val="none"/>
                <w:lang w:eastAsia="zh-CN" w:bidi="ar"/>
                <w14:textFill>
                  <w14:solidFill>
                    <w14:schemeClr w14:val="tx1"/>
                  </w14:solidFill>
                </w14:textFill>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黑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表1.1-5 挥发性有机物污染防治政策相关内容</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4088"/>
              <w:gridCol w:w="2648"/>
              <w:gridCol w:w="423"/>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1"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相关文件名称</w:t>
                  </w:r>
                </w:p>
              </w:tc>
              <w:tc>
                <w:tcPr>
                  <w:tcW w:w="2425"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相关内容</w:t>
                  </w:r>
                </w:p>
              </w:tc>
              <w:tc>
                <w:tcPr>
                  <w:tcW w:w="1571"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本项目内容</w:t>
                  </w:r>
                </w:p>
              </w:tc>
              <w:tc>
                <w:tcPr>
                  <w:tcW w:w="251"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符合性</w:t>
                  </w: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shd w:val="clear" w:color="auto" w:fill="auto"/>
                  <w:vAlign w:val="center"/>
                </w:tcPr>
                <w:p w14:paraId="6768FAEE">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福建省“十四五”空气质量改善规划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FD37625">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(2022年1月</w:t>
                  </w:r>
                  <w:r>
                    <w:rPr>
                      <w:rFonts w:hint="eastAsia" w:cs="Times New Roman"/>
                      <w:color w:val="000000" w:themeColor="text1"/>
                      <w:sz w:val="21"/>
                      <w:szCs w:val="21"/>
                      <w:highlight w:val="none"/>
                      <w:lang w:val="en-US" w:eastAsia="zh-CN"/>
                      <w14:textFill>
                        <w14:solidFill>
                          <w14:schemeClr w14:val="tx1"/>
                        </w14:solidFill>
                      </w14:textFill>
                    </w:rPr>
                    <w:t>）</w:t>
                  </w:r>
                </w:p>
              </w:tc>
              <w:tc>
                <w:tcPr>
                  <w:tcW w:w="2425" w:type="pct"/>
                  <w:tcBorders>
                    <w:tl2br w:val="nil"/>
                    <w:tr2bl w:val="nil"/>
                  </w:tcBorders>
                  <w:shd w:val="clear" w:color="auto" w:fill="auto"/>
                  <w:vAlign w:val="center"/>
                </w:tcPr>
                <w:p w14:paraId="489BAEBA">
                  <w:pPr>
                    <w:pStyle w:val="35"/>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推广使用水性、高固体分、无溶剂、粉末等低VOCs含量涂料，</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电缆桥架</w:t>
                  </w:r>
                  <w:r>
                    <w:rPr>
                      <w:rFonts w:hint="eastAsia" w:ascii="Times New Roman" w:hAnsi="Times New Roman" w:eastAsia="宋体" w:cs="Times New Roman"/>
                      <w:color w:val="000000" w:themeColor="text1"/>
                      <w:sz w:val="21"/>
                      <w:szCs w:val="21"/>
                      <w:highlight w:val="none"/>
                      <w14:textFill>
                        <w14:solidFill>
                          <w14:schemeClr w14:val="tx1"/>
                        </w14:solidFill>
                      </w14:textFill>
                    </w:rPr>
                    <w:t>制造、</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汽车零部件</w:t>
                  </w:r>
                  <w:r>
                    <w:rPr>
                      <w:rFonts w:hint="eastAsia" w:ascii="Times New Roman" w:hAnsi="Times New Roman" w:eastAsia="宋体" w:cs="Times New Roman"/>
                      <w:color w:val="000000" w:themeColor="text1"/>
                      <w:sz w:val="21"/>
                      <w:szCs w:val="21"/>
                      <w:highlight w:val="none"/>
                      <w14:textFill>
                        <w14:solidFill>
                          <w14:schemeClr w14:val="tx1"/>
                        </w14:solidFill>
                      </w14:textFill>
                    </w:rPr>
                    <w:t>、工程机械使用比例达到50%以上；</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福州</w:t>
                  </w:r>
                  <w:r>
                    <w:rPr>
                      <w:rFonts w:hint="eastAsia" w:ascii="Times New Roman" w:hAnsi="Times New Roman" w:eastAsia="宋体" w:cs="Times New Roman"/>
                      <w:color w:val="000000" w:themeColor="text1"/>
                      <w:sz w:val="21"/>
                      <w:szCs w:val="21"/>
                      <w:highlight w:val="none"/>
                      <w14:textFill>
                        <w14:solidFill>
                          <w14:schemeClr w14:val="tx1"/>
                        </w14:solidFill>
                      </w14:textFill>
                    </w:rPr>
                    <w:t>、厦门、漳州、泉州、莆田、宁德实施VOCs倍量替代。</w:t>
                  </w:r>
                </w:p>
              </w:tc>
              <w:tc>
                <w:tcPr>
                  <w:tcW w:w="1571"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本项目属于汽车塑料零部件制造。生产过程中不涉及涂料使用，注塑</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、脱模</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所产生VOCs的排放量较小，</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不需</w:t>
                  </w:r>
                  <w:r>
                    <w:rPr>
                      <w:rFonts w:hint="default" w:ascii="Times New Roman" w:hAnsi="Times New Roman" w:cs="Times New Roman"/>
                      <w:b w:val="0"/>
                      <w:bCs w:val="0"/>
                      <w:color w:val="000000" w:themeColor="text1"/>
                      <w:sz w:val="21"/>
                      <w:szCs w:val="21"/>
                      <w:highlight w:val="none"/>
                      <w14:textFill>
                        <w14:solidFill>
                          <w14:schemeClr w14:val="tx1"/>
                        </w14:solidFill>
                      </w14:textFill>
                    </w:rPr>
                    <w:t>安装VOCs在线监控设备</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项目建设位置位于</w:t>
                  </w:r>
                  <w:r>
                    <w:rPr>
                      <w:rFonts w:hint="default" w:ascii="Times New Roman" w:hAnsi="Times New Roman" w:eastAsia="宋体" w:cs="Times New Roman"/>
                      <w:color w:val="000000" w:themeColor="text1"/>
                      <w:sz w:val="21"/>
                      <w:szCs w:val="21"/>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，生产过</w:t>
                  </w:r>
                  <w:r>
                    <w:rPr>
                      <w:rFonts w:hint="eastAsia" w:cs="Times New Roman"/>
                      <w:b w:val="0"/>
                      <w:bCs w:val="0"/>
                      <w:color w:val="000000" w:themeColor="text1"/>
                      <w:sz w:val="21"/>
                      <w:szCs w:val="21"/>
                      <w:highlight w:val="none"/>
                      <w:lang w:val="en-US" w:eastAsia="zh-CN"/>
                      <w14:textFill>
                        <w14:solidFill>
                          <w14:schemeClr w14:val="tx1"/>
                        </w14:solidFill>
                      </w14:textFill>
                    </w:rPr>
                    <w:t>程中</w:t>
                  </w:r>
                  <w:r>
                    <w:rPr>
                      <w:rFonts w:hint="default" w:ascii="Times New Roman" w:hAnsi="Times New Roman" w:cs="Times New Roman"/>
                      <w:color w:val="000000" w:themeColor="text1"/>
                      <w:sz w:val="21"/>
                      <w:szCs w:val="21"/>
                      <w:highlight w:val="none"/>
                      <w14:textFill>
                        <w14:solidFill>
                          <w14:schemeClr w14:val="tx1"/>
                        </w14:solidFill>
                      </w14:textFill>
                    </w:rPr>
                    <w:t>排放的VOC</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cs="Times New Roman"/>
                      <w:color w:val="000000" w:themeColor="text1"/>
                      <w:sz w:val="21"/>
                      <w:szCs w:val="21"/>
                      <w:highlight w:val="none"/>
                      <w14:textFill>
                        <w14:solidFill>
                          <w14:schemeClr w14:val="tx1"/>
                        </w14:solidFill>
                      </w14:textFill>
                    </w:rPr>
                    <w:t>由建设单位向生态环境主管部门申请倍量削减替代</w:t>
                  </w:r>
                </w:p>
              </w:tc>
              <w:tc>
                <w:tcPr>
                  <w:tcW w:w="251"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shd w:val="clear" w:color="auto" w:fill="auto"/>
                  <w:vAlign w:val="center"/>
                </w:tcPr>
                <w:p w14:paraId="310DF726">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2022年度福州市蓝天碧海净土保卫战行动计划通知</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榕环委办</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〔2022〕49号</w:t>
                  </w:r>
                  <w:r>
                    <w:rPr>
                      <w:rFonts w:hint="eastAsia" w:cs="Times New Roman"/>
                      <w:color w:val="000000" w:themeColor="text1"/>
                      <w:sz w:val="21"/>
                      <w:szCs w:val="21"/>
                      <w:highlight w:val="none"/>
                      <w:lang w:eastAsia="zh-CN"/>
                      <w14:textFill>
                        <w14:solidFill>
                          <w14:schemeClr w14:val="tx1"/>
                        </w14:solidFill>
                      </w14:textFill>
                    </w:rPr>
                    <w:t>）</w:t>
                  </w:r>
                </w:p>
              </w:tc>
              <w:tc>
                <w:tcPr>
                  <w:tcW w:w="2425" w:type="pct"/>
                  <w:tcBorders>
                    <w:tl2br w:val="nil"/>
                    <w:tr2bl w:val="nil"/>
                  </w:tcBorders>
                  <w:shd w:val="clear" w:color="auto" w:fill="auto"/>
                  <w:vAlign w:val="center"/>
                </w:tcPr>
                <w:p w14:paraId="11112126">
                  <w:pPr>
                    <w:pStyle w:val="35"/>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四是严格涉VOCs建设项目环境影响评价审批。新、改、扩建涉VOCs排放项目，应使用低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VOCs涂料、粘胶剂等，实施新建项目VOCs排放区域内1.2及以上倍量替代。VOCs年排放量大于5吨的新建项目投运前应安装VOCs在线监控设备，并接入市生态云平台。</w:t>
                  </w:r>
                </w:p>
              </w:tc>
              <w:tc>
                <w:tcPr>
                  <w:tcW w:w="1571"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shd w:val="clear" w:color="auto" w:fill="auto"/>
                  <w:vAlign w:val="center"/>
                </w:tcPr>
                <w:p w14:paraId="093771CC">
                  <w:pPr>
                    <w:pStyle w:val="35"/>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福州市“十四五”生态环境保护规划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榕政办〔2021〕123 号</w:t>
                  </w:r>
                  <w:r>
                    <w:rPr>
                      <w:rFonts w:hint="eastAsia" w:cs="Times New Roman"/>
                      <w:color w:val="000000" w:themeColor="text1"/>
                      <w:sz w:val="21"/>
                      <w:szCs w:val="21"/>
                      <w:highlight w:val="none"/>
                      <w:lang w:eastAsia="zh-CN"/>
                      <w14:textFill>
                        <w14:solidFill>
                          <w14:schemeClr w14:val="tx1"/>
                        </w14:solidFill>
                      </w14:textFill>
                    </w:rPr>
                    <w:t>）</w:t>
                  </w:r>
                </w:p>
              </w:tc>
              <w:tc>
                <w:tcPr>
                  <w:tcW w:w="2425" w:type="pct"/>
                  <w:tcBorders>
                    <w:tl2br w:val="nil"/>
                    <w:tr2bl w:val="nil"/>
                  </w:tcBorders>
                  <w:shd w:val="clear" w:color="auto" w:fill="auto"/>
                  <w:vAlign w:val="center"/>
                </w:tcPr>
                <w:p w14:paraId="686B29C0">
                  <w:pPr>
                    <w:pStyle w:val="35"/>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强化挥发性有机物整治。</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实行挥发性有机物排放倍量替代。加大涉VOCs企业源头替代力度，推广使用低</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VOCs原辅材料替代，禁止生产高VOCs含量有机溶剂型涂料、油墨和胶黏剂的新、改、扩建项目，推进重点企业“油改水”治理，提高有机溶剂回收率。”</w:t>
                  </w:r>
                </w:p>
              </w:tc>
              <w:tc>
                <w:tcPr>
                  <w:tcW w:w="1571"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51"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shd w:val="clear" w:color="auto" w:fill="auto"/>
                  <w:vAlign w:val="center"/>
                </w:tcPr>
                <w:p w14:paraId="299361A2">
                  <w:pPr>
                    <w:pStyle w:val="35"/>
                    <w:adjustRightInd w:val="0"/>
                    <w:snapToGrid w:val="0"/>
                    <w:spacing w:line="340" w:lineRule="exact"/>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榕环保综</w:t>
                  </w:r>
                  <w:r>
                    <w:rPr>
                      <w:rFonts w:hint="eastAsia"/>
                      <w:color w:val="000000" w:themeColor="text1"/>
                      <w:highlight w:val="none"/>
                      <w:lang w:eastAsia="zh-CN"/>
                      <w14:textFill>
                        <w14:solidFill>
                          <w14:schemeClr w14:val="tx1"/>
                        </w14:solidFill>
                      </w14:textFill>
                    </w:rPr>
                    <w:t>〔2021〕100号</w:t>
                  </w:r>
                  <w:r>
                    <w:rPr>
                      <w:rFonts w:hint="eastAsia"/>
                      <w:color w:val="000000" w:themeColor="text1"/>
                      <w:highlight w:val="none"/>
                      <w14:textFill>
                        <w14:solidFill>
                          <w14:schemeClr w14:val="tx1"/>
                        </w14:solidFill>
                      </w14:textFill>
                    </w:rPr>
                    <w:t>《关于开展福州市重点行业挥发性有机物综合治理工作（VOCs2.0）》</w:t>
                  </w:r>
                </w:p>
              </w:tc>
              <w:tc>
                <w:tcPr>
                  <w:tcW w:w="2425" w:type="pct"/>
                  <w:tcBorders>
                    <w:tl2br w:val="nil"/>
                    <w:tr2bl w:val="nil"/>
                  </w:tcBorders>
                  <w:shd w:val="clear" w:color="auto" w:fill="auto"/>
                  <w:vAlign w:val="center"/>
                </w:tcPr>
                <w:p w14:paraId="547C5F36">
                  <w:pPr>
                    <w:pStyle w:val="36"/>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（三）严格审批，加强管控</w:t>
                  </w:r>
                </w:p>
                <w:p w14:paraId="276BCCE5">
                  <w:pPr>
                    <w:pStyle w:val="35"/>
                    <w:adjustRightInd w:val="0"/>
                    <w:snapToGrid w:val="0"/>
                    <w:spacing w:line="340" w:lineRule="exact"/>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1.严格涉挥发性有机物建设项目环境影响评价审批。新、改、扩建排放挥发性有机物的建设项目实行</w:t>
                  </w:r>
                  <w:r>
                    <w:rPr>
                      <w:rFonts w:hint="eastAsia"/>
                      <w:color w:val="000000" w:themeColor="text1"/>
                      <w:highlight w:val="none"/>
                      <w:shd w:val="clear" w:color="auto" w:fill="FFFFFF"/>
                      <w14:textFill>
                        <w14:solidFill>
                          <w14:schemeClr w14:val="tx1"/>
                        </w14:solidFill>
                      </w14:textFill>
                    </w:rPr>
                    <w:t>倍量</w:t>
                  </w:r>
                  <w:r>
                    <w:rPr>
                      <w:rFonts w:hint="eastAsia"/>
                      <w:color w:val="000000" w:themeColor="text1"/>
                      <w:highlight w:val="none"/>
                      <w14:textFill>
                        <w14:solidFill>
                          <w14:schemeClr w14:val="tx1"/>
                        </w14:solidFill>
                      </w14:textFill>
                    </w:rPr>
                    <w:t>替代。鼓励使用低（无）挥发性有机物含量的原辅材料</w:t>
                  </w:r>
                </w:p>
              </w:tc>
              <w:tc>
                <w:tcPr>
                  <w:tcW w:w="1571" w:type="pct"/>
                  <w:vMerge w:val="continue"/>
                  <w:tcBorders>
                    <w:tl2br w:val="nil"/>
                    <w:tr2bl w:val="nil"/>
                  </w:tcBorders>
                  <w:vAlign w:val="center"/>
                </w:tcPr>
                <w:p w14:paraId="30F1810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《福建省2020年挥发性有机物治理攻坚实施方案》的通知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闽环保大气〔2020〕6号</w:t>
                  </w:r>
                  <w:r>
                    <w:rPr>
                      <w:rFonts w:hint="eastAsia"/>
                      <w:color w:val="000000" w:themeColor="text1"/>
                      <w:highlight w:val="none"/>
                      <w14:textFill>
                        <w14:solidFill>
                          <w14:schemeClr w14:val="tx1"/>
                        </w14:solidFill>
                      </w14:textFill>
                    </w:rPr>
                    <w:t>）</w:t>
                  </w:r>
                </w:p>
              </w:tc>
              <w:tc>
                <w:tcPr>
                  <w:tcW w:w="2425" w:type="pct"/>
                  <w:tcBorders>
                    <w:tl2br w:val="nil"/>
                    <w:tr2bl w:val="nil"/>
                  </w:tcBorders>
                  <w:shd w:val="clear" w:color="auto" w:fill="auto"/>
                  <w:vAlign w:val="center"/>
                </w:tcPr>
                <w:p w14:paraId="28CE4856">
                  <w:pPr>
                    <w:pStyle w:val="36"/>
                    <w:jc w:val="both"/>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大力推进源头替代，有效减少VOCs产生；</w:t>
                  </w:r>
                </w:p>
                <w:p w14:paraId="0F2D6DE3">
                  <w:pPr>
                    <w:pStyle w:val="36"/>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渣、液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、废吸附剂等通过加盖、封装等方式密闭，妥善存放，集中清运，交有资质的单位处置，不得随意丢弃；</w:t>
                  </w:r>
                </w:p>
                <w:p w14:paraId="6CBE8DF8">
                  <w:pPr>
                    <w:pStyle w:val="36"/>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聚焦治污设施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，提升综合治理效率</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除恶臭异味治理外，一般不采用低温等离子、光催化、光氧化等技术。优先采用密闭设备、在密闭空间中操作或采用全密闭集气罩收集方式；</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采用活性炭吸附技术的，应选择碘值不低于800毫克/克的活性炭，并按设计要求足量添加</w:t>
                  </w:r>
                  <w:r>
                    <w:rPr>
                      <w:rFonts w:hint="eastAsia"/>
                      <w:color w:val="000000" w:themeColor="text1"/>
                      <w:highlight w:val="none"/>
                      <w:lang w:eastAsia="zh-CN"/>
                      <w14:textFill>
                        <w14:solidFill>
                          <w14:schemeClr w14:val="tx1"/>
                        </w14:solidFill>
                      </w14:textFill>
                    </w:rPr>
                    <w:t>及</w:t>
                  </w:r>
                  <w:r>
                    <w:rPr>
                      <w:color w:val="000000" w:themeColor="text1"/>
                      <w:highlight w:val="none"/>
                      <w14:textFill>
                        <w14:solidFill>
                          <w14:schemeClr w14:val="tx1"/>
                        </w14:solidFill>
                      </w14:textFill>
                    </w:rPr>
                    <w:t>时更换。</w:t>
                  </w:r>
                </w:p>
              </w:tc>
              <w:tc>
                <w:tcPr>
                  <w:tcW w:w="1571" w:type="pct"/>
                  <w:tcBorders>
                    <w:tl2br w:val="nil"/>
                    <w:tr2bl w:val="nil"/>
                  </w:tcBorders>
                  <w:shd w:val="clear" w:color="auto" w:fill="auto"/>
                  <w:vAlign w:val="center"/>
                </w:tcPr>
                <w:p w14:paraId="18FD2FBB">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（1）项目使用PP、ABS、PP颗粒作为原料，VOCs含量低；常温下不产生VOCs。</w:t>
                  </w:r>
                </w:p>
                <w:p w14:paraId="21B903FF">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PP、ABS、PP塑料颗粒采用密闭袋装暂存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项目设备加热过程为密闭；注塑机配套顶吸式半密闭集气罩收集有机废气，收集效率80%，拟将更换的废活性炭当作危险废物，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密闭暂存于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危险废物贮存库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，定期委托有资质单位统一处置；（3）本项目将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产生的VOCs收集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后通过1套活性炭吸附装置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color w:val="000000" w:themeColor="text1"/>
                      <w:szCs w:val="21"/>
                      <w:highlight w:val="none"/>
                      <w14:textFill>
                        <w14:solidFill>
                          <w14:schemeClr w14:val="tx1"/>
                        </w14:solidFill>
                      </w14:textFill>
                    </w:rPr>
                    <w:t>项目生产设备除进出料口全部密闭，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采用集气罩收集，采用碘值不低于800毫克/克的活性炭，并定期更换</w:t>
                  </w:r>
                  <w:r>
                    <w:rPr>
                      <w:color w:val="000000" w:themeColor="text1"/>
                      <w:highlight w:val="none"/>
                      <w14:textFill>
                        <w14:solidFill>
                          <w14:schemeClr w14:val="tx1"/>
                        </w14:solidFill>
                      </w14:textFill>
                    </w:rPr>
                    <w:t>。</w:t>
                  </w:r>
                </w:p>
              </w:tc>
              <w:tc>
                <w:tcPr>
                  <w:tcW w:w="251"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2E99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14:paraId="37E2F7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《福建省重点行业挥发性有机物排放控制要求</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试行</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的通知》</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闽环保大气〔2017〕9号</w:t>
                  </w:r>
                  <w:r>
                    <w:rPr>
                      <w:rFonts w:hint="eastAsia" w:cs="Times New Roman"/>
                      <w:color w:val="000000" w:themeColor="text1"/>
                      <w:sz w:val="21"/>
                      <w:szCs w:val="21"/>
                      <w:highlight w:val="none"/>
                      <w:lang w:val="en-US" w:eastAsia="zh-CN"/>
                      <w14:textFill>
                        <w14:solidFill>
                          <w14:schemeClr w14:val="tx1"/>
                        </w14:solidFill>
                      </w14:textFill>
                    </w:rPr>
                    <w:t>）</w:t>
                  </w:r>
                </w:p>
              </w:tc>
              <w:tc>
                <w:tcPr>
                  <w:tcW w:w="2425" w:type="pct"/>
                  <w:tcBorders>
                    <w:tl2br w:val="nil"/>
                    <w:tr2bl w:val="nil"/>
                  </w:tcBorders>
                  <w:vAlign w:val="center"/>
                </w:tcPr>
                <w:p w14:paraId="0D84D1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工艺过程控制要求</w:t>
                  </w:r>
                </w:p>
                <w:p w14:paraId="408669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453075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其他控制要求</w:t>
                  </w:r>
                </w:p>
                <w:p w14:paraId="31A78B1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产生有废气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生产工艺和装置均设有收集系统和净化处理装置；所有产生VOCs的生产车间</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或生产设施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571" w:type="pct"/>
                  <w:tcBorders>
                    <w:tl2br w:val="nil"/>
                    <w:tr2bl w:val="nil"/>
                  </w:tcBorders>
                  <w:vAlign w:val="center"/>
                </w:tcPr>
                <w:p w14:paraId="18FC9D36">
                  <w:pPr>
                    <w:keepNext w:val="0"/>
                    <w:keepLines w:val="0"/>
                    <w:pageBreakBefore w:val="0"/>
                    <w:widowControl/>
                    <w:numPr>
                      <w:ilvl w:val="0"/>
                      <w:numId w:val="8"/>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项目含</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的原辅料均放置在原辅料仓库。</w:t>
                  </w:r>
                </w:p>
                <w:p w14:paraId="4EF6F29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（2）项目注塑</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、脱模</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过程中所产生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的非甲烷总烃气体</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经集气罩收集后通过一套“二级活性炭吸附装置+15</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m高</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排气筒排放”，拟将更换的废活性炭</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属于危险废物</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袋装密闭暂存于</w:t>
                  </w:r>
                  <w:r>
                    <w:rPr>
                      <w:rFonts w:hint="eastAsia" w:ascii="Times New Roman" w:hAnsi="Times New Roman" w:cs="Times New Roman"/>
                      <w:color w:val="000000" w:themeColor="text1"/>
                      <w:sz w:val="21"/>
                      <w:szCs w:val="21"/>
                      <w:highlight w:val="none"/>
                      <w:lang w:eastAsia="zh-CN"/>
                      <w14:textFill>
                        <w14:solidFill>
                          <w14:schemeClr w14:val="tx1"/>
                        </w14:solidFill>
                      </w14:textFill>
                    </w:rPr>
                    <w:t>危险废物贮存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间</w:t>
                  </w:r>
                  <w:r>
                    <w:rPr>
                      <w:rFonts w:hint="default" w:ascii="Times New Roman" w:hAnsi="Times New Roman" w:cs="Times New Roman"/>
                      <w:color w:val="000000" w:themeColor="text1"/>
                      <w:sz w:val="21"/>
                      <w:szCs w:val="21"/>
                      <w:highlight w:val="none"/>
                      <w14:textFill>
                        <w14:solidFill>
                          <w14:schemeClr w14:val="tx1"/>
                        </w14:solidFill>
                      </w14:textFill>
                    </w:rPr>
                    <w:t>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，委托有资质的单位定期处置；</w:t>
                  </w:r>
                  <w:r>
                    <w:rPr>
                      <w:rFonts w:hint="eastAsia" w:cs="Times New Roman"/>
                      <w:color w:val="000000" w:themeColor="text1"/>
                      <w:sz w:val="21"/>
                      <w:szCs w:val="2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采用密闭车间集气罩收集，集气效率为</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0%左右≥</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51" w:type="pct"/>
                  <w:tcBorders>
                    <w:tl2br w:val="nil"/>
                    <w:tr2bl w:val="nil"/>
                  </w:tcBorders>
                  <w:vAlign w:val="center"/>
                </w:tcPr>
                <w:p w14:paraId="19AA04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479D5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14:paraId="3ACC1DB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福建省重点行业挥发性有机物污染防治工作方案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闽环保大气〔2017〕6号</w:t>
                  </w:r>
                  <w:r>
                    <w:rPr>
                      <w:rFonts w:hint="eastAsia" w:cs="Times New Roman"/>
                      <w:color w:val="000000" w:themeColor="text1"/>
                      <w:sz w:val="21"/>
                      <w:szCs w:val="21"/>
                      <w:highlight w:val="none"/>
                      <w:lang w:eastAsia="zh-CN"/>
                      <w14:textFill>
                        <w14:solidFill>
                          <w14:schemeClr w14:val="tx1"/>
                        </w14:solidFill>
                      </w14:textFill>
                    </w:rPr>
                    <w:t>）</w:t>
                  </w:r>
                </w:p>
              </w:tc>
              <w:tc>
                <w:tcPr>
                  <w:tcW w:w="2425" w:type="pct"/>
                  <w:tcBorders>
                    <w:tl2br w:val="nil"/>
                    <w:tr2bl w:val="nil"/>
                  </w:tcBorders>
                  <w:vAlign w:val="center"/>
                </w:tcPr>
                <w:p w14:paraId="1073739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二、主要任务</w:t>
                  </w:r>
                </w:p>
                <w:p w14:paraId="17EF1B7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（一）严格环境准入</w:t>
                  </w:r>
                </w:p>
                <w:p w14:paraId="68506BE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6F600E6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（二）大力推进清洁生产</w:t>
                  </w:r>
                </w:p>
                <w:p w14:paraId="1BC3987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在重点行业大力倡导环境标志产品生产及使用，尤其是水性涂料的生产和使用，从源头控制VOCs排放。</w:t>
                  </w:r>
                </w:p>
                <w:p w14:paraId="77F4CC3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（三）加快推进重点行业VOCs专项整治</w:t>
                  </w:r>
                </w:p>
                <w:p w14:paraId="46F01B6C">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（2）加强化工企业污染综合整治</w:t>
                  </w:r>
                </w:p>
                <w:p w14:paraId="16B0E5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Cs w:val="21"/>
                      <w:highlight w:val="none"/>
                      <w:u w:val="none"/>
                      <w14:textFill>
                        <w14:solidFill>
                          <w14:schemeClr w14:val="tx1"/>
                        </w14:solidFill>
                      </w14:textFill>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571" w:type="pct"/>
                  <w:tcBorders>
                    <w:tl2br w:val="nil"/>
                    <w:tr2bl w:val="nil"/>
                  </w:tcBorders>
                  <w:vAlign w:val="center"/>
                </w:tcPr>
                <w:p w14:paraId="38642AB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1.本项目从事汽车塑料配件加工生产，属于</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塑料制品业和</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汽车</w:t>
                  </w: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零部件制造业，不属于文件中限制的</w:t>
                  </w:r>
                  <w:r>
                    <w:rPr>
                      <w:rFonts w:hint="default"/>
                      <w:color w:val="000000" w:themeColor="text1"/>
                      <w:szCs w:val="21"/>
                      <w:highlight w:val="none"/>
                      <w:u w:val="none"/>
                      <w14:textFill>
                        <w14:solidFill>
                          <w14:schemeClr w14:val="tx1"/>
                        </w14:solidFill>
                      </w14:textFill>
                    </w:rPr>
                    <w:t>高VOCs排放建设项目</w:t>
                  </w:r>
                  <w:r>
                    <w:rPr>
                      <w:rFonts w:hint="eastAsia"/>
                      <w:color w:val="000000" w:themeColor="text1"/>
                      <w:szCs w:val="21"/>
                      <w:highlight w:val="none"/>
                      <w:u w:val="none"/>
                      <w:lang w:eastAsia="zh-CN"/>
                      <w14:textFill>
                        <w14:solidFill>
                          <w14:schemeClr w14:val="tx1"/>
                        </w14:solidFill>
                      </w14:textFill>
                    </w:rPr>
                    <w:t>，本项目原辅材料为塑料新粒，不涉及高</w:t>
                  </w:r>
                  <w:r>
                    <w:rPr>
                      <w:rFonts w:hint="default"/>
                      <w:color w:val="000000" w:themeColor="text1"/>
                      <w:szCs w:val="21"/>
                      <w:highlight w:val="none"/>
                      <w:u w:val="none"/>
                      <w14:textFill>
                        <w14:solidFill>
                          <w14:schemeClr w14:val="tx1"/>
                        </w14:solidFill>
                      </w14:textFill>
                    </w:rPr>
                    <w:t>VOCs含量原辅材料</w:t>
                  </w:r>
                  <w:r>
                    <w:rPr>
                      <w:rFonts w:hint="eastAsia"/>
                      <w:color w:val="000000" w:themeColor="text1"/>
                      <w:szCs w:val="21"/>
                      <w:highlight w:val="none"/>
                      <w:u w:val="none"/>
                      <w:lang w:eastAsia="zh-CN"/>
                      <w14:textFill>
                        <w14:solidFill>
                          <w14:schemeClr w14:val="tx1"/>
                        </w14:solidFill>
                      </w14:textFill>
                    </w:rPr>
                    <w:t>且在采取有效的收集措施和治理措施后，通过排气筒达标排放。本项目不涉及</w:t>
                  </w:r>
                  <w:r>
                    <w:rPr>
                      <w:rFonts w:hint="default"/>
                      <w:color w:val="000000" w:themeColor="text1"/>
                      <w:szCs w:val="21"/>
                      <w:highlight w:val="none"/>
                      <w:u w:val="none"/>
                      <w14:textFill>
                        <w14:solidFill>
                          <w14:schemeClr w14:val="tx1"/>
                        </w14:solidFill>
                      </w14:textFill>
                    </w:rPr>
                    <w:t>国家及地方明令禁止的落后工艺和设备。</w:t>
                  </w:r>
                </w:p>
                <w:p w14:paraId="2627F77D">
                  <w:pPr>
                    <w:pStyle w:val="35"/>
                    <w:widowControl/>
                    <w:numPr>
                      <w:ilvl w:val="0"/>
                      <w:numId w:val="0"/>
                    </w:numPr>
                    <w:adjustRightInd w:val="0"/>
                    <w:spacing w:line="340" w:lineRule="exact"/>
                    <w:jc w:val="both"/>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本项目使用低VOCs含量原辅材料，</w:t>
                  </w:r>
                  <w:r>
                    <w:rPr>
                      <w:rFonts w:hint="eastAsia"/>
                      <w:bCs/>
                      <w:color w:val="000000" w:themeColor="text1"/>
                      <w:highlight w:val="none"/>
                      <w14:textFill>
                        <w14:solidFill>
                          <w14:schemeClr w14:val="tx1"/>
                        </w14:solidFill>
                      </w14:textFill>
                    </w:rPr>
                    <w:t>项目废气经集气装置收集后通过废气处理设施处理后达标排放</w:t>
                  </w:r>
                  <w:r>
                    <w:rPr>
                      <w:rFonts w:hint="eastAsia"/>
                      <w:color w:val="000000" w:themeColor="text1"/>
                      <w:highlight w:val="none"/>
                      <w14:textFill>
                        <w14:solidFill>
                          <w14:schemeClr w14:val="tx1"/>
                        </w14:solidFill>
                      </w14:textFill>
                    </w:rPr>
                    <w:t>。</w:t>
                  </w:r>
                </w:p>
                <w:p w14:paraId="19CABAA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本项目废气产生点设备上方设置集气罩，拟将产生的VOCs收集后通过1套“二级活性炭吸附装置”处理后排放，设计净化效率</w:t>
                  </w:r>
                  <w:r>
                    <w:rPr>
                      <w:rFonts w:hint="eastAsia"/>
                      <w:color w:val="000000" w:themeColor="text1"/>
                      <w:highlight w:val="none"/>
                      <w:lang w:val="en-US" w:eastAsia="zh-CN"/>
                      <w14:textFill>
                        <w14:solidFill>
                          <w14:schemeClr w14:val="tx1"/>
                        </w14:solidFill>
                      </w14:textFill>
                    </w:rPr>
                    <w:t>为75</w:t>
                  </w:r>
                  <w:r>
                    <w:rPr>
                      <w:rFonts w:hint="eastAsia"/>
                      <w:color w:val="000000" w:themeColor="text1"/>
                      <w:highlight w:val="none"/>
                      <w14:textFill>
                        <w14:solidFill>
                          <w14:schemeClr w14:val="tx1"/>
                        </w14:solidFill>
                      </w14:textFill>
                    </w:rPr>
                    <w:t>%。</w:t>
                  </w:r>
                </w:p>
              </w:tc>
              <w:tc>
                <w:tcPr>
                  <w:tcW w:w="251" w:type="pct"/>
                  <w:tcBorders>
                    <w:tl2br w:val="nil"/>
                    <w:tr2bl w:val="nil"/>
                  </w:tcBorders>
                  <w:vAlign w:val="center"/>
                </w:tcPr>
                <w:p w14:paraId="0AFA5AE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《挥发性有机物无组织排放控制标准》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GB37822-2019)</w:t>
                  </w:r>
                </w:p>
              </w:tc>
              <w:tc>
                <w:tcPr>
                  <w:tcW w:w="2425" w:type="pct"/>
                  <w:tcBorders>
                    <w:tl2br w:val="nil"/>
                    <w:tr2bl w:val="nil"/>
                  </w:tcBorders>
                  <w:vAlign w:val="center"/>
                </w:tcPr>
                <w:p w14:paraId="2CFF3639">
                  <w:pPr>
                    <w:pStyle w:val="36"/>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5.1.2 盛装VOCs物料的容器或包装袋应存放于室内，或存放于设置有雨棚、遮阳和防渗设施的专用场地。盛装VOCs物料的容器或包装袋在非取用状态时应加盖、封口，保持密闭。</w:t>
                  </w:r>
                </w:p>
              </w:tc>
              <w:tc>
                <w:tcPr>
                  <w:tcW w:w="1571" w:type="pct"/>
                  <w:tcBorders>
                    <w:tl2br w:val="nil"/>
                    <w:tr2bl w:val="nil"/>
                  </w:tcBorders>
                  <w:vAlign w:val="center"/>
                </w:tcPr>
                <w:p w14:paraId="13176CD4">
                  <w:pPr>
                    <w:pStyle w:val="35"/>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项目使用PP、ABS、PP颗粒作为原料采用密闭包装袋暂存在仓库中，</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含量低；常温下不产生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51"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25" w:type="pct"/>
                  <w:tcBorders>
                    <w:tl2br w:val="nil"/>
                    <w:tr2bl w:val="nil"/>
                  </w:tcBorders>
                  <w:vAlign w:val="center"/>
                </w:tcPr>
                <w:p w14:paraId="74999520">
                  <w:pPr>
                    <w:pStyle w:val="36"/>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 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6.1.2 粉状、粒状VOCs物料应采用气力输送设备、管状带式输送机、螺旋输送机等密闭输送方式或者采用密闭的包装袋、容器或罐车进行物料转移。</w:t>
                  </w:r>
                </w:p>
              </w:tc>
              <w:tc>
                <w:tcPr>
                  <w:tcW w:w="1571" w:type="pct"/>
                  <w:tcBorders>
                    <w:tl2br w:val="nil"/>
                    <w:tr2bl w:val="nil"/>
                  </w:tcBorders>
                  <w:vAlign w:val="center"/>
                </w:tcPr>
                <w:p w14:paraId="252DA4A3">
                  <w:pPr>
                    <w:pStyle w:val="36"/>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项目不涉及液态</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物料。项目不涉及</w:t>
                  </w:r>
                  <w:r>
                    <w:rPr>
                      <w:rFonts w:hint="default" w:ascii="Times New Roman" w:hAnsi="Times New Roman" w:eastAsia="宋体" w:cs="Times New Roman"/>
                      <w:color w:val="000000" w:themeColor="text1"/>
                      <w:highlight w:val="none"/>
                      <w:lang w:val="en-US" w:eastAsia="zh-CN"/>
                      <w14:textFill>
                        <w14:solidFill>
                          <w14:schemeClr w14:val="tx1"/>
                        </w14:solidFill>
                      </w14:textFill>
                    </w:rPr>
                    <w:t>粉状</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物料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PP、ABS、PP</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塑料颗粒采用</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密闭的包装袋、进行物料转移</w:t>
                  </w:r>
                </w:p>
              </w:tc>
              <w:tc>
                <w:tcPr>
                  <w:tcW w:w="251"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25" w:type="pct"/>
                  <w:tcBorders>
                    <w:tl2br w:val="nil"/>
                    <w:tr2bl w:val="nil"/>
                  </w:tcBorders>
                  <w:shd w:val="clear" w:color="auto" w:fill="auto"/>
                  <w:vAlign w:val="center"/>
                </w:tcPr>
                <w:p w14:paraId="6E3C02E0">
                  <w:pPr>
                    <w:pStyle w:val="36"/>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7.3.1 企业应建立台账，记录含VOCs原辅材料和含VOCs产品的名称、使用量、回收量、废弃量、去向以及VOCs含量等信息。台账保存期限不少于3年。</w:t>
                  </w:r>
                </w:p>
                <w:p w14:paraId="4914082E">
                  <w:pPr>
                    <w:pStyle w:val="36"/>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清洗及吹扫过程排气应排至VOCs废气收集处理系统。</w:t>
                  </w:r>
                </w:p>
              </w:tc>
              <w:tc>
                <w:tcPr>
                  <w:tcW w:w="1571" w:type="pct"/>
                  <w:tcBorders>
                    <w:tl2br w:val="nil"/>
                    <w:tr2bl w:val="nil"/>
                  </w:tcBorders>
                  <w:vAlign w:val="center"/>
                </w:tcPr>
                <w:p w14:paraId="49468C3E">
                  <w:pPr>
                    <w:pStyle w:val="36"/>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原辅材料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购买台账，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597626B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物料为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PP、ABS、PP</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塑料颗粒，在</w:t>
                  </w:r>
                  <w:r>
                    <w:rPr>
                      <w:rFonts w:hint="default" w:ascii="Times New Roman" w:hAnsi="Times New Roman" w:eastAsia="宋体" w:cs="Times New Roman"/>
                      <w:color w:val="000000" w:themeColor="text1"/>
                      <w:highlight w:val="none"/>
                      <w:lang w:val="en-US" w:eastAsia="zh-CN"/>
                      <w14:textFill>
                        <w14:solidFill>
                          <w14:schemeClr w14:val="tx1"/>
                        </w14:solidFill>
                      </w14:textFill>
                    </w:rPr>
                    <w:t>退料过程废气</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排至</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；项目不涉及</w:t>
                  </w:r>
                  <w:r>
                    <w:rPr>
                      <w:rFonts w:hint="default" w:ascii="Times New Roman" w:hAnsi="Times New Roman" w:eastAsia="宋体" w:cs="Times New Roman"/>
                      <w:color w:val="000000" w:themeColor="text1"/>
                      <w:highlight w:val="none"/>
                      <w:lang w:val="en-US" w:eastAsia="zh-CN"/>
                      <w14:textFill>
                        <w14:solidFill>
                          <w14:schemeClr w14:val="tx1"/>
                        </w14:solidFill>
                      </w14:textFill>
                    </w:rPr>
                    <w:t>清洗及吹扫过程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51"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25" w:type="pct"/>
                  <w:shd w:val="clear" w:color="auto" w:fill="auto"/>
                  <w:vAlign w:val="center"/>
                </w:tcPr>
                <w:p w14:paraId="69E3E474">
                  <w:pPr>
                    <w:pStyle w:val="36"/>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生产工艺设备不能停止运行或不能及时停止运行的，应设置废气应急处理设施或采取其他替代措施。</w:t>
                  </w:r>
                </w:p>
                <w:p w14:paraId="51DB84FB">
                  <w:pPr>
                    <w:pStyle w:val="36"/>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10.2.1 企业应考虑生产工艺、操作方式、废气性质、处理方法等因素，对VOCs废气进行分类收集。</w:t>
                  </w:r>
                </w:p>
                <w:p w14:paraId="30B21C4F">
                  <w:pPr>
                    <w:pStyle w:val="36"/>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10.4 记录要求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571" w:type="pct"/>
                  <w:vAlign w:val="center"/>
                </w:tcPr>
                <w:p w14:paraId="08C5ED38">
                  <w:pPr>
                    <w:pStyle w:val="36"/>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与生产工艺设备同步运行。</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废气拟收集后统一通过1套</w:t>
                  </w:r>
                  <w:r>
                    <w:rPr>
                      <w:rFonts w:hint="eastAsia" w:cs="Times New Roman"/>
                      <w:color w:val="000000" w:themeColor="text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活性炭吸附装置处理后排放。项目将严格按照要求制定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废气收集系统、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运行台账，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51"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14:paraId="52CBDF25">
            <w:pPr>
              <w:spacing w:line="360" w:lineRule="auto"/>
              <w:ind w:firstLine="480" w:firstLineChars="200"/>
              <w:jc w:val="left"/>
              <w:rPr>
                <w:rFonts w:hint="eastAsia"/>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根据以上分析，项目产生挥发性有机物可以得到有效</w:t>
            </w:r>
            <w:r>
              <w:rPr>
                <w:rFonts w:hint="eastAsia" w:cs="Times New Roman"/>
                <w:color w:val="000000" w:themeColor="text1"/>
                <w:kern w:val="2"/>
                <w:sz w:val="24"/>
                <w:szCs w:val="24"/>
                <w:highlight w:val="none"/>
                <w:lang w:val="en-US" w:eastAsia="zh-CN" w:bidi="ar"/>
                <w14:textFill>
                  <w14:solidFill>
                    <w14:schemeClr w14:val="tx1"/>
                  </w14:solidFill>
                </w14:textFill>
              </w:rPr>
              <w:t>地</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控制，采取有效治理措施后，符合挥发性有机物污染防治相关政策的要求。</w:t>
            </w:r>
          </w:p>
        </w:tc>
      </w:tr>
    </w:tbl>
    <w:p w14:paraId="5F64483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118067D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pPr>
      <w:bookmarkStart w:id="16" w:name="_Toc2805"/>
      <w:r>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t>二、建设项目工程分析</w:t>
      </w:r>
      <w:bookmarkEnd w:id="16"/>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797"/>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61"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建设内容</w:t>
            </w:r>
          </w:p>
        </w:tc>
        <w:tc>
          <w:tcPr>
            <w:tcW w:w="4738" w:type="pct"/>
            <w:vAlign w:val="center"/>
          </w:tcPr>
          <w:p w14:paraId="622FDA2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17" w:name="_Toc9428"/>
            <w:bookmarkStart w:id="18" w:name="_Toc2901"/>
            <w:bookmarkStart w:id="19" w:name="_Toc17663"/>
            <w:bookmarkStart w:id="20" w:name="_Toc2247"/>
            <w:r>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2.1 项目由来</w:t>
            </w:r>
            <w:bookmarkEnd w:id="17"/>
            <w:bookmarkEnd w:id="18"/>
            <w:bookmarkEnd w:id="19"/>
            <w:bookmarkEnd w:id="20"/>
          </w:p>
          <w:p w14:paraId="57CE14F8">
            <w:pPr>
              <w:pStyle w:val="8"/>
              <w:spacing w:line="360" w:lineRule="auto"/>
              <w:ind w:firstLine="480" w:firstLineChars="200"/>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福清大松模具有限公司成立于2006年3月22日，注册资本为88万元，</w:t>
            </w:r>
            <w:r>
              <w:rPr>
                <w:rFonts w:hint="eastAsia" w:cs="Times New Roman"/>
                <w:color w:val="000000" w:themeColor="text1"/>
                <w:sz w:val="24"/>
                <w:szCs w:val="24"/>
                <w:highlight w:val="none"/>
                <w:u w:val="none"/>
                <w:lang w:val="en-US" w:eastAsia="zh-CN"/>
                <w14:textFill>
                  <w14:solidFill>
                    <w14:schemeClr w14:val="tx1"/>
                  </w14:solidFill>
                </w14:textFill>
              </w:rPr>
              <w:t>注册地址福州市福清市宏路街道宏路村下洋自然村。</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主要从事模具制造；模具销售；塑料制品制造；塑料制品销售等业务。统一社会信用代码为</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，法人是</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14:textFill>
                  <w14:solidFill>
                    <w14:schemeClr w14:val="tx1"/>
                  </w14:solidFill>
                </w14:textFill>
              </w:rPr>
              <w:t>营业执照</w:t>
            </w:r>
            <w:r>
              <w:rPr>
                <w:rFonts w:hint="eastAsia" w:cs="Times New Roman"/>
                <w:color w:val="000000" w:themeColor="text1"/>
                <w:sz w:val="24"/>
                <w:szCs w:val="24"/>
                <w:highlight w:val="none"/>
                <w:u w:val="none"/>
                <w:lang w:val="en-US" w:eastAsia="zh-CN"/>
                <w14:textFill>
                  <w14:solidFill>
                    <w14:schemeClr w14:val="tx1"/>
                  </w14:solidFill>
                </w14:textFill>
              </w:rPr>
              <w:t>详见</w:t>
            </w:r>
            <w:r>
              <w:rPr>
                <w:rFonts w:hint="eastAsia" w:cs="Times New Roman"/>
                <w:b/>
                <w:bCs/>
                <w:color w:val="000000" w:themeColor="text1"/>
                <w:sz w:val="24"/>
                <w:szCs w:val="24"/>
                <w:highlight w:val="none"/>
                <w:u w:val="none"/>
                <w:lang w:val="en-US" w:eastAsia="zh-CN"/>
                <w14:textFill>
                  <w14:solidFill>
                    <w14:schemeClr w14:val="tx1"/>
                  </w14:solidFill>
                </w14:textFill>
              </w:rPr>
              <w:t>附件二</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及</w:t>
            </w:r>
            <w:r>
              <w:rPr>
                <w:rFonts w:hint="default" w:ascii="Times New Roman" w:hAnsi="Times New Roman" w:cs="Times New Roman"/>
                <w:color w:val="000000" w:themeColor="text1"/>
                <w:sz w:val="24"/>
                <w:szCs w:val="24"/>
                <w:highlight w:val="none"/>
                <w:u w:val="none"/>
                <w14:textFill>
                  <w14:solidFill>
                    <w14:schemeClr w14:val="tx1"/>
                  </w14:solidFill>
                </w14:textFill>
              </w:rPr>
              <w:t>法人身份证</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复印件</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见</w:t>
            </w:r>
            <w:r>
              <w:rPr>
                <w:rFonts w:hint="default" w:ascii="Times New Roman" w:hAnsi="Times New Roman" w:cs="Times New Roman"/>
                <w:b/>
                <w:bCs/>
                <w:color w:val="000000" w:themeColor="text1"/>
                <w:sz w:val="24"/>
                <w:szCs w:val="24"/>
                <w:highlight w:val="none"/>
                <w:u w:val="none"/>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三</w:t>
            </w: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w:t>
            </w:r>
          </w:p>
          <w:p w14:paraId="2CFAE235">
            <w:pPr>
              <w:pStyle w:val="8"/>
              <w:spacing w:line="360" w:lineRule="auto"/>
              <w:ind w:firstLine="480" w:firstLineChars="200"/>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项目拟投资</w:t>
            </w:r>
            <w:r>
              <w:rPr>
                <w:rFonts w:hint="eastAsia" w:cs="Times New Roman"/>
                <w:color w:val="000000" w:themeColor="text1"/>
                <w:sz w:val="24"/>
                <w:szCs w:val="24"/>
                <w:highlight w:val="none"/>
                <w:u w:val="none"/>
                <w:lang w:val="en-US" w:eastAsia="zh-CN"/>
                <w14:textFill>
                  <w14:solidFill>
                    <w14:schemeClr w14:val="tx1"/>
                  </w14:solidFill>
                </w14:textFill>
              </w:rPr>
              <w:t>1600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万元，选址位于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w:t>
            </w:r>
            <w:r>
              <w:rPr>
                <w:rFonts w:hint="eastAsia" w:cs="Times New Roman"/>
                <w:color w:val="000000" w:themeColor="text1"/>
                <w:sz w:val="24"/>
                <w:szCs w:val="24"/>
                <w:highlight w:val="none"/>
                <w:lang w:val="en-US" w:eastAsia="zh-CN"/>
                <w14:textFill>
                  <w14:solidFill>
                    <w14:schemeClr w14:val="tx1"/>
                  </w14:solidFill>
                </w14:textFill>
              </w:rPr>
              <w:t>购置</w:t>
            </w:r>
            <w:r>
              <w:rPr>
                <w:rFonts w:hint="default" w:ascii="Times New Roman" w:hAnsi="Times New Roman" w:eastAsia="宋体" w:cs="Times New Roman"/>
                <w:color w:val="000000" w:themeColor="text1"/>
                <w:sz w:val="24"/>
                <w:szCs w:val="24"/>
                <w:highlight w:val="none"/>
                <w14:textFill>
                  <w14:solidFill>
                    <w14:schemeClr w14:val="tx1"/>
                  </w14:solidFill>
                </w14:textFill>
              </w:rPr>
              <w:t>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作为生产经营场所，厂房面积3515.66平方米（共4层），一层部分区域从事汽车塑料配件生产加工，计划年加工汽车塑料配件83万套项目，购置注塑机、破碎机等相关设备，建设1条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汽车塑料配件制造生产线</w:t>
            </w:r>
            <w:r>
              <w:rPr>
                <w:rFonts w:hint="eastAsia" w:cs="Times New Roman"/>
                <w:color w:val="000000" w:themeColor="text1"/>
                <w:sz w:val="24"/>
                <w:szCs w:val="24"/>
                <w:highlight w:val="none"/>
                <w:u w:val="none"/>
                <w:lang w:val="en-US" w:eastAsia="zh-CN"/>
                <w14:textFill>
                  <w14:solidFill>
                    <w14:schemeClr w14:val="tx1"/>
                  </w14:solidFill>
                </w14:textFill>
              </w:rPr>
              <w:t>。三层作为原辅材料及成品存放区。该项目于2025年9月</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18日通过了福清市发展和改革局的备案（闽发改备</w:t>
            </w:r>
            <w:r>
              <w:rPr>
                <w:rFonts w:hint="eastAsia" w:cs="Times New Roman"/>
                <w:color w:val="000000" w:themeColor="text1"/>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A060346号，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四</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4B5BB7B7">
            <w:pPr>
              <w:pStyle w:val="8"/>
              <w:spacing w:line="360" w:lineRule="auto"/>
              <w:ind w:firstLine="480" w:firstLineChars="200"/>
              <w:rPr>
                <w:rFonts w:hint="default"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其余一层、二层空置位置用于建设汽车注塑零配件配套的模具生产线，购置CNC数控机床、磨床、车床等设备（仅涉及切割、组装工序），不在本次评价范围之内。同时，根据《建设项目分类管理名录（2021年本）》中“三十二、专用设备制造业 35 化工、木材、非金属加工专用设备制造 352 仅切割、焊接、组装”不纳入环评管理。因此，汽车注塑零配件配套的模具生产线无需环评。</w:t>
            </w:r>
          </w:p>
          <w:p w14:paraId="7350759B">
            <w:pPr>
              <w:pStyle w:val="8"/>
              <w:spacing w:line="360" w:lineRule="auto"/>
              <w:ind w:firstLine="480" w:firstLineChars="20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cs="Times New Roman"/>
                <w:color w:val="000000" w:themeColor="text1"/>
                <w:sz w:val="24"/>
                <w:szCs w:val="24"/>
                <w:highlight w:val="none"/>
                <w:u w:val="none"/>
                <w:lang w:val="en-US" w:eastAsia="zh-CN"/>
                <w14:textFill>
                  <w14:solidFill>
                    <w14:schemeClr w14:val="tx1"/>
                  </w14:solidFill>
                </w14:textFill>
              </w:rPr>
              <w:t>根据《中华人民共</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和国环境保护法》</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2015年</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、《中华人民共和国环境影响评价法》</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2018年修正</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、《建设项目环境保护管理条例》</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2017年</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的相关规定，项目需要办理环境影响评价手续；根据《建设项目环境影响评价分类管理名录》</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2021年版</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规定，</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本项目属《建设项目分类管理名录（2021年本）》中“二十六、橡胶和塑料制品业 29 塑料制品业 29 其他（年用非溶剂型低VOCs含量涂料10吨以下的除外）”“三十三、汽车制造业 36 汽车零部件及配件制造367 其他（年用非溶剂型低VOCs含量涂料10吨以下的除外）”</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本项目环评类别为环境影响报告表，详见表2-1。</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为此，</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该公司于</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月委托</w:t>
            </w:r>
            <w:r>
              <w:rPr>
                <w:rFonts w:hint="eastAsia" w:cs="Times New Roman"/>
                <w:color w:val="000000" w:themeColor="text1"/>
                <w:sz w:val="24"/>
                <w:szCs w:val="24"/>
                <w:highlight w:val="none"/>
                <w:u w:val="none"/>
                <w:lang w:val="en-US" w:eastAsia="zh-CN"/>
                <w14:textFill>
                  <w14:solidFill>
                    <w14:schemeClr w14:val="tx1"/>
                  </w14:solidFill>
                </w14:textFill>
              </w:rPr>
              <w:t>福州朴诚至信</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环保科技</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编制《</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福清大松模具有限公司年加工汽车塑料配件</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83万套项目</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环境影响报告表》（</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委托书详见</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附件一</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。本环评单位接受委托后，立即派技术人员踏勘现场和收集有关资料，按照</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建设项目环境影响报告表编制技术指南</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污染影响类</w:t>
            </w:r>
            <w:r>
              <w:rPr>
                <w:rFonts w:hint="eastAsia" w:cs="Times New Roman"/>
                <w:color w:val="000000" w:themeColor="text1"/>
                <w:sz w:val="24"/>
                <w:szCs w:val="24"/>
                <w:highlight w:val="none"/>
                <w:u w:val="none"/>
                <w:lang w:eastAsia="zh-CN"/>
                <w14:textFill>
                  <w14:solidFill>
                    <w14:schemeClr w14:val="tx1"/>
                  </w14:solidFill>
                </w14:textFill>
              </w:rPr>
              <w:t>）（试行）》</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及相关技术规范要求，</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编制了本环境影响报告表，供建设单位上报</w:t>
            </w:r>
            <w:r>
              <w:rPr>
                <w:rFonts w:hint="default" w:ascii="Times New Roman" w:hAnsi="Times New Roman" w:eastAsia="宋体" w:cs="Times New Roman"/>
                <w:color w:val="000000" w:themeColor="text1"/>
                <w:kern w:val="0"/>
                <w:sz w:val="24"/>
                <w:szCs w:val="24"/>
                <w:highlight w:val="none"/>
                <w:u w:val="none"/>
                <w:lang w:eastAsia="zh-CN"/>
                <w14:textFill>
                  <w14:solidFill>
                    <w14:schemeClr w14:val="tx1"/>
                  </w14:solidFill>
                </w14:textFill>
              </w:rPr>
              <w:t>生态环境行政主管部门</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w:t>
            </w:r>
          </w:p>
          <w:p w14:paraId="336794FC">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表2.1-1 建设项目环境影响评价分类管理名录（摘录）</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806"/>
              <w:gridCol w:w="2425"/>
              <w:gridCol w:w="1987"/>
              <w:gridCol w:w="797"/>
            </w:tblGrid>
            <w:tr w14:paraId="39817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4" w:type="pct"/>
                  <w:gridSpan w:val="2"/>
                  <w:tcBorders>
                    <w:tl2br w:val="single" w:color="auto" w:sz="2" w:space="0"/>
                  </w:tcBorders>
                  <w:vAlign w:val="center"/>
                </w:tcPr>
                <w:p w14:paraId="57A3001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环评类别</w:t>
                  </w:r>
                </w:p>
                <w:p w14:paraId="3940A3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u w:val="none"/>
                      <w:vertAlign w:val="baseline"/>
                      <w:lang w:val="en-US" w:eastAsia="zh-CN" w:bidi="ar-SA"/>
                      <w14:textFill>
                        <w14:solidFill>
                          <w14:schemeClr w14:val="tx1"/>
                        </w14:solidFill>
                      </w14:textFill>
                    </w:rPr>
                    <w:t>项目类别</w:t>
                  </w:r>
                </w:p>
              </w:tc>
              <w:tc>
                <w:tcPr>
                  <w:tcW w:w="1413" w:type="pct"/>
                  <w:tcBorders>
                    <w:tl2br w:val="nil"/>
                    <w:tr2bl w:val="nil"/>
                  </w:tcBorders>
                  <w:vAlign w:val="center"/>
                </w:tcPr>
                <w:p w14:paraId="7EEEE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报告书</w:t>
                  </w:r>
                </w:p>
              </w:tc>
              <w:tc>
                <w:tcPr>
                  <w:tcW w:w="1157" w:type="pct"/>
                  <w:tcBorders>
                    <w:tl2br w:val="nil"/>
                    <w:tr2bl w:val="nil"/>
                  </w:tcBorders>
                  <w:shd w:val="clear" w:color="auto" w:fill="D7D7D7" w:themeFill="background1" w:themeFillShade="D8"/>
                  <w:vAlign w:val="center"/>
                </w:tcPr>
                <w:p w14:paraId="455C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报告表</w:t>
                  </w:r>
                </w:p>
              </w:tc>
              <w:tc>
                <w:tcPr>
                  <w:tcW w:w="464" w:type="pct"/>
                  <w:tcBorders>
                    <w:tl2br w:val="nil"/>
                    <w:tr2bl w:val="nil"/>
                  </w:tcBorders>
                  <w:vAlign w:val="center"/>
                </w:tcPr>
                <w:p w14:paraId="4CC9B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登记表</w:t>
                  </w:r>
                </w:p>
              </w:tc>
            </w:tr>
            <w:tr w14:paraId="1F4EE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5"/>
                  <w:tcBorders>
                    <w:tl2br w:val="nil"/>
                    <w:tr2bl w:val="nil"/>
                  </w:tcBorders>
                  <w:shd w:val="clear" w:color="auto" w:fill="D7D7D7" w:themeFill="background1" w:themeFillShade="D8"/>
                  <w:vAlign w:val="center"/>
                </w:tcPr>
                <w:p w14:paraId="7D08F67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二十六、橡胶和塑料制品业 29</w:t>
                  </w:r>
                </w:p>
              </w:tc>
            </w:tr>
            <w:tr w14:paraId="50858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329" w:type="pct"/>
                  <w:tcBorders>
                    <w:tl2br w:val="nil"/>
                    <w:tr2bl w:val="nil"/>
                  </w:tcBorders>
                  <w:vAlign w:val="center"/>
                </w:tcPr>
                <w:p w14:paraId="73D274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635" w:type="pct"/>
                  <w:tcBorders>
                    <w:tl2br w:val="nil"/>
                    <w:tr2bl w:val="nil"/>
                  </w:tcBorders>
                  <w:vAlign w:val="center"/>
                </w:tcPr>
                <w:p w14:paraId="774C67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塑料制品业 292</w:t>
                  </w:r>
                </w:p>
              </w:tc>
              <w:tc>
                <w:tcPr>
                  <w:tcW w:w="1413" w:type="pct"/>
                  <w:tcBorders>
                    <w:tl2br w:val="nil"/>
                    <w:tr2bl w:val="nil"/>
                  </w:tcBorders>
                  <w:vAlign w:val="center"/>
                </w:tcPr>
                <w:p w14:paraId="645D8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以再生塑料为原料生产的；有电镀工艺的；年用溶剂型胶粘剂10吨及以上的；年用溶剂型涂料（含稀释剂）10吨及以上的</w:t>
                  </w:r>
                </w:p>
              </w:tc>
              <w:tc>
                <w:tcPr>
                  <w:tcW w:w="1157" w:type="pct"/>
                  <w:tcBorders>
                    <w:tl2br w:val="nil"/>
                    <w:tr2bl w:val="nil"/>
                  </w:tcBorders>
                  <w:shd w:val="clear" w:color="auto" w:fill="D7D7D7" w:themeFill="background1" w:themeFillShade="D8"/>
                  <w:vAlign w:val="center"/>
                </w:tcPr>
                <w:p w14:paraId="4D7B5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其他（年用非溶剂型低VOCs含量涂料10吨以下的除外）</w:t>
                  </w:r>
                </w:p>
              </w:tc>
              <w:tc>
                <w:tcPr>
                  <w:tcW w:w="464" w:type="pct"/>
                  <w:tcBorders>
                    <w:tl2br w:val="nil"/>
                    <w:tr2bl w:val="nil"/>
                  </w:tcBorders>
                  <w:vAlign w:val="center"/>
                </w:tcPr>
                <w:p w14:paraId="7721F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4783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000" w:type="pct"/>
                  <w:gridSpan w:val="5"/>
                  <w:tcBorders>
                    <w:tl2br w:val="nil"/>
                    <w:tr2bl w:val="nil"/>
                  </w:tcBorders>
                  <w:shd w:val="clear" w:color="auto" w:fill="D7D7D7" w:themeFill="background1" w:themeFillShade="D8"/>
                  <w:vAlign w:val="center"/>
                </w:tcPr>
                <w:p w14:paraId="53678E4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三十三、汽车制造业 36</w:t>
                  </w:r>
                </w:p>
              </w:tc>
            </w:tr>
            <w:tr w14:paraId="3CE5A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329" w:type="pct"/>
                  <w:tcBorders>
                    <w:tl2br w:val="nil"/>
                    <w:tr2bl w:val="nil"/>
                  </w:tcBorders>
                  <w:vAlign w:val="center"/>
                </w:tcPr>
                <w:p w14:paraId="52DCC1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71</w:t>
                  </w:r>
                </w:p>
              </w:tc>
              <w:tc>
                <w:tcPr>
                  <w:tcW w:w="1635" w:type="pct"/>
                  <w:tcBorders>
                    <w:tl2br w:val="nil"/>
                    <w:tr2bl w:val="nil"/>
                  </w:tcBorders>
                  <w:vAlign w:val="center"/>
                </w:tcPr>
                <w:p w14:paraId="3D21D6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汽车整车制造361；汽车用发动机制造362；改装汽车制造363；低速汽车制造364；电车制造365；汽车车身、挂车制造366；</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汽车零部件及配件</w:t>
                  </w:r>
                  <w:r>
                    <w:rPr>
                      <w:rFonts w:hint="eastAsia" w:cs="Times New Roman"/>
                      <w:b/>
                      <w:bCs/>
                      <w:color w:val="000000" w:themeColor="text1"/>
                      <w:sz w:val="21"/>
                      <w:szCs w:val="21"/>
                      <w:highlight w:val="none"/>
                      <w:vertAlign w:val="baseline"/>
                      <w:lang w:val="en-US" w:eastAsia="zh-CN"/>
                      <w14:textFill>
                        <w14:solidFill>
                          <w14:schemeClr w14:val="tx1"/>
                        </w14:solidFill>
                      </w14:textFill>
                    </w:rPr>
                    <w:t>制造</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367</w:t>
                  </w:r>
                </w:p>
              </w:tc>
              <w:tc>
                <w:tcPr>
                  <w:tcW w:w="1413" w:type="pct"/>
                  <w:tcBorders>
                    <w:tl2br w:val="nil"/>
                    <w:tr2bl w:val="nil"/>
                  </w:tcBorders>
                  <w:vAlign w:val="center"/>
                </w:tcPr>
                <w:p w14:paraId="69734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汽车整车制造（仅组装的除外）；汽车用发动机制造（仅组装的除外）；有电镀工艺的；年用溶剂型涂料（含稀释剂）10吨及以上的</w:t>
                  </w:r>
                </w:p>
              </w:tc>
              <w:tc>
                <w:tcPr>
                  <w:tcW w:w="1157" w:type="pct"/>
                  <w:tcBorders>
                    <w:tl2br w:val="nil"/>
                    <w:tr2bl w:val="nil"/>
                  </w:tcBorders>
                  <w:shd w:val="clear" w:color="auto" w:fill="D7D7D7" w:themeFill="background1" w:themeFillShade="D8"/>
                  <w:vAlign w:val="center"/>
                </w:tcPr>
                <w:p w14:paraId="1A457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其他（年用非溶剂型低VOCs含量涂料10吨以下的除外）</w:t>
                  </w:r>
                </w:p>
              </w:tc>
              <w:tc>
                <w:tcPr>
                  <w:tcW w:w="464" w:type="pct"/>
                  <w:tcBorders>
                    <w:tl2br w:val="nil"/>
                    <w:tr2bl w:val="nil"/>
                  </w:tcBorders>
                  <w:vAlign w:val="center"/>
                </w:tcPr>
                <w:p w14:paraId="58450B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bl>
          <w:p w14:paraId="78EC04A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21" w:name="_Toc8414"/>
            <w:r>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2.2工程概况</w:t>
            </w:r>
            <w:bookmarkEnd w:id="21"/>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2" w:name="_Toc9404"/>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2.2.1 企业基本情况</w:t>
            </w:r>
            <w:bookmarkEnd w:id="22"/>
          </w:p>
          <w:p w14:paraId="2973D389">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建设单位购买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均和产业发展</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投资建设的均和云谷·福清科技港</w:t>
            </w:r>
            <w:r>
              <w:rPr>
                <w:rFonts w:hint="eastAsia" w:cs="Times New Roman"/>
                <w:color w:val="000000" w:themeColor="text1"/>
                <w:sz w:val="24"/>
                <w:szCs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#楼</w:t>
            </w:r>
            <w:r>
              <w:rPr>
                <w:rFonts w:hint="eastAsia" w:cs="Times New Roman"/>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层</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厂房定制合同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五</w:t>
            </w:r>
            <w:r>
              <w:rPr>
                <w:rFonts w:hint="eastAsia" w:cs="Times New Roman"/>
                <w:color w:val="000000" w:themeColor="text1"/>
                <w:sz w:val="24"/>
                <w:szCs w:val="24"/>
                <w:highlight w:val="none"/>
                <w:lang w:val="en-US" w:eastAsia="zh-CN"/>
                <w14:textFill>
                  <w14:solidFill>
                    <w14:schemeClr w14:val="tx1"/>
                  </w14:solidFill>
                </w14:textFill>
              </w:rPr>
              <w:t>）（不动产登记信息查询结果详见</w:t>
            </w:r>
            <w:r>
              <w:rPr>
                <w:rFonts w:hint="eastAsia" w:cs="Times New Roman"/>
                <w:b/>
                <w:bCs/>
                <w:color w:val="000000" w:themeColor="text1"/>
                <w:sz w:val="24"/>
                <w:szCs w:val="24"/>
                <w:highlight w:val="none"/>
                <w:lang w:val="en-US" w:eastAsia="zh-CN"/>
                <w14:textFill>
                  <w14:solidFill>
                    <w14:schemeClr w14:val="tx1"/>
                  </w14:solidFill>
                </w14:textFill>
              </w:rPr>
              <w:t>附件六</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本次评价仅利用</w:t>
            </w:r>
            <w:r>
              <w:rPr>
                <w:rFonts w:hint="eastAsia" w:cs="Times New Roman"/>
                <w:color w:val="000000" w:themeColor="text1"/>
                <w:sz w:val="24"/>
                <w:szCs w:val="24"/>
                <w:highlight w:val="none"/>
                <w:lang w:val="en-US" w:eastAsia="zh-CN"/>
                <w14:textFill>
                  <w14:solidFill>
                    <w14:schemeClr w14:val="tx1"/>
                  </w14:solidFill>
                </w14:textFill>
              </w:rPr>
              <w:t>一层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部分区域</w:t>
            </w:r>
            <w:r>
              <w:rPr>
                <w:rFonts w:hint="eastAsia" w:cs="Times New Roman"/>
                <w:color w:val="000000" w:themeColor="text1"/>
                <w:sz w:val="24"/>
                <w:szCs w:val="24"/>
                <w:highlight w:val="none"/>
                <w:lang w:val="en-US" w:eastAsia="zh-CN"/>
                <w14:textFill>
                  <w14:solidFill>
                    <w14:schemeClr w14:val="tx1"/>
                  </w14:solidFill>
                </w14:textFill>
              </w:rPr>
              <w:t>500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作为本项目生产经营场所，其余</w:t>
            </w:r>
            <w:r>
              <w:rPr>
                <w:rFonts w:hint="eastAsia" w:cs="Times New Roman"/>
                <w:color w:val="000000" w:themeColor="text1"/>
                <w:sz w:val="24"/>
                <w:szCs w:val="24"/>
                <w:highlight w:val="none"/>
                <w:lang w:val="en-US" w:eastAsia="zh-CN"/>
                <w14:textFill>
                  <w14:solidFill>
                    <w14:schemeClr w14:val="tx1"/>
                  </w14:solidFill>
                </w14:textFill>
              </w:rPr>
              <w:t>三层1000m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作为原材料仓库，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因此本评价在此简单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介绍均和云谷·福清科技港项目的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基本情况。</w:t>
            </w:r>
          </w:p>
          <w:p w14:paraId="43E1B15E">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均和云谷·福清科技港项目位于福清融侨经济技术开发区（福州市福清市阳下街道上亭村398号），项目总占地面积95657m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，总建筑面积约153451.80m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。根据福清融侨经济技术开发区管理委员会出具的“关于协助均和云谷</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福清科技港入园企业先行办理环评手续的函”相关内容可知，同意企业办理环评手续</w:t>
            </w:r>
            <w:r>
              <w:rPr>
                <w:rFonts w:hint="eastAsia" w:cs="Times New Roman"/>
                <w:color w:val="000000" w:themeColor="text1"/>
                <w:sz w:val="24"/>
                <w:highlight w:val="none"/>
                <w:lang w:val="en-US" w:eastAsia="zh-CN"/>
                <w14:textFill>
                  <w14:solidFill>
                    <w14:schemeClr w14:val="tx1"/>
                  </w14:solidFill>
                </w14:textFill>
              </w:rPr>
              <w:t>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附件</w:t>
            </w:r>
            <w:r>
              <w:rPr>
                <w:rFonts w:hint="eastAsia" w:cs="Times New Roman"/>
                <w:b/>
                <w:bCs/>
                <w:color w:val="000000" w:themeColor="text1"/>
                <w:sz w:val="24"/>
                <w:highlight w:val="none"/>
                <w:lang w:val="en-US" w:eastAsia="zh-CN"/>
                <w14:textFill>
                  <w14:solidFill>
                    <w14:schemeClr w14:val="tx1"/>
                  </w14:solidFill>
                </w14:textFill>
              </w:rPr>
              <w:t>七</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3D658D8">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根据现场勘查</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均和云谷·福清科技港内未配套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生产废水处理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设施、废气环保设施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等可</w:t>
            </w:r>
            <w:r>
              <w:rPr>
                <w:rFonts w:hint="eastAsia" w:cs="Times New Roman"/>
                <w:color w:val="000000" w:themeColor="text1"/>
                <w:sz w:val="24"/>
                <w:szCs w:val="24"/>
                <w:highlight w:val="none"/>
                <w:lang w:eastAsia="zh-CN"/>
                <w14:textFill>
                  <w14:solidFill>
                    <w14:schemeClr w14:val="tx1"/>
                  </w14:solidFill>
                </w14:textFill>
              </w:rPr>
              <w:t>提供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本项目依托的相关环保设施。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本项目废气环保设施、固废暂存间等均由本单位自行建设；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本项目可依托的设施主要为厂区内的现有给水管网、排水管网、供电管网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给水消防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及化粪池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等公用工程设施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目前均和云谷·福清科技港项目污水管网已经接入市政污水管网，将生活污水统一送往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eastAsia" w:cs="Times New Roman"/>
                <w:color w:val="000000" w:themeColor="text1"/>
                <w:sz w:val="24"/>
                <w:szCs w:val="24"/>
                <w:highlight w:val="none"/>
                <w:lang w:val="en-US" w:eastAsia="zh-CN"/>
                <w14:textFill>
                  <w14:solidFill>
                    <w14:schemeClr w14:val="tx1"/>
                  </w14:solidFill>
                </w14:textFill>
              </w:rPr>
              <w:t>（接管证明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九</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3" w:name="_Toc29283"/>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项目基本情况</w:t>
            </w:r>
            <w:bookmarkEnd w:id="23"/>
          </w:p>
          <w:p w14:paraId="08698F58">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（1）项目名称：</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福清大松模具有限公司年加工汽车塑料配件</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83万套项目</w:t>
            </w:r>
          </w:p>
          <w:p w14:paraId="3C33C5DC">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（2）建设单位：</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福清大松模具有限公司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（3）建设地点：</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E51690C">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（4）建设性质：新建</w:t>
            </w:r>
          </w:p>
          <w:p w14:paraId="448FBD25">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（5）总 投 资：</w:t>
            </w:r>
            <w:r>
              <w:rPr>
                <w:rFonts w:hint="eastAsia" w:cs="Times New Roman"/>
                <w:color w:val="000000" w:themeColor="text1"/>
                <w:sz w:val="24"/>
                <w:szCs w:val="24"/>
                <w:highlight w:val="none"/>
                <w:lang w:val="en-US" w:eastAsia="zh-CN"/>
                <w14:textFill>
                  <w14:solidFill>
                    <w14:schemeClr w14:val="tx1"/>
                  </w14:solidFill>
                </w14:textFill>
              </w:rPr>
              <w:t>1600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万元，其中环保投资</w:t>
            </w:r>
            <w:r>
              <w:rPr>
                <w:rFonts w:hint="eastAsia" w:cs="Times New Roman"/>
                <w:color w:val="000000" w:themeColor="text1"/>
                <w:sz w:val="24"/>
                <w:szCs w:val="24"/>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p>
          <w:p w14:paraId="5525C5EA">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（6）建设规模：建设</w:t>
            </w:r>
            <w:r>
              <w:rPr>
                <w:rFonts w:hint="eastAsia" w:cs="Times New Roman"/>
                <w:color w:val="000000" w:themeColor="text1"/>
                <w:sz w:val="24"/>
                <w:szCs w:val="24"/>
                <w:highlight w:val="none"/>
                <w:lang w:val="en-US" w:eastAsia="zh-CN"/>
                <w14:textFill>
                  <w14:solidFill>
                    <w14:schemeClr w14:val="tx1"/>
                  </w14:solidFill>
                </w14:textFill>
              </w:rPr>
              <w:t>1条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汽车塑料配件生产线，</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年加工汽车塑料配件</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83万套</w:t>
            </w:r>
          </w:p>
          <w:p w14:paraId="69179CA7">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（7）建筑面积：1-4层共</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3515.66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p>
          <w:p w14:paraId="63920DA6">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（8）工作制度：年生产300天，双班制，每班12小时；</w:t>
            </w:r>
          </w:p>
          <w:p w14:paraId="53A3EADE">
            <w:pPr>
              <w:pStyle w:val="3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（9）劳动定员：职工30人，均不在厂食宿</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4" w:name="_Toc1884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4"/>
          </w:p>
          <w:p w14:paraId="2AA979CB">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项目工程组成及建设内容详见表2.2-1。</w:t>
            </w: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表2.2-1 项目工程组成及建设内容一览表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20"/>
              <w:gridCol w:w="1811"/>
              <w:gridCol w:w="4417"/>
              <w:gridCol w:w="1214"/>
            </w:tblGrid>
            <w:tr w14:paraId="038DE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9" w:hRule="atLeast"/>
              </w:trPr>
              <w:tc>
                <w:tcPr>
                  <w:tcW w:w="417"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工程类别</w:t>
                  </w:r>
                </w:p>
              </w:tc>
              <w:tc>
                <w:tcPr>
                  <w:tcW w:w="1300" w:type="pct"/>
                  <w:gridSpan w:val="2"/>
                  <w:tcBorders>
                    <w:tl2br w:val="nil"/>
                    <w:tr2bl w:val="nil"/>
                  </w:tcBorders>
                  <w:vAlign w:val="center"/>
                </w:tcPr>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项目组成</w:t>
                  </w:r>
                </w:p>
              </w:tc>
              <w:tc>
                <w:tcPr>
                  <w:tcW w:w="2574"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工程规模和内容</w:t>
                  </w:r>
                </w:p>
              </w:tc>
              <w:tc>
                <w:tcPr>
                  <w:tcW w:w="707"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45821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17" w:type="pc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主体工程</w:t>
                  </w:r>
                </w:p>
              </w:tc>
              <w:tc>
                <w:tcPr>
                  <w:tcW w:w="1300" w:type="pct"/>
                  <w:gridSpan w:val="2"/>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一层</w:t>
                  </w:r>
                  <w:r>
                    <w:rPr>
                      <w:rFonts w:hint="eastAsia" w:cs="Times New Roman"/>
                      <w:color w:val="000000" w:themeColor="text1"/>
                      <w:sz w:val="21"/>
                      <w:szCs w:val="21"/>
                      <w:highlight w:val="none"/>
                      <w:vertAlign w:val="baseline"/>
                      <w:lang w:val="en-US" w:eastAsia="zh-CN"/>
                      <w14:textFill>
                        <w14:solidFill>
                          <w14:schemeClr w14:val="tx1"/>
                        </w14:solidFill>
                      </w14:textFill>
                    </w:rPr>
                    <w:t>部分区域为项目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汽车塑料配件生产线</w:t>
                  </w:r>
                </w:p>
              </w:tc>
              <w:tc>
                <w:tcPr>
                  <w:tcW w:w="2574"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购置注塑机、</w:t>
                  </w:r>
                  <w:r>
                    <w:rPr>
                      <w:rFonts w:hint="eastAsia" w:cs="Times New Roman"/>
                      <w:color w:val="000000" w:themeColor="text1"/>
                      <w:sz w:val="21"/>
                      <w:szCs w:val="21"/>
                      <w:highlight w:val="none"/>
                      <w:vertAlign w:val="baseline"/>
                      <w:lang w:val="en-US" w:eastAsia="zh-CN"/>
                      <w14:textFill>
                        <w14:solidFill>
                          <w14:schemeClr w14:val="tx1"/>
                        </w14:solidFill>
                      </w14:textFill>
                    </w:rPr>
                    <w:t>破碎机</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等设备，建设汽车塑料配件生产线1条，项目建成后可实现年产汽车塑料配件83万套</w:t>
                  </w:r>
                </w:p>
              </w:tc>
              <w:tc>
                <w:tcPr>
                  <w:tcW w:w="707"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01DC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17"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辅助工程</w:t>
                  </w:r>
                </w:p>
              </w:tc>
              <w:tc>
                <w:tcPr>
                  <w:tcW w:w="1300" w:type="pct"/>
                  <w:gridSpan w:val="2"/>
                  <w:tcBorders>
                    <w:tl2br w:val="nil"/>
                    <w:tr2bl w:val="nil"/>
                  </w:tcBorders>
                  <w:vAlign w:val="center"/>
                </w:tcPr>
                <w:p w14:paraId="2B03628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成品区</w:t>
                  </w:r>
                </w:p>
              </w:tc>
              <w:tc>
                <w:tcPr>
                  <w:tcW w:w="2574"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位于厂房3层西侧，用于成品堆放</w:t>
                  </w:r>
                </w:p>
              </w:tc>
              <w:tc>
                <w:tcPr>
                  <w:tcW w:w="707" w:type="pct"/>
                  <w:vMerge w:val="restar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5A1A9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7"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vAlign w:val="center"/>
                </w:tcPr>
                <w:p w14:paraId="04E230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原辅料区</w:t>
                  </w:r>
                </w:p>
              </w:tc>
              <w:tc>
                <w:tcPr>
                  <w:tcW w:w="2574"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位于厂房3层东侧，用于原辅料堆放</w:t>
                  </w:r>
                </w:p>
              </w:tc>
              <w:tc>
                <w:tcPr>
                  <w:tcW w:w="707" w:type="pct"/>
                  <w:vMerge w:val="continue"/>
                  <w:tcBorders>
                    <w:tl2br w:val="nil"/>
                    <w:tr2bl w:val="nil"/>
                  </w:tcBorders>
                  <w:vAlign w:val="center"/>
                </w:tcPr>
                <w:p w14:paraId="701DFCA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62A38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17" w:type="pct"/>
                  <w:vMerge w:val="continue"/>
                  <w:tcBorders>
                    <w:tl2br w:val="nil"/>
                    <w:tr2bl w:val="nil"/>
                  </w:tcBorders>
                  <w:vAlign w:val="center"/>
                </w:tcPr>
                <w:p w14:paraId="04318AE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vAlign w:val="center"/>
                </w:tcPr>
                <w:p w14:paraId="16A3530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冷却塔</w:t>
                  </w:r>
                </w:p>
              </w:tc>
              <w:tc>
                <w:tcPr>
                  <w:tcW w:w="2574" w:type="pct"/>
                  <w:tcBorders>
                    <w:tl2br w:val="nil"/>
                    <w:tr2bl w:val="nil"/>
                  </w:tcBorders>
                  <w:vAlign w:val="center"/>
                </w:tcPr>
                <w:p w14:paraId="2F31B42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位于三层楼顶</w:t>
                  </w:r>
                </w:p>
              </w:tc>
              <w:tc>
                <w:tcPr>
                  <w:tcW w:w="707" w:type="pct"/>
                  <w:tcBorders>
                    <w:tl2br w:val="nil"/>
                    <w:tr2bl w:val="nil"/>
                  </w:tcBorders>
                  <w:vAlign w:val="center"/>
                </w:tcPr>
                <w:p w14:paraId="289A717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6073C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17" w:type="pct"/>
                  <w:vMerge w:val="continue"/>
                  <w:tcBorders>
                    <w:tl2br w:val="nil"/>
                    <w:tr2bl w:val="nil"/>
                  </w:tcBorders>
                  <w:vAlign w:val="center"/>
                </w:tcPr>
                <w:p w14:paraId="7025B9E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vAlign w:val="center"/>
                </w:tcPr>
                <w:p w14:paraId="0C32EC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二级活性炭吸附装置</w:t>
                  </w:r>
                </w:p>
              </w:tc>
              <w:tc>
                <w:tcPr>
                  <w:tcW w:w="2574" w:type="pct"/>
                  <w:tcBorders>
                    <w:tl2br w:val="nil"/>
                    <w:tr2bl w:val="nil"/>
                  </w:tcBorders>
                  <w:vAlign w:val="center"/>
                </w:tcPr>
                <w:p w14:paraId="0D04DC5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位于三层楼顶</w:t>
                  </w:r>
                </w:p>
              </w:tc>
              <w:tc>
                <w:tcPr>
                  <w:tcW w:w="707" w:type="pct"/>
                  <w:tcBorders>
                    <w:tl2br w:val="nil"/>
                    <w:tr2bl w:val="nil"/>
                  </w:tcBorders>
                  <w:vAlign w:val="center"/>
                </w:tcPr>
                <w:p w14:paraId="07D16A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本次新建</w:t>
                  </w:r>
                </w:p>
              </w:tc>
            </w:tr>
            <w:tr w14:paraId="719CB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17"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公用工程</w:t>
                  </w:r>
                </w:p>
              </w:tc>
              <w:tc>
                <w:tcPr>
                  <w:tcW w:w="1300" w:type="pct"/>
                  <w:gridSpan w:val="2"/>
                  <w:tcBorders>
                    <w:tl2br w:val="nil"/>
                    <w:tr2bl w:val="nil"/>
                  </w:tcBorders>
                  <w:shd w:val="clear" w:color="auto" w:fill="auto"/>
                  <w:vAlign w:val="center"/>
                </w:tcPr>
                <w:p w14:paraId="49021727">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供水</w:t>
                  </w:r>
                </w:p>
              </w:tc>
              <w:tc>
                <w:tcPr>
                  <w:tcW w:w="2574"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项目生产生活用水由市政生活用水管网直接供给</w:t>
                  </w:r>
                </w:p>
              </w:tc>
              <w:tc>
                <w:tcPr>
                  <w:tcW w:w="707" w:type="pct"/>
                  <w:tcBorders>
                    <w:tl2br w:val="nil"/>
                    <w:tr2bl w:val="nil"/>
                  </w:tcBorders>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587B9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17"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shd w:val="clear" w:color="auto" w:fill="auto"/>
                  <w:vAlign w:val="center"/>
                </w:tcPr>
                <w:p w14:paraId="39282D1C">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排水</w:t>
                  </w:r>
                </w:p>
              </w:tc>
              <w:tc>
                <w:tcPr>
                  <w:tcW w:w="2574"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项目采用“雨污分流、清污分流”，生产过程中</w:t>
                  </w:r>
                  <w:r>
                    <w:rPr>
                      <w:rFonts w:hint="eastAsia" w:cs="Times New Roman"/>
                      <w:color w:val="000000" w:themeColor="text1"/>
                      <w:sz w:val="21"/>
                      <w:szCs w:val="21"/>
                      <w:highlight w:val="none"/>
                      <w:vertAlign w:val="baseline"/>
                      <w:lang w:val="en-US" w:eastAsia="zh-CN"/>
                      <w14:textFill>
                        <w14:solidFill>
                          <w14:schemeClr w14:val="tx1"/>
                        </w14:solidFill>
                      </w14:textFill>
                    </w:rPr>
                    <w:t>冷却水循环使用不外排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；职工生活污水经园区内已建化粪池预处理后，接入市政污水管网，纳入福清融元污水处理厂统一处理，尾水排入龙江。</w:t>
                  </w:r>
                </w:p>
              </w:tc>
              <w:tc>
                <w:tcPr>
                  <w:tcW w:w="707"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3AFA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17"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shd w:val="clear" w:color="auto" w:fill="auto"/>
                  <w:vAlign w:val="center"/>
                </w:tcPr>
                <w:p w14:paraId="4A041062">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供电</w:t>
                  </w:r>
                </w:p>
              </w:tc>
              <w:tc>
                <w:tcPr>
                  <w:tcW w:w="2574" w:type="pct"/>
                  <w:tcBorders>
                    <w:tl2br w:val="nil"/>
                    <w:tr2bl w:val="nil"/>
                  </w:tcBorders>
                  <w:vAlign w:val="center"/>
                </w:tcPr>
                <w:p w14:paraId="3E0217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接市政供电系统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依托厂区内现有的供电系统</w:t>
                  </w:r>
                </w:p>
              </w:tc>
              <w:tc>
                <w:tcPr>
                  <w:tcW w:w="707" w:type="pct"/>
                  <w:tcBorders>
                    <w:tl2br w:val="nil"/>
                    <w:tr2bl w:val="nil"/>
                  </w:tcBorders>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2652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7"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环保工程</w:t>
                  </w:r>
                </w:p>
              </w:tc>
              <w:tc>
                <w:tcPr>
                  <w:tcW w:w="1300" w:type="pct"/>
                  <w:gridSpan w:val="2"/>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废水治理</w:t>
                  </w:r>
                </w:p>
              </w:tc>
              <w:tc>
                <w:tcPr>
                  <w:tcW w:w="2574"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职工生活污水经园区内已建化粪池预处理后，接入市政污水管网，纳入福清融元污水处理厂统一处理，尾水排入龙江。</w:t>
                  </w:r>
                </w:p>
              </w:tc>
              <w:tc>
                <w:tcPr>
                  <w:tcW w:w="707"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依托现有化粪池</w:t>
                  </w:r>
                </w:p>
              </w:tc>
            </w:tr>
            <w:tr w14:paraId="065F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7"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4" w:type="pct"/>
                  <w:vMerge w:val="restart"/>
                  <w:tcBorders>
                    <w:tl2br w:val="nil"/>
                    <w:tr2bl w:val="nil"/>
                  </w:tcBorders>
                  <w:vAlign w:val="center"/>
                </w:tcPr>
                <w:p w14:paraId="046F05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废气治理</w:t>
                  </w:r>
                </w:p>
              </w:tc>
              <w:tc>
                <w:tcPr>
                  <w:tcW w:w="1055" w:type="pct"/>
                  <w:tcBorders>
                    <w:tl2br w:val="nil"/>
                    <w:tr2bl w:val="nil"/>
                  </w:tcBorders>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非甲烷总烃、</w:t>
                  </w:r>
                  <w:r>
                    <w:rPr>
                      <w:rFonts w:hint="eastAsia" w:cs="Times New Roman"/>
                      <w:bCs/>
                      <w:color w:val="000000" w:themeColor="text1"/>
                      <w:kern w:val="2"/>
                      <w:sz w:val="21"/>
                      <w:szCs w:val="21"/>
                      <w:highlight w:val="none"/>
                      <w:lang w:val="en-US" w:eastAsia="zh-CN" w:bidi="ar-SA"/>
                      <w14:textFill>
                        <w14:solidFill>
                          <w14:schemeClr w14:val="tx1"/>
                        </w14:solidFill>
                      </w14:textFill>
                    </w:rPr>
                    <w:t>苯乙烯、丙烯腈、1,3-丁二烯、甲苯、乙苯</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臭气浓度</w:t>
                  </w:r>
                </w:p>
              </w:tc>
              <w:tc>
                <w:tcPr>
                  <w:tcW w:w="2574" w:type="pct"/>
                  <w:tcBorders>
                    <w:tl2br w:val="nil"/>
                    <w:tr2bl w:val="nil"/>
                  </w:tcBorders>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注塑</w:t>
                  </w:r>
                  <w:r>
                    <w:rPr>
                      <w:rFonts w:hint="eastAsia" w:cs="Times New Roman"/>
                      <w:color w:val="000000" w:themeColor="text1"/>
                      <w:sz w:val="21"/>
                      <w:szCs w:val="21"/>
                      <w:highlight w:val="none"/>
                      <w:vertAlign w:val="baseline"/>
                      <w:lang w:val="en-US" w:eastAsia="zh-CN"/>
                      <w14:textFill>
                        <w14:solidFill>
                          <w14:schemeClr w14:val="tx1"/>
                        </w14:solidFill>
                      </w14:textFill>
                    </w:rPr>
                    <w:t>、脱模生产废气</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通过集气罩收集后由一套“</w:t>
                  </w:r>
                  <w:r>
                    <w:rPr>
                      <w:rFonts w:hint="eastAsia" w:cs="Times New Roman"/>
                      <w:color w:val="000000" w:themeColor="text1"/>
                      <w:sz w:val="21"/>
                      <w:szCs w:val="21"/>
                      <w:highlight w:val="none"/>
                      <w:vertAlign w:val="baseline"/>
                      <w:lang w:val="en-US" w:eastAsia="zh-CN"/>
                      <w14:textFill>
                        <w14:solidFill>
                          <w14:schemeClr w14:val="tx1"/>
                        </w14:solidFill>
                      </w14:textFill>
                    </w:rPr>
                    <w:t>二级</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w:t>
                  </w:r>
                  <w:r>
                    <w:rPr>
                      <w:rFonts w:hint="eastAsia" w:cs="Times New Roman"/>
                      <w:color w:val="000000" w:themeColor="text1"/>
                      <w:sz w:val="21"/>
                      <w:szCs w:val="21"/>
                      <w:highlight w:val="none"/>
                      <w:vertAlign w:val="baseline"/>
                      <w:lang w:val="en-US" w:eastAsia="zh-CN"/>
                      <w14:textFill>
                        <w14:solidFill>
                          <w14:schemeClr w14:val="tx1"/>
                        </w14:solidFill>
                      </w14:textFill>
                    </w:rPr>
                    <w:t>（TA001）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w:t>
                  </w:r>
                  <w:r>
                    <w:rPr>
                      <w:rFonts w:hint="eastAsia"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排气筒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w:t>
                  </w:r>
                  <w:r>
                    <w:rPr>
                      <w:rFonts w:hint="eastAsia"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c>
                <w:tcPr>
                  <w:tcW w:w="707" w:type="pct"/>
                  <w:tcBorders>
                    <w:tl2br w:val="nil"/>
                    <w:tr2bl w:val="nil"/>
                  </w:tcBorders>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65B2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17" w:type="pct"/>
                  <w:vMerge w:val="continue"/>
                  <w:tcBorders>
                    <w:tl2br w:val="nil"/>
                    <w:tr2bl w:val="nil"/>
                  </w:tcBorders>
                  <w:vAlign w:val="center"/>
                </w:tcPr>
                <w:p w14:paraId="20D6357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4" w:type="pct"/>
                  <w:vMerge w:val="continue"/>
                  <w:tcBorders>
                    <w:tl2br w:val="nil"/>
                    <w:tr2bl w:val="nil"/>
                  </w:tcBorders>
                  <w:vAlign w:val="center"/>
                </w:tcPr>
                <w:p w14:paraId="5E9F018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055" w:type="pct"/>
                  <w:tcBorders>
                    <w:tl2br w:val="nil"/>
                    <w:tr2bl w:val="nil"/>
                  </w:tcBorders>
                  <w:vAlign w:val="center"/>
                </w:tcPr>
                <w:p w14:paraId="7771269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2574" w:type="pct"/>
                  <w:tcBorders>
                    <w:tl2br w:val="nil"/>
                    <w:tr2bl w:val="nil"/>
                  </w:tcBorders>
                  <w:vAlign w:val="center"/>
                </w:tcPr>
                <w:p w14:paraId="662B15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不合格产品破碎所产生的颗粒物粉尘</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通过集气罩收集后由布袋除尘器</w:t>
                  </w:r>
                  <w:r>
                    <w:rPr>
                      <w:rFonts w:hint="eastAsia" w:cs="Times New Roman"/>
                      <w:color w:val="000000" w:themeColor="text1"/>
                      <w:sz w:val="21"/>
                      <w:szCs w:val="21"/>
                      <w:highlight w:val="none"/>
                      <w:vertAlign w:val="baseline"/>
                      <w:lang w:val="en-US" w:eastAsia="zh-CN"/>
                      <w14:textFill>
                        <w14:solidFill>
                          <w14:schemeClr w14:val="tx1"/>
                        </w14:solidFill>
                      </w14:textFill>
                    </w:rPr>
                    <w:t>（T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A00</w:t>
                  </w:r>
                  <w:r>
                    <w:rPr>
                      <w:rFonts w:hint="eastAsia" w:cs="Times New Roman"/>
                      <w:b w:val="0"/>
                      <w:bCs/>
                      <w:color w:val="000000" w:themeColor="text1"/>
                      <w:sz w:val="21"/>
                      <w:szCs w:val="21"/>
                      <w:highlight w:val="none"/>
                      <w:u w:val="none"/>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处理后并入15</w:t>
                  </w:r>
                  <w:r>
                    <w:rPr>
                      <w:rFonts w:hint="eastAsia"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排气筒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w:t>
                  </w:r>
                  <w:r>
                    <w:rPr>
                      <w:rFonts w:hint="eastAsia"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c>
                <w:tcPr>
                  <w:tcW w:w="707" w:type="pct"/>
                  <w:tcBorders>
                    <w:tl2br w:val="nil"/>
                    <w:tr2bl w:val="nil"/>
                  </w:tcBorders>
                  <w:vAlign w:val="center"/>
                </w:tcPr>
                <w:p w14:paraId="5BC49F3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0AF0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17"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0" w:type="pct"/>
                  <w:gridSpan w:val="2"/>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噪声治理</w:t>
                  </w:r>
                </w:p>
              </w:tc>
              <w:tc>
                <w:tcPr>
                  <w:tcW w:w="2574"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选用低噪声设备，加强设备的维护管理；对高噪声设备进行基础减振、通过厂房墙体隔</w:t>
                  </w:r>
                </w:p>
              </w:tc>
              <w:tc>
                <w:tcPr>
                  <w:tcW w:w="707"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2B0A6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17" w:type="pct"/>
                  <w:vMerge w:val="continue"/>
                  <w:tcBorders>
                    <w:tl2br w:val="nil"/>
                    <w:tr2bl w:val="nil"/>
                  </w:tcBorders>
                  <w:vAlign w:val="center"/>
                </w:tcPr>
                <w:p w14:paraId="083003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4" w:type="pct"/>
                  <w:vMerge w:val="restart"/>
                  <w:tcBorders>
                    <w:tl2br w:val="nil"/>
                    <w:tr2bl w:val="nil"/>
                  </w:tcBorders>
                  <w:vAlign w:val="center"/>
                </w:tcPr>
                <w:p w14:paraId="151A8A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固废治理</w:t>
                  </w:r>
                </w:p>
              </w:tc>
              <w:tc>
                <w:tcPr>
                  <w:tcW w:w="1055" w:type="pct"/>
                  <w:tcBorders>
                    <w:tl2br w:val="nil"/>
                    <w:tr2bl w:val="nil"/>
                  </w:tcBorders>
                  <w:vAlign w:val="center"/>
                </w:tcPr>
                <w:p w14:paraId="1A0A37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生活垃圾</w:t>
                  </w:r>
                </w:p>
              </w:tc>
              <w:tc>
                <w:tcPr>
                  <w:tcW w:w="2574" w:type="pct"/>
                  <w:tcBorders>
                    <w:tl2br w:val="nil"/>
                    <w:tr2bl w:val="nil"/>
                  </w:tcBorders>
                  <w:vAlign w:val="center"/>
                </w:tcPr>
                <w:p w14:paraId="5BFC8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GB" w:eastAsia="zh-CN"/>
                      <w14:textFill>
                        <w14:solidFill>
                          <w14:schemeClr w14:val="tx1"/>
                        </w14:solidFill>
                      </w14:textFill>
                    </w:rPr>
                    <w:t>厂区内设置生活垃圾桶，分类收集后委托环卫部门每日清运处置</w:t>
                  </w:r>
                </w:p>
              </w:tc>
              <w:tc>
                <w:tcPr>
                  <w:tcW w:w="707" w:type="pct"/>
                  <w:tcBorders>
                    <w:tl2br w:val="nil"/>
                    <w:tr2bl w:val="nil"/>
                  </w:tcBorders>
                  <w:vAlign w:val="center"/>
                </w:tcPr>
                <w:p w14:paraId="590D42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6932E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tcBorders>
                    <w:tl2br w:val="nil"/>
                    <w:tr2bl w:val="nil"/>
                  </w:tcBorders>
                  <w:vAlign w:val="center"/>
                </w:tcPr>
                <w:p w14:paraId="07A92A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4" w:type="pct"/>
                  <w:vMerge w:val="continue"/>
                  <w:tcBorders>
                    <w:tl2br w:val="nil"/>
                    <w:tr2bl w:val="nil"/>
                  </w:tcBorders>
                  <w:vAlign w:val="center"/>
                </w:tcPr>
                <w:p w14:paraId="4774EE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055" w:type="pct"/>
                  <w:tcBorders>
                    <w:tl2br w:val="nil"/>
                    <w:tr2bl w:val="nil"/>
                  </w:tcBorders>
                  <w:vAlign w:val="center"/>
                </w:tcPr>
                <w:p w14:paraId="5BC95DE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一般固体废物</w:t>
                  </w:r>
                </w:p>
              </w:tc>
              <w:tc>
                <w:tcPr>
                  <w:tcW w:w="2574" w:type="pct"/>
                  <w:tcBorders>
                    <w:tl2br w:val="nil"/>
                    <w:tr2bl w:val="nil"/>
                  </w:tcBorders>
                  <w:vAlign w:val="center"/>
                </w:tcPr>
                <w:p w14:paraId="7471A25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设一般工业固废暂存间，妥善分类收集后出售给回收企业综合利用：不合格产品</w:t>
                  </w:r>
                  <w:r>
                    <w:rPr>
                      <w:rFonts w:hint="eastAsia" w:cs="Times New Roman"/>
                      <w:color w:val="000000" w:themeColor="text1"/>
                      <w:highlight w:val="none"/>
                      <w:lang w:val="en-US" w:eastAsia="zh-CN"/>
                      <w14:textFill>
                        <w14:solidFill>
                          <w14:schemeClr w14:val="tx1"/>
                        </w14:solidFill>
                      </w14:textFill>
                    </w:rPr>
                    <w:t>及边角料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收集破碎后</w:t>
                  </w:r>
                  <w:r>
                    <w:rPr>
                      <w:rFonts w:hint="eastAsia" w:cs="Times New Roman"/>
                      <w:color w:val="000000" w:themeColor="text1"/>
                      <w:highlight w:val="none"/>
                      <w:lang w:val="en-US" w:eastAsia="zh-CN"/>
                      <w14:textFill>
                        <w14:solidFill>
                          <w14:schemeClr w14:val="tx1"/>
                        </w14:solidFill>
                      </w14:textFill>
                    </w:rPr>
                    <w:t>外售其他企业综合利用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。废包装材料：收集后外售给废品回收公司。</w:t>
                  </w:r>
                </w:p>
              </w:tc>
              <w:tc>
                <w:tcPr>
                  <w:tcW w:w="707" w:type="pct"/>
                  <w:tcBorders>
                    <w:tl2br w:val="nil"/>
                    <w:tr2bl w:val="nil"/>
                  </w:tcBorders>
                  <w:vAlign w:val="center"/>
                </w:tcPr>
                <w:p w14:paraId="71CB7D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1A3B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417" w:type="pct"/>
                  <w:vMerge w:val="continue"/>
                  <w:tcBorders>
                    <w:tl2br w:val="nil"/>
                    <w:tr2bl w:val="nil"/>
                  </w:tcBorders>
                  <w:vAlign w:val="center"/>
                </w:tcPr>
                <w:p w14:paraId="1C1DA2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4" w:type="pct"/>
                  <w:vMerge w:val="continue"/>
                  <w:tcBorders>
                    <w:tl2br w:val="nil"/>
                    <w:tr2bl w:val="nil"/>
                  </w:tcBorders>
                  <w:vAlign w:val="center"/>
                </w:tcPr>
                <w:p w14:paraId="386E6E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055" w:type="pct"/>
                  <w:tcBorders>
                    <w:tl2br w:val="nil"/>
                    <w:tr2bl w:val="nil"/>
                  </w:tcBorders>
                  <w:vAlign w:val="center"/>
                </w:tcPr>
                <w:p w14:paraId="765B699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危险废物</w:t>
                  </w:r>
                </w:p>
              </w:tc>
              <w:tc>
                <w:tcPr>
                  <w:tcW w:w="2574" w:type="pct"/>
                  <w:tcBorders>
                    <w:tl2br w:val="nil"/>
                    <w:tr2bl w:val="nil"/>
                  </w:tcBorders>
                  <w:vAlign w:val="center"/>
                </w:tcPr>
                <w:p w14:paraId="50A3255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按照规范要求设置一间危险废物贮存库，</w:t>
                  </w:r>
                  <w:r>
                    <w:rPr>
                      <w:rFonts w:hint="eastAsia" w:cs="Times New Roman"/>
                      <w:color w:val="000000" w:themeColor="text1"/>
                      <w:sz w:val="21"/>
                      <w:szCs w:val="21"/>
                      <w:highlight w:val="none"/>
                      <w:vertAlign w:val="baseline"/>
                      <w:lang w:val="en-US" w:eastAsia="zh-CN"/>
                      <w14:textFill>
                        <w14:solidFill>
                          <w14:schemeClr w14:val="tx1"/>
                        </w14:solidFill>
                      </w14:textFill>
                    </w:rPr>
                    <w:t>位于二层一间已建成的工具间作为本项目的危废贮存库。</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面积约5m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，存放废活性炭、</w:t>
                  </w:r>
                  <w:r>
                    <w:rPr>
                      <w:rFonts w:hint="eastAsia" w:cs="Times New Roman"/>
                      <w:color w:val="000000" w:themeColor="text1"/>
                      <w:sz w:val="21"/>
                      <w:szCs w:val="21"/>
                      <w:highlight w:val="none"/>
                      <w:vertAlign w:val="baseline"/>
                      <w:lang w:val="en-US" w:eastAsia="zh-CN"/>
                      <w14:textFill>
                        <w14:solidFill>
                          <w14:schemeClr w14:val="tx1"/>
                        </w14:solidFill>
                      </w14:textFill>
                    </w:rPr>
                    <w:t>废机油</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等危险废物。贮存间内张贴明显</w:t>
                  </w:r>
                  <w:r>
                    <w:rPr>
                      <w:rFonts w:hint="eastAsia" w:cs="Times New Roman"/>
                      <w:color w:val="000000" w:themeColor="text1"/>
                      <w:sz w:val="21"/>
                      <w:szCs w:val="21"/>
                      <w:highlight w:val="none"/>
                      <w:vertAlign w:val="baseline"/>
                      <w:lang w:val="en-US" w:eastAsia="zh-CN"/>
                      <w14:textFill>
                        <w14:solidFill>
                          <w14:schemeClr w14:val="tx1"/>
                        </w14:solidFill>
                      </w14:textFill>
                    </w:rPr>
                    <w:t>警示标志</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并设置围堰及导流沟，地面刷环氧树脂漆。并签署危废委托</w:t>
                  </w:r>
                  <w:r>
                    <w:rPr>
                      <w:rFonts w:hint="eastAsia" w:cs="Times New Roman"/>
                      <w:color w:val="000000" w:themeColor="text1"/>
                      <w:sz w:val="21"/>
                      <w:szCs w:val="21"/>
                      <w:highlight w:val="none"/>
                      <w:vertAlign w:val="baseline"/>
                      <w:lang w:val="en-US" w:eastAsia="zh-CN"/>
                      <w14:textFill>
                        <w14:solidFill>
                          <w14:schemeClr w14:val="tx1"/>
                        </w14:solidFill>
                      </w14:textFill>
                    </w:rPr>
                    <w:t>协议</w:t>
                  </w:r>
                </w:p>
              </w:tc>
              <w:tc>
                <w:tcPr>
                  <w:tcW w:w="707" w:type="pct"/>
                  <w:tcBorders>
                    <w:tl2br w:val="nil"/>
                    <w:tr2bl w:val="nil"/>
                  </w:tcBorders>
                  <w:vAlign w:val="center"/>
                </w:tcPr>
                <w:p w14:paraId="42DB78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5" w:name="_Toc2449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5"/>
          </w:p>
          <w:p w14:paraId="7EC1104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本项目产品方案详见表2.2-2。</w:t>
            </w:r>
          </w:p>
          <w:p w14:paraId="5B158D61">
            <w:pPr>
              <w:pStyle w:val="20"/>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t>表2.2-2 项目主要产品方案</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154"/>
              <w:gridCol w:w="1505"/>
              <w:gridCol w:w="4081"/>
            </w:tblGrid>
            <w:tr w14:paraId="3EFA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88"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255" w:type="pct"/>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产品名称</w:t>
                  </w:r>
                </w:p>
              </w:tc>
              <w:tc>
                <w:tcPr>
                  <w:tcW w:w="877" w:type="pct"/>
                  <w:tcBorders>
                    <w:tl2br w:val="nil"/>
                    <w:tr2bl w:val="nil"/>
                  </w:tcBorders>
                  <w:vAlign w:val="center"/>
                </w:tcPr>
                <w:p w14:paraId="33363E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产品产量</w:t>
                  </w:r>
                </w:p>
              </w:tc>
              <w:tc>
                <w:tcPr>
                  <w:tcW w:w="2378" w:type="pct"/>
                  <w:tcBorders>
                    <w:tl2br w:val="nil"/>
                    <w:tr2bl w:val="nil"/>
                  </w:tcBorders>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1BC21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8" w:type="pct"/>
                  <w:tcBorders>
                    <w:tl2br w:val="nil"/>
                    <w:tr2bl w:val="nil"/>
                  </w:tcBorders>
                  <w:vAlign w:val="center"/>
                </w:tcPr>
                <w:p w14:paraId="70CA2D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255" w:type="pct"/>
                  <w:tcBorders>
                    <w:tl2br w:val="nil"/>
                    <w:tr2bl w:val="nil"/>
                  </w:tcBorders>
                  <w:vAlign w:val="center"/>
                </w:tcPr>
                <w:p w14:paraId="3D95D2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汽车塑料配件</w:t>
                  </w:r>
                </w:p>
              </w:tc>
              <w:tc>
                <w:tcPr>
                  <w:tcW w:w="877" w:type="pct"/>
                  <w:tcBorders>
                    <w:tl2br w:val="nil"/>
                    <w:tr2bl w:val="nil"/>
                  </w:tcBorders>
                  <w:vAlign w:val="center"/>
                </w:tcPr>
                <w:p w14:paraId="294199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83万套</w:t>
                  </w:r>
                </w:p>
              </w:tc>
              <w:tc>
                <w:tcPr>
                  <w:tcW w:w="2378" w:type="pct"/>
                  <w:tcBorders>
                    <w:tl2br w:val="nil"/>
                    <w:tr2bl w:val="nil"/>
                  </w:tcBorders>
                  <w:vAlign w:val="center"/>
                </w:tcPr>
                <w:p w14:paraId="1388BD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bl>
          <w:p w14:paraId="4FBF47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6" w:name="_Toc3015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主要生产设备</w:t>
            </w:r>
            <w:bookmarkEnd w:id="26"/>
          </w:p>
          <w:p w14:paraId="7217F010">
            <w:pPr>
              <w:pStyle w:val="2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项目主要生产设备一览表详见表2.2-3。</w:t>
            </w:r>
          </w:p>
          <w:p w14:paraId="69542A7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表2.2-3 主要生产设备一览表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59"/>
              <w:gridCol w:w="1346"/>
              <w:gridCol w:w="1297"/>
              <w:gridCol w:w="2930"/>
            </w:tblGrid>
            <w:tr w14:paraId="5398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93" w:type="pct"/>
                  <w:tcBorders>
                    <w:tl2br w:val="nil"/>
                    <w:tr2bl w:val="nil"/>
                  </w:tcBorders>
                  <w:vAlign w:val="center"/>
                </w:tcPr>
                <w:p w14:paraId="4909543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序号</w:t>
                  </w:r>
                </w:p>
              </w:tc>
              <w:tc>
                <w:tcPr>
                  <w:tcW w:w="1258" w:type="pct"/>
                  <w:tcBorders>
                    <w:tl2br w:val="nil"/>
                    <w:tr2bl w:val="nil"/>
                  </w:tcBorders>
                  <w:vAlign w:val="center"/>
                </w:tcPr>
                <w:p w14:paraId="0EA05F1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设备名称</w:t>
                  </w:r>
                </w:p>
              </w:tc>
              <w:tc>
                <w:tcPr>
                  <w:tcW w:w="784" w:type="pct"/>
                  <w:tcBorders>
                    <w:tl2br w:val="nil"/>
                    <w:tr2bl w:val="nil"/>
                  </w:tcBorders>
                  <w:vAlign w:val="center"/>
                </w:tcPr>
                <w:p w14:paraId="621C38A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功率/型号</w:t>
                  </w:r>
                </w:p>
              </w:tc>
              <w:tc>
                <w:tcPr>
                  <w:tcW w:w="756" w:type="pct"/>
                  <w:tcBorders>
                    <w:tl2br w:val="nil"/>
                    <w:tr2bl w:val="nil"/>
                  </w:tcBorders>
                  <w:vAlign w:val="center"/>
                </w:tcPr>
                <w:p w14:paraId="117C08DC">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数量</w:t>
                  </w:r>
                </w:p>
              </w:tc>
              <w:tc>
                <w:tcPr>
                  <w:tcW w:w="1707" w:type="pct"/>
                  <w:tcBorders>
                    <w:tl2br w:val="nil"/>
                    <w:tr2bl w:val="nil"/>
                  </w:tcBorders>
                  <w:vAlign w:val="center"/>
                </w:tcPr>
                <w:p w14:paraId="4DD5958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备注</w:t>
                  </w:r>
                </w:p>
              </w:tc>
            </w:tr>
            <w:tr w14:paraId="5E4CB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93" w:type="pct"/>
                  <w:tcBorders>
                    <w:tl2br w:val="nil"/>
                    <w:tr2bl w:val="nil"/>
                  </w:tcBorders>
                  <w:vAlign w:val="center"/>
                </w:tcPr>
                <w:p w14:paraId="1696601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1258" w:type="pct"/>
                  <w:tcBorders>
                    <w:tl2br w:val="nil"/>
                    <w:tr2bl w:val="nil"/>
                  </w:tcBorders>
                  <w:vAlign w:val="center"/>
                </w:tcPr>
                <w:p w14:paraId="76363C5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18CE82C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120T</w:t>
                  </w:r>
                </w:p>
              </w:tc>
              <w:tc>
                <w:tcPr>
                  <w:tcW w:w="756" w:type="pct"/>
                  <w:tcBorders>
                    <w:tl2br w:val="nil"/>
                    <w:tr2bl w:val="nil"/>
                  </w:tcBorders>
                  <w:vAlign w:val="center"/>
                </w:tcPr>
                <w:p w14:paraId="05661D9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台</w:t>
                  </w:r>
                </w:p>
              </w:tc>
              <w:tc>
                <w:tcPr>
                  <w:tcW w:w="1707" w:type="pct"/>
                  <w:tcBorders>
                    <w:tl2br w:val="nil"/>
                    <w:tr2bl w:val="nil"/>
                  </w:tcBorders>
                  <w:vAlign w:val="center"/>
                </w:tcPr>
                <w:p w14:paraId="14F23A9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47BA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58C12D5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1258" w:type="pct"/>
                  <w:tcBorders>
                    <w:tl2br w:val="nil"/>
                    <w:tr2bl w:val="nil"/>
                  </w:tcBorders>
                  <w:vAlign w:val="center"/>
                </w:tcPr>
                <w:p w14:paraId="65259B1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13D8B98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160T</w:t>
                  </w:r>
                </w:p>
              </w:tc>
              <w:tc>
                <w:tcPr>
                  <w:tcW w:w="756" w:type="pct"/>
                  <w:tcBorders>
                    <w:tl2br w:val="nil"/>
                    <w:tr2bl w:val="nil"/>
                  </w:tcBorders>
                  <w:vAlign w:val="center"/>
                </w:tcPr>
                <w:p w14:paraId="6501B505">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2台</w:t>
                  </w:r>
                </w:p>
              </w:tc>
              <w:tc>
                <w:tcPr>
                  <w:tcW w:w="1707" w:type="pct"/>
                  <w:tcBorders>
                    <w:tl2br w:val="nil"/>
                    <w:tr2bl w:val="nil"/>
                  </w:tcBorders>
                  <w:vAlign w:val="center"/>
                </w:tcPr>
                <w:p w14:paraId="351AE1E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5FDBF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1A46647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1258" w:type="pct"/>
                  <w:tcBorders>
                    <w:tl2br w:val="nil"/>
                    <w:tr2bl w:val="nil"/>
                  </w:tcBorders>
                  <w:vAlign w:val="center"/>
                </w:tcPr>
                <w:p w14:paraId="4E5FAE8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555D6A5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250T</w:t>
                  </w:r>
                </w:p>
              </w:tc>
              <w:tc>
                <w:tcPr>
                  <w:tcW w:w="756" w:type="pct"/>
                  <w:tcBorders>
                    <w:tl2br w:val="nil"/>
                    <w:tr2bl w:val="nil"/>
                  </w:tcBorders>
                  <w:vAlign w:val="center"/>
                </w:tcPr>
                <w:p w14:paraId="6A8804F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1台</w:t>
                  </w:r>
                </w:p>
              </w:tc>
              <w:tc>
                <w:tcPr>
                  <w:tcW w:w="1707" w:type="pct"/>
                  <w:tcBorders>
                    <w:tl2br w:val="nil"/>
                    <w:tr2bl w:val="nil"/>
                  </w:tcBorders>
                  <w:shd w:val="clear" w:color="auto" w:fill="auto"/>
                  <w:vAlign w:val="center"/>
                </w:tcPr>
                <w:p w14:paraId="5B67600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3BD0D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3695875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1258" w:type="pct"/>
                  <w:tcBorders>
                    <w:tl2br w:val="nil"/>
                    <w:tr2bl w:val="nil"/>
                  </w:tcBorders>
                  <w:shd w:val="clear" w:color="auto" w:fill="auto"/>
                  <w:vAlign w:val="center"/>
                </w:tcPr>
                <w:p w14:paraId="00E5F4B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1C22CBF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300T</w:t>
                  </w:r>
                </w:p>
              </w:tc>
              <w:tc>
                <w:tcPr>
                  <w:tcW w:w="756" w:type="pct"/>
                  <w:tcBorders>
                    <w:tl2br w:val="nil"/>
                    <w:tr2bl w:val="nil"/>
                  </w:tcBorders>
                  <w:vAlign w:val="center"/>
                </w:tcPr>
                <w:p w14:paraId="76CA4BC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1台</w:t>
                  </w:r>
                </w:p>
              </w:tc>
              <w:tc>
                <w:tcPr>
                  <w:tcW w:w="1707" w:type="pct"/>
                  <w:tcBorders>
                    <w:tl2br w:val="nil"/>
                    <w:tr2bl w:val="nil"/>
                  </w:tcBorders>
                  <w:shd w:val="clear" w:color="auto" w:fill="auto"/>
                  <w:vAlign w:val="center"/>
                </w:tcPr>
                <w:p w14:paraId="5AE1AF4B">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0E17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6BAAF1F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1258" w:type="pct"/>
                  <w:tcBorders>
                    <w:tl2br w:val="nil"/>
                    <w:tr2bl w:val="nil"/>
                  </w:tcBorders>
                  <w:shd w:val="clear" w:color="auto" w:fill="auto"/>
                  <w:vAlign w:val="center"/>
                </w:tcPr>
                <w:p w14:paraId="7D1FEF98">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1568576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328T</w:t>
                  </w:r>
                </w:p>
              </w:tc>
              <w:tc>
                <w:tcPr>
                  <w:tcW w:w="756" w:type="pct"/>
                  <w:tcBorders>
                    <w:tl2br w:val="nil"/>
                    <w:tr2bl w:val="nil"/>
                  </w:tcBorders>
                  <w:vAlign w:val="center"/>
                </w:tcPr>
                <w:p w14:paraId="0FFC46B2">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1台</w:t>
                  </w:r>
                </w:p>
              </w:tc>
              <w:tc>
                <w:tcPr>
                  <w:tcW w:w="1707" w:type="pct"/>
                  <w:tcBorders>
                    <w:tl2br w:val="nil"/>
                    <w:tr2bl w:val="nil"/>
                  </w:tcBorders>
                  <w:shd w:val="clear" w:color="auto" w:fill="auto"/>
                  <w:vAlign w:val="center"/>
                </w:tcPr>
                <w:p w14:paraId="3573D37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53E64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41D85BF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6</w:t>
                  </w:r>
                </w:p>
              </w:tc>
              <w:tc>
                <w:tcPr>
                  <w:tcW w:w="1258" w:type="pct"/>
                  <w:tcBorders>
                    <w:tl2br w:val="nil"/>
                    <w:tr2bl w:val="nil"/>
                  </w:tcBorders>
                  <w:shd w:val="clear" w:color="auto" w:fill="auto"/>
                  <w:vAlign w:val="center"/>
                </w:tcPr>
                <w:p w14:paraId="012B298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3DEE8ED2">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360T</w:t>
                  </w:r>
                </w:p>
              </w:tc>
              <w:tc>
                <w:tcPr>
                  <w:tcW w:w="756" w:type="pct"/>
                  <w:tcBorders>
                    <w:tl2br w:val="nil"/>
                    <w:tr2bl w:val="nil"/>
                  </w:tcBorders>
                  <w:vAlign w:val="center"/>
                </w:tcPr>
                <w:p w14:paraId="773CE11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1台</w:t>
                  </w:r>
                </w:p>
              </w:tc>
              <w:tc>
                <w:tcPr>
                  <w:tcW w:w="1707" w:type="pct"/>
                  <w:tcBorders>
                    <w:tl2br w:val="nil"/>
                    <w:tr2bl w:val="nil"/>
                  </w:tcBorders>
                  <w:shd w:val="clear" w:color="auto" w:fill="auto"/>
                  <w:vAlign w:val="center"/>
                </w:tcPr>
                <w:p w14:paraId="3E2CC64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786B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5F79FE64">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7</w:t>
                  </w:r>
                </w:p>
              </w:tc>
              <w:tc>
                <w:tcPr>
                  <w:tcW w:w="1258" w:type="pct"/>
                  <w:tcBorders>
                    <w:tl2br w:val="nil"/>
                    <w:tr2bl w:val="nil"/>
                  </w:tcBorders>
                  <w:vAlign w:val="center"/>
                </w:tcPr>
                <w:p w14:paraId="0A352411">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注塑机</w:t>
                  </w:r>
                </w:p>
              </w:tc>
              <w:tc>
                <w:tcPr>
                  <w:tcW w:w="784" w:type="pct"/>
                  <w:tcBorders>
                    <w:tl2br w:val="nil"/>
                    <w:tr2bl w:val="nil"/>
                  </w:tcBorders>
                  <w:vAlign w:val="center"/>
                </w:tcPr>
                <w:p w14:paraId="501B6EF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500T</w:t>
                  </w:r>
                </w:p>
              </w:tc>
              <w:tc>
                <w:tcPr>
                  <w:tcW w:w="756" w:type="pct"/>
                  <w:tcBorders>
                    <w:tl2br w:val="nil"/>
                    <w:tr2bl w:val="nil"/>
                  </w:tcBorders>
                  <w:vAlign w:val="center"/>
                </w:tcPr>
                <w:p w14:paraId="2F301FA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2台</w:t>
                  </w:r>
                </w:p>
              </w:tc>
              <w:tc>
                <w:tcPr>
                  <w:tcW w:w="1707" w:type="pct"/>
                  <w:tcBorders>
                    <w:tl2br w:val="nil"/>
                    <w:tr2bl w:val="nil"/>
                  </w:tcBorders>
                  <w:shd w:val="clear" w:color="auto" w:fill="auto"/>
                  <w:vAlign w:val="center"/>
                </w:tcPr>
                <w:p w14:paraId="7CDD0B9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59363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tcBorders>
                    <w:tl2br w:val="nil"/>
                    <w:tr2bl w:val="nil"/>
                  </w:tcBorders>
                  <w:vAlign w:val="center"/>
                </w:tcPr>
                <w:p w14:paraId="1ECB0679">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8</w:t>
                  </w:r>
                </w:p>
              </w:tc>
              <w:tc>
                <w:tcPr>
                  <w:tcW w:w="1258" w:type="pct"/>
                  <w:tcBorders>
                    <w:tl2br w:val="nil"/>
                    <w:tr2bl w:val="nil"/>
                  </w:tcBorders>
                  <w:vAlign w:val="center"/>
                </w:tcPr>
                <w:p w14:paraId="20A2B8B7">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破碎机</w:t>
                  </w:r>
                </w:p>
              </w:tc>
              <w:tc>
                <w:tcPr>
                  <w:tcW w:w="784" w:type="pct"/>
                  <w:tcBorders>
                    <w:tl2br w:val="nil"/>
                    <w:tr2bl w:val="nil"/>
                  </w:tcBorders>
                  <w:vAlign w:val="center"/>
                </w:tcPr>
                <w:p w14:paraId="727BCD3C">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w:t>
                  </w:r>
                </w:p>
              </w:tc>
              <w:tc>
                <w:tcPr>
                  <w:tcW w:w="756" w:type="pct"/>
                  <w:tcBorders>
                    <w:tl2br w:val="nil"/>
                    <w:tr2bl w:val="nil"/>
                  </w:tcBorders>
                  <w:vAlign w:val="center"/>
                </w:tcPr>
                <w:p w14:paraId="246B2C5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2台</w:t>
                  </w:r>
                </w:p>
              </w:tc>
              <w:tc>
                <w:tcPr>
                  <w:tcW w:w="1707" w:type="pct"/>
                  <w:tcBorders>
                    <w:tl2br w:val="nil"/>
                    <w:tr2bl w:val="nil"/>
                  </w:tcBorders>
                  <w:shd w:val="clear" w:color="auto" w:fill="auto"/>
                  <w:vAlign w:val="center"/>
                </w:tcPr>
                <w:p w14:paraId="5502076F">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新建</w:t>
                  </w:r>
                </w:p>
              </w:tc>
            </w:tr>
            <w:tr w14:paraId="21AB3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93" w:type="pct"/>
                </w:tcPr>
                <w:p w14:paraId="5B1F76D6">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9</w:t>
                  </w:r>
                </w:p>
              </w:tc>
              <w:tc>
                <w:tcPr>
                  <w:tcW w:w="1258" w:type="pct"/>
                </w:tcPr>
                <w:p w14:paraId="72F512BD">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冷却塔</w:t>
                  </w:r>
                </w:p>
              </w:tc>
              <w:tc>
                <w:tcPr>
                  <w:tcW w:w="784" w:type="pct"/>
                </w:tcPr>
                <w:p w14:paraId="50C1B300">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80m</w:t>
                  </w:r>
                  <w:r>
                    <w:rPr>
                      <w:rFonts w:hint="eastAsia" w:ascii="Times New Roman" w:hAnsi="Times New Roman" w:cs="Times New Roman"/>
                      <w:color w:val="000000" w:themeColor="text1"/>
                      <w:sz w:val="21"/>
                      <w:szCs w:val="21"/>
                      <w:highlight w:val="none"/>
                      <w:u w:val="none"/>
                      <w:vertAlign w:val="superscript"/>
                      <w:lang w:val="en-US" w:eastAsia="zh-CN"/>
                      <w14:textFill>
                        <w14:solidFill>
                          <w14:schemeClr w14:val="tx1"/>
                        </w14:solidFill>
                      </w14:textFill>
                    </w:rPr>
                    <w:t>3</w:t>
                  </w:r>
                </w:p>
              </w:tc>
              <w:tc>
                <w:tcPr>
                  <w:tcW w:w="756" w:type="pct"/>
                </w:tcPr>
                <w:p w14:paraId="2641C97E">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u w:val="none"/>
                      <w:vertAlign w:val="baseline"/>
                      <w:lang w:val="en-US" w:eastAsia="zh-CN"/>
                      <w14:textFill>
                        <w14:solidFill>
                          <w14:schemeClr w14:val="tx1"/>
                        </w14:solidFill>
                      </w14:textFill>
                    </w:rPr>
                    <w:t>1台</w:t>
                  </w:r>
                </w:p>
              </w:tc>
              <w:tc>
                <w:tcPr>
                  <w:tcW w:w="1707" w:type="pct"/>
                  <w:shd w:val="clear" w:color="auto" w:fill="auto"/>
                  <w:vAlign w:val="center"/>
                </w:tcPr>
                <w:p w14:paraId="5AF9C023">
                  <w:pPr>
                    <w:pStyle w:val="20"/>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新建</w:t>
                  </w:r>
                </w:p>
              </w:tc>
            </w:tr>
          </w:tbl>
          <w:p w14:paraId="105EA2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7" w:name="_Toc26666"/>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项目主要原辅材料</w:t>
            </w:r>
            <w:bookmarkEnd w:id="27"/>
          </w:p>
          <w:p w14:paraId="26AE4486">
            <w:pPr>
              <w:pStyle w:val="2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的主要原辅材料及用量情况详见表2.2-4。</w:t>
            </w:r>
          </w:p>
          <w:p w14:paraId="1CB80B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表2.2-4 主要原辅材料及用量一览表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945"/>
              <w:gridCol w:w="1138"/>
              <w:gridCol w:w="1521"/>
              <w:gridCol w:w="859"/>
              <w:gridCol w:w="655"/>
              <w:gridCol w:w="668"/>
              <w:gridCol w:w="1296"/>
            </w:tblGrid>
            <w:tr w14:paraId="2D080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288" w:type="pct"/>
                  <w:tcBorders>
                    <w:tl2br w:val="nil"/>
                    <w:tr2bl w:val="nil"/>
                  </w:tcBorders>
                  <w:noWrap w:val="0"/>
                  <w:vAlign w:val="center"/>
                </w:tcPr>
                <w:p w14:paraId="42D09C47">
                  <w:pPr>
                    <w:pStyle w:val="14"/>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1133" w:type="pct"/>
                  <w:tcBorders>
                    <w:tl2br w:val="nil"/>
                    <w:tr2bl w:val="nil"/>
                  </w:tcBorders>
                  <w:noWrap w:val="0"/>
                  <w:vAlign w:val="center"/>
                </w:tcPr>
                <w:p w14:paraId="69046BB5">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原辅材料名称</w:t>
                  </w:r>
                </w:p>
              </w:tc>
              <w:tc>
                <w:tcPr>
                  <w:tcW w:w="663" w:type="pct"/>
                  <w:tcBorders>
                    <w:tl2br w:val="nil"/>
                    <w:tr2bl w:val="nil"/>
                  </w:tcBorders>
                  <w:noWrap w:val="0"/>
                  <w:vAlign w:val="center"/>
                </w:tcPr>
                <w:p w14:paraId="77814026">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用量</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t/a</w:t>
                  </w:r>
                </w:p>
              </w:tc>
              <w:tc>
                <w:tcPr>
                  <w:tcW w:w="886" w:type="pct"/>
                  <w:tcBorders>
                    <w:tl2br w:val="nil"/>
                    <w:tr2bl w:val="nil"/>
                  </w:tcBorders>
                  <w:noWrap w:val="0"/>
                  <w:vAlign w:val="center"/>
                </w:tcPr>
                <w:p w14:paraId="11869307">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成分占比</w:t>
                  </w:r>
                </w:p>
              </w:tc>
              <w:tc>
                <w:tcPr>
                  <w:tcW w:w="500" w:type="pct"/>
                  <w:tcBorders>
                    <w:tl2br w:val="nil"/>
                    <w:tr2bl w:val="nil"/>
                  </w:tcBorders>
                  <w:noWrap w:val="0"/>
                  <w:vAlign w:val="center"/>
                </w:tcPr>
                <w:p w14:paraId="2576C6D5">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最大储存量t</w:t>
                  </w:r>
                </w:p>
              </w:tc>
              <w:tc>
                <w:tcPr>
                  <w:tcW w:w="381" w:type="pct"/>
                  <w:tcBorders>
                    <w:tl2br w:val="nil"/>
                    <w:tr2bl w:val="nil"/>
                  </w:tcBorders>
                  <w:noWrap w:val="0"/>
                  <w:vAlign w:val="center"/>
                </w:tcPr>
                <w:p w14:paraId="6288B9B2">
                  <w:pPr>
                    <w:pStyle w:val="14"/>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物理形态</w:t>
                  </w:r>
                </w:p>
              </w:tc>
              <w:tc>
                <w:tcPr>
                  <w:tcW w:w="389" w:type="pct"/>
                  <w:tcBorders>
                    <w:tl2br w:val="nil"/>
                    <w:tr2bl w:val="nil"/>
                  </w:tcBorders>
                  <w:noWrap w:val="0"/>
                  <w:vAlign w:val="center"/>
                </w:tcPr>
                <w:p w14:paraId="211E2DF9">
                  <w:pPr>
                    <w:pStyle w:val="14"/>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包装形式</w:t>
                  </w:r>
                </w:p>
              </w:tc>
              <w:tc>
                <w:tcPr>
                  <w:tcW w:w="755" w:type="pct"/>
                  <w:tcBorders>
                    <w:tl2br w:val="nil"/>
                    <w:tr2bl w:val="nil"/>
                  </w:tcBorders>
                  <w:noWrap w:val="0"/>
                  <w:vAlign w:val="center"/>
                </w:tcPr>
                <w:p w14:paraId="294AA636">
                  <w:pPr>
                    <w:pStyle w:val="14"/>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储存位置</w:t>
                  </w:r>
                </w:p>
              </w:tc>
            </w:tr>
            <w:tr w14:paraId="050A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20B25515">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133" w:type="pct"/>
                  <w:tcBorders>
                    <w:tl2br w:val="nil"/>
                    <w:tr2bl w:val="nil"/>
                  </w:tcBorders>
                  <w:noWrap w:val="0"/>
                  <w:vAlign w:val="center"/>
                </w:tcPr>
                <w:p w14:paraId="321E3126">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sz w:val="21"/>
                    </w:rPr>
                    <mc:AlternateContent>
                      <mc:Choice Requires="wps">
                        <w:drawing>
                          <wp:anchor distT="0" distB="0" distL="114300" distR="114300" simplePos="0" relativeHeight="251699200" behindDoc="0" locked="0" layoutInCell="1" allowOverlap="1">
                            <wp:simplePos x="0" y="0"/>
                            <wp:positionH relativeFrom="column">
                              <wp:posOffset>-29845</wp:posOffset>
                            </wp:positionH>
                            <wp:positionV relativeFrom="paragraph">
                              <wp:posOffset>5715</wp:posOffset>
                            </wp:positionV>
                            <wp:extent cx="5059680" cy="3397885"/>
                            <wp:effectExtent l="0" t="0" r="7620" b="12065"/>
                            <wp:wrapNone/>
                            <wp:docPr id="211" name="文本框 211"/>
                            <wp:cNvGraphicFramePr/>
                            <a:graphic xmlns:a="http://schemas.openxmlformats.org/drawingml/2006/main">
                              <a:graphicData uri="http://schemas.microsoft.com/office/word/2010/wordprocessingShape">
                                <wps:wsp>
                                  <wps:cNvSpPr txBox="1"/>
                                  <wps:spPr>
                                    <a:xfrm>
                                      <a:off x="0" y="0"/>
                                      <a:ext cx="5059680" cy="3397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E6B8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45pt;height:267.55pt;width:398.4pt;z-index:251699200;mso-width-relative:page;mso-height-relative:page;" fillcolor="#FFFFFF [3201]" filled="t" stroked="f" coordsize="21600,21600" o:gfxdata="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5PcwE0wAAAAcBAAAPAAAA&#10;AAAAAAEAIAAAACIAAABkcnMvZG93bnJldi54bWxQSwECFAAUAAAACACHTuJA4MoIy1MCAACUBAAA&#10;DgAAAAAAAAABACAAAAAiAQAAZHJzL2Uyb0RvYy54bWxQSwUGAAAAAAYABgBZAQAA5wUAAAAA&#10;">
                            <v:fill on="t" focussize="0,0"/>
                            <v:stroke on="f" weight="0.5pt"/>
                            <v:imagedata o:title=""/>
                            <o:lock v:ext="edit" aspectratio="f"/>
                            <v:textbox>
                              <w:txbxContent>
                                <w:p w14:paraId="3DE6B84F"/>
                              </w:txbxContent>
                            </v:textbox>
                          </v:shape>
                        </w:pict>
                      </mc:Fallback>
                    </mc:AlternateConten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颗粒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（PC/ABS）</w:t>
                  </w:r>
                </w:p>
              </w:tc>
              <w:tc>
                <w:tcPr>
                  <w:tcW w:w="663" w:type="pct"/>
                  <w:tcBorders>
                    <w:tl2br w:val="nil"/>
                    <w:tr2bl w:val="nil"/>
                  </w:tcBorders>
                  <w:noWrap w:val="0"/>
                  <w:vAlign w:val="center"/>
                </w:tcPr>
                <w:p w14:paraId="557413B4">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110</w:t>
                  </w:r>
                </w:p>
              </w:tc>
              <w:tc>
                <w:tcPr>
                  <w:tcW w:w="886" w:type="pct"/>
                  <w:tcBorders>
                    <w:tl2br w:val="nil"/>
                    <w:tr2bl w:val="nil"/>
                  </w:tcBorders>
                  <w:noWrap w:val="0"/>
                  <w:vAlign w:val="center"/>
                </w:tcPr>
                <w:p w14:paraId="76F31048">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PC:70%; ABS:30%</w:t>
                  </w:r>
                </w:p>
              </w:tc>
              <w:tc>
                <w:tcPr>
                  <w:tcW w:w="500" w:type="pct"/>
                  <w:tcBorders>
                    <w:tl2br w:val="nil"/>
                    <w:tr2bl w:val="nil"/>
                  </w:tcBorders>
                  <w:noWrap w:val="0"/>
                  <w:vAlign w:val="center"/>
                </w:tcPr>
                <w:p w14:paraId="770A48AE">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81" w:type="pct"/>
                  <w:tcBorders>
                    <w:tl2br w:val="nil"/>
                    <w:tr2bl w:val="nil"/>
                  </w:tcBorders>
                  <w:noWrap w:val="0"/>
                  <w:vAlign w:val="center"/>
                </w:tcPr>
                <w:p w14:paraId="02C01D86">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523CDE2F">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袋装</w:t>
                  </w:r>
                </w:p>
              </w:tc>
              <w:tc>
                <w:tcPr>
                  <w:tcW w:w="755" w:type="pct"/>
                  <w:tcBorders>
                    <w:tl2br w:val="nil"/>
                    <w:tr2bl w:val="nil"/>
                  </w:tcBorders>
                  <w:noWrap w:val="0"/>
                  <w:vAlign w:val="center"/>
                </w:tcPr>
                <w:p w14:paraId="1974CF16">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36E1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7CDBC695">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1133" w:type="pct"/>
                  <w:tcBorders>
                    <w:tl2br w:val="nil"/>
                    <w:tr2bl w:val="nil"/>
                  </w:tcBorders>
                  <w:noWrap w:val="0"/>
                  <w:vAlign w:val="center"/>
                </w:tcPr>
                <w:p w14:paraId="41590D35">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颗粒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（PP）</w:t>
                  </w:r>
                </w:p>
              </w:tc>
              <w:tc>
                <w:tcPr>
                  <w:tcW w:w="663" w:type="pct"/>
                  <w:tcBorders>
                    <w:tl2br w:val="nil"/>
                    <w:tr2bl w:val="nil"/>
                  </w:tcBorders>
                  <w:noWrap w:val="0"/>
                  <w:vAlign w:val="center"/>
                </w:tcPr>
                <w:p w14:paraId="0AD3AC6F">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50</w:t>
                  </w:r>
                </w:p>
              </w:tc>
              <w:tc>
                <w:tcPr>
                  <w:tcW w:w="886" w:type="pct"/>
                  <w:tcBorders>
                    <w:tl2br w:val="nil"/>
                    <w:tr2bl w:val="nil"/>
                  </w:tcBorders>
                  <w:noWrap w:val="0"/>
                  <w:vAlign w:val="center"/>
                </w:tcPr>
                <w:p w14:paraId="46D41568">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PP:100%</w:t>
                  </w:r>
                </w:p>
              </w:tc>
              <w:tc>
                <w:tcPr>
                  <w:tcW w:w="500" w:type="pct"/>
                  <w:tcBorders>
                    <w:tl2br w:val="nil"/>
                    <w:tr2bl w:val="nil"/>
                  </w:tcBorders>
                  <w:noWrap w:val="0"/>
                  <w:vAlign w:val="center"/>
                </w:tcPr>
                <w:p w14:paraId="517A8140">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81" w:type="pct"/>
                  <w:tcBorders>
                    <w:tl2br w:val="nil"/>
                    <w:tr2bl w:val="nil"/>
                  </w:tcBorders>
                  <w:noWrap w:val="0"/>
                  <w:vAlign w:val="center"/>
                </w:tcPr>
                <w:p w14:paraId="05172FA2">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10A60BD8">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袋装</w:t>
                  </w:r>
                </w:p>
              </w:tc>
              <w:tc>
                <w:tcPr>
                  <w:tcW w:w="755" w:type="pct"/>
                  <w:tcBorders>
                    <w:tl2br w:val="nil"/>
                    <w:tr2bl w:val="nil"/>
                  </w:tcBorders>
                  <w:noWrap w:val="0"/>
                  <w:vAlign w:val="center"/>
                </w:tcPr>
                <w:p w14:paraId="57B8C767">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66A3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68EDF96A">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1133" w:type="pct"/>
                  <w:tcBorders>
                    <w:tl2br w:val="nil"/>
                    <w:tr2bl w:val="nil"/>
                  </w:tcBorders>
                  <w:noWrap w:val="0"/>
                  <w:vAlign w:val="center"/>
                </w:tcPr>
                <w:p w14:paraId="72B177D9">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颗粒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（ABS）</w:t>
                  </w:r>
                </w:p>
              </w:tc>
              <w:tc>
                <w:tcPr>
                  <w:tcW w:w="663" w:type="pct"/>
                  <w:tcBorders>
                    <w:tl2br w:val="nil"/>
                    <w:tr2bl w:val="nil"/>
                  </w:tcBorders>
                  <w:noWrap w:val="0"/>
                  <w:vAlign w:val="center"/>
                </w:tcPr>
                <w:p w14:paraId="56924E3D">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70</w:t>
                  </w:r>
                </w:p>
              </w:tc>
              <w:tc>
                <w:tcPr>
                  <w:tcW w:w="886" w:type="pct"/>
                  <w:tcBorders>
                    <w:tl2br w:val="nil"/>
                    <w:tr2bl w:val="nil"/>
                  </w:tcBorders>
                  <w:noWrap w:val="0"/>
                  <w:vAlign w:val="center"/>
                </w:tcPr>
                <w:p w14:paraId="10E5E2A3">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A:20%; B:30%; S:50%</w:t>
                  </w:r>
                </w:p>
              </w:tc>
              <w:tc>
                <w:tcPr>
                  <w:tcW w:w="500" w:type="pct"/>
                  <w:tcBorders>
                    <w:tl2br w:val="nil"/>
                    <w:tr2bl w:val="nil"/>
                  </w:tcBorders>
                  <w:noWrap w:val="0"/>
                  <w:vAlign w:val="center"/>
                </w:tcPr>
                <w:p w14:paraId="512B8FA1">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81" w:type="pct"/>
                  <w:tcBorders>
                    <w:tl2br w:val="nil"/>
                    <w:tr2bl w:val="nil"/>
                  </w:tcBorders>
                  <w:noWrap w:val="0"/>
                  <w:vAlign w:val="center"/>
                </w:tcPr>
                <w:p w14:paraId="4B29A28C">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52006171">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袋装</w:t>
                  </w:r>
                </w:p>
              </w:tc>
              <w:tc>
                <w:tcPr>
                  <w:tcW w:w="755" w:type="pct"/>
                  <w:tcBorders>
                    <w:tl2br w:val="nil"/>
                    <w:tr2bl w:val="nil"/>
                  </w:tcBorders>
                  <w:noWrap w:val="0"/>
                  <w:vAlign w:val="center"/>
                </w:tcPr>
                <w:p w14:paraId="1F60BEB9">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2553F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014BB6BC">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1133" w:type="pct"/>
                  <w:tcBorders>
                    <w:tl2br w:val="nil"/>
                    <w:tr2bl w:val="nil"/>
                  </w:tcBorders>
                  <w:noWrap w:val="0"/>
                  <w:vAlign w:val="center"/>
                </w:tcPr>
                <w:p w14:paraId="5080A3EC">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颗粒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（PP+EPDM-T20）</w:t>
                  </w:r>
                </w:p>
              </w:tc>
              <w:tc>
                <w:tcPr>
                  <w:tcW w:w="663" w:type="pct"/>
                  <w:tcBorders>
                    <w:tl2br w:val="nil"/>
                    <w:tr2bl w:val="nil"/>
                  </w:tcBorders>
                  <w:noWrap w:val="0"/>
                  <w:vAlign w:val="center"/>
                </w:tcPr>
                <w:p w14:paraId="2695BB34">
                  <w:pPr>
                    <w:pStyle w:val="14"/>
                    <w:spacing w:line="240" w:lineRule="auto"/>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90</w:t>
                  </w:r>
                </w:p>
              </w:tc>
              <w:tc>
                <w:tcPr>
                  <w:tcW w:w="886" w:type="pct"/>
                  <w:tcBorders>
                    <w:tl2br w:val="nil"/>
                    <w:tr2bl w:val="nil"/>
                  </w:tcBorders>
                  <w:noWrap w:val="0"/>
                  <w:vAlign w:val="center"/>
                </w:tcPr>
                <w:p w14:paraId="4445ED2E">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PP:60%; EPDM:20%; T20:20%</w:t>
                  </w:r>
                </w:p>
              </w:tc>
              <w:tc>
                <w:tcPr>
                  <w:tcW w:w="500" w:type="pct"/>
                  <w:tcBorders>
                    <w:tl2br w:val="nil"/>
                    <w:tr2bl w:val="nil"/>
                  </w:tcBorders>
                  <w:noWrap w:val="0"/>
                  <w:vAlign w:val="center"/>
                </w:tcPr>
                <w:p w14:paraId="48DE0DE0">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81" w:type="pct"/>
                  <w:tcBorders>
                    <w:tl2br w:val="nil"/>
                    <w:tr2bl w:val="nil"/>
                  </w:tcBorders>
                  <w:noWrap w:val="0"/>
                  <w:vAlign w:val="center"/>
                </w:tcPr>
                <w:p w14:paraId="10C64B5F">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3F150C84">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袋装</w:t>
                  </w:r>
                </w:p>
              </w:tc>
              <w:tc>
                <w:tcPr>
                  <w:tcW w:w="755" w:type="pct"/>
                  <w:tcBorders>
                    <w:tl2br w:val="nil"/>
                    <w:tr2bl w:val="nil"/>
                  </w:tcBorders>
                  <w:noWrap w:val="0"/>
                  <w:vAlign w:val="center"/>
                </w:tcPr>
                <w:p w14:paraId="48333F70">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495F9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0138BB2B">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1133" w:type="pct"/>
                  <w:tcBorders>
                    <w:tl2br w:val="nil"/>
                    <w:tr2bl w:val="nil"/>
                  </w:tcBorders>
                  <w:noWrap w:val="0"/>
                  <w:vAlign w:val="center"/>
                </w:tcPr>
                <w:p w14:paraId="1BDF8324">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颗粒</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（PA6-GF30）</w:t>
                  </w:r>
                </w:p>
              </w:tc>
              <w:tc>
                <w:tcPr>
                  <w:tcW w:w="663" w:type="pct"/>
                  <w:tcBorders>
                    <w:tl2br w:val="nil"/>
                    <w:tr2bl w:val="nil"/>
                  </w:tcBorders>
                  <w:noWrap w:val="0"/>
                  <w:vAlign w:val="center"/>
                </w:tcPr>
                <w:p w14:paraId="5EE053ED">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78</w:t>
                  </w:r>
                </w:p>
              </w:tc>
              <w:tc>
                <w:tcPr>
                  <w:tcW w:w="886" w:type="pct"/>
                  <w:tcBorders>
                    <w:tl2br w:val="nil"/>
                    <w:tr2bl w:val="nil"/>
                  </w:tcBorders>
                  <w:noWrap w:val="0"/>
                  <w:vAlign w:val="center"/>
                </w:tcPr>
                <w:p w14:paraId="2F1D374D">
                  <w:pPr>
                    <w:pStyle w:val="14"/>
                    <w:spacing w:line="240" w:lineRule="auto"/>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PA6:70%; GF30:30%</w:t>
                  </w:r>
                </w:p>
              </w:tc>
              <w:tc>
                <w:tcPr>
                  <w:tcW w:w="500" w:type="pct"/>
                  <w:tcBorders>
                    <w:tl2br w:val="nil"/>
                    <w:tr2bl w:val="nil"/>
                  </w:tcBorders>
                  <w:noWrap w:val="0"/>
                  <w:vAlign w:val="center"/>
                </w:tcPr>
                <w:p w14:paraId="37A829C5">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81" w:type="pct"/>
                  <w:tcBorders>
                    <w:tl2br w:val="nil"/>
                    <w:tr2bl w:val="nil"/>
                  </w:tcBorders>
                  <w:noWrap w:val="0"/>
                  <w:vAlign w:val="center"/>
                </w:tcPr>
                <w:p w14:paraId="51C37DF9">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621438A3">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袋装</w:t>
                  </w:r>
                </w:p>
              </w:tc>
              <w:tc>
                <w:tcPr>
                  <w:tcW w:w="755" w:type="pct"/>
                  <w:tcBorders>
                    <w:tl2br w:val="nil"/>
                    <w:tr2bl w:val="nil"/>
                  </w:tcBorders>
                  <w:noWrap w:val="0"/>
                  <w:vAlign w:val="center"/>
                </w:tcPr>
                <w:p w14:paraId="40FD929C">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2920F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450224BC">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6</w:t>
                  </w:r>
                </w:p>
              </w:tc>
              <w:tc>
                <w:tcPr>
                  <w:tcW w:w="1133" w:type="pct"/>
                  <w:tcBorders>
                    <w:tl2br w:val="nil"/>
                    <w:tr2bl w:val="nil"/>
                  </w:tcBorders>
                  <w:noWrap w:val="0"/>
                  <w:vAlign w:val="center"/>
                </w:tcPr>
                <w:p w14:paraId="03B9CAEB">
                  <w:pPr>
                    <w:pStyle w:val="14"/>
                    <w:spacing w:before="12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干性脱模剂</w:t>
                  </w:r>
                </w:p>
              </w:tc>
              <w:tc>
                <w:tcPr>
                  <w:tcW w:w="663" w:type="pct"/>
                  <w:tcBorders>
                    <w:tl2br w:val="nil"/>
                    <w:tr2bl w:val="nil"/>
                  </w:tcBorders>
                  <w:noWrap w:val="0"/>
                  <w:vAlign w:val="center"/>
                </w:tcPr>
                <w:p w14:paraId="34DFC308">
                  <w:pPr>
                    <w:pStyle w:val="14"/>
                    <w:spacing w:line="240" w:lineRule="auto"/>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886" w:type="pct"/>
                  <w:tcBorders>
                    <w:tl2br w:val="nil"/>
                    <w:tr2bl w:val="nil"/>
                  </w:tcBorders>
                  <w:noWrap w:val="0"/>
                  <w:vAlign w:val="center"/>
                </w:tcPr>
                <w:p w14:paraId="51066629">
                  <w:pPr>
                    <w:pStyle w:val="14"/>
                    <w:spacing w:line="240" w:lineRule="auto"/>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500" w:type="pct"/>
                  <w:tcBorders>
                    <w:tl2br w:val="nil"/>
                    <w:tr2bl w:val="nil"/>
                  </w:tcBorders>
                  <w:noWrap w:val="0"/>
                  <w:vAlign w:val="center"/>
                </w:tcPr>
                <w:p w14:paraId="7543B634">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0.5</w:t>
                  </w:r>
                </w:p>
              </w:tc>
              <w:tc>
                <w:tcPr>
                  <w:tcW w:w="381" w:type="pct"/>
                  <w:tcBorders>
                    <w:tl2br w:val="nil"/>
                    <w:tr2bl w:val="nil"/>
                  </w:tcBorders>
                  <w:noWrap w:val="0"/>
                  <w:vAlign w:val="center"/>
                </w:tcPr>
                <w:p w14:paraId="5A93DB04">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固体</w:t>
                  </w:r>
                </w:p>
              </w:tc>
              <w:tc>
                <w:tcPr>
                  <w:tcW w:w="389" w:type="pct"/>
                  <w:tcBorders>
                    <w:tl2br w:val="nil"/>
                    <w:tr2bl w:val="nil"/>
                  </w:tcBorders>
                  <w:noWrap w:val="0"/>
                  <w:vAlign w:val="center"/>
                </w:tcPr>
                <w:p w14:paraId="65D9C3FB">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noWrap w:val="0"/>
                  <w:vAlign w:val="center"/>
                </w:tcPr>
                <w:p w14:paraId="75C4EA7F">
                  <w:pPr>
                    <w:pStyle w:val="14"/>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化学品仓库</w:t>
                  </w:r>
                </w:p>
              </w:tc>
            </w:tr>
            <w:tr w14:paraId="047A0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51F42075">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10</w:t>
                  </w:r>
                </w:p>
              </w:tc>
              <w:tc>
                <w:tcPr>
                  <w:tcW w:w="1133" w:type="pct"/>
                  <w:tcBorders>
                    <w:tl2br w:val="nil"/>
                    <w:tr2bl w:val="nil"/>
                  </w:tcBorders>
                  <w:noWrap w:val="0"/>
                  <w:vAlign w:val="center"/>
                </w:tcPr>
                <w:p w14:paraId="444ED047">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机油</w:t>
                  </w:r>
                </w:p>
              </w:tc>
              <w:tc>
                <w:tcPr>
                  <w:tcW w:w="663" w:type="pct"/>
                  <w:tcBorders>
                    <w:tl2br w:val="nil"/>
                    <w:tr2bl w:val="nil"/>
                  </w:tcBorders>
                  <w:noWrap w:val="0"/>
                  <w:vAlign w:val="center"/>
                </w:tcPr>
                <w:p w14:paraId="7519719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0.25</w:t>
                  </w:r>
                </w:p>
              </w:tc>
              <w:tc>
                <w:tcPr>
                  <w:tcW w:w="886" w:type="pct"/>
                  <w:tcBorders>
                    <w:tl2br w:val="nil"/>
                    <w:tr2bl w:val="nil"/>
                  </w:tcBorders>
                  <w:noWrap w:val="0"/>
                  <w:vAlign w:val="center"/>
                </w:tcPr>
                <w:p w14:paraId="0FFBBEB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500" w:type="pct"/>
                  <w:tcBorders>
                    <w:tl2br w:val="nil"/>
                    <w:tr2bl w:val="nil"/>
                  </w:tcBorders>
                  <w:noWrap w:val="0"/>
                  <w:vAlign w:val="center"/>
                </w:tcPr>
                <w:p w14:paraId="1D77ADD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0.25</w:t>
                  </w:r>
                </w:p>
              </w:tc>
              <w:tc>
                <w:tcPr>
                  <w:tcW w:w="381" w:type="pct"/>
                  <w:tcBorders>
                    <w:tl2br w:val="nil"/>
                    <w:tr2bl w:val="nil"/>
                  </w:tcBorders>
                  <w:noWrap w:val="0"/>
                  <w:vAlign w:val="center"/>
                </w:tcPr>
                <w:p w14:paraId="404FB78D">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液体</w:t>
                  </w:r>
                </w:p>
              </w:tc>
              <w:tc>
                <w:tcPr>
                  <w:tcW w:w="389" w:type="pct"/>
                  <w:tcBorders>
                    <w:tl2br w:val="nil"/>
                    <w:tr2bl w:val="nil"/>
                  </w:tcBorders>
                  <w:noWrap w:val="0"/>
                  <w:vAlign w:val="center"/>
                </w:tcPr>
                <w:p w14:paraId="29C6FEF5">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noWrap w:val="0"/>
                  <w:vAlign w:val="center"/>
                </w:tcPr>
                <w:p w14:paraId="4BECA4E9">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化学品仓库</w:t>
                  </w:r>
                </w:p>
              </w:tc>
            </w:tr>
            <w:tr w14:paraId="10E1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88" w:type="pct"/>
                  <w:tcBorders>
                    <w:tl2br w:val="nil"/>
                    <w:tr2bl w:val="nil"/>
                  </w:tcBorders>
                  <w:noWrap w:val="0"/>
                  <w:vAlign w:val="center"/>
                </w:tcPr>
                <w:p w14:paraId="206379E6">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w:t>
                  </w:r>
                </w:p>
              </w:tc>
              <w:tc>
                <w:tcPr>
                  <w:tcW w:w="1133" w:type="pct"/>
                  <w:tcBorders>
                    <w:tl2br w:val="nil"/>
                    <w:tr2bl w:val="nil"/>
                  </w:tcBorders>
                  <w:noWrap w:val="0"/>
                  <w:vAlign w:val="center"/>
                </w:tcPr>
                <w:p w14:paraId="47D459A0">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生产用电</w:t>
                  </w:r>
                </w:p>
              </w:tc>
              <w:tc>
                <w:tcPr>
                  <w:tcW w:w="1550" w:type="pct"/>
                  <w:gridSpan w:val="2"/>
                  <w:tcBorders>
                    <w:tl2br w:val="nil"/>
                    <w:tr2bl w:val="nil"/>
                  </w:tcBorders>
                  <w:noWrap w:val="0"/>
                  <w:vAlign w:val="center"/>
                </w:tcPr>
                <w:p w14:paraId="39820AE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40万kwh/a</w:t>
                  </w:r>
                </w:p>
              </w:tc>
              <w:tc>
                <w:tcPr>
                  <w:tcW w:w="2027" w:type="pct"/>
                  <w:gridSpan w:val="4"/>
                  <w:tcBorders>
                    <w:tl2br w:val="nil"/>
                    <w:tr2bl w:val="nil"/>
                  </w:tcBorders>
                  <w:noWrap w:val="0"/>
                  <w:vAlign w:val="center"/>
                </w:tcPr>
                <w:p w14:paraId="09220181">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878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88" w:type="pct"/>
                  <w:tcBorders>
                    <w:tl2br w:val="nil"/>
                    <w:tr2bl w:val="nil"/>
                  </w:tcBorders>
                  <w:noWrap w:val="0"/>
                  <w:vAlign w:val="center"/>
                </w:tcPr>
                <w:p w14:paraId="2AD18181">
                  <w:pPr>
                    <w:pStyle w:val="14"/>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1133" w:type="pct"/>
                  <w:tcBorders>
                    <w:tl2br w:val="nil"/>
                    <w:tr2bl w:val="nil"/>
                  </w:tcBorders>
                  <w:noWrap w:val="0"/>
                  <w:vAlign w:val="center"/>
                </w:tcPr>
                <w:p w14:paraId="396DE297">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生产用水</w:t>
                  </w:r>
                </w:p>
              </w:tc>
              <w:tc>
                <w:tcPr>
                  <w:tcW w:w="1550" w:type="pct"/>
                  <w:gridSpan w:val="2"/>
                  <w:tcBorders>
                    <w:tl2br w:val="nil"/>
                    <w:tr2bl w:val="nil"/>
                  </w:tcBorders>
                  <w:noWrap w:val="0"/>
                  <w:vAlign w:val="center"/>
                </w:tcPr>
                <w:p w14:paraId="6BE57EC5">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1000t/a</w:t>
                  </w:r>
                </w:p>
              </w:tc>
              <w:tc>
                <w:tcPr>
                  <w:tcW w:w="2027" w:type="pct"/>
                  <w:gridSpan w:val="4"/>
                  <w:tcBorders>
                    <w:tl2br w:val="nil"/>
                    <w:tr2bl w:val="nil"/>
                  </w:tcBorders>
                  <w:noWrap w:val="0"/>
                  <w:vAlign w:val="center"/>
                </w:tcPr>
                <w:p w14:paraId="29255868">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bl>
          <w:p w14:paraId="3833A7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原辅材料</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理化性质表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75"/>
              <w:gridCol w:w="6714"/>
            </w:tblGrid>
            <w:tr w14:paraId="17AEE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43" w:type="pct"/>
                  <w:tcBorders>
                    <w:tl2br w:val="nil"/>
                    <w:tr2bl w:val="nil"/>
                  </w:tcBorders>
                  <w:vAlign w:val="center"/>
                </w:tcPr>
                <w:p w14:paraId="62C2D0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743" w:type="pct"/>
                  <w:tcBorders>
                    <w:tl2br w:val="nil"/>
                    <w:tr2bl w:val="nil"/>
                  </w:tcBorders>
                  <w:vAlign w:val="center"/>
                </w:tcPr>
                <w:p w14:paraId="3175B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00224" behindDoc="0" locked="0" layoutInCell="1" allowOverlap="1">
                            <wp:simplePos x="0" y="0"/>
                            <wp:positionH relativeFrom="column">
                              <wp:posOffset>15875</wp:posOffset>
                            </wp:positionH>
                            <wp:positionV relativeFrom="paragraph">
                              <wp:posOffset>400685</wp:posOffset>
                            </wp:positionV>
                            <wp:extent cx="5038090" cy="1481455"/>
                            <wp:effectExtent l="0" t="0" r="10160" b="4445"/>
                            <wp:wrapNone/>
                            <wp:docPr id="212" name="文本框 212"/>
                            <wp:cNvGraphicFramePr/>
                            <a:graphic xmlns:a="http://schemas.openxmlformats.org/drawingml/2006/main">
                              <a:graphicData uri="http://schemas.microsoft.com/office/word/2010/wordprocessingShape">
                                <wps:wsp>
                                  <wps:cNvSpPr txBox="1"/>
                                  <wps:spPr>
                                    <a:xfrm>
                                      <a:off x="0" y="0"/>
                                      <a:ext cx="5038090" cy="1481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462F7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31.55pt;height:116.65pt;width:396.7pt;z-index:251700224;mso-width-relative:page;mso-height-relative:page;" fillcolor="#FFFFFF [3201]" filled="t" stroked="f" coordsize="21600,21600" o:gfxdata="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A+fO7VAAAACAEAAA8A&#10;AAAAAAAAAQAgAAAAIgAAAGRycy9kb3ducmV2LnhtbFBLAQIUABQAAAAIAIdO4kBeZlApUwIAAJQE&#10;AAAOAAAAAAAAAAEAIAAAACQBAABkcnMvZTJvRG9jLnhtbFBLBQYAAAAABgAGAFkBAADpBQAAAAA=&#10;">
                            <v:fill on="t" focussize="0,0"/>
                            <v:stroke on="f" weight="0.5pt"/>
                            <v:imagedata o:title=""/>
                            <o:lock v:ext="edit" aspectratio="f"/>
                            <v:textbox>
                              <w:txbxContent>
                                <w:p w14:paraId="40462F7A"/>
                              </w:txbxContent>
                            </v:textbox>
                          </v:shape>
                        </w:pict>
                      </mc:Fallback>
                    </mc:AlternateConten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原辅材料名称</w:t>
                  </w:r>
                </w:p>
              </w:tc>
              <w:tc>
                <w:tcPr>
                  <w:tcW w:w="3912" w:type="pct"/>
                  <w:tcBorders>
                    <w:tl2br w:val="nil"/>
                    <w:tr2bl w:val="nil"/>
                  </w:tcBorders>
                  <w:vAlign w:val="center"/>
                </w:tcPr>
                <w:p w14:paraId="2D80BD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理化性质</w:t>
                  </w:r>
                </w:p>
              </w:tc>
            </w:tr>
            <w:tr w14:paraId="64151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343" w:type="pct"/>
                  <w:tcBorders>
                    <w:tl2br w:val="nil"/>
                    <w:tr2bl w:val="nil"/>
                  </w:tcBorders>
                  <w:shd w:val="clear" w:color="auto" w:fill="auto"/>
                  <w:vAlign w:val="center"/>
                </w:tcPr>
                <w:p w14:paraId="674F76D3">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743" w:type="pct"/>
                  <w:tcBorders>
                    <w:tl2br w:val="nil"/>
                    <w:tr2bl w:val="nil"/>
                  </w:tcBorders>
                  <w:shd w:val="clear" w:color="auto" w:fill="auto"/>
                  <w:vAlign w:val="center"/>
                </w:tcPr>
                <w:p w14:paraId="2061DF01">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塑料颗粒（PC/ABS）</w:t>
                  </w:r>
                </w:p>
              </w:tc>
              <w:tc>
                <w:tcPr>
                  <w:tcW w:w="3912" w:type="pct"/>
                  <w:tcBorders>
                    <w:tl2br w:val="nil"/>
                    <w:tr2bl w:val="nil"/>
                  </w:tcBorders>
                  <w:vAlign w:val="center"/>
                </w:tcPr>
                <w:p w14:paraId="71EBE7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PC/ABS是一种热塑性塑料合金，它通过</w:t>
                  </w:r>
                  <w:r>
                    <w:rPr>
                      <w:rFonts w:hint="eastAsia" w:cs="Times New Roman"/>
                      <w:color w:val="000000" w:themeColor="text1"/>
                      <w:sz w:val="21"/>
                      <w:szCs w:val="21"/>
                      <w:highlight w:val="none"/>
                      <w:vertAlign w:val="baseline"/>
                      <w:lang w:val="en-US" w:eastAsia="zh-CN"/>
                      <w14:textFill>
                        <w14:solidFill>
                          <w14:schemeClr w14:val="tx1"/>
                        </w14:solidFill>
                      </w14:textFill>
                    </w:rPr>
                    <w:t>聚碳酸酯</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（PC）和丙烯腈-丁二烯-苯乙烯共聚物（ABS）共混而成。这种合金旨在将PC的优异机械性能、耐热性和耐冲击性与ABS的易加工性和低成本相结合。密度约为1.10-1.20g/cm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，通常为不透明，但可调配成各种颜色。不耐强酸、强碱、酮类、酯类、芳香烃和氯化烃等极性溶剂。</w:t>
                  </w:r>
                </w:p>
              </w:tc>
            </w:tr>
            <w:tr w14:paraId="32A1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tcBorders>
                    <w:tl2br w:val="nil"/>
                    <w:tr2bl w:val="nil"/>
                  </w:tcBorders>
                  <w:shd w:val="clear" w:color="auto" w:fill="auto"/>
                  <w:vAlign w:val="center"/>
                </w:tcPr>
                <w:p w14:paraId="751EFF84">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743" w:type="pct"/>
                  <w:tcBorders>
                    <w:tl2br w:val="nil"/>
                    <w:tr2bl w:val="nil"/>
                  </w:tcBorders>
                  <w:shd w:val="clear" w:color="auto" w:fill="auto"/>
                  <w:vAlign w:val="center"/>
                </w:tcPr>
                <w:p w14:paraId="7CC92877">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塑料颗粒（PP）</w:t>
                  </w:r>
                </w:p>
              </w:tc>
              <w:tc>
                <w:tcPr>
                  <w:tcW w:w="3912" w:type="pct"/>
                  <w:tcBorders>
                    <w:tl2br w:val="nil"/>
                    <w:tr2bl w:val="nil"/>
                  </w:tcBorders>
                  <w:vAlign w:val="center"/>
                </w:tcPr>
                <w:p w14:paraId="76F5EA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聚丙烯（Polypropylene，简称PP）是由丙烯聚合而制得的一种热塑性树脂。其最大特点是成本低、密度小、耐化学性极佳，并且通过不同的聚</w:t>
                  </w:r>
                  <w:r>
                    <w:rPr>
                      <w:sz w:val="21"/>
                    </w:rPr>
                    <mc:AlternateContent>
                      <mc:Choice Requires="wps">
                        <w:drawing>
                          <wp:anchor distT="0" distB="0" distL="114300" distR="114300" simplePos="0" relativeHeight="251701248" behindDoc="0" locked="0" layoutInCell="1" allowOverlap="1">
                            <wp:simplePos x="0" y="0"/>
                            <wp:positionH relativeFrom="column">
                              <wp:posOffset>-878205</wp:posOffset>
                            </wp:positionH>
                            <wp:positionV relativeFrom="paragraph">
                              <wp:posOffset>30480</wp:posOffset>
                            </wp:positionV>
                            <wp:extent cx="5060315" cy="6329045"/>
                            <wp:effectExtent l="0" t="0" r="6985" b="14605"/>
                            <wp:wrapNone/>
                            <wp:docPr id="213" name="文本框 213"/>
                            <wp:cNvGraphicFramePr/>
                            <a:graphic xmlns:a="http://schemas.openxmlformats.org/drawingml/2006/main">
                              <a:graphicData uri="http://schemas.microsoft.com/office/word/2010/wordprocessingShape">
                                <wps:wsp>
                                  <wps:cNvSpPr txBox="1"/>
                                  <wps:spPr>
                                    <a:xfrm>
                                      <a:off x="0" y="0"/>
                                      <a:ext cx="5060315" cy="6329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A90B1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15pt;margin-top:2.4pt;height:498.35pt;width:398.45pt;z-index:251701248;mso-width-relative:page;mso-height-relative:page;" fillcolor="#FFFFFF [3201]" filled="t" stroked="f" coordsize="21600,21600" o:gfxdata="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N89iHWAAAACwEAAA8A&#10;AAAAAAAAAQAgAAAAIgAAAGRycy9kb3ducmV2LnhtbFBLAQIUABQAAAAIAIdO4kAhqkPEUgIAAJQE&#10;AAAOAAAAAAAAAAEAIAAAACUBAABkcnMvZTJvRG9jLnhtbFBLBQYAAAAABgAGAFkBAADpBQAAAAA=&#10;">
                            <v:fill on="t" focussize="0,0"/>
                            <v:stroke on="f" weight="0.5pt"/>
                            <v:imagedata o:title=""/>
                            <o:lock v:ext="edit" aspectratio="f"/>
                            <v:textbox>
                              <w:txbxContent>
                                <w:p w14:paraId="28A90B16"/>
                              </w:txbxContent>
                            </v:textbox>
                          </v:shape>
                        </w:pict>
                      </mc:Fallback>
                    </mc:AlternateConten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合工艺和改性，可以获得性能差异很大的多种牌号（如均聚PP、共聚PP）。密度约0.89-0.91g/cm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，吸水率极低，几乎不吸水。本身为半透明蜡状。可通过快速冷却制成透明度很高的制品，或添加成核剂增透。在室温下对大多数酸、碱、盐溶液、醇类、油脂均呈惰性。</w:t>
                  </w:r>
                </w:p>
              </w:tc>
            </w:tr>
            <w:tr w14:paraId="33132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343" w:type="pct"/>
                  <w:tcBorders>
                    <w:tl2br w:val="nil"/>
                    <w:tr2bl w:val="nil"/>
                  </w:tcBorders>
                  <w:shd w:val="clear" w:color="auto" w:fill="auto"/>
                  <w:vAlign w:val="center"/>
                </w:tcPr>
                <w:p w14:paraId="44B84609">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743" w:type="pct"/>
                  <w:tcBorders>
                    <w:tl2br w:val="nil"/>
                    <w:tr2bl w:val="nil"/>
                  </w:tcBorders>
                  <w:shd w:val="clear" w:color="auto" w:fill="auto"/>
                  <w:vAlign w:val="center"/>
                </w:tcPr>
                <w:p w14:paraId="3DD47AF8">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塑料颗粒</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ABS</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3912" w:type="pct"/>
                  <w:tcBorders>
                    <w:tl2br w:val="nil"/>
                    <w:tr2bl w:val="nil"/>
                  </w:tcBorders>
                  <w:vAlign w:val="center"/>
                </w:tcPr>
                <w:p w14:paraId="69CFF9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ABS是丙烯腈（Acrylonitrile）、丁二烯（Butadiene）、苯乙烯（Styrene）三种单体的三元共聚物。它综合了三种组分的共同优点，因此得名。</w:t>
                  </w:r>
                </w:p>
                <w:p w14:paraId="3F3400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丙烯腈（A）：赋予其硬度、强度、耐热性和耐化学性。丁二烯（B）：赋予其优异的韧性和抗冲击性能。苯乙烯（S）：赋予其刚性和良好的加工流动性、表面光泽。密度约1.03-1.06g/cm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，是一种良好的绝缘材料。耐化学性，对水、无机盐、碱和稀酸具有良好的耐受性；溶于酮类、醛类、酯类和某些氯化烃。</w:t>
                  </w:r>
                </w:p>
              </w:tc>
            </w:tr>
            <w:tr w14:paraId="1F443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343" w:type="pct"/>
                  <w:tcBorders>
                    <w:tl2br w:val="nil"/>
                    <w:tr2bl w:val="nil"/>
                  </w:tcBorders>
                  <w:shd w:val="clear" w:color="auto" w:fill="auto"/>
                  <w:vAlign w:val="center"/>
                </w:tcPr>
                <w:p w14:paraId="0A69418C">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743" w:type="pct"/>
                  <w:tcBorders>
                    <w:tl2br w:val="nil"/>
                    <w:tr2bl w:val="nil"/>
                  </w:tcBorders>
                  <w:shd w:val="clear" w:color="auto" w:fill="auto"/>
                  <w:vAlign w:val="center"/>
                </w:tcPr>
                <w:p w14:paraId="7D9D231F">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塑料颗粒（PP+EPDM-T20）</w:t>
                  </w:r>
                </w:p>
              </w:tc>
              <w:tc>
                <w:tcPr>
                  <w:tcW w:w="3912" w:type="pct"/>
                  <w:tcBorders>
                    <w:tl2br w:val="nil"/>
                    <w:tr2bl w:val="nil"/>
                  </w:tcBorders>
                  <w:vAlign w:val="center"/>
                </w:tcPr>
                <w:p w14:paraId="6BD2B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P：聚丙烯，作为基体树脂，提供刚性、耐热性和化学稳定性；EPDM：三元乙丙橡胶，作为增韧改性剂，用以大幅度提高PP的抗冲击韧性，尤其是低温韧性；T20：通常表示添加了20%的滑石粉，作为无机填料，用以提高刚性、耐热性、尺寸稳定性和降低</w:t>
                  </w:r>
                  <w:r>
                    <w:rPr>
                      <w:rFonts w:hint="eastAsia" w:cs="Times New Roman"/>
                      <w:color w:val="000000" w:themeColor="text1"/>
                      <w:sz w:val="21"/>
                      <w:szCs w:val="21"/>
                      <w:highlight w:val="none"/>
                      <w:vertAlign w:val="baseline"/>
                      <w:lang w:val="en-US" w:eastAsia="zh-CN"/>
                      <w14:textFill>
                        <w14:solidFill>
                          <w14:schemeClr w14:val="tx1"/>
                        </w14:solidFill>
                      </w14:textFill>
                    </w:rPr>
                    <w:t>成形</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收缩率。因此，这是一种集“基体（PP）+增韧（EPDM）+填充增强（Talc”三位一体的高性能复合材料，旨在克服均聚PP或普通共聚PP的固有缺点。其密度约1.04-1.12g/cm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A8EE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343" w:type="pct"/>
                  <w:tcBorders>
                    <w:tl2br w:val="nil"/>
                    <w:tr2bl w:val="nil"/>
                  </w:tcBorders>
                  <w:shd w:val="clear" w:color="auto" w:fill="auto"/>
                  <w:vAlign w:val="center"/>
                </w:tcPr>
                <w:p w14:paraId="22CAE5E6">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743" w:type="pct"/>
                  <w:tcBorders>
                    <w:tl2br w:val="nil"/>
                    <w:tr2bl w:val="nil"/>
                  </w:tcBorders>
                  <w:shd w:val="clear" w:color="auto" w:fill="auto"/>
                  <w:vAlign w:val="center"/>
                </w:tcPr>
                <w:p w14:paraId="05753371">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塑料颗粒（PA6-GF30）</w:t>
                  </w:r>
                </w:p>
              </w:tc>
              <w:tc>
                <w:tcPr>
                  <w:tcW w:w="3912" w:type="pct"/>
                  <w:tcBorders>
                    <w:tl2br w:val="nil"/>
                    <w:tr2bl w:val="nil"/>
                  </w:tcBorders>
                  <w:vAlign w:val="center"/>
                </w:tcPr>
                <w:p w14:paraId="2B8EAE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PA6：尼龙6（聚酰胺6），作为基体树脂，提供韧性、耐磨性和耐化学性；GF30：表示加入了30%的玻璃纤维，作为增强材料。玻璃纤维的加入，如同在混凝土中加入钢筋，极大地提升了基体树脂的 能和热性能，使其成为一种高强度、高刚性的工程塑料。密度约1.35-1.38g/cm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。耐化学性，对烃类、油类、酯类有很好的耐受性；不耐强酸、强碱和酚类。吸水后耐化学性会下降。</w:t>
                  </w:r>
                </w:p>
              </w:tc>
            </w:tr>
            <w:tr w14:paraId="4175C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343" w:type="pct"/>
                  <w:tcBorders>
                    <w:tl2br w:val="nil"/>
                    <w:tr2bl w:val="nil"/>
                  </w:tcBorders>
                  <w:shd w:val="clear" w:color="auto" w:fill="auto"/>
                  <w:vAlign w:val="center"/>
                </w:tcPr>
                <w:p w14:paraId="7D280C5D">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6</w:t>
                  </w:r>
                </w:p>
              </w:tc>
              <w:tc>
                <w:tcPr>
                  <w:tcW w:w="743" w:type="pct"/>
                  <w:tcBorders>
                    <w:tl2br w:val="nil"/>
                    <w:tr2bl w:val="nil"/>
                  </w:tcBorders>
                  <w:shd w:val="clear" w:color="auto" w:fill="auto"/>
                  <w:vAlign w:val="center"/>
                </w:tcPr>
                <w:p w14:paraId="1FF972E3">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干性脱模剂</w:t>
                  </w:r>
                </w:p>
              </w:tc>
              <w:tc>
                <w:tcPr>
                  <w:tcW w:w="3912" w:type="pct"/>
                  <w:tcBorders>
                    <w:tl2br w:val="nil"/>
                    <w:tr2bl w:val="nil"/>
                  </w:tcBorders>
                  <w:vAlign w:val="center"/>
                </w:tcPr>
                <w:p w14:paraId="66E8D7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干性脱模剂为乳白色液体（水性），在模具表面形成一层无色透明或半透明的极薄固态薄膜，肉眼一般难以察觉。密度一般在0.7-1.1g/cm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之间，具体取决于载体。低黏度流体，易于喷涂。黏度范围通常在几个到几十个mPa</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S（厘泊）之间，确保良好的雾化效果。具有极高的化学稳定性，不易被大多数有机溶剂溶解或溶胀，这对与树脂接触至关重要。它不会参与树脂的固化交联过程，从而避免形成化学键合，导致粘模。以水为载体，一般为不燃或难燃，安全性高。</w:t>
                  </w:r>
                </w:p>
              </w:tc>
            </w:tr>
          </w:tbl>
          <w:p w14:paraId="206ECAC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8" w:name="_Toc31186"/>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2.2.7项目水平衡</w:t>
            </w:r>
            <w:bookmarkEnd w:id="28"/>
          </w:p>
          <w:p w14:paraId="0F2359DB">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29" w:name="_Toc81"/>
            <w:r>
              <w:rPr>
                <w:rFonts w:hint="eastAsia"/>
                <w:b w:val="0"/>
                <w:bCs/>
                <w:color w:val="000000" w:themeColor="text1"/>
                <w:sz w:val="24"/>
                <w:highlight w:val="none"/>
                <w14:textFill>
                  <w14:solidFill>
                    <w14:schemeClr w14:val="tx1"/>
                  </w14:solidFill>
                </w14:textFill>
              </w:rPr>
              <w:t>（1）生活污水</w:t>
            </w:r>
            <w:bookmarkEnd w:id="29"/>
          </w:p>
          <w:p w14:paraId="1458C45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color w:val="000000" w:themeColor="text1"/>
                <w:kern w:val="0"/>
                <w:sz w:val="24"/>
                <w:highlight w:val="none"/>
                <w:lang w:bidi="ar"/>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color w:val="000000" w:themeColor="text1"/>
                <w:sz w:val="24"/>
                <w:highlight w:val="none"/>
                <w14:textFill>
                  <w14:solidFill>
                    <w14:schemeClr w14:val="tx1"/>
                  </w14:solidFill>
                </w14:textFill>
              </w:rPr>
              <w:t>《建筑给水排水设计标准》</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GB50015-2019</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不</w:t>
            </w:r>
            <w:r>
              <w:rPr>
                <w:color w:val="000000" w:themeColor="text1"/>
                <w:sz w:val="24"/>
                <w:highlight w:val="none"/>
                <w14:textFill>
                  <w14:solidFill>
                    <w14:schemeClr w14:val="tx1"/>
                  </w14:solidFill>
                </w14:textFill>
              </w:rPr>
              <w:t>住宿员工用水量按</w:t>
            </w:r>
            <w:r>
              <w:rPr>
                <w:rFonts w:hint="eastAsia"/>
                <w:color w:val="000000" w:themeColor="text1"/>
                <w:sz w:val="24"/>
                <w:highlight w:val="none"/>
                <w14:textFill>
                  <w14:solidFill>
                    <w14:schemeClr w14:val="tx1"/>
                  </w14:solidFill>
                </w14:textFill>
              </w:rPr>
              <w:t>50</w:t>
            </w:r>
            <w:r>
              <w:rPr>
                <w:color w:val="000000" w:themeColor="text1"/>
                <w:sz w:val="24"/>
                <w:highlight w:val="none"/>
                <w14:textFill>
                  <w14:solidFill>
                    <w14:schemeClr w14:val="tx1"/>
                  </w14:solidFill>
                </w14:textFill>
              </w:rPr>
              <w:t>L/人·d计</w:t>
            </w:r>
            <w:r>
              <w:rPr>
                <w:color w:val="000000" w:themeColor="text1"/>
                <w:kern w:val="0"/>
                <w:sz w:val="24"/>
                <w:highlight w:val="none"/>
                <w:lang w:bidi="ar"/>
                <w14:textFill>
                  <w14:solidFill>
                    <w14:schemeClr w14:val="tx1"/>
                  </w14:solidFill>
                </w14:textFill>
              </w:rPr>
              <w:t>，项目职工人数</w:t>
            </w:r>
            <w:r>
              <w:rPr>
                <w:rFonts w:hint="eastAsia"/>
                <w:color w:val="000000" w:themeColor="text1"/>
                <w:kern w:val="0"/>
                <w:sz w:val="24"/>
                <w:highlight w:val="none"/>
                <w:lang w:val="en-US" w:eastAsia="zh-CN" w:bidi="ar"/>
                <w14:textFill>
                  <w14:solidFill>
                    <w14:schemeClr w14:val="tx1"/>
                  </w14:solidFill>
                </w14:textFill>
              </w:rPr>
              <w:t>30</w:t>
            </w:r>
            <w:r>
              <w:rPr>
                <w:color w:val="000000" w:themeColor="text1"/>
                <w:kern w:val="0"/>
                <w:sz w:val="24"/>
                <w:highlight w:val="none"/>
                <w:lang w:bidi="ar"/>
                <w14:textFill>
                  <w14:solidFill>
                    <w14:schemeClr w14:val="tx1"/>
                  </w14:solidFill>
                </w14:textFill>
              </w:rPr>
              <w:t>人，均不住厂，则生活用水量约</w:t>
            </w:r>
            <w:r>
              <w:rPr>
                <w:rFonts w:hint="eastAsia"/>
                <w:color w:val="000000" w:themeColor="text1"/>
                <w:kern w:val="0"/>
                <w:sz w:val="24"/>
                <w:highlight w:val="none"/>
                <w:lang w:val="en-US" w:eastAsia="zh-CN" w:bidi="ar"/>
                <w14:textFill>
                  <w14:solidFill>
                    <w14:schemeClr w14:val="tx1"/>
                  </w14:solidFill>
                </w14:textFill>
              </w:rPr>
              <w:t>1.5</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eastAsia="zh-CN" w:bidi="ar"/>
                <w14:textFill>
                  <w14:solidFill>
                    <w14:schemeClr w14:val="tx1"/>
                  </w14:solidFill>
                </w14:textFill>
              </w:rPr>
              <w:t>，</w:t>
            </w:r>
            <w:r>
              <w:rPr>
                <w:color w:val="000000" w:themeColor="text1"/>
                <w:kern w:val="0"/>
                <w:sz w:val="24"/>
                <w:highlight w:val="none"/>
                <w:lang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450</w:t>
            </w:r>
            <w:r>
              <w:rPr>
                <w:color w:val="000000" w:themeColor="text1"/>
                <w:kern w:val="0"/>
                <w:sz w:val="24"/>
                <w:highlight w:val="none"/>
                <w:lang w:bidi="ar"/>
                <w14:textFill>
                  <w14:solidFill>
                    <w14:schemeClr w14:val="tx1"/>
                  </w14:solidFill>
                </w14:textFill>
              </w:rPr>
              <w:t>t/a），项目废水排放系数按照0.8计算，则废水产生量为</w:t>
            </w:r>
            <w:r>
              <w:rPr>
                <w:rFonts w:hint="eastAsia"/>
                <w:color w:val="000000" w:themeColor="text1"/>
                <w:kern w:val="0"/>
                <w:sz w:val="24"/>
                <w:highlight w:val="none"/>
                <w:lang w:val="en-US" w:eastAsia="zh-CN" w:bidi="ar"/>
                <w14:textFill>
                  <w14:solidFill>
                    <w14:schemeClr w14:val="tx1"/>
                  </w14:solidFill>
                </w14:textFill>
              </w:rPr>
              <w:t>1.2</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val="en-US" w:eastAsia="zh-CN" w:bidi="ar"/>
                <w14:textFill>
                  <w14:solidFill>
                    <w14:schemeClr w14:val="tx1"/>
                  </w14:solidFill>
                </w14:textFill>
              </w:rPr>
              <w:t>360</w:t>
            </w:r>
            <w:r>
              <w:rPr>
                <w:color w:val="000000" w:themeColor="text1"/>
                <w:kern w:val="0"/>
                <w:sz w:val="24"/>
                <w:highlight w:val="none"/>
                <w:lang w:bidi="ar"/>
                <w14:textFill>
                  <w14:solidFill>
                    <w14:schemeClr w14:val="tx1"/>
                  </w14:solidFill>
                </w14:textFill>
              </w:rPr>
              <w:t>t/a）</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生活污水依托厂内已建的化粪池处理后进入市政污水管网纳入</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福清市融元污水处理厂</w:t>
            </w:r>
            <w:r>
              <w:rPr>
                <w:rFonts w:hint="eastAsia"/>
                <w:color w:val="000000" w:themeColor="text1"/>
                <w:kern w:val="0"/>
                <w:sz w:val="24"/>
                <w:highlight w:val="none"/>
                <w:lang w:val="en-US" w:eastAsia="zh-CN" w:bidi="ar"/>
                <w14:textFill>
                  <w14:solidFill>
                    <w14:schemeClr w14:val="tx1"/>
                  </w14:solidFill>
                </w14:textFill>
              </w:rPr>
              <w:t>集中处理</w:t>
            </w:r>
            <w:r>
              <w:rPr>
                <w:rFonts w:hint="eastAsia"/>
                <w:color w:val="000000" w:themeColor="text1"/>
                <w:kern w:val="0"/>
                <w:sz w:val="24"/>
                <w:highlight w:val="none"/>
                <w:lang w:bidi="ar"/>
                <w14:textFill>
                  <w14:solidFill>
                    <w14:schemeClr w14:val="tx1"/>
                  </w14:solidFill>
                </w14:textFill>
              </w:rPr>
              <w:t>。</w:t>
            </w:r>
          </w:p>
          <w:p w14:paraId="17E1DCBC">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30" w:name="_Toc27624"/>
            <w:r>
              <w:rPr>
                <w:rFonts w:hint="eastAsia"/>
                <w:b w:val="0"/>
                <w:bCs/>
                <w:color w:val="000000" w:themeColor="text1"/>
                <w:sz w:val="24"/>
                <w:highlight w:val="none"/>
                <w14:textFill>
                  <w14:solidFill>
                    <w14:schemeClr w14:val="tx1"/>
                  </w14:solidFill>
                </w14:textFill>
              </w:rPr>
              <w:t>（2）注塑冷却水</w:t>
            </w:r>
            <w:bookmarkEnd w:id="30"/>
          </w:p>
          <w:p w14:paraId="28C0DFA1">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w:t>本项目拟设1台冷却塔，</w:t>
            </w:r>
            <w:r>
              <w:rPr>
                <w:rFonts w:hint="eastAsia"/>
                <w:color w:val="000000" w:themeColor="text1"/>
                <w:sz w:val="24"/>
                <w:highlight w:val="none"/>
                <w14:textFill>
                  <w14:solidFill>
                    <w14:schemeClr w14:val="tx1"/>
                  </w14:solidFill>
                </w14:textFill>
              </w:rPr>
              <w:t>主要供给项目注塑机等设备</w:t>
            </w:r>
            <w:r>
              <w:rPr>
                <w:color w:val="000000" w:themeColor="text1"/>
                <w:sz w:val="24"/>
                <w:highlight w:val="none"/>
                <w14:textFill>
                  <w14:solidFill>
                    <w14:schemeClr w14:val="tx1"/>
                  </w14:solidFill>
                </w14:textFill>
              </w:rPr>
              <w:t>冷却使用</w:t>
            </w:r>
            <w:r>
              <w:rPr>
                <w:rFonts w:hint="eastAsia"/>
                <w:color w:val="000000" w:themeColor="text1"/>
                <w:sz w:val="24"/>
                <w:highlight w:val="none"/>
                <w14:textFill>
                  <w14:solidFill>
                    <w14:schemeClr w14:val="tx1"/>
                  </w14:solidFill>
                </w14:textFill>
              </w:rPr>
              <w:t>，通过设备安装循环管道进行冷却，</w:t>
            </w:r>
            <w:r>
              <w:rPr>
                <w:color w:val="000000" w:themeColor="text1"/>
                <w:sz w:val="24"/>
                <w:highlight w:val="none"/>
                <w14:textFill>
                  <w14:solidFill>
                    <w14:schemeClr w14:val="tx1"/>
                  </w14:solidFill>
                </w14:textFill>
              </w:rPr>
              <w:t>为间接冷却方式，</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冷却塔循环水循环使用，不外排</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本项目冷却塔</w:t>
            </w:r>
            <w:r>
              <w:rPr>
                <w:rFonts w:hint="eastAsia"/>
                <w:color w:val="000000" w:themeColor="text1"/>
                <w:sz w:val="24"/>
                <w:highlight w:val="none"/>
                <w:lang w:val="en-US" w:eastAsia="zh-CN"/>
                <w14:textFill>
                  <w14:solidFill>
                    <w14:schemeClr w14:val="tx1"/>
                  </w14:solidFill>
                </w14:textFill>
              </w:rPr>
              <w:t>容量</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设计流量**m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/h。</w:t>
            </w:r>
            <w:r>
              <w:rPr>
                <w:rFonts w:hint="eastAsia"/>
                <w:color w:val="000000" w:themeColor="text1"/>
                <w:sz w:val="24"/>
                <w:szCs w:val="24"/>
                <w:highlight w:val="none"/>
                <w14:textFill>
                  <w14:solidFill>
                    <w14:schemeClr w14:val="tx1"/>
                  </w14:solidFill>
                </w14:textFill>
              </w:rPr>
              <w:t>年运行时长为</w:t>
            </w:r>
            <w:r>
              <w:rPr>
                <w:rFonts w:hint="eastAsia"/>
                <w:color w:val="000000" w:themeColor="text1"/>
                <w:sz w:val="24"/>
                <w:szCs w:val="24"/>
                <w:highlight w:val="none"/>
                <w:lang w:val="en-US" w:eastAsia="zh-CN"/>
                <w14:textFill>
                  <w14:solidFill>
                    <w14:schemeClr w14:val="tx1"/>
                  </w14:solidFill>
                </w14:textFill>
              </w:rPr>
              <w:t>7200</w:t>
            </w:r>
            <w:r>
              <w:rPr>
                <w:rFonts w:hint="eastAsia"/>
                <w:color w:val="000000" w:themeColor="text1"/>
                <w:sz w:val="24"/>
                <w:szCs w:val="24"/>
                <w:highlight w:val="none"/>
                <w14:textFill>
                  <w14:solidFill>
                    <w14:schemeClr w14:val="tx1"/>
                  </w14:solidFill>
                </w14:textFill>
              </w:rPr>
              <w:t>h，参考《工业循环水冷却设计规范》（GB/T50102—2014）中相关设计规范计算补水量，冷却塔风吹损失水率为0.15%，冷却塔蒸发损失水率为2%，则冷却塔补水量约为循环水量的2.15％，</w:t>
            </w:r>
            <w:r>
              <w:rPr>
                <w:color w:val="000000" w:themeColor="text1"/>
                <w:sz w:val="24"/>
                <w:szCs w:val="24"/>
                <w:highlight w:val="none"/>
                <w14:textFill>
                  <w14:solidFill>
                    <w14:schemeClr w14:val="tx1"/>
                  </w14:solidFill>
                </w14:textFill>
              </w:rPr>
              <w:t>则年补充新鲜水量约</w:t>
            </w:r>
            <w:r>
              <w:rPr>
                <w:rFonts w:hint="eastAsia"/>
                <w:color w:val="000000" w:themeColor="text1"/>
                <w:sz w:val="24"/>
                <w:szCs w:val="24"/>
                <w:highlight w:val="none"/>
                <w:lang w:val="en-US" w:eastAsia="zh-CN"/>
                <w14:textFill>
                  <w14:solidFill>
                    <w14:schemeClr w14:val="tx1"/>
                  </w14:solidFill>
                </w14:textFill>
              </w:rPr>
              <w:t>2.06</w:t>
            </w:r>
            <w:r>
              <w:rPr>
                <w:rFonts w:hint="eastAsia"/>
                <w:color w:val="000000" w:themeColor="text1"/>
                <w:sz w:val="24"/>
                <w:szCs w:val="24"/>
                <w:highlight w:val="none"/>
                <w14:textFill>
                  <w14:solidFill>
                    <w14:schemeClr w14:val="tx1"/>
                  </w14:solidFill>
                </w14:textFill>
              </w:rPr>
              <w:t>t/d，</w:t>
            </w:r>
            <w:r>
              <w:rPr>
                <w:rFonts w:hint="eastAsia"/>
                <w:color w:val="000000" w:themeColor="text1"/>
                <w:sz w:val="24"/>
                <w:szCs w:val="24"/>
                <w:highlight w:val="none"/>
                <w:lang w:val="en-US" w:eastAsia="zh-CN"/>
                <w14:textFill>
                  <w14:solidFill>
                    <w14:schemeClr w14:val="tx1"/>
                  </w14:solidFill>
                </w14:textFill>
              </w:rPr>
              <w:t>619</w:t>
            </w:r>
            <w:r>
              <w:rPr>
                <w:color w:val="000000" w:themeColor="text1"/>
                <w:sz w:val="24"/>
                <w:szCs w:val="24"/>
                <w:highlight w:val="none"/>
                <w14:textFill>
                  <w14:solidFill>
                    <w14:schemeClr w14:val="tx1"/>
                  </w14:solidFill>
                </w14:textFill>
              </w:rPr>
              <w:t>t/a。</w:t>
            </w:r>
          </w:p>
          <w:p w14:paraId="218CDDEB">
            <w:pPr>
              <w:pStyle w:val="3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bookmarkStart w:id="31" w:name="_Toc11791"/>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项目水平衡图详见图2.1-1。</w:t>
            </w:r>
            <w:bookmarkEnd w:id="31"/>
          </w:p>
          <w:p w14:paraId="202B0E56">
            <w:pPr>
              <w:pStyle w:val="38"/>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p>
          <w:p w14:paraId="18171B8D">
            <w:pPr>
              <w:pStyle w:val="38"/>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32" w:name="_Toc7512"/>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图2.1-1 项目水平衡图（单位：t/d）</w:t>
            </w:r>
            <w:bookmarkEnd w:id="32"/>
          </w:p>
          <w:p w14:paraId="4BE404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3" w:name="_Toc13719"/>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2.2.8项目平面布置合理性分析</w:t>
            </w:r>
            <w:bookmarkEnd w:id="33"/>
          </w:p>
          <w:p w14:paraId="00AD403E">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w:t>
            </w:r>
            <w:r>
              <w:rPr>
                <w:rFonts w:hint="eastAsia"/>
                <w:color w:val="000000" w:themeColor="text1"/>
                <w:sz w:val="24"/>
                <w:highlight w:val="none"/>
                <w:lang w:val="en-US" w:eastAsia="zh-CN"/>
                <w14:textFill>
                  <w14:solidFill>
                    <w14:schemeClr w14:val="tx1"/>
                  </w14:solidFill>
                </w14:textFill>
              </w:rPr>
              <w:t>层主要为汽车塑料配件生产线、三层为原料存</w:t>
            </w:r>
            <w:r>
              <w:rPr>
                <w:rFonts w:hint="eastAsia"/>
                <w:color w:val="000000" w:themeColor="text1"/>
                <w:sz w:val="24"/>
                <w:highlight w:val="none"/>
                <w14:textFill>
                  <w14:solidFill>
                    <w14:schemeClr w14:val="tx1"/>
                  </w14:solidFill>
                </w14:textFill>
              </w:rPr>
              <w:t>放区</w:t>
            </w:r>
            <w:r>
              <w:rPr>
                <w:rFonts w:hint="eastAsia"/>
                <w:color w:val="000000" w:themeColor="text1"/>
                <w:sz w:val="24"/>
                <w:highlight w:val="none"/>
                <w:lang w:val="en-US" w:eastAsia="zh-CN"/>
                <w14:textFill>
                  <w14:solidFill>
                    <w14:schemeClr w14:val="tx1"/>
                  </w14:solidFill>
                </w14:textFill>
              </w:rPr>
              <w:t>及</w:t>
            </w:r>
            <w:r>
              <w:rPr>
                <w:rFonts w:hint="eastAsia"/>
                <w:color w:val="000000" w:themeColor="text1"/>
                <w:sz w:val="24"/>
                <w:highlight w:val="none"/>
                <w14:textFill>
                  <w14:solidFill>
                    <w14:schemeClr w14:val="tx1"/>
                  </w14:solidFill>
                </w14:textFill>
              </w:rPr>
              <w:t>成品区</w:t>
            </w:r>
            <w:r>
              <w:rPr>
                <w:color w:val="000000" w:themeColor="text1"/>
                <w:sz w:val="24"/>
                <w:highlight w:val="none"/>
                <w14:textFill>
                  <w14:solidFill>
                    <w14:schemeClr w14:val="tx1"/>
                  </w14:solidFill>
                </w14:textFill>
              </w:rPr>
              <w:t>，此平面布置方案功能划分相对清晰，各</w:t>
            </w:r>
            <w:r>
              <w:rPr>
                <w:rFonts w:hint="eastAsia"/>
                <w:color w:val="000000" w:themeColor="text1"/>
                <w:sz w:val="24"/>
                <w:highlight w:val="none"/>
                <w:lang w:val="en-US" w:eastAsia="zh-CN"/>
                <w14:textFill>
                  <w14:solidFill>
                    <w14:schemeClr w14:val="tx1"/>
                  </w14:solidFill>
                </w14:textFill>
              </w:rPr>
              <w:t>区</w:t>
            </w:r>
            <w:r>
              <w:rPr>
                <w:color w:val="000000" w:themeColor="text1"/>
                <w:sz w:val="24"/>
                <w:highlight w:val="none"/>
                <w14:textFill>
                  <w14:solidFill>
                    <w14:schemeClr w14:val="tx1"/>
                  </w14:solidFill>
                </w14:textFill>
              </w:rPr>
              <w:t>之间物流顺畅，运输距离较短，有利于生产布置。在满足生产条件要求的前提下，充分利用厂区空间进行设备布置，布局紧凑，生产流程比较流畅，布局基本合理。</w:t>
            </w:r>
            <w:r>
              <w:rPr>
                <w:rFonts w:hint="eastAsia"/>
                <w:color w:val="000000" w:themeColor="text1"/>
                <w:sz w:val="24"/>
                <w:highlight w:val="none"/>
                <w:lang w:val="en-US" w:eastAsia="zh-CN"/>
                <w14:textFill>
                  <w14:solidFill>
                    <w14:schemeClr w14:val="tx1"/>
                  </w14:solidFill>
                </w14:textFill>
              </w:rPr>
              <w:t>项目</w:t>
            </w:r>
            <w:r>
              <w:rPr>
                <w:color w:val="000000" w:themeColor="text1"/>
                <w:sz w:val="24"/>
                <w:highlight w:val="none"/>
                <w14:textFill>
                  <w14:solidFill>
                    <w14:schemeClr w14:val="tx1"/>
                  </w14:solidFill>
                </w14:textFill>
              </w:rPr>
              <w:t>平面布置图详见</w:t>
            </w:r>
            <w:r>
              <w:rPr>
                <w:b/>
                <w:bCs/>
                <w:color w:val="000000" w:themeColor="text1"/>
                <w:sz w:val="24"/>
                <w:highlight w:val="none"/>
                <w14:textFill>
                  <w14:solidFill>
                    <w14:schemeClr w14:val="tx1"/>
                  </w14:solidFill>
                </w14:textFill>
              </w:rPr>
              <w:t>附图</w:t>
            </w:r>
            <w:r>
              <w:rPr>
                <w:rFonts w:hint="eastAsia"/>
                <w:b/>
                <w:bCs/>
                <w:color w:val="000000" w:themeColor="text1"/>
                <w:sz w:val="24"/>
                <w:highlight w:val="none"/>
                <w:lang w:val="en-US" w:eastAsia="zh-CN"/>
                <w14:textFill>
                  <w14:solidFill>
                    <w14:schemeClr w14:val="tx1"/>
                  </w14:solidFill>
                </w14:textFill>
              </w:rPr>
              <w:t>六</w:t>
            </w:r>
            <w:r>
              <w:rPr>
                <w:color w:val="000000" w:themeColor="text1"/>
                <w:sz w:val="24"/>
                <w:highlight w:val="none"/>
                <w14:textFill>
                  <w14:solidFill>
                    <w14:schemeClr w14:val="tx1"/>
                  </w14:solidFill>
                </w14:textFill>
              </w:rPr>
              <w:t>。</w:t>
            </w:r>
          </w:p>
          <w:p w14:paraId="7B733D5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当地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东北侧</w:t>
            </w:r>
            <w:r>
              <w:rPr>
                <w:rFonts w:hint="default" w:ascii="Times New Roman" w:hAnsi="Times New Roman" w:eastAsia="宋体" w:cs="Times New Roman"/>
                <w:color w:val="000000" w:themeColor="text1"/>
                <w:sz w:val="24"/>
                <w:szCs w:val="24"/>
                <w:highlight w:val="none"/>
                <w14:textFill>
                  <w14:solidFill>
                    <w14:schemeClr w14:val="tx1"/>
                  </w14:solidFill>
                </w14:textFill>
              </w:rPr>
              <w:t>，说明其下风向</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西南侧</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受污染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的概率</w:t>
            </w:r>
            <w:r>
              <w:rPr>
                <w:rFonts w:hint="default" w:ascii="Times New Roman" w:hAnsi="Times New Roman" w:eastAsia="宋体" w:cs="Times New Roman"/>
                <w:color w:val="000000" w:themeColor="text1"/>
                <w:sz w:val="24"/>
                <w:szCs w:val="24"/>
                <w:highlight w:val="none"/>
                <w14:textFill>
                  <w14:solidFill>
                    <w14:schemeClr w14:val="tx1"/>
                  </w14:solidFill>
                </w14:textFill>
              </w:rPr>
              <w:t>最高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eastAsia" w:cs="Times New Roman"/>
                <w:color w:val="000000" w:themeColor="text1"/>
                <w:sz w:val="24"/>
                <w:szCs w:val="24"/>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排气筒设置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屋顶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北侧区域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，排放口朝内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不位于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上风向，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拟将危险废物暂存场所设置于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车间西南侧区域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，方便危险废物的分类收集，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可以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得到有效的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处理处置，可避免造成二次污染；项目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设备噪声经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基础减振、厂房墙体隔声等综合降噪措施后，可实现噪声达标排放。</w:t>
            </w:r>
            <w:r>
              <w:rPr>
                <w:rFonts w:hint="default" w:ascii="Times New Roman" w:hAnsi="Times New Roman" w:eastAsia="宋体" w:cs="Times New Roman"/>
                <w:color w:val="000000" w:themeColor="text1"/>
                <w:sz w:val="24"/>
                <w:szCs w:val="24"/>
                <w:highlight w:val="none"/>
                <w14:textFill>
                  <w14:solidFill>
                    <w14:schemeClr w14:val="tx1"/>
                  </w14:solidFill>
                </w14:textFill>
              </w:rPr>
              <w:t>从环境影响的角度看，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项目环保设施平面布置基本合理。</w:t>
            </w:r>
          </w:p>
          <w:p w14:paraId="36807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综上所述，本项目的布置基本合理。</w:t>
            </w:r>
          </w:p>
        </w:tc>
      </w:tr>
      <w:tr w14:paraId="7A0C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3" w:hRule="atLeast"/>
        </w:trPr>
        <w:tc>
          <w:tcPr>
            <w:tcW w:w="261" w:type="pct"/>
            <w:vAlign w:val="center"/>
          </w:tcPr>
          <w:p w14:paraId="39C96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4738" w:type="pct"/>
            <w:vAlign w:val="top"/>
          </w:tcPr>
          <w:p w14:paraId="30F389D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000000" w:themeColor="text1"/>
                <w:sz w:val="28"/>
                <w:szCs w:val="28"/>
                <w:u w:val="none"/>
                <w:lang w:val="en-US" w:eastAsia="zh-CN"/>
                <w14:textFill>
                  <w14:solidFill>
                    <w14:schemeClr w14:val="tx1"/>
                  </w14:solidFill>
                </w14:textFill>
              </w:rPr>
            </w:pPr>
            <w:bookmarkStart w:id="34" w:name="_Toc28289"/>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2.3</w:t>
            </w:r>
            <w:r>
              <w:rPr>
                <w:rFonts w:hint="eastAsia" w:ascii="Times New Roman" w:hAnsi="Times New Roman" w:cs="Times New Roman"/>
                <w:color w:val="000000" w:themeColor="text1"/>
                <w:sz w:val="28"/>
                <w:szCs w:val="28"/>
                <w:u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生产工艺</w:t>
            </w:r>
            <w:r>
              <w:rPr>
                <w:rFonts w:hint="eastAsia" w:ascii="Times New Roman" w:hAnsi="Times New Roman" w:cs="Times New Roman"/>
                <w:color w:val="000000" w:themeColor="text1"/>
                <w:sz w:val="28"/>
                <w:szCs w:val="28"/>
                <w:u w:val="none"/>
                <w:lang w:val="en-US" w:eastAsia="zh-CN"/>
                <w14:textFill>
                  <w14:solidFill>
                    <w14:schemeClr w14:val="tx1"/>
                  </w14:solidFill>
                </w14:textFill>
              </w:rPr>
              <w:t>流程及产污环节</w:t>
            </w:r>
            <w:bookmarkEnd w:id="34"/>
          </w:p>
          <w:p w14:paraId="51F153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35" w:name="_Toc966"/>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2.3.1项目工艺流程及工艺介绍</w:t>
            </w:r>
            <w:bookmarkEnd w:id="35"/>
          </w:p>
          <w:p w14:paraId="16E483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汽车塑料配件</w:t>
            </w:r>
            <w:r>
              <w:rPr>
                <w:rFonts w:hint="eastAsia" w:cs="Times New Roman"/>
                <w:color w:val="000000" w:themeColor="text1"/>
                <w:sz w:val="24"/>
                <w:szCs w:val="24"/>
                <w:highlight w:val="none"/>
                <w:lang w:val="en-US" w:eastAsia="zh-CN"/>
                <w14:textFill>
                  <w14:solidFill>
                    <w14:schemeClr w14:val="tx1"/>
                  </w14:solidFill>
                </w14:textFill>
              </w:rPr>
              <w:t>生产工艺流程及产污环节详见图2.3-1。</w:t>
            </w:r>
          </w:p>
          <w:p w14:paraId="466F563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val="0"/>
                <w:color w:val="000000" w:themeColor="text1"/>
                <w:sz w:val="24"/>
                <w:szCs w:val="24"/>
                <w:highlight w:val="yellow"/>
                <w:lang w:val="en-US" w:eastAsia="zh-CN"/>
                <w14:textFill>
                  <w14:solidFill>
                    <w14:schemeClr w14:val="tx1"/>
                  </w14:solidFill>
                </w14:textFill>
              </w:rPr>
            </w:pPr>
          </w:p>
          <w:p w14:paraId="68FBFC1F">
            <w:pPr>
              <w:pStyle w:val="38"/>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36" w:name="_Toc5034"/>
            <w:r>
              <w:rPr>
                <w:sz w:val="21"/>
              </w:rPr>
              <mc:AlternateContent>
                <mc:Choice Requires="wps">
                  <w:drawing>
                    <wp:anchor distT="0" distB="0" distL="114300" distR="114300" simplePos="0" relativeHeight="251702272" behindDoc="0" locked="0" layoutInCell="1" allowOverlap="1">
                      <wp:simplePos x="0" y="0"/>
                      <wp:positionH relativeFrom="column">
                        <wp:posOffset>-38735</wp:posOffset>
                      </wp:positionH>
                      <wp:positionV relativeFrom="paragraph">
                        <wp:posOffset>294640</wp:posOffset>
                      </wp:positionV>
                      <wp:extent cx="5450840" cy="3662680"/>
                      <wp:effectExtent l="0" t="0" r="16510" b="13970"/>
                      <wp:wrapNone/>
                      <wp:docPr id="214" name="文本框 214"/>
                      <wp:cNvGraphicFramePr/>
                      <a:graphic xmlns:a="http://schemas.openxmlformats.org/drawingml/2006/main">
                        <a:graphicData uri="http://schemas.microsoft.com/office/word/2010/wordprocessingShape">
                          <wps:wsp>
                            <wps:cNvSpPr txBox="1"/>
                            <wps:spPr>
                              <a:xfrm>
                                <a:off x="0" y="0"/>
                                <a:ext cx="5450840" cy="3662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00D61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23.2pt;height:288.4pt;width:429.2pt;z-index:251702272;mso-width-relative:page;mso-height-relative:page;" fillcolor="#FFFFFF [3201]" filled="t" stroked="f" coordsize="21600,21600" o:gfxdata="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18BU1QAAAAkBAAAP&#10;AAAAAAAAAAEAIAAAACIAAABkcnMvZG93bnJldi54bWxQSwECFAAUAAAACACHTuJASZ9GX1QCAACU&#10;BAAADgAAAAAAAAABACAAAAAkAQAAZHJzL2Uyb0RvYy54bWxQSwUGAAAAAAYABgBZAQAA6gUAAAAA&#10;">
                      <v:fill on="t" focussize="0,0"/>
                      <v:stroke on="f" weight="0.5pt"/>
                      <v:imagedata o:title=""/>
                      <o:lock v:ext="edit" aspectratio="f"/>
                      <v:textbox>
                        <w:txbxContent>
                          <w:p w14:paraId="1300D611"/>
                        </w:txbxContent>
                      </v:textbox>
                    </v:shape>
                  </w:pict>
                </mc:Fallback>
              </mc:AlternateConten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图2.3-1 汽车塑料配件生产工艺流程图</w:t>
            </w:r>
            <w:bookmarkEnd w:id="36"/>
          </w:p>
          <w:p w14:paraId="2951C62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工艺说明：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所需原料投入注塑设备，由人工将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所需模具安装到注塑机上</w:t>
            </w:r>
            <w:r>
              <w:rPr>
                <w:rFonts w:hint="eastAsia" w:cs="Times New Roman"/>
                <w:color w:val="000000" w:themeColor="text1"/>
                <w:sz w:val="24"/>
                <w:szCs w:val="24"/>
                <w:highlight w:val="none"/>
                <w:lang w:val="en-US" w:eastAsia="zh-CN"/>
                <w14:textFill>
                  <w14:solidFill>
                    <w14:schemeClr w14:val="tx1"/>
                  </w14:solidFill>
                </w14:textFill>
              </w:rPr>
              <w:t>，由注塑机将原材料（塑料颗粒）</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通过喷嘴压注</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即注塑</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到模具内腔后进行冷却，成型成目标形状。</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注塑成型的工作</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流程依次可分为材料的</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熔化</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”“注入”“</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固化</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”“冷却”“脱模”</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通过</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控制</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注塑机</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的温度、压力以及注塑速度</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保证产品的品质</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。注塑机的预热温度范围</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200-280</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℃，模具温度</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范围30-130（</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80℃</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最佳）</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，喷嘴温度240~</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260</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熔体温度最佳处理温度为250℃。本工序产生</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废气污染物非甲烷总烃</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以及噪声。</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注塑机的</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工作温度不会让塑料颗粒发生热分解（裂解）</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且</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热分解也会导致原料质量的损失较大，导致无法模具内腔无法填满，产品无法成型，因此</w:t>
            </w:r>
            <w:r>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注塑机</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均配备有模温机对温度进行严格的控制。注塑成型后需进行冷却固化，使用冷却水间接冷却，冷却水循环回用，不外排。待注塑机冷却后打开模具腔体，取出产品。脱模后产品进行人工检验合成产品进行包装成品送检后入库。不合格产品及边角料</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通过破碎机破碎后外售其他企业综合利用</w:t>
            </w: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w:t>
            </w:r>
          </w:p>
          <w:p w14:paraId="3631869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37" w:name="_Toc13788"/>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2.3.2产污环节分析</w:t>
            </w:r>
            <w:bookmarkEnd w:id="37"/>
          </w:p>
          <w:p w14:paraId="517A131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项目产污环节分析情况一览表详见表2.3-1</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w:t>
            </w:r>
          </w:p>
          <w:p w14:paraId="7CD675F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表2.3-1 项目产污环节分析一览表</w:t>
            </w:r>
          </w:p>
          <w:tbl>
            <w:tblPr>
              <w:tblStyle w:val="23"/>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18"/>
              <w:gridCol w:w="1082"/>
              <w:gridCol w:w="1847"/>
              <w:gridCol w:w="691"/>
              <w:gridCol w:w="4116"/>
            </w:tblGrid>
            <w:tr w14:paraId="560A4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3" w:type="pct"/>
                  <w:tcBorders>
                    <w:tl2br w:val="nil"/>
                    <w:tr2bl w:val="nil"/>
                  </w:tcBorders>
                  <w:vAlign w:val="center"/>
                </w:tcPr>
                <w:p w14:paraId="75F20DB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序号</w:t>
                  </w:r>
                </w:p>
              </w:tc>
              <w:tc>
                <w:tcPr>
                  <w:tcW w:w="244" w:type="pct"/>
                  <w:tcBorders>
                    <w:tl2br w:val="nil"/>
                    <w:tr2bl w:val="nil"/>
                  </w:tcBorders>
                  <w:vAlign w:val="center"/>
                </w:tcPr>
                <w:p w14:paraId="3A59386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类别</w:t>
                  </w:r>
                </w:p>
              </w:tc>
              <w:tc>
                <w:tcPr>
                  <w:tcW w:w="631" w:type="pct"/>
                  <w:tcBorders>
                    <w:tl2br w:val="nil"/>
                    <w:tr2bl w:val="nil"/>
                  </w:tcBorders>
                  <w:vAlign w:val="center"/>
                </w:tcPr>
                <w:p w14:paraId="5B291F1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污染源/污染工段</w:t>
                  </w:r>
                </w:p>
              </w:tc>
              <w:tc>
                <w:tcPr>
                  <w:tcW w:w="1077" w:type="pct"/>
                  <w:tcBorders>
                    <w:tl2br w:val="nil"/>
                    <w:tr2bl w:val="nil"/>
                  </w:tcBorders>
                  <w:vAlign w:val="center"/>
                </w:tcPr>
                <w:p w14:paraId="14AB82E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主要污染物</w:t>
                  </w:r>
                </w:p>
              </w:tc>
              <w:tc>
                <w:tcPr>
                  <w:tcW w:w="403" w:type="pct"/>
                  <w:tcBorders>
                    <w:tl2br w:val="nil"/>
                    <w:tr2bl w:val="nil"/>
                  </w:tcBorders>
                  <w:vAlign w:val="center"/>
                </w:tcPr>
                <w:p w14:paraId="4F81847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排放周期</w:t>
                  </w:r>
                </w:p>
              </w:tc>
              <w:tc>
                <w:tcPr>
                  <w:tcW w:w="2400" w:type="pct"/>
                  <w:tcBorders>
                    <w:tl2br w:val="nil"/>
                    <w:tr2bl w:val="nil"/>
                  </w:tcBorders>
                  <w:vAlign w:val="center"/>
                </w:tcPr>
                <w:p w14:paraId="68C3C44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环保措施</w:t>
                  </w:r>
                </w:p>
              </w:tc>
            </w:tr>
            <w:tr w14:paraId="109D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restart"/>
                  <w:tcBorders>
                    <w:tl2br w:val="nil"/>
                    <w:tr2bl w:val="nil"/>
                  </w:tcBorders>
                  <w:vAlign w:val="center"/>
                </w:tcPr>
                <w:p w14:paraId="49A3FDC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1</w:t>
                  </w:r>
                </w:p>
              </w:tc>
              <w:tc>
                <w:tcPr>
                  <w:tcW w:w="244" w:type="pct"/>
                  <w:vMerge w:val="restart"/>
                  <w:tcBorders>
                    <w:tl2br w:val="nil"/>
                    <w:tr2bl w:val="nil"/>
                  </w:tcBorders>
                  <w:vAlign w:val="center"/>
                </w:tcPr>
                <w:p w14:paraId="61FBDD7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废水</w:t>
                  </w:r>
                </w:p>
              </w:tc>
              <w:tc>
                <w:tcPr>
                  <w:tcW w:w="631" w:type="pct"/>
                  <w:tcBorders>
                    <w:tl2br w:val="nil"/>
                    <w:tr2bl w:val="nil"/>
                  </w:tcBorders>
                  <w:vAlign w:val="center"/>
                </w:tcPr>
                <w:p w14:paraId="40CA001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冷却工序</w:t>
                  </w:r>
                </w:p>
              </w:tc>
              <w:tc>
                <w:tcPr>
                  <w:tcW w:w="1077" w:type="pct"/>
                  <w:tcBorders>
                    <w:tl2br w:val="nil"/>
                    <w:tr2bl w:val="nil"/>
                  </w:tcBorders>
                  <w:vAlign w:val="center"/>
                </w:tcPr>
                <w:p w14:paraId="5CE4F9D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p>
              </w:tc>
              <w:tc>
                <w:tcPr>
                  <w:tcW w:w="403" w:type="pct"/>
                  <w:tcBorders>
                    <w:tl2br w:val="nil"/>
                    <w:tr2bl w:val="nil"/>
                  </w:tcBorders>
                  <w:vAlign w:val="center"/>
                </w:tcPr>
                <w:p w14:paraId="2264524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400" w:type="pct"/>
                  <w:tcBorders>
                    <w:tl2br w:val="nil"/>
                    <w:tr2bl w:val="nil"/>
                  </w:tcBorders>
                  <w:vAlign w:val="center"/>
                </w:tcPr>
                <w:p w14:paraId="7C9FADA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冷却水循环使用不外排，定期补充新鲜用水</w:t>
                  </w:r>
                </w:p>
              </w:tc>
            </w:tr>
            <w:tr w14:paraId="6B16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continue"/>
                  <w:tcBorders>
                    <w:tl2br w:val="nil"/>
                    <w:tr2bl w:val="nil"/>
                  </w:tcBorders>
                  <w:vAlign w:val="center"/>
                </w:tcPr>
                <w:p w14:paraId="4E77B97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4" w:type="pct"/>
                  <w:vMerge w:val="continue"/>
                  <w:tcBorders>
                    <w:tl2br w:val="nil"/>
                    <w:tr2bl w:val="nil"/>
                  </w:tcBorders>
                  <w:vAlign w:val="center"/>
                </w:tcPr>
                <w:p w14:paraId="41E6E93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631" w:type="pct"/>
                  <w:tcBorders>
                    <w:tl2br w:val="nil"/>
                    <w:tr2bl w:val="nil"/>
                  </w:tcBorders>
                  <w:vAlign w:val="center"/>
                </w:tcPr>
                <w:p w14:paraId="751EF57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生活用水</w:t>
                  </w:r>
                </w:p>
              </w:tc>
              <w:tc>
                <w:tcPr>
                  <w:tcW w:w="1077" w:type="pct"/>
                  <w:tcBorders>
                    <w:tl2br w:val="nil"/>
                    <w:tr2bl w:val="nil"/>
                  </w:tcBorders>
                  <w:vAlign w:val="center"/>
                </w:tcPr>
                <w:p w14:paraId="1E20D28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403" w:type="pct"/>
                  <w:tcBorders>
                    <w:tl2br w:val="nil"/>
                    <w:tr2bl w:val="nil"/>
                  </w:tcBorders>
                  <w:vAlign w:val="center"/>
                </w:tcPr>
                <w:p w14:paraId="64EB930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00" w:type="pct"/>
                  <w:tcBorders>
                    <w:tl2br w:val="nil"/>
                    <w:tr2bl w:val="nil"/>
                  </w:tcBorders>
                  <w:vAlign w:val="center"/>
                </w:tcPr>
                <w:p w14:paraId="636D28D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经化粪池预处理后接入市政污水管网排入福清市融元污水处理厂集中处理</w:t>
                  </w:r>
                </w:p>
              </w:tc>
            </w:tr>
            <w:tr w14:paraId="6EC58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restart"/>
                  <w:tcBorders>
                    <w:tl2br w:val="nil"/>
                    <w:tr2bl w:val="nil"/>
                  </w:tcBorders>
                  <w:vAlign w:val="center"/>
                </w:tcPr>
                <w:p w14:paraId="11301E1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2</w:t>
                  </w:r>
                </w:p>
              </w:tc>
              <w:tc>
                <w:tcPr>
                  <w:tcW w:w="244" w:type="pct"/>
                  <w:vMerge w:val="restart"/>
                  <w:tcBorders>
                    <w:tl2br w:val="nil"/>
                    <w:tr2bl w:val="nil"/>
                  </w:tcBorders>
                  <w:vAlign w:val="center"/>
                </w:tcPr>
                <w:p w14:paraId="6019F0B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631" w:type="pct"/>
                  <w:tcBorders>
                    <w:tl2br w:val="nil"/>
                    <w:tr2bl w:val="nil"/>
                  </w:tcBorders>
                  <w:shd w:val="clear" w:color="auto" w:fill="auto"/>
                  <w:vAlign w:val="center"/>
                </w:tcPr>
                <w:p w14:paraId="6C02BF7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注塑</w:t>
                  </w: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、脱模</w:t>
                  </w:r>
                </w:p>
              </w:tc>
              <w:tc>
                <w:tcPr>
                  <w:tcW w:w="1077" w:type="pct"/>
                  <w:tcBorders>
                    <w:tl2br w:val="nil"/>
                    <w:tr2bl w:val="nil"/>
                  </w:tcBorders>
                  <w:shd w:val="clear" w:color="auto" w:fill="auto"/>
                  <w:vAlign w:val="center"/>
                </w:tcPr>
                <w:p w14:paraId="61F1535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、臭气浓度</w:t>
                  </w: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r>
                    <w:rPr>
                      <w:rFonts w:hint="eastAsia" w:cs="Times New Roman"/>
                      <w:bCs/>
                      <w:color w:val="000000" w:themeColor="text1"/>
                      <w:kern w:val="2"/>
                      <w:sz w:val="21"/>
                      <w:szCs w:val="21"/>
                      <w:lang w:val="en-US" w:eastAsia="zh-CN" w:bidi="ar-SA"/>
                      <w14:textFill>
                        <w14:solidFill>
                          <w14:schemeClr w14:val="tx1"/>
                        </w14:solidFill>
                      </w14:textFill>
                    </w:rPr>
                    <w:t>苯乙烯、丙烯腈、1,3-丁二烯、甲苯、乙苯</w:t>
                  </w:r>
                </w:p>
              </w:tc>
              <w:tc>
                <w:tcPr>
                  <w:tcW w:w="403" w:type="pct"/>
                  <w:tcBorders>
                    <w:tl2br w:val="nil"/>
                    <w:tr2bl w:val="nil"/>
                  </w:tcBorders>
                  <w:shd w:val="clear" w:color="auto" w:fill="auto"/>
                  <w:vAlign w:val="center"/>
                </w:tcPr>
                <w:p w14:paraId="1833E6C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2400" w:type="pct"/>
                  <w:tcBorders>
                    <w:tl2br w:val="nil"/>
                    <w:tr2bl w:val="nil"/>
                  </w:tcBorders>
                  <w:shd w:val="clear" w:color="auto" w:fill="auto"/>
                  <w:vAlign w:val="center"/>
                </w:tcPr>
                <w:p w14:paraId="765A777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注塑</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、脱模产生</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废气通过集气罩收集后由一套</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“二级</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（TA001）处理后，通过1根15m高排气筒</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A001</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r>
            <w:tr w14:paraId="4FAAB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vMerge w:val="continue"/>
                  <w:tcBorders>
                    <w:tl2br w:val="nil"/>
                    <w:tr2bl w:val="nil"/>
                  </w:tcBorders>
                  <w:vAlign w:val="center"/>
                </w:tcPr>
                <w:p w14:paraId="4543BF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4" w:type="pct"/>
                  <w:vMerge w:val="continue"/>
                  <w:tcBorders>
                    <w:tl2br w:val="nil"/>
                    <w:tr2bl w:val="nil"/>
                  </w:tcBorders>
                  <w:vAlign w:val="center"/>
                </w:tcPr>
                <w:p w14:paraId="5DDB12F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631" w:type="pct"/>
                  <w:tcBorders>
                    <w:tl2br w:val="nil"/>
                    <w:tr2bl w:val="nil"/>
                  </w:tcBorders>
                  <w:shd w:val="clear" w:color="auto" w:fill="auto"/>
                  <w:vAlign w:val="center"/>
                </w:tcPr>
                <w:p w14:paraId="01F3277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不合格产品</w:t>
                  </w: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破碎</w:t>
                  </w:r>
                </w:p>
              </w:tc>
              <w:tc>
                <w:tcPr>
                  <w:tcW w:w="1077" w:type="pct"/>
                  <w:tcBorders>
                    <w:tl2br w:val="nil"/>
                    <w:tr2bl w:val="nil"/>
                  </w:tcBorders>
                  <w:shd w:val="clear" w:color="auto" w:fill="auto"/>
                  <w:vAlign w:val="center"/>
                </w:tcPr>
                <w:p w14:paraId="507DD00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颗粒物</w:t>
                  </w:r>
                </w:p>
              </w:tc>
              <w:tc>
                <w:tcPr>
                  <w:tcW w:w="403" w:type="pct"/>
                  <w:tcBorders>
                    <w:tl2br w:val="nil"/>
                    <w:tr2bl w:val="nil"/>
                  </w:tcBorders>
                  <w:vAlign w:val="center"/>
                </w:tcPr>
                <w:p w14:paraId="27898FA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间歇</w:t>
                  </w:r>
                </w:p>
              </w:tc>
              <w:tc>
                <w:tcPr>
                  <w:tcW w:w="2400" w:type="pct"/>
                  <w:tcBorders>
                    <w:tl2br w:val="nil"/>
                    <w:tr2bl w:val="nil"/>
                  </w:tcBorders>
                  <w:vAlign w:val="center"/>
                </w:tcPr>
                <w:p w14:paraId="6CA9AC1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破碎颗粒物通过集气罩收集后经布袋除尘器（TA002）处理后，并入15m排气筒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r>
            <w:tr w14:paraId="1BB10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43" w:type="pct"/>
                  <w:vMerge w:val="restart"/>
                  <w:tcBorders>
                    <w:tl2br w:val="nil"/>
                    <w:tr2bl w:val="nil"/>
                  </w:tcBorders>
                  <w:vAlign w:val="center"/>
                </w:tcPr>
                <w:p w14:paraId="0EAF5A9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3</w:t>
                  </w:r>
                </w:p>
              </w:tc>
              <w:tc>
                <w:tcPr>
                  <w:tcW w:w="244" w:type="pct"/>
                  <w:vMerge w:val="restart"/>
                  <w:tcBorders>
                    <w:tl2br w:val="nil"/>
                    <w:tr2bl w:val="nil"/>
                  </w:tcBorders>
                  <w:vAlign w:val="center"/>
                </w:tcPr>
                <w:p w14:paraId="6A8D872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固废</w:t>
                  </w:r>
                </w:p>
              </w:tc>
              <w:tc>
                <w:tcPr>
                  <w:tcW w:w="631" w:type="pct"/>
                  <w:tcBorders>
                    <w:tl2br w:val="nil"/>
                    <w:tr2bl w:val="nil"/>
                  </w:tcBorders>
                  <w:shd w:val="clear" w:color="auto" w:fill="auto"/>
                  <w:vAlign w:val="center"/>
                </w:tcPr>
                <w:p w14:paraId="563AE5D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生活垃圾</w:t>
                  </w:r>
                </w:p>
              </w:tc>
              <w:tc>
                <w:tcPr>
                  <w:tcW w:w="1077" w:type="pct"/>
                  <w:tcBorders>
                    <w:tl2br w:val="nil"/>
                    <w:tr2bl w:val="nil"/>
                  </w:tcBorders>
                  <w:shd w:val="clear" w:color="auto" w:fill="auto"/>
                  <w:vAlign w:val="center"/>
                </w:tcPr>
                <w:p w14:paraId="4C74542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纸屑、塑料袋等</w:t>
                  </w:r>
                </w:p>
              </w:tc>
              <w:tc>
                <w:tcPr>
                  <w:tcW w:w="403" w:type="pct"/>
                  <w:tcBorders>
                    <w:tl2br w:val="nil"/>
                    <w:tr2bl w:val="nil"/>
                  </w:tcBorders>
                  <w:shd w:val="clear" w:color="auto" w:fill="auto"/>
                  <w:vAlign w:val="center"/>
                </w:tcPr>
                <w:p w14:paraId="086CE0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00" w:type="pct"/>
                  <w:tcBorders>
                    <w:tl2br w:val="nil"/>
                    <w:tr2bl w:val="nil"/>
                  </w:tcBorders>
                  <w:shd w:val="clear" w:color="auto" w:fill="auto"/>
                  <w:vAlign w:val="center"/>
                </w:tcPr>
                <w:p w14:paraId="126224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eastAsia="zh-CN"/>
                      <w14:textFill>
                        <w14:solidFill>
                          <w14:schemeClr w14:val="tx1"/>
                        </w14:solidFill>
                      </w14:textFill>
                    </w:rPr>
                    <w:t>厂区内设置生活垃圾桶，分类收集后委托环卫部门每日清运处置</w:t>
                  </w:r>
                </w:p>
              </w:tc>
            </w:tr>
            <w:tr w14:paraId="0492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3" w:type="pct"/>
                  <w:vMerge w:val="continue"/>
                  <w:vAlign w:val="center"/>
                </w:tcPr>
                <w:p w14:paraId="418748E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4" w:type="pct"/>
                  <w:vMerge w:val="continue"/>
                  <w:vAlign w:val="center"/>
                </w:tcPr>
                <w:p w14:paraId="1F7F72C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631" w:type="pct"/>
                  <w:shd w:val="clear" w:color="auto" w:fill="auto"/>
                  <w:vAlign w:val="center"/>
                </w:tcPr>
                <w:p w14:paraId="251BEC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产品检验</w:t>
                  </w:r>
                </w:p>
              </w:tc>
              <w:tc>
                <w:tcPr>
                  <w:tcW w:w="1077" w:type="pct"/>
                  <w:shd w:val="clear" w:color="auto" w:fill="auto"/>
                  <w:vAlign w:val="center"/>
                </w:tcPr>
                <w:p w14:paraId="4DDFF30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不合格产品及边角料</w:t>
                  </w:r>
                </w:p>
              </w:tc>
              <w:tc>
                <w:tcPr>
                  <w:tcW w:w="403" w:type="pct"/>
                  <w:shd w:val="clear" w:color="auto" w:fill="auto"/>
                  <w:vAlign w:val="center"/>
                </w:tcPr>
                <w:p w14:paraId="085890C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00" w:type="pct"/>
                  <w:shd w:val="clear" w:color="auto" w:fill="auto"/>
                  <w:vAlign w:val="center"/>
                </w:tcPr>
                <w:p w14:paraId="4E00ED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注塑过程所产生的不合格产品及边角料</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经破碎处理后</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外售其他企业综合利用</w:t>
                  </w:r>
                </w:p>
              </w:tc>
            </w:tr>
            <w:tr w14:paraId="2B271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43" w:type="pct"/>
                  <w:vMerge w:val="continue"/>
                  <w:vAlign w:val="center"/>
                </w:tcPr>
                <w:p w14:paraId="3194F2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4" w:type="pct"/>
                  <w:vMerge w:val="continue"/>
                  <w:vAlign w:val="center"/>
                </w:tcPr>
                <w:p w14:paraId="7572B8E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1" w:type="pct"/>
                  <w:shd w:val="clear" w:color="auto" w:fill="auto"/>
                  <w:vAlign w:val="center"/>
                </w:tcPr>
                <w:p w14:paraId="2C4F56C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生产工序</w:t>
                  </w:r>
                </w:p>
              </w:tc>
              <w:tc>
                <w:tcPr>
                  <w:tcW w:w="1077" w:type="pct"/>
                  <w:shd w:val="clear" w:color="auto" w:fill="auto"/>
                  <w:vAlign w:val="center"/>
                </w:tcPr>
                <w:p w14:paraId="5EC3AD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废包装材料</w:t>
                  </w:r>
                </w:p>
              </w:tc>
              <w:tc>
                <w:tcPr>
                  <w:tcW w:w="403" w:type="pct"/>
                  <w:shd w:val="clear" w:color="auto" w:fill="auto"/>
                  <w:vAlign w:val="center"/>
                </w:tcPr>
                <w:p w14:paraId="54E56AA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00" w:type="pct"/>
                  <w:shd w:val="clear" w:color="auto" w:fill="auto"/>
                  <w:vAlign w:val="center"/>
                </w:tcPr>
                <w:p w14:paraId="3974444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设一般工业固废暂存间，妥善分类收集后出售给回收企业综合利用</w:t>
                  </w:r>
                </w:p>
              </w:tc>
            </w:tr>
            <w:tr w14:paraId="48C5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43" w:type="pct"/>
                  <w:vMerge w:val="continue"/>
                  <w:vAlign w:val="center"/>
                </w:tcPr>
                <w:p w14:paraId="024CAF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4" w:type="pct"/>
                  <w:vMerge w:val="continue"/>
                  <w:vAlign w:val="center"/>
                </w:tcPr>
                <w:p w14:paraId="6E89E4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1" w:type="pct"/>
                  <w:shd w:val="clear" w:color="auto" w:fill="auto"/>
                  <w:vAlign w:val="center"/>
                </w:tcPr>
                <w:p w14:paraId="10671D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1077" w:type="pct"/>
                  <w:shd w:val="clear" w:color="auto" w:fill="auto"/>
                  <w:vAlign w:val="center"/>
                </w:tcPr>
                <w:p w14:paraId="5947D46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布袋除尘器收集的粉尘</w:t>
                  </w:r>
                </w:p>
              </w:tc>
              <w:tc>
                <w:tcPr>
                  <w:tcW w:w="403" w:type="pct"/>
                  <w:shd w:val="clear" w:color="auto" w:fill="auto"/>
                  <w:vAlign w:val="center"/>
                </w:tcPr>
                <w:p w14:paraId="028CF7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连续</w:t>
                  </w:r>
                </w:p>
              </w:tc>
              <w:tc>
                <w:tcPr>
                  <w:tcW w:w="2400" w:type="pct"/>
                  <w:shd w:val="clear" w:color="auto" w:fill="auto"/>
                  <w:vAlign w:val="center"/>
                </w:tcPr>
                <w:p w14:paraId="4F3A45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收集粉尘主要为废塑料颗粒委托环卫部门定期处置</w:t>
                  </w:r>
                </w:p>
              </w:tc>
            </w:tr>
            <w:tr w14:paraId="19C9B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3" w:type="pct"/>
                  <w:vMerge w:val="continue"/>
                  <w:vAlign w:val="center"/>
                </w:tcPr>
                <w:p w14:paraId="23A6CEB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4" w:type="pct"/>
                  <w:vMerge w:val="continue"/>
                  <w:vAlign w:val="center"/>
                </w:tcPr>
                <w:p w14:paraId="2C37DCC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631" w:type="pct"/>
                  <w:shd w:val="clear" w:color="auto" w:fill="auto"/>
                  <w:vAlign w:val="center"/>
                </w:tcPr>
                <w:p w14:paraId="4DDBD5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废气处理</w:t>
                  </w:r>
                </w:p>
              </w:tc>
              <w:tc>
                <w:tcPr>
                  <w:tcW w:w="1077" w:type="pct"/>
                  <w:shd w:val="clear" w:color="auto" w:fill="auto"/>
                  <w:vAlign w:val="center"/>
                </w:tcPr>
                <w:p w14:paraId="73713A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废活性炭</w:t>
                  </w:r>
                </w:p>
              </w:tc>
              <w:tc>
                <w:tcPr>
                  <w:tcW w:w="403" w:type="pct"/>
                  <w:vMerge w:val="restart"/>
                  <w:shd w:val="clear" w:color="auto" w:fill="auto"/>
                  <w:vAlign w:val="center"/>
                </w:tcPr>
                <w:p w14:paraId="497898C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00" w:type="pct"/>
                  <w:vMerge w:val="restart"/>
                  <w:shd w:val="clear" w:color="auto" w:fill="auto"/>
                  <w:vAlign w:val="center"/>
                </w:tcPr>
                <w:p w14:paraId="1CE63A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按照规范要求设置一间危险废物贮存库，面积约5m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，存放废活性炭</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、废机油</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等危险废物。贮存间内张贴明显</w:t>
                  </w:r>
                  <w:r>
                    <w:rPr>
                      <w:rFonts w:hint="eastAsia" w:cs="Times New Roman"/>
                      <w:color w:val="000000" w:themeColor="text1"/>
                      <w:sz w:val="21"/>
                      <w:szCs w:val="21"/>
                      <w:highlight w:val="none"/>
                      <w:vertAlign w:val="baseline"/>
                      <w:lang w:val="en-US" w:eastAsia="zh-CN"/>
                      <w14:textFill>
                        <w14:solidFill>
                          <w14:schemeClr w14:val="tx1"/>
                        </w14:solidFill>
                      </w14:textFill>
                    </w:rPr>
                    <w:t>警示标志</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并设置围堰及导流沟，地面刷环氧树脂漆。并与有资质的单位签署危废委托协调</w:t>
                  </w:r>
                </w:p>
              </w:tc>
            </w:tr>
            <w:tr w14:paraId="7E51F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43" w:type="pct"/>
                  <w:vMerge w:val="continue"/>
                  <w:vAlign w:val="center"/>
                </w:tcPr>
                <w:p w14:paraId="127324D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4" w:type="pct"/>
                  <w:vMerge w:val="continue"/>
                  <w:vAlign w:val="center"/>
                </w:tcPr>
                <w:p w14:paraId="6166EB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31" w:type="pct"/>
                  <w:shd w:val="clear" w:color="auto" w:fill="auto"/>
                  <w:vAlign w:val="center"/>
                </w:tcPr>
                <w:p w14:paraId="60F55FA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设备维护</w:t>
                  </w:r>
                </w:p>
              </w:tc>
              <w:tc>
                <w:tcPr>
                  <w:tcW w:w="1077" w:type="pct"/>
                  <w:shd w:val="clear" w:color="auto" w:fill="auto"/>
                  <w:vAlign w:val="center"/>
                </w:tcPr>
                <w:p w14:paraId="743A769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废润滑油</w:t>
                  </w:r>
                </w:p>
              </w:tc>
              <w:tc>
                <w:tcPr>
                  <w:tcW w:w="403" w:type="pct"/>
                  <w:vMerge w:val="continue"/>
                  <w:shd w:val="clear" w:color="auto" w:fill="auto"/>
                  <w:vAlign w:val="center"/>
                </w:tcPr>
                <w:p w14:paraId="15E3E4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400" w:type="pct"/>
                  <w:vMerge w:val="continue"/>
                  <w:shd w:val="clear" w:color="auto" w:fill="auto"/>
                  <w:vAlign w:val="center"/>
                </w:tcPr>
                <w:p w14:paraId="139B14A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r>
            <w:tr w14:paraId="6244F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43" w:type="pct"/>
                  <w:vAlign w:val="center"/>
                </w:tcPr>
                <w:p w14:paraId="3D90776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4</w:t>
                  </w:r>
                </w:p>
              </w:tc>
              <w:tc>
                <w:tcPr>
                  <w:tcW w:w="244" w:type="pct"/>
                  <w:vAlign w:val="center"/>
                </w:tcPr>
                <w:p w14:paraId="3844B73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噪声</w:t>
                  </w:r>
                </w:p>
              </w:tc>
              <w:tc>
                <w:tcPr>
                  <w:tcW w:w="631" w:type="pct"/>
                  <w:shd w:val="clear" w:color="auto" w:fill="auto"/>
                  <w:vAlign w:val="center"/>
                </w:tcPr>
                <w:p w14:paraId="57E1846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生产设备</w:t>
                  </w:r>
                </w:p>
              </w:tc>
              <w:tc>
                <w:tcPr>
                  <w:tcW w:w="1077" w:type="pct"/>
                  <w:shd w:val="clear" w:color="auto" w:fill="auto"/>
                  <w:vAlign w:val="center"/>
                </w:tcPr>
                <w:p w14:paraId="616240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Leq</w:t>
                  </w:r>
                </w:p>
              </w:tc>
              <w:tc>
                <w:tcPr>
                  <w:tcW w:w="403" w:type="pct"/>
                  <w:shd w:val="clear" w:color="auto" w:fill="auto"/>
                  <w:vAlign w:val="center"/>
                </w:tcPr>
                <w:p w14:paraId="487A580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连续</w:t>
                  </w:r>
                </w:p>
              </w:tc>
              <w:tc>
                <w:tcPr>
                  <w:tcW w:w="2400" w:type="pct"/>
                  <w:shd w:val="clear" w:color="auto" w:fill="auto"/>
                  <w:vAlign w:val="center"/>
                </w:tcPr>
                <w:p w14:paraId="34538EC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厂房隔声、设备基础减振等综合降噪措施</w:t>
                  </w:r>
                </w:p>
              </w:tc>
            </w:tr>
          </w:tbl>
          <w:p w14:paraId="3EA1D80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4738" w:type="pct"/>
            <w:vAlign w:val="center"/>
          </w:tcPr>
          <w:p w14:paraId="1DDC777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新建项目，购置已建厂房进行生产，不涉及项目有关的原有环境污染问题</w:t>
            </w:r>
          </w:p>
        </w:tc>
      </w:tr>
    </w:tbl>
    <w:p w14:paraId="354DADD8">
      <w:pPr>
        <w:rPr>
          <w:rFonts w:hint="default" w:ascii="Times New Roman" w:hAnsi="Times New Roman" w:eastAsia="黑体" w:cs="Times New Roman"/>
          <w:snapToGrid w:val="0"/>
          <w:color w:val="auto"/>
          <w:sz w:val="30"/>
          <w:szCs w:val="30"/>
          <w:u w:val="none"/>
        </w:rPr>
      </w:pPr>
      <w:bookmarkStart w:id="38" w:name="_Toc7756"/>
      <w:r>
        <w:rPr>
          <w:rFonts w:hint="default" w:ascii="Times New Roman" w:hAnsi="Times New Roman" w:eastAsia="黑体" w:cs="Times New Roman"/>
          <w:snapToGrid w:val="0"/>
          <w:color w:val="000000" w:themeColor="text1"/>
          <w:sz w:val="30"/>
          <w:szCs w:val="30"/>
          <w:u w:val="none"/>
          <w14:textFill>
            <w14:solidFill>
              <w14:schemeClr w14:val="tx1"/>
            </w14:solidFill>
          </w14:textFill>
        </w:rPr>
        <w:br w:type="page"/>
      </w:r>
    </w:p>
    <w:p w14:paraId="5B565178">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39" w:name="_Toc29722"/>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38"/>
      <w:bookmarkEnd w:id="39"/>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4F2DB76B">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40" w:name="_Toc32076"/>
            <w:r>
              <w:rPr>
                <w:rFonts w:hint="eastAsia" w:ascii="Times New Roman" w:hAnsi="Times New Roman" w:eastAsia="宋体" w:cs="Times New Roman"/>
                <w:color w:val="auto"/>
                <w:sz w:val="28"/>
                <w:szCs w:val="28"/>
                <w:u w:val="none"/>
                <w:lang w:val="en-US" w:eastAsia="zh-CN"/>
              </w:rPr>
              <w:t>3.1大气环境质量现状</w:t>
            </w:r>
            <w:bookmarkEnd w:id="40"/>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41" w:name="_Toc4517"/>
            <w:r>
              <w:rPr>
                <w:rFonts w:hint="eastAsia" w:ascii="Times New Roman" w:hAnsi="Times New Roman" w:eastAsia="宋体" w:cs="Times New Roman"/>
                <w:b/>
                <w:bCs/>
                <w:color w:val="auto"/>
                <w:sz w:val="24"/>
                <w:szCs w:val="24"/>
                <w:u w:val="none"/>
                <w:lang w:val="en-US" w:eastAsia="zh-CN"/>
              </w:rPr>
              <w:t>3.1.1环境空气质量功能区划</w:t>
            </w:r>
            <w:bookmarkEnd w:id="41"/>
          </w:p>
          <w:p w14:paraId="1AC459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42" w:name="_Toc339964236"/>
            <w:bookmarkStart w:id="43" w:name="_Toc338850492"/>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》的规定，项目所在区域环境空气功能规划为二类区，环境空气质量执行《环境空气质量标准》</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GB3095-2012</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及其修改单中的二级标准。项目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42"/>
            <w:bookmarkEnd w:id="43"/>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  项目环境空气标准一览表</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32"/>
              <w:gridCol w:w="2033"/>
              <w:gridCol w:w="1589"/>
              <w:gridCol w:w="3279"/>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618" w:hRule="atLeast"/>
                <w:jc w:val="center"/>
              </w:trPr>
              <w:tc>
                <w:tcPr>
                  <w:tcW w:w="956"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91"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931"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920"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68" w:hRule="atLeast"/>
                <w:jc w:val="center"/>
              </w:trPr>
              <w:tc>
                <w:tcPr>
                  <w:tcW w:w="956"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91"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1920"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GB309</w:t>
                  </w:r>
                  <w:r>
                    <w:rPr>
                      <w:rFonts w:hint="default" w:ascii="Times New Roman" w:hAnsi="Times New Roman" w:eastAsia="宋体" w:cs="Times New Roman"/>
                      <w:color w:val="auto"/>
                      <w:sz w:val="21"/>
                      <w:szCs w:val="21"/>
                      <w:lang w:eastAsia="zh-CN"/>
                    </w:rPr>
                    <w:t>6-2</w:t>
                  </w:r>
                  <w:r>
                    <w:rPr>
                      <w:rFonts w:hint="default" w:ascii="Times New Roman" w:hAnsi="Times New Roman" w:eastAsia="宋体" w:cs="Times New Roman"/>
                      <w:color w:val="auto"/>
                      <w:sz w:val="21"/>
                      <w:szCs w:val="21"/>
                    </w:rPr>
                    <w:t>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及其修改单中的二级标准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91"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2" w:hRule="atLeast"/>
                <w:jc w:val="center"/>
              </w:trPr>
              <w:tc>
                <w:tcPr>
                  <w:tcW w:w="956"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91"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1" w:hRule="atLeast"/>
                <w:jc w:val="center"/>
              </w:trPr>
              <w:tc>
                <w:tcPr>
                  <w:tcW w:w="956"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91"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931"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69" w:hRule="atLeast"/>
                <w:jc w:val="center"/>
              </w:trPr>
              <w:tc>
                <w:tcPr>
                  <w:tcW w:w="956"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56"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91"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931"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1920"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44" w:name="_Toc4542"/>
            <w:r>
              <w:rPr>
                <w:rFonts w:hint="default" w:ascii="Times New Roman" w:hAnsi="Times New Roman" w:eastAsia="宋体" w:cs="Times New Roman"/>
                <w:b/>
                <w:bCs/>
                <w:color w:val="auto"/>
                <w:sz w:val="24"/>
                <w:szCs w:val="24"/>
                <w:u w:val="none"/>
                <w:lang w:val="en-US" w:eastAsia="zh-CN"/>
              </w:rPr>
              <w:t>3.1.2环境空气质量现状</w:t>
            </w:r>
            <w:bookmarkEnd w:id="44"/>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2"/>
              <w:keepLines w:val="0"/>
              <w:pageBreakBefore w:val="0"/>
              <w:widowControl w:val="0"/>
              <w:kinsoku/>
              <w:wordWrap/>
              <w:topLinePunct w:val="0"/>
              <w:autoSpaceDE/>
              <w:autoSpaceDN/>
              <w:bidi w:val="0"/>
              <w:ind w:firstLine="480"/>
              <w:textAlignment w:val="auto"/>
              <w:outlineLvl w:val="9"/>
              <w:rPr>
                <w:rFonts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“2024年12月福建省城市环境空气质量状况”</w:t>
            </w:r>
            <w:r>
              <w:rPr>
                <w:rFonts w:cs="Times New Roman"/>
                <w:color w:val="auto"/>
                <w:highlight w:val="none"/>
              </w:rPr>
              <w:t>（</w:t>
            </w:r>
            <w:r>
              <w:rPr>
                <w:rFonts w:hint="eastAsia" w:cs="Times New Roman"/>
                <w:color w:val="auto"/>
                <w:highlight w:val="none"/>
              </w:rPr>
              <w:t>https://sthjt.fujian.gov.cn/zwgk/sjfb/hjsj/zlph/202502/t20250208_6712419.htm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2024年1-12月，</w:t>
            </w:r>
            <w:r>
              <w:rPr>
                <w:rFonts w:cs="Times New Roman"/>
                <w:color w:val="auto"/>
                <w:highlight w:val="none"/>
              </w:rPr>
              <w:t>福州市环境空气质量综合指数</w:t>
            </w:r>
            <w:r>
              <w:rPr>
                <w:rFonts w:hint="eastAsia" w:cs="Times New Roman"/>
                <w:color w:val="auto"/>
                <w:highlight w:val="none"/>
                <w:lang w:val="en-US" w:eastAsia="zh-CN"/>
              </w:rPr>
              <w:t>2.40</w:t>
            </w:r>
            <w:r>
              <w:rPr>
                <w:rFonts w:cs="Times New Roman"/>
                <w:color w:val="auto"/>
                <w:highlight w:val="none"/>
              </w:rPr>
              <w:t>，达标天数比例在</w:t>
            </w:r>
            <w:r>
              <w:rPr>
                <w:rFonts w:hint="eastAsia" w:cs="Times New Roman"/>
                <w:color w:val="auto"/>
                <w:highlight w:val="none"/>
                <w:lang w:val="en-US" w:eastAsia="zh-CN"/>
              </w:rPr>
              <w:t>98.1</w:t>
            </w:r>
            <w:r>
              <w:rPr>
                <w:rFonts w:cs="Times New Roman"/>
                <w:color w:val="auto"/>
                <w:highlight w:val="none"/>
              </w:rPr>
              <w:t>%，各污染物平均浓度均优于《环境空气质量标准》（GB 3095-2012）中二级标准限值，</w:t>
            </w:r>
            <w:r>
              <w:rPr>
                <w:rFonts w:hint="eastAsia" w:cs="Times New Roman"/>
                <w:color w:val="auto"/>
                <w:highlight w:val="none"/>
              </w:rPr>
              <w:t>福清市</w:t>
            </w:r>
            <w:r>
              <w:rPr>
                <w:rFonts w:cs="Times New Roman"/>
                <w:color w:val="auto"/>
                <w:highlight w:val="none"/>
              </w:rPr>
              <w:t>环境空气质量综合指数</w:t>
            </w:r>
            <w:r>
              <w:rPr>
                <w:rFonts w:hint="eastAsia" w:cs="Times New Roman"/>
                <w:color w:val="auto"/>
                <w:highlight w:val="none"/>
                <w:lang w:val="en-US" w:eastAsia="zh-CN"/>
              </w:rPr>
              <w:t>2.17</w:t>
            </w:r>
            <w:r>
              <w:rPr>
                <w:rFonts w:cs="Times New Roman"/>
                <w:color w:val="auto"/>
                <w:highlight w:val="none"/>
              </w:rPr>
              <w:t>，达标天数比例在</w:t>
            </w:r>
            <w:r>
              <w:rPr>
                <w:rFonts w:hint="eastAsia" w:cs="Times New Roman"/>
                <w:color w:val="auto"/>
                <w:highlight w:val="none"/>
              </w:rPr>
              <w:t>9</w:t>
            </w:r>
            <w:r>
              <w:rPr>
                <w:rFonts w:hint="eastAsia" w:cs="Times New Roman"/>
                <w:color w:val="auto"/>
                <w:highlight w:val="none"/>
                <w:lang w:val="en-US" w:eastAsia="zh-CN"/>
              </w:rPr>
              <w:t>9.7</w:t>
            </w:r>
            <w:r>
              <w:rPr>
                <w:rFonts w:cs="Times New Roman"/>
                <w:color w:val="auto"/>
                <w:highlight w:val="none"/>
              </w:rPr>
              <w:t>%，因此</w:t>
            </w:r>
            <w:r>
              <w:rPr>
                <w:rFonts w:hint="eastAsia" w:cs="Times New Roman"/>
                <w:color w:val="auto"/>
                <w:highlight w:val="none"/>
              </w:rPr>
              <w:t>福清市</w:t>
            </w:r>
            <w:r>
              <w:rPr>
                <w:rFonts w:cs="Times New Roman"/>
                <w:color w:val="auto"/>
                <w:highlight w:val="none"/>
              </w:rPr>
              <w:t>属于达标区</w:t>
            </w:r>
            <w:r>
              <w:rPr>
                <w:rFonts w:hint="eastAsia" w:cs="Times New Roman"/>
                <w:color w:val="auto"/>
                <w:highlight w:val="none"/>
              </w:rPr>
              <w:t>，</w:t>
            </w:r>
            <w:r>
              <w:rPr>
                <w:rFonts w:cs="Times New Roman"/>
                <w:color w:val="auto"/>
                <w:highlight w:val="none"/>
              </w:rPr>
              <w:t>详见图3.1-1</w:t>
            </w:r>
            <w:r>
              <w:rPr>
                <w:rFonts w:hint="eastAsia" w:cs="Times New Roman"/>
                <w:color w:val="auto"/>
                <w:highlight w:val="none"/>
              </w:rPr>
              <w:t>和图3.1-2</w:t>
            </w:r>
            <w:r>
              <w:rPr>
                <w:rFonts w:cs="Times New Roman"/>
                <w:color w:val="auto"/>
                <w:highlight w:val="none"/>
              </w:rPr>
              <w:t>。</w:t>
            </w:r>
          </w:p>
          <w:p w14:paraId="6862743E">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default" w:ascii="Times New Roman" w:hAnsi="Times New Roman" w:eastAsia="宋体" w:cs="Times New Roman"/>
                <w:color w:val="auto"/>
                <w:kern w:val="0"/>
                <w:sz w:val="24"/>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275590</wp:posOffset>
                      </wp:positionH>
                      <wp:positionV relativeFrom="paragraph">
                        <wp:posOffset>1718945</wp:posOffset>
                      </wp:positionV>
                      <wp:extent cx="5067300" cy="238125"/>
                      <wp:effectExtent l="13970" t="13970" r="24130" b="14605"/>
                      <wp:wrapNone/>
                      <wp:docPr id="176" name="矩形 176"/>
                      <wp:cNvGraphicFramePr/>
                      <a:graphic xmlns:a="http://schemas.openxmlformats.org/drawingml/2006/main">
                        <a:graphicData uri="http://schemas.microsoft.com/office/word/2010/wordprocessingShape">
                          <wps:wsp>
                            <wps:cNvSpPr/>
                            <wps:spPr>
                              <a:xfrm>
                                <a:off x="1464945" y="6966585"/>
                                <a:ext cx="5067300" cy="2381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pt;margin-top:135.35pt;height:18.75pt;width:399pt;z-index:251668480;v-text-anchor:middle;mso-width-relative:page;mso-height-relative:page;" filled="f" stroked="t" coordsize="21600,21600" o:gfxdata="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ch9sdkAAAAKAQAADwAAAAAAAAABACAAAAAi&#10;AAAAZHJzL2Rvd25yZXYueG1sUEsBAhQAFAAAAAgAh07iQARMjuZ7AgAA2wQAAA4AAAAAAAAAAQAg&#10;AAAAKAEAAGRycy9lMm9Eb2MueG1sUEsFBgAAAAAGAAYAWQEAABUGA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7456" behindDoc="0" locked="0" layoutInCell="1" allowOverlap="1">
                  <wp:simplePos x="0" y="0"/>
                  <wp:positionH relativeFrom="column">
                    <wp:posOffset>635</wp:posOffset>
                  </wp:positionH>
                  <wp:positionV relativeFrom="paragraph">
                    <wp:posOffset>363855</wp:posOffset>
                  </wp:positionV>
                  <wp:extent cx="5462905" cy="3629660"/>
                  <wp:effectExtent l="0" t="0" r="4445" b="8890"/>
                  <wp:wrapNone/>
                  <wp:docPr id="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
                          <pic:cNvPicPr>
                            <a:picLocks noChangeAspect="1"/>
                          </pic:cNvPicPr>
                        </pic:nvPicPr>
                        <pic:blipFill>
                          <a:blip r:embed="rId10"/>
                          <a:stretch>
                            <a:fillRect/>
                          </a:stretch>
                        </pic:blipFill>
                        <pic:spPr>
                          <a:xfrm>
                            <a:off x="0" y="0"/>
                            <a:ext cx="5462905" cy="3629660"/>
                          </a:xfrm>
                          <a:prstGeom prst="rect">
                            <a:avLst/>
                          </a:prstGeom>
                          <a:noFill/>
                          <a:ln>
                            <a:noFill/>
                          </a:ln>
                        </pic:spPr>
                      </pic:pic>
                    </a:graphicData>
                  </a:graphic>
                </wp:anchor>
              </w:drawing>
            </w:r>
            <w:r>
              <w:drawing>
                <wp:inline distT="0" distB="0" distL="114300" distR="114300">
                  <wp:extent cx="5466080" cy="3946525"/>
                  <wp:effectExtent l="0" t="0" r="12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466080" cy="3946525"/>
                          </a:xfrm>
                          <a:prstGeom prst="rect">
                            <a:avLst/>
                          </a:prstGeom>
                          <a:noFill/>
                          <a:ln>
                            <a:noFill/>
                          </a:ln>
                        </pic:spPr>
                      </pic:pic>
                    </a:graphicData>
                  </a:graphic>
                </wp:inline>
              </w:drawing>
            </w:r>
          </w:p>
          <w:p w14:paraId="4796595E">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bookmarkStart w:id="45" w:name="_Toc17982"/>
            <w:r>
              <w:rPr>
                <w:rFonts w:hint="eastAsia" w:ascii="Times New Roman" w:hAnsi="Times New Roman" w:eastAsia="宋体" w:cs="Times New Roman"/>
                <w:b/>
                <w:bCs w:val="0"/>
                <w:color w:val="auto"/>
                <w:sz w:val="24"/>
                <w:szCs w:val="24"/>
                <w:lang w:val="en-US" w:eastAsia="zh-CN"/>
              </w:rPr>
              <w:t xml:space="preserve">图3.1-1 </w:t>
            </w:r>
            <w:r>
              <w:rPr>
                <w:rFonts w:hint="eastAsia"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45"/>
          </w:p>
          <w:p w14:paraId="61C504F9">
            <w:pPr>
              <w:keepLines w:val="0"/>
              <w:pageBreakBefore w:val="0"/>
              <w:widowControl w:val="0"/>
              <w:kinsoku/>
              <w:wordWrap/>
              <w:topLinePunct w:val="0"/>
              <w:autoSpaceDE/>
              <w:autoSpaceDN/>
              <w:bidi w:val="0"/>
              <w:adjustRightInd/>
              <w:spacing w:before="0" w:after="0" w:line="240" w:lineRule="auto"/>
              <w:ind w:left="0" w:firstLine="0"/>
              <w:textAlignment w:val="auto"/>
              <w:outlineLvl w:val="9"/>
            </w:pPr>
            <w:bookmarkStart w:id="46" w:name="_Toc16830"/>
            <w:r>
              <w:rPr>
                <w:sz w:val="21"/>
              </w:rPr>
              <mc:AlternateContent>
                <mc:Choice Requires="wps">
                  <w:drawing>
                    <wp:anchor distT="0" distB="0" distL="114300" distR="114300" simplePos="0" relativeHeight="251670528" behindDoc="0" locked="0" layoutInCell="1" allowOverlap="1">
                      <wp:simplePos x="0" y="0"/>
                      <wp:positionH relativeFrom="column">
                        <wp:posOffset>961390</wp:posOffset>
                      </wp:positionH>
                      <wp:positionV relativeFrom="paragraph">
                        <wp:posOffset>2030095</wp:posOffset>
                      </wp:positionV>
                      <wp:extent cx="4419600" cy="266700"/>
                      <wp:effectExtent l="14605" t="13970" r="23495" b="24130"/>
                      <wp:wrapNone/>
                      <wp:docPr id="178" name="矩形 178"/>
                      <wp:cNvGraphicFramePr/>
                      <a:graphic xmlns:a="http://schemas.openxmlformats.org/drawingml/2006/main">
                        <a:graphicData uri="http://schemas.microsoft.com/office/word/2010/wordprocessingShape">
                          <wps:wsp>
                            <wps:cNvSpPr/>
                            <wps:spPr>
                              <a:xfrm>
                                <a:off x="2141220" y="3329940"/>
                                <a:ext cx="4419600" cy="2667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7pt;margin-top:159.85pt;height:21pt;width:348pt;z-index:251670528;v-text-anchor:middle;mso-width-relative:page;mso-height-relative:page;" filled="f" stroked="t" coordsize="21600,21600" o:gfxdata="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k+ggPZAAAACwEAAA8AAAAAAAAAAQAgAAAAIgAA&#10;AGRycy9kb3ducmV2LnhtbFBLAQIUABQAAAAIAIdO4kBy0VPIeQIAANsEAAAOAAAAAAAAAAEAIAAA&#10;ACgBAABkcnMvZTJvRG9jLnhtbFBLBQYAAAAABgAGAFkBAAATBg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9504" behindDoc="0" locked="0" layoutInCell="1" allowOverlap="1">
                  <wp:simplePos x="0" y="0"/>
                  <wp:positionH relativeFrom="column">
                    <wp:posOffset>-9525</wp:posOffset>
                  </wp:positionH>
                  <wp:positionV relativeFrom="paragraph">
                    <wp:posOffset>302895</wp:posOffset>
                  </wp:positionV>
                  <wp:extent cx="5427345" cy="3080385"/>
                  <wp:effectExtent l="0" t="0" r="1905" b="5715"/>
                  <wp:wrapNone/>
                  <wp:docPr id="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pic:cNvPicPr>
                            <a:picLocks noChangeAspect="1"/>
                          </pic:cNvPicPr>
                        </pic:nvPicPr>
                        <pic:blipFill>
                          <a:blip r:embed="rId12"/>
                          <a:stretch>
                            <a:fillRect/>
                          </a:stretch>
                        </pic:blipFill>
                        <pic:spPr>
                          <a:xfrm>
                            <a:off x="0" y="0"/>
                            <a:ext cx="5427345" cy="3080385"/>
                          </a:xfrm>
                          <a:prstGeom prst="rect">
                            <a:avLst/>
                          </a:prstGeom>
                          <a:noFill/>
                          <a:ln>
                            <a:noFill/>
                          </a:ln>
                        </pic:spPr>
                      </pic:pic>
                    </a:graphicData>
                  </a:graphic>
                </wp:anchor>
              </w:drawing>
            </w:r>
            <w:r>
              <w:drawing>
                <wp:inline distT="0" distB="0" distL="114300" distR="114300">
                  <wp:extent cx="5422900" cy="3384550"/>
                  <wp:effectExtent l="0" t="0" r="635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22900" cy="3384550"/>
                          </a:xfrm>
                          <a:prstGeom prst="rect">
                            <a:avLst/>
                          </a:prstGeom>
                          <a:noFill/>
                          <a:ln>
                            <a:noFill/>
                          </a:ln>
                        </pic:spPr>
                      </pic:pic>
                    </a:graphicData>
                  </a:graphic>
                </wp:inline>
              </w:drawing>
            </w:r>
            <w:bookmarkEnd w:id="46"/>
          </w:p>
          <w:p w14:paraId="5E2A5677">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bookmarkStart w:id="47" w:name="_Toc24363"/>
            <w:r>
              <w:rPr>
                <w:rFonts w:hint="eastAsia" w:ascii="Times New Roman" w:hAnsi="Times New Roman" w:eastAsia="宋体" w:cs="Times New Roman"/>
                <w:b/>
                <w:bCs w:val="0"/>
                <w:color w:val="auto"/>
                <w:sz w:val="24"/>
                <w:szCs w:val="24"/>
                <w:lang w:val="en-US" w:eastAsia="zh-CN"/>
              </w:rPr>
              <w:t>图3.1-2  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47"/>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1E2BF292">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（2）其他</w:t>
            </w:r>
            <w:r>
              <w:rPr>
                <w:rFonts w:hint="eastAsia" w:ascii="Times New Roman" w:hAnsi="Times New Roman" w:eastAsia="宋体" w:cs="Times New Roman"/>
                <w:color w:val="auto"/>
                <w:kern w:val="0"/>
                <w:sz w:val="24"/>
              </w:rPr>
              <w:t>污染因子</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①非甲烷总烃、臭气浓度</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苯乙烯、丙烯腈、1,3-丁二烯、甲苯、乙苯</w:t>
            </w:r>
          </w:p>
          <w:p w14:paraId="62C1F17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kern w:val="0"/>
                <w:sz w:val="24"/>
                <w:lang w:val="en-US" w:eastAsia="zh-CN"/>
              </w:rPr>
              <w:t>根据环境影响评价网</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 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附录D、《工业企业设计卫生标准》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TJ36-97</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、《前苏联居住区标准》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CH245-71</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、《环境影响评价技术导则 制药建设项目》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HJ611-2011</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587BF4C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本项目排放的其他污染物为</w:t>
            </w:r>
            <w:r>
              <w:rPr>
                <w:rFonts w:hint="eastAsia" w:ascii="Times New Roman" w:hAnsi="Times New Roman" w:eastAsia="宋体" w:cs="Times New Roman"/>
                <w:color w:val="auto"/>
                <w:kern w:val="0"/>
                <w:sz w:val="24"/>
                <w:lang w:val="en-US" w:eastAsia="zh-CN"/>
              </w:rPr>
              <w:t>非甲烷总烃、臭气浓度</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苯乙烯、丙烯腈、1,3-丁二烯、甲苯、乙苯</w:t>
            </w:r>
            <w:r>
              <w:rPr>
                <w:rFonts w:hint="default" w:ascii="Times New Roman" w:hAnsi="Times New Roman" w:eastAsia="宋体" w:cs="Times New Roman"/>
                <w:color w:val="auto"/>
                <w:sz w:val="24"/>
                <w:szCs w:val="22"/>
                <w:highlight w:val="none"/>
                <w:lang w:val="en-US" w:eastAsia="zh-CN"/>
              </w:rPr>
              <w:t>，不属于《环境空气质量标准》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ascii="Times New Roman" w:hAnsi="Times New Roman" w:eastAsia="宋体" w:cs="Times New Roman"/>
                <w:color w:val="auto"/>
                <w:sz w:val="24"/>
                <w:szCs w:val="22"/>
                <w:highlight w:val="none"/>
                <w:lang w:val="en-US" w:eastAsia="zh-CN"/>
              </w:rPr>
              <w:t>-2012</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w:t>
            </w:r>
            <w:r>
              <w:rPr>
                <w:rFonts w:hint="eastAsia" w:cs="Times New Roman"/>
                <w:color w:val="auto"/>
                <w:sz w:val="24"/>
                <w:szCs w:val="22"/>
                <w:highlight w:val="none"/>
                <w:lang w:val="en-US" w:eastAsia="zh-CN"/>
              </w:rPr>
              <w:t>地方</w:t>
            </w:r>
            <w:r>
              <w:rPr>
                <w:rFonts w:hint="default" w:ascii="Times New Roman" w:hAnsi="Times New Roman" w:eastAsia="宋体" w:cs="Times New Roman"/>
                <w:color w:val="auto"/>
                <w:sz w:val="24"/>
                <w:szCs w:val="22"/>
                <w:highlight w:val="none"/>
                <w:lang w:val="en-US" w:eastAsia="zh-CN"/>
              </w:rPr>
              <w:t>环境空气质量中有标准限值要求的污染物，因此，不进行现状检测评价。</w:t>
            </w:r>
          </w:p>
          <w:p w14:paraId="6B47C8D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48" w:name="_Toc13108"/>
            <w:r>
              <w:rPr>
                <w:rFonts w:hint="eastAsia" w:ascii="Times New Roman" w:hAnsi="Times New Roman" w:eastAsia="宋体" w:cs="Times New Roman"/>
                <w:color w:val="auto"/>
                <w:sz w:val="28"/>
                <w:szCs w:val="28"/>
                <w:u w:val="none"/>
                <w:lang w:val="en-US" w:eastAsia="zh-CN"/>
              </w:rPr>
              <w:t>3.2水环境质量现状</w:t>
            </w:r>
            <w:bookmarkEnd w:id="48"/>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49" w:name="_Toc7675"/>
            <w:r>
              <w:rPr>
                <w:rFonts w:hint="eastAsia" w:ascii="Times New Roman" w:hAnsi="Times New Roman" w:eastAsia="宋体" w:cs="Times New Roman"/>
                <w:b/>
                <w:bCs/>
                <w:color w:val="auto"/>
                <w:sz w:val="24"/>
                <w:szCs w:val="24"/>
                <w:u w:val="none"/>
                <w:lang w:val="en-US" w:eastAsia="zh-CN"/>
              </w:rPr>
              <w:t>3.2.1地表水功能区划</w:t>
            </w:r>
            <w:bookmarkEnd w:id="49"/>
          </w:p>
          <w:p w14:paraId="5EF8412B">
            <w:pPr>
              <w:widowControl/>
              <w:spacing w:line="360" w:lineRule="auto"/>
              <w:ind w:firstLine="480" w:firstLineChars="200"/>
              <w:jc w:val="left"/>
              <w:rPr>
                <w:rFonts w:hint="eastAsia" w:eastAsia="宋体"/>
                <w:b/>
                <w:bCs/>
                <w:kern w:val="0"/>
                <w:sz w:val="24"/>
                <w:lang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生产过程中仅产生间接冷却水，不外排。</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kern w:val="0"/>
                <w:sz w:val="24"/>
              </w:rPr>
            </w:pPr>
            <w:r>
              <w:rPr>
                <w:rFonts w:hint="default" w:ascii="Times New Roman" w:hAnsi="Times New Roman" w:eastAsia="宋体" w:cs="Times New Roman"/>
                <w:b/>
                <w:bCs/>
                <w:color w:val="auto"/>
                <w:sz w:val="24"/>
                <w:szCs w:val="24"/>
                <w:u w:val="none"/>
                <w:lang w:val="en-US" w:eastAsia="zh-CN"/>
              </w:rPr>
              <w:t>表3.2-1 地表水环境质量标准</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 xml:space="preserve">   单位：mg/L</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97"/>
              <w:gridCol w:w="3278"/>
              <w:gridCol w:w="1264"/>
              <w:gridCol w:w="997"/>
              <w:gridCol w:w="997"/>
              <w:gridCol w:w="997"/>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84" w:hRule="exact"/>
                <w:jc w:val="center"/>
              </w:trPr>
              <w:tc>
                <w:tcPr>
                  <w:tcW w:w="585" w:type="pct"/>
                  <w:shd w:val="clear" w:color="auto" w:fill="auto"/>
                  <w:noWrap w:val="0"/>
                  <w:vAlign w:val="center"/>
                </w:tcPr>
                <w:p w14:paraId="11A19163">
                  <w:pPr>
                    <w:spacing w:line="340" w:lineRule="exact"/>
                    <w:jc w:val="center"/>
                    <w:rPr>
                      <w:snapToGrid w:val="0"/>
                      <w:kern w:val="18"/>
                      <w:szCs w:val="21"/>
                    </w:rPr>
                  </w:pPr>
                  <w:r>
                    <w:rPr>
                      <w:snapToGrid w:val="0"/>
                      <w:kern w:val="18"/>
                      <w:szCs w:val="21"/>
                    </w:rPr>
                    <w:t>序号</w:t>
                  </w:r>
                </w:p>
              </w:tc>
              <w:tc>
                <w:tcPr>
                  <w:tcW w:w="1921" w:type="pct"/>
                  <w:shd w:val="clear" w:color="auto" w:fill="auto"/>
                  <w:noWrap w:val="0"/>
                  <w:vAlign w:val="center"/>
                </w:tcPr>
                <w:p w14:paraId="4CFCA972">
                  <w:pPr>
                    <w:spacing w:line="340" w:lineRule="exact"/>
                    <w:jc w:val="center"/>
                    <w:rPr>
                      <w:snapToGrid w:val="0"/>
                      <w:kern w:val="18"/>
                      <w:szCs w:val="21"/>
                    </w:rPr>
                  </w:pPr>
                  <w:r>
                    <w:rPr>
                      <w:snapToGrid w:val="0"/>
                      <w:kern w:val="18"/>
                      <w:szCs w:val="21"/>
                    </w:rPr>
                    <w:t>项目</w:t>
                  </w:r>
                </w:p>
              </w:tc>
              <w:tc>
                <w:tcPr>
                  <w:tcW w:w="741" w:type="pct"/>
                  <w:shd w:val="clear" w:color="auto" w:fill="auto"/>
                  <w:noWrap w:val="0"/>
                  <w:vAlign w:val="center"/>
                </w:tcPr>
                <w:p w14:paraId="77A6FFB1">
                  <w:pPr>
                    <w:spacing w:line="340" w:lineRule="exact"/>
                    <w:jc w:val="center"/>
                    <w:rPr>
                      <w:snapToGrid w:val="0"/>
                      <w:kern w:val="18"/>
                      <w:szCs w:val="21"/>
                    </w:rPr>
                  </w:pPr>
                  <w:r>
                    <w:rPr>
                      <w:snapToGrid w:val="0"/>
                      <w:kern w:val="18"/>
                      <w:szCs w:val="21"/>
                    </w:rPr>
                    <w:t>Ⅱ类</w:t>
                  </w:r>
                </w:p>
              </w:tc>
              <w:tc>
                <w:tcPr>
                  <w:tcW w:w="584" w:type="pct"/>
                  <w:shd w:val="clear" w:color="auto" w:fill="auto"/>
                  <w:noWrap w:val="0"/>
                  <w:vAlign w:val="center"/>
                </w:tcPr>
                <w:p w14:paraId="0B1051D8">
                  <w:pPr>
                    <w:spacing w:line="340" w:lineRule="exact"/>
                    <w:jc w:val="center"/>
                    <w:rPr>
                      <w:snapToGrid w:val="0"/>
                      <w:kern w:val="18"/>
                      <w:szCs w:val="21"/>
                    </w:rPr>
                  </w:pPr>
                  <w:r>
                    <w:rPr>
                      <w:snapToGrid w:val="0"/>
                      <w:kern w:val="18"/>
                      <w:szCs w:val="21"/>
                    </w:rPr>
                    <w:t>Ⅲ类</w:t>
                  </w:r>
                </w:p>
              </w:tc>
              <w:tc>
                <w:tcPr>
                  <w:tcW w:w="584" w:type="pct"/>
                  <w:shd w:val="clear" w:color="auto" w:fill="auto"/>
                  <w:noWrap w:val="0"/>
                  <w:vAlign w:val="center"/>
                </w:tcPr>
                <w:p w14:paraId="73344D38">
                  <w:pPr>
                    <w:spacing w:line="340" w:lineRule="exact"/>
                    <w:jc w:val="center"/>
                    <w:rPr>
                      <w:snapToGrid w:val="0"/>
                      <w:kern w:val="18"/>
                      <w:szCs w:val="21"/>
                    </w:rPr>
                  </w:pPr>
                  <w:r>
                    <w:rPr>
                      <w:snapToGrid w:val="0"/>
                      <w:kern w:val="18"/>
                      <w:szCs w:val="21"/>
                    </w:rPr>
                    <w:t>Ⅳ类</w:t>
                  </w:r>
                </w:p>
              </w:tc>
              <w:tc>
                <w:tcPr>
                  <w:tcW w:w="583" w:type="pct"/>
                  <w:shd w:val="clear" w:color="auto" w:fill="D7D7D7" w:themeFill="background1" w:themeFillShade="D8"/>
                  <w:noWrap w:val="0"/>
                  <w:vAlign w:val="center"/>
                </w:tcPr>
                <w:p w14:paraId="1CF0E9BE">
                  <w:pPr>
                    <w:spacing w:line="340" w:lineRule="exact"/>
                    <w:jc w:val="center"/>
                    <w:rPr>
                      <w:snapToGrid w:val="0"/>
                      <w:kern w:val="18"/>
                      <w:szCs w:val="21"/>
                    </w:rPr>
                  </w:pPr>
                  <w:r>
                    <w:rPr>
                      <w:snapToGrid w:val="0"/>
                      <w:kern w:val="18"/>
                      <w:szCs w:val="21"/>
                    </w:rPr>
                    <w:t>Ⅴ类</w:t>
                  </w:r>
                </w:p>
              </w:tc>
            </w:tr>
            <w:tr w14:paraId="6CD7B3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10" w:hRule="exact"/>
                <w:jc w:val="center"/>
              </w:trPr>
              <w:tc>
                <w:tcPr>
                  <w:tcW w:w="585" w:type="pct"/>
                  <w:shd w:val="clear" w:color="auto" w:fill="auto"/>
                  <w:noWrap w:val="0"/>
                  <w:vAlign w:val="center"/>
                </w:tcPr>
                <w:p w14:paraId="6018D258">
                  <w:pPr>
                    <w:spacing w:line="340" w:lineRule="exact"/>
                    <w:jc w:val="center"/>
                    <w:rPr>
                      <w:snapToGrid w:val="0"/>
                      <w:kern w:val="18"/>
                      <w:szCs w:val="21"/>
                    </w:rPr>
                  </w:pPr>
                  <w:r>
                    <w:rPr>
                      <w:snapToGrid w:val="0"/>
                      <w:kern w:val="18"/>
                      <w:szCs w:val="21"/>
                    </w:rPr>
                    <w:t>1</w:t>
                  </w:r>
                </w:p>
              </w:tc>
              <w:tc>
                <w:tcPr>
                  <w:tcW w:w="1921" w:type="pct"/>
                  <w:shd w:val="clear" w:color="auto" w:fill="auto"/>
                  <w:noWrap w:val="0"/>
                  <w:vAlign w:val="center"/>
                </w:tcPr>
                <w:p w14:paraId="7677BFAB">
                  <w:pPr>
                    <w:spacing w:line="340" w:lineRule="exact"/>
                    <w:jc w:val="center"/>
                    <w:rPr>
                      <w:snapToGrid w:val="0"/>
                      <w:kern w:val="18"/>
                      <w:szCs w:val="21"/>
                    </w:rPr>
                  </w:pPr>
                  <w:r>
                    <w:rPr>
                      <w:snapToGrid w:val="0"/>
                      <w:kern w:val="18"/>
                      <w:szCs w:val="21"/>
                    </w:rPr>
                    <w:t>pH</w:t>
                  </w:r>
                  <w:r>
                    <w:rPr>
                      <w:rFonts w:hint="eastAsia"/>
                      <w:snapToGrid w:val="0"/>
                      <w:kern w:val="18"/>
                      <w:szCs w:val="21"/>
                      <w:lang w:eastAsia="zh-CN"/>
                    </w:rPr>
                    <w:t>（</w:t>
                  </w:r>
                  <w:r>
                    <w:rPr>
                      <w:snapToGrid w:val="0"/>
                      <w:kern w:val="18"/>
                      <w:szCs w:val="21"/>
                    </w:rPr>
                    <w:t>无量纲</w:t>
                  </w:r>
                  <w:r>
                    <w:rPr>
                      <w:rFonts w:hint="eastAsia"/>
                      <w:snapToGrid w:val="0"/>
                      <w:kern w:val="18"/>
                      <w:szCs w:val="21"/>
                      <w:lang w:eastAsia="zh-CN"/>
                    </w:rPr>
                    <w:t>）</w:t>
                  </w:r>
                </w:p>
              </w:tc>
              <w:tc>
                <w:tcPr>
                  <w:tcW w:w="2493" w:type="pct"/>
                  <w:gridSpan w:val="4"/>
                  <w:shd w:val="clear" w:color="auto" w:fill="D7D7D7" w:themeFill="background1" w:themeFillShade="D8"/>
                  <w:noWrap w:val="0"/>
                  <w:vAlign w:val="center"/>
                </w:tcPr>
                <w:p w14:paraId="1EFAAD0F">
                  <w:pPr>
                    <w:spacing w:line="340" w:lineRule="exact"/>
                    <w:jc w:val="center"/>
                    <w:rPr>
                      <w:snapToGrid w:val="0"/>
                      <w:kern w:val="18"/>
                      <w:szCs w:val="21"/>
                    </w:rPr>
                  </w:pPr>
                  <w:r>
                    <w:rPr>
                      <w:snapToGrid w:val="0"/>
                      <w:kern w:val="18"/>
                      <w:szCs w:val="21"/>
                    </w:rPr>
                    <w:t>6</w:t>
                  </w:r>
                  <w:r>
                    <w:rPr>
                      <w:rFonts w:hint="eastAsia"/>
                      <w:snapToGrid w:val="0"/>
                      <w:kern w:val="18"/>
                      <w:szCs w:val="21"/>
                      <w:lang w:eastAsia="zh-CN"/>
                    </w:rPr>
                    <w:t>~</w:t>
                  </w:r>
                  <w:r>
                    <w:rPr>
                      <w:snapToGrid w:val="0"/>
                      <w:kern w:val="18"/>
                      <w:szCs w:val="21"/>
                    </w:rPr>
                    <w:t>9</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52" w:hRule="exact"/>
                <w:jc w:val="center"/>
              </w:trPr>
              <w:tc>
                <w:tcPr>
                  <w:tcW w:w="585" w:type="pct"/>
                  <w:shd w:val="clear" w:color="auto" w:fill="auto"/>
                  <w:noWrap w:val="0"/>
                  <w:vAlign w:val="center"/>
                </w:tcPr>
                <w:p w14:paraId="752F7061">
                  <w:pPr>
                    <w:spacing w:line="340" w:lineRule="exact"/>
                    <w:jc w:val="center"/>
                    <w:rPr>
                      <w:snapToGrid w:val="0"/>
                      <w:kern w:val="18"/>
                      <w:szCs w:val="21"/>
                    </w:rPr>
                  </w:pPr>
                  <w:r>
                    <w:rPr>
                      <w:snapToGrid w:val="0"/>
                      <w:kern w:val="18"/>
                      <w:szCs w:val="21"/>
                    </w:rPr>
                    <w:t>2</w:t>
                  </w:r>
                </w:p>
              </w:tc>
              <w:tc>
                <w:tcPr>
                  <w:tcW w:w="1921" w:type="pct"/>
                  <w:shd w:val="clear" w:color="auto" w:fill="auto"/>
                  <w:noWrap w:val="0"/>
                  <w:vAlign w:val="center"/>
                </w:tcPr>
                <w:p w14:paraId="7DEB72C3">
                  <w:pPr>
                    <w:spacing w:line="340" w:lineRule="exact"/>
                    <w:jc w:val="center"/>
                    <w:rPr>
                      <w:snapToGrid w:val="0"/>
                      <w:kern w:val="18"/>
                      <w:szCs w:val="21"/>
                    </w:rPr>
                  </w:pPr>
                  <w:r>
                    <w:rPr>
                      <w:snapToGrid w:val="0"/>
                      <w:kern w:val="18"/>
                      <w:szCs w:val="21"/>
                    </w:rPr>
                    <w:t>DO≥</w:t>
                  </w:r>
                </w:p>
              </w:tc>
              <w:tc>
                <w:tcPr>
                  <w:tcW w:w="741" w:type="pct"/>
                  <w:shd w:val="clear" w:color="auto" w:fill="auto"/>
                  <w:noWrap w:val="0"/>
                  <w:vAlign w:val="center"/>
                </w:tcPr>
                <w:p w14:paraId="466BAB4E">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164CD429">
                  <w:pPr>
                    <w:spacing w:line="340" w:lineRule="exact"/>
                    <w:jc w:val="center"/>
                    <w:rPr>
                      <w:snapToGrid w:val="0"/>
                      <w:kern w:val="18"/>
                      <w:szCs w:val="21"/>
                    </w:rPr>
                  </w:pPr>
                  <w:r>
                    <w:rPr>
                      <w:snapToGrid w:val="0"/>
                      <w:kern w:val="18"/>
                      <w:szCs w:val="21"/>
                    </w:rPr>
                    <w:t>5</w:t>
                  </w:r>
                </w:p>
              </w:tc>
              <w:tc>
                <w:tcPr>
                  <w:tcW w:w="584" w:type="pct"/>
                  <w:shd w:val="clear" w:color="auto" w:fill="auto"/>
                  <w:noWrap w:val="0"/>
                  <w:vAlign w:val="center"/>
                </w:tcPr>
                <w:p w14:paraId="01385E5A">
                  <w:pPr>
                    <w:spacing w:line="340" w:lineRule="exact"/>
                    <w:jc w:val="center"/>
                    <w:rPr>
                      <w:snapToGrid w:val="0"/>
                      <w:kern w:val="18"/>
                      <w:szCs w:val="21"/>
                    </w:rPr>
                  </w:pPr>
                  <w:r>
                    <w:rPr>
                      <w:snapToGrid w:val="0"/>
                      <w:kern w:val="18"/>
                      <w:szCs w:val="21"/>
                    </w:rPr>
                    <w:t>3</w:t>
                  </w:r>
                </w:p>
              </w:tc>
              <w:tc>
                <w:tcPr>
                  <w:tcW w:w="583" w:type="pct"/>
                  <w:shd w:val="clear" w:color="auto" w:fill="D7D7D7" w:themeFill="background1" w:themeFillShade="D8"/>
                  <w:noWrap w:val="0"/>
                  <w:vAlign w:val="center"/>
                </w:tcPr>
                <w:p w14:paraId="2E5D60E6">
                  <w:pPr>
                    <w:spacing w:line="340" w:lineRule="exact"/>
                    <w:jc w:val="center"/>
                    <w:rPr>
                      <w:snapToGrid w:val="0"/>
                      <w:kern w:val="18"/>
                      <w:szCs w:val="21"/>
                    </w:rPr>
                  </w:pPr>
                  <w:r>
                    <w:rPr>
                      <w:snapToGrid w:val="0"/>
                      <w:kern w:val="18"/>
                      <w:szCs w:val="21"/>
                    </w:rPr>
                    <w:t>2</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2" w:hRule="exact"/>
                <w:jc w:val="center"/>
              </w:trPr>
              <w:tc>
                <w:tcPr>
                  <w:tcW w:w="585" w:type="pct"/>
                  <w:shd w:val="clear" w:color="auto" w:fill="auto"/>
                  <w:noWrap w:val="0"/>
                  <w:vAlign w:val="center"/>
                </w:tcPr>
                <w:p w14:paraId="7BEC337F">
                  <w:pPr>
                    <w:spacing w:line="340" w:lineRule="exact"/>
                    <w:jc w:val="center"/>
                    <w:rPr>
                      <w:snapToGrid w:val="0"/>
                      <w:kern w:val="18"/>
                      <w:szCs w:val="21"/>
                    </w:rPr>
                  </w:pPr>
                  <w:r>
                    <w:rPr>
                      <w:snapToGrid w:val="0"/>
                      <w:kern w:val="18"/>
                      <w:szCs w:val="21"/>
                    </w:rPr>
                    <w:t>3</w:t>
                  </w:r>
                </w:p>
              </w:tc>
              <w:tc>
                <w:tcPr>
                  <w:tcW w:w="1921" w:type="pct"/>
                  <w:shd w:val="clear" w:color="auto" w:fill="auto"/>
                  <w:noWrap w:val="0"/>
                  <w:vAlign w:val="center"/>
                </w:tcPr>
                <w:p w14:paraId="0EF52C38">
                  <w:pPr>
                    <w:spacing w:line="340" w:lineRule="exact"/>
                    <w:jc w:val="center"/>
                    <w:rPr>
                      <w:snapToGrid w:val="0"/>
                      <w:kern w:val="18"/>
                      <w:szCs w:val="21"/>
                    </w:rPr>
                  </w:pPr>
                  <w:r>
                    <w:rPr>
                      <w:snapToGrid w:val="0"/>
                      <w:kern w:val="18"/>
                      <w:szCs w:val="21"/>
                    </w:rPr>
                    <w:t>COD</w:t>
                  </w:r>
                  <w:r>
                    <w:rPr>
                      <w:snapToGrid w:val="0"/>
                      <w:kern w:val="18"/>
                      <w:szCs w:val="21"/>
                      <w:vertAlign w:val="subscript"/>
                    </w:rPr>
                    <w:t>Mn</w:t>
                  </w:r>
                  <w:r>
                    <w:rPr>
                      <w:snapToGrid w:val="0"/>
                      <w:kern w:val="18"/>
                      <w:szCs w:val="21"/>
                    </w:rPr>
                    <w:t>≤</w:t>
                  </w:r>
                </w:p>
              </w:tc>
              <w:tc>
                <w:tcPr>
                  <w:tcW w:w="741" w:type="pct"/>
                  <w:shd w:val="clear" w:color="auto" w:fill="auto"/>
                  <w:noWrap w:val="0"/>
                  <w:vAlign w:val="center"/>
                </w:tcPr>
                <w:p w14:paraId="30772968">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3678B590">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51C942B9">
                  <w:pPr>
                    <w:spacing w:line="340" w:lineRule="exact"/>
                    <w:jc w:val="center"/>
                    <w:rPr>
                      <w:snapToGrid w:val="0"/>
                      <w:kern w:val="18"/>
                      <w:szCs w:val="21"/>
                    </w:rPr>
                  </w:pPr>
                  <w:r>
                    <w:rPr>
                      <w:snapToGrid w:val="0"/>
                      <w:kern w:val="18"/>
                      <w:szCs w:val="21"/>
                    </w:rPr>
                    <w:t>10</w:t>
                  </w:r>
                </w:p>
              </w:tc>
              <w:tc>
                <w:tcPr>
                  <w:tcW w:w="583" w:type="pct"/>
                  <w:shd w:val="clear" w:color="auto" w:fill="D7D7D7" w:themeFill="background1" w:themeFillShade="D8"/>
                  <w:noWrap w:val="0"/>
                  <w:vAlign w:val="center"/>
                </w:tcPr>
                <w:p w14:paraId="665DDA66">
                  <w:pPr>
                    <w:spacing w:line="340" w:lineRule="exact"/>
                    <w:jc w:val="center"/>
                    <w:rPr>
                      <w:snapToGrid w:val="0"/>
                      <w:kern w:val="18"/>
                      <w:szCs w:val="21"/>
                    </w:rPr>
                  </w:pPr>
                  <w:r>
                    <w:rPr>
                      <w:snapToGrid w:val="0"/>
                      <w:kern w:val="18"/>
                      <w:szCs w:val="21"/>
                    </w:rPr>
                    <w:t>15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6" w:hRule="exact"/>
                <w:jc w:val="center"/>
              </w:trPr>
              <w:tc>
                <w:tcPr>
                  <w:tcW w:w="585" w:type="pct"/>
                  <w:shd w:val="clear" w:color="auto" w:fill="auto"/>
                  <w:noWrap w:val="0"/>
                  <w:vAlign w:val="center"/>
                </w:tcPr>
                <w:p w14:paraId="6717F48B">
                  <w:pPr>
                    <w:spacing w:line="340" w:lineRule="exact"/>
                    <w:jc w:val="center"/>
                    <w:rPr>
                      <w:snapToGrid w:val="0"/>
                      <w:kern w:val="18"/>
                      <w:szCs w:val="21"/>
                    </w:rPr>
                  </w:pPr>
                  <w:r>
                    <w:rPr>
                      <w:snapToGrid w:val="0"/>
                      <w:kern w:val="18"/>
                      <w:szCs w:val="21"/>
                    </w:rPr>
                    <w:t>4</w:t>
                  </w:r>
                </w:p>
              </w:tc>
              <w:tc>
                <w:tcPr>
                  <w:tcW w:w="1921" w:type="pct"/>
                  <w:shd w:val="clear" w:color="auto" w:fill="auto"/>
                  <w:noWrap w:val="0"/>
                  <w:vAlign w:val="center"/>
                </w:tcPr>
                <w:p w14:paraId="158DE907">
                  <w:pPr>
                    <w:spacing w:line="340" w:lineRule="exact"/>
                    <w:jc w:val="center"/>
                    <w:rPr>
                      <w:snapToGrid w:val="0"/>
                      <w:kern w:val="18"/>
                      <w:szCs w:val="21"/>
                    </w:rPr>
                  </w:pPr>
                  <w:r>
                    <w:rPr>
                      <w:snapToGrid w:val="0"/>
                      <w:kern w:val="18"/>
                      <w:szCs w:val="21"/>
                    </w:rPr>
                    <w:t>BOD</w:t>
                  </w:r>
                  <w:r>
                    <w:rPr>
                      <w:snapToGrid w:val="0"/>
                      <w:kern w:val="18"/>
                      <w:szCs w:val="21"/>
                      <w:vertAlign w:val="subscript"/>
                    </w:rPr>
                    <w:t>5</w:t>
                  </w:r>
                  <w:r>
                    <w:rPr>
                      <w:snapToGrid w:val="0"/>
                      <w:kern w:val="18"/>
                      <w:szCs w:val="21"/>
                    </w:rPr>
                    <w:t>≤</w:t>
                  </w:r>
                </w:p>
              </w:tc>
              <w:tc>
                <w:tcPr>
                  <w:tcW w:w="741" w:type="pct"/>
                  <w:shd w:val="clear" w:color="auto" w:fill="auto"/>
                  <w:noWrap w:val="0"/>
                  <w:vAlign w:val="center"/>
                </w:tcPr>
                <w:p w14:paraId="3FB5685B">
                  <w:pPr>
                    <w:spacing w:line="340" w:lineRule="exact"/>
                    <w:jc w:val="center"/>
                    <w:rPr>
                      <w:snapToGrid w:val="0"/>
                      <w:kern w:val="18"/>
                      <w:szCs w:val="21"/>
                    </w:rPr>
                  </w:pPr>
                  <w:r>
                    <w:rPr>
                      <w:snapToGrid w:val="0"/>
                      <w:kern w:val="18"/>
                      <w:szCs w:val="21"/>
                    </w:rPr>
                    <w:t>3</w:t>
                  </w:r>
                </w:p>
              </w:tc>
              <w:tc>
                <w:tcPr>
                  <w:tcW w:w="584" w:type="pct"/>
                  <w:shd w:val="clear" w:color="auto" w:fill="auto"/>
                  <w:noWrap w:val="0"/>
                  <w:vAlign w:val="center"/>
                </w:tcPr>
                <w:p w14:paraId="7B04DDBC">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70C99B9B">
                  <w:pPr>
                    <w:spacing w:line="340" w:lineRule="exact"/>
                    <w:jc w:val="center"/>
                    <w:rPr>
                      <w:snapToGrid w:val="0"/>
                      <w:kern w:val="18"/>
                      <w:szCs w:val="21"/>
                    </w:rPr>
                  </w:pPr>
                  <w:r>
                    <w:rPr>
                      <w:snapToGrid w:val="0"/>
                      <w:kern w:val="18"/>
                      <w:szCs w:val="21"/>
                    </w:rPr>
                    <w:t>6</w:t>
                  </w:r>
                </w:p>
              </w:tc>
              <w:tc>
                <w:tcPr>
                  <w:tcW w:w="583" w:type="pct"/>
                  <w:shd w:val="clear" w:color="auto" w:fill="D7D7D7" w:themeFill="background1" w:themeFillShade="D8"/>
                  <w:noWrap w:val="0"/>
                  <w:vAlign w:val="center"/>
                </w:tcPr>
                <w:p w14:paraId="1B962334">
                  <w:pPr>
                    <w:spacing w:line="340" w:lineRule="exact"/>
                    <w:jc w:val="center"/>
                    <w:rPr>
                      <w:snapToGrid w:val="0"/>
                      <w:kern w:val="18"/>
                      <w:szCs w:val="21"/>
                    </w:rPr>
                  </w:pPr>
                  <w:r>
                    <w:rPr>
                      <w:snapToGrid w:val="0"/>
                      <w:kern w:val="18"/>
                      <w:szCs w:val="21"/>
                    </w:rPr>
                    <w:t>10</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77" w:hRule="exact"/>
                <w:jc w:val="center"/>
              </w:trPr>
              <w:tc>
                <w:tcPr>
                  <w:tcW w:w="585" w:type="pct"/>
                  <w:shd w:val="clear" w:color="auto" w:fill="auto"/>
                  <w:noWrap w:val="0"/>
                  <w:vAlign w:val="center"/>
                </w:tcPr>
                <w:p w14:paraId="442B4CFF">
                  <w:pPr>
                    <w:spacing w:line="340" w:lineRule="exact"/>
                    <w:jc w:val="center"/>
                    <w:rPr>
                      <w:snapToGrid w:val="0"/>
                      <w:kern w:val="18"/>
                      <w:szCs w:val="21"/>
                    </w:rPr>
                  </w:pPr>
                  <w:r>
                    <w:rPr>
                      <w:snapToGrid w:val="0"/>
                      <w:kern w:val="18"/>
                      <w:szCs w:val="21"/>
                    </w:rPr>
                    <w:t>5</w:t>
                  </w:r>
                </w:p>
              </w:tc>
              <w:tc>
                <w:tcPr>
                  <w:tcW w:w="1921" w:type="pct"/>
                  <w:shd w:val="clear" w:color="auto" w:fill="auto"/>
                  <w:noWrap w:val="0"/>
                  <w:vAlign w:val="center"/>
                </w:tcPr>
                <w:p w14:paraId="2402AFBC">
                  <w:pPr>
                    <w:spacing w:line="340" w:lineRule="exact"/>
                    <w:jc w:val="center"/>
                    <w:rPr>
                      <w:snapToGrid w:val="0"/>
                      <w:kern w:val="18"/>
                      <w:szCs w:val="21"/>
                    </w:rPr>
                  </w:pPr>
                  <w:r>
                    <w:rPr>
                      <w:snapToGrid w:val="0"/>
                      <w:kern w:val="18"/>
                      <w:szCs w:val="21"/>
                    </w:rPr>
                    <w:t>COD</w:t>
                  </w:r>
                </w:p>
              </w:tc>
              <w:tc>
                <w:tcPr>
                  <w:tcW w:w="741" w:type="pct"/>
                  <w:shd w:val="clear" w:color="auto" w:fill="auto"/>
                  <w:noWrap w:val="0"/>
                  <w:vAlign w:val="center"/>
                </w:tcPr>
                <w:p w14:paraId="6ACCD7B3">
                  <w:pPr>
                    <w:spacing w:line="340" w:lineRule="exact"/>
                    <w:jc w:val="center"/>
                    <w:rPr>
                      <w:snapToGrid w:val="0"/>
                      <w:kern w:val="18"/>
                      <w:szCs w:val="21"/>
                    </w:rPr>
                  </w:pPr>
                  <w:r>
                    <w:rPr>
                      <w:snapToGrid w:val="0"/>
                      <w:kern w:val="18"/>
                      <w:szCs w:val="21"/>
                    </w:rPr>
                    <w:t>15</w:t>
                  </w:r>
                </w:p>
              </w:tc>
              <w:tc>
                <w:tcPr>
                  <w:tcW w:w="584" w:type="pct"/>
                  <w:shd w:val="clear" w:color="auto" w:fill="auto"/>
                  <w:noWrap w:val="0"/>
                  <w:vAlign w:val="center"/>
                </w:tcPr>
                <w:p w14:paraId="21649DE5">
                  <w:pPr>
                    <w:spacing w:line="340" w:lineRule="exact"/>
                    <w:jc w:val="center"/>
                    <w:rPr>
                      <w:snapToGrid w:val="0"/>
                      <w:kern w:val="18"/>
                      <w:szCs w:val="21"/>
                    </w:rPr>
                  </w:pPr>
                  <w:r>
                    <w:rPr>
                      <w:snapToGrid w:val="0"/>
                      <w:kern w:val="18"/>
                      <w:szCs w:val="21"/>
                    </w:rPr>
                    <w:t>20</w:t>
                  </w:r>
                </w:p>
              </w:tc>
              <w:tc>
                <w:tcPr>
                  <w:tcW w:w="584" w:type="pct"/>
                  <w:shd w:val="clear" w:color="auto" w:fill="auto"/>
                  <w:noWrap w:val="0"/>
                  <w:vAlign w:val="center"/>
                </w:tcPr>
                <w:p w14:paraId="7512AC30">
                  <w:pPr>
                    <w:spacing w:line="340" w:lineRule="exact"/>
                    <w:jc w:val="center"/>
                    <w:rPr>
                      <w:snapToGrid w:val="0"/>
                      <w:kern w:val="18"/>
                      <w:szCs w:val="21"/>
                    </w:rPr>
                  </w:pPr>
                  <w:r>
                    <w:rPr>
                      <w:snapToGrid w:val="0"/>
                      <w:kern w:val="18"/>
                      <w:szCs w:val="21"/>
                    </w:rPr>
                    <w:t>30</w:t>
                  </w:r>
                </w:p>
              </w:tc>
              <w:tc>
                <w:tcPr>
                  <w:tcW w:w="583" w:type="pct"/>
                  <w:shd w:val="clear" w:color="auto" w:fill="D7D7D7" w:themeFill="background1" w:themeFillShade="D8"/>
                  <w:noWrap w:val="0"/>
                  <w:vAlign w:val="center"/>
                </w:tcPr>
                <w:p w14:paraId="13E9BD8B">
                  <w:pPr>
                    <w:spacing w:line="340" w:lineRule="exact"/>
                    <w:jc w:val="center"/>
                    <w:rPr>
                      <w:snapToGrid w:val="0"/>
                      <w:kern w:val="18"/>
                      <w:szCs w:val="21"/>
                    </w:rPr>
                  </w:pPr>
                  <w:r>
                    <w:rPr>
                      <w:snapToGrid w:val="0"/>
                      <w:kern w:val="18"/>
                      <w:szCs w:val="21"/>
                    </w:rPr>
                    <w:t>40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0" w:hRule="exact"/>
                <w:jc w:val="center"/>
              </w:trPr>
              <w:tc>
                <w:tcPr>
                  <w:tcW w:w="585" w:type="pct"/>
                  <w:shd w:val="clear" w:color="auto" w:fill="auto"/>
                  <w:noWrap w:val="0"/>
                  <w:vAlign w:val="center"/>
                </w:tcPr>
                <w:p w14:paraId="3611740A">
                  <w:pPr>
                    <w:spacing w:line="340" w:lineRule="exact"/>
                    <w:jc w:val="center"/>
                    <w:rPr>
                      <w:snapToGrid w:val="0"/>
                      <w:kern w:val="18"/>
                      <w:szCs w:val="21"/>
                    </w:rPr>
                  </w:pPr>
                  <w:r>
                    <w:rPr>
                      <w:snapToGrid w:val="0"/>
                      <w:kern w:val="18"/>
                      <w:szCs w:val="21"/>
                    </w:rPr>
                    <w:t>6</w:t>
                  </w:r>
                </w:p>
              </w:tc>
              <w:tc>
                <w:tcPr>
                  <w:tcW w:w="1921" w:type="pct"/>
                  <w:shd w:val="clear" w:color="auto" w:fill="auto"/>
                  <w:noWrap w:val="0"/>
                  <w:vAlign w:val="center"/>
                </w:tcPr>
                <w:p w14:paraId="5E1FD74E">
                  <w:pPr>
                    <w:spacing w:line="340" w:lineRule="exact"/>
                    <w:jc w:val="center"/>
                    <w:rPr>
                      <w:snapToGrid w:val="0"/>
                      <w:kern w:val="18"/>
                      <w:szCs w:val="21"/>
                    </w:rPr>
                  </w:pPr>
                  <w:r>
                    <w:rPr>
                      <w:snapToGrid w:val="0"/>
                      <w:kern w:val="18"/>
                      <w:szCs w:val="21"/>
                    </w:rPr>
                    <w:t>NH</w:t>
                  </w:r>
                  <w:r>
                    <w:rPr>
                      <w:snapToGrid w:val="0"/>
                      <w:kern w:val="18"/>
                      <w:szCs w:val="21"/>
                      <w:vertAlign w:val="subscript"/>
                    </w:rPr>
                    <w:t>3</w:t>
                  </w:r>
                  <w:r>
                    <w:rPr>
                      <w:snapToGrid w:val="0"/>
                      <w:kern w:val="18"/>
                      <w:szCs w:val="21"/>
                    </w:rPr>
                    <w:t>-N≤</w:t>
                  </w:r>
                </w:p>
              </w:tc>
              <w:tc>
                <w:tcPr>
                  <w:tcW w:w="741" w:type="pct"/>
                  <w:shd w:val="clear" w:color="auto" w:fill="auto"/>
                  <w:noWrap w:val="0"/>
                  <w:vAlign w:val="center"/>
                </w:tcPr>
                <w:p w14:paraId="13BD5803">
                  <w:pPr>
                    <w:spacing w:line="340" w:lineRule="exact"/>
                    <w:jc w:val="center"/>
                    <w:rPr>
                      <w:snapToGrid w:val="0"/>
                      <w:kern w:val="18"/>
                      <w:szCs w:val="21"/>
                    </w:rPr>
                  </w:pPr>
                  <w:r>
                    <w:rPr>
                      <w:snapToGrid w:val="0"/>
                      <w:kern w:val="18"/>
                      <w:szCs w:val="21"/>
                    </w:rPr>
                    <w:t>0.5</w:t>
                  </w:r>
                </w:p>
              </w:tc>
              <w:tc>
                <w:tcPr>
                  <w:tcW w:w="584" w:type="pct"/>
                  <w:shd w:val="clear" w:color="auto" w:fill="auto"/>
                  <w:noWrap w:val="0"/>
                  <w:vAlign w:val="center"/>
                </w:tcPr>
                <w:p w14:paraId="10C36085">
                  <w:pPr>
                    <w:spacing w:line="340" w:lineRule="exact"/>
                    <w:jc w:val="center"/>
                    <w:rPr>
                      <w:snapToGrid w:val="0"/>
                      <w:kern w:val="18"/>
                      <w:szCs w:val="21"/>
                    </w:rPr>
                  </w:pPr>
                  <w:r>
                    <w:rPr>
                      <w:snapToGrid w:val="0"/>
                      <w:kern w:val="18"/>
                      <w:szCs w:val="21"/>
                    </w:rPr>
                    <w:t>1.0</w:t>
                  </w:r>
                </w:p>
              </w:tc>
              <w:tc>
                <w:tcPr>
                  <w:tcW w:w="584" w:type="pct"/>
                  <w:shd w:val="clear" w:color="auto" w:fill="auto"/>
                  <w:noWrap w:val="0"/>
                  <w:vAlign w:val="center"/>
                </w:tcPr>
                <w:p w14:paraId="52C31124">
                  <w:pPr>
                    <w:spacing w:line="340" w:lineRule="exact"/>
                    <w:jc w:val="center"/>
                    <w:rPr>
                      <w:snapToGrid w:val="0"/>
                      <w:kern w:val="18"/>
                      <w:szCs w:val="21"/>
                    </w:rPr>
                  </w:pPr>
                  <w:r>
                    <w:rPr>
                      <w:snapToGrid w:val="0"/>
                      <w:kern w:val="18"/>
                      <w:szCs w:val="21"/>
                    </w:rPr>
                    <w:t>1.5</w:t>
                  </w:r>
                </w:p>
              </w:tc>
              <w:tc>
                <w:tcPr>
                  <w:tcW w:w="583" w:type="pct"/>
                  <w:shd w:val="clear" w:color="auto" w:fill="D7D7D7" w:themeFill="background1" w:themeFillShade="D8"/>
                  <w:noWrap w:val="0"/>
                  <w:vAlign w:val="center"/>
                </w:tcPr>
                <w:p w14:paraId="42BE0B03">
                  <w:pPr>
                    <w:spacing w:line="340" w:lineRule="exact"/>
                    <w:jc w:val="center"/>
                    <w:rPr>
                      <w:snapToGrid w:val="0"/>
                      <w:kern w:val="18"/>
                      <w:szCs w:val="21"/>
                    </w:rPr>
                  </w:pPr>
                  <w:r>
                    <w:rPr>
                      <w:snapToGrid w:val="0"/>
                      <w:kern w:val="18"/>
                      <w:szCs w:val="21"/>
                    </w:rPr>
                    <w:t>2.0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0" w:name="_Toc4828"/>
            <w:r>
              <w:rPr>
                <w:rFonts w:hint="eastAsia" w:ascii="Times New Roman" w:hAnsi="Times New Roman" w:eastAsia="宋体" w:cs="Times New Roman"/>
                <w:b/>
                <w:bCs/>
                <w:color w:val="auto"/>
                <w:sz w:val="24"/>
                <w:szCs w:val="24"/>
                <w:u w:val="none"/>
                <w:lang w:val="en-US" w:eastAsia="zh-CN"/>
              </w:rPr>
              <w:t>3.2.2地表水环境质量现状</w:t>
            </w:r>
            <w:bookmarkEnd w:id="50"/>
          </w:p>
          <w:p w14:paraId="425F205E">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为了解项目地表水水质环境质量现状，根据《福建省流域水环境质量状况（202</w:t>
            </w:r>
            <w:r>
              <w:rPr>
                <w:rFonts w:hint="eastAsia" w:ascii="Times New Roman" w:hAnsi="Times New Roman" w:eastAsia="宋体" w:cs="Times New Roman"/>
                <w:color w:val="auto"/>
                <w:sz w:val="24"/>
                <w:szCs w:val="22"/>
                <w:highlight w:val="none"/>
                <w:lang w:val="en-US" w:eastAsia="zh-CN"/>
              </w:rPr>
              <w:t>4年</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https://sthjt.fujian.gov.cn/zwgk/sjfb/hjsj/qshjzljtb/202502/t20250208_6712426.htm</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显示：</w:t>
            </w:r>
            <w:r>
              <w:rPr>
                <w:rFonts w:hint="default" w:ascii="Times New Roman" w:hAnsi="Times New Roman" w:eastAsia="宋体" w:cs="Times New Roman"/>
                <w:color w:val="auto"/>
                <w:sz w:val="24"/>
                <w:szCs w:val="22"/>
                <w:highlight w:val="none"/>
                <w:lang w:val="en-US" w:eastAsia="zh-CN"/>
              </w:rPr>
              <w:t>2024年，全省主要流域总体水质为优，国控断面Ⅰ～Ⅲ类水质比例100％，Ⅰ～Ⅱ类水质比例77.1</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；国控及省控断面Ⅰ～Ⅲ类水质比例99.7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，其中Ⅰ～Ⅱ类水质比例80.0</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，各类水质比例如下：Ⅰ类占2.4</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，Ⅱ类占77.6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，Ⅲ类占19.7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，Ⅳ类占0.3</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，无Ⅴ类和劣Ⅴ类水。</w:t>
            </w:r>
          </w:p>
          <w:p w14:paraId="02324AA1">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2"/>
                <w:highlight w:val="none"/>
                <w:lang w:val="en-US" w:eastAsia="zh-CN"/>
              </w:rPr>
              <w:t>2024年，福建省主要流域总体水质从相对较好开始排序，具体为：闽江、交溪、九龙江、汀江（韩江）、霍童溪、晋江、萩芦溪、东西溪、木兰溪、敖江、漳江、诏安东溪、鹿溪、龙江。</w:t>
            </w:r>
            <w:r>
              <w:rPr>
                <w:rFonts w:hint="eastAsia" w:ascii="Times New Roman" w:hAnsi="Times New Roman" w:eastAsia="宋体" w:cs="Times New Roman"/>
                <w:color w:val="auto"/>
                <w:sz w:val="24"/>
                <w:highlight w:val="none"/>
                <w:lang w:val="en-US" w:eastAsia="zh-CN"/>
              </w:rPr>
              <w:t>（详见图3.2-1）</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color w:val="auto"/>
                <w:highlight w:val="none"/>
              </w:rPr>
              <w:drawing>
                <wp:inline distT="0" distB="0" distL="114300" distR="114300">
                  <wp:extent cx="5431155" cy="2934970"/>
                  <wp:effectExtent l="0" t="0" r="17145" b="17780"/>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14"/>
                          <a:stretch>
                            <a:fillRect/>
                          </a:stretch>
                        </pic:blipFill>
                        <pic:spPr>
                          <a:xfrm>
                            <a:off x="0" y="0"/>
                            <a:ext cx="5431155" cy="2934970"/>
                          </a:xfrm>
                          <a:prstGeom prst="rect">
                            <a:avLst/>
                          </a:prstGeom>
                          <a:noFill/>
                          <a:ln>
                            <a:noFill/>
                          </a:ln>
                        </pic:spPr>
                      </pic:pic>
                    </a:graphicData>
                  </a:graphic>
                </wp:inline>
              </w:drawing>
            </w:r>
          </w:p>
          <w:p w14:paraId="4B2FE36D">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51"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w:t>
            </w:r>
            <w:r>
              <w:rPr>
                <w:rFonts w:hint="eastAsia"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福建省流域水环境质量状况（2024年）截图</w:t>
            </w:r>
            <w:bookmarkEnd w:id="51"/>
          </w:p>
          <w:p w14:paraId="0FB4193D">
            <w:pPr>
              <w:pStyle w:val="38"/>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both"/>
              <w:textAlignment w:val="auto"/>
              <w:outlineLvl w:val="9"/>
              <w:rPr>
                <w:rFonts w:hint="default" w:cs="Times New Roman"/>
                <w:b/>
                <w:bCs w:val="0"/>
                <w:color w:val="auto"/>
                <w:sz w:val="24"/>
                <w:szCs w:val="24"/>
                <w:lang w:val="en-US" w:eastAsia="zh-CN"/>
              </w:rPr>
            </w:pPr>
            <w:r>
              <w:rPr>
                <w:color w:val="auto"/>
                <w:highlight w:val="none"/>
              </w:rPr>
              <w:drawing>
                <wp:inline distT="0" distB="0" distL="114300" distR="114300">
                  <wp:extent cx="5414010" cy="3017520"/>
                  <wp:effectExtent l="0" t="0" r="15240" b="11430"/>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pic:cNvPicPr>
                            <a:picLocks noChangeAspect="1"/>
                          </pic:cNvPicPr>
                        </pic:nvPicPr>
                        <pic:blipFill>
                          <a:blip r:embed="rId15"/>
                          <a:stretch>
                            <a:fillRect/>
                          </a:stretch>
                        </pic:blipFill>
                        <pic:spPr>
                          <a:xfrm>
                            <a:off x="0" y="0"/>
                            <a:ext cx="5414010" cy="3017520"/>
                          </a:xfrm>
                          <a:prstGeom prst="rect">
                            <a:avLst/>
                          </a:prstGeom>
                          <a:noFill/>
                          <a:ln>
                            <a:noFill/>
                          </a:ln>
                        </pic:spPr>
                      </pic:pic>
                    </a:graphicData>
                  </a:graphic>
                </wp:inline>
              </w:drawing>
            </w:r>
          </w:p>
          <w:p w14:paraId="181969EF">
            <w:pPr>
              <w:pStyle w:val="75"/>
              <w:spacing w:line="360" w:lineRule="auto"/>
              <w:ind w:firstLine="480"/>
              <w:jc w:val="center"/>
              <w:rPr>
                <w:rFonts w:hint="eastAsia" w:ascii="Times New Roman" w:hAnsi="Times New Roman" w:eastAsia="宋体" w:cs="Times New Roman"/>
                <w:b/>
                <w:bCs/>
                <w:color w:val="auto"/>
                <w:kern w:val="2"/>
                <w:sz w:val="24"/>
                <w:szCs w:val="24"/>
                <w:highlight w:val="none"/>
                <w:lang w:val="zh-CN" w:eastAsia="zh-CN" w:bidi="ar-SA"/>
              </w:rPr>
            </w:pPr>
            <w:r>
              <w:rPr>
                <w:rFonts w:hint="eastAsia" w:ascii="Times New Roman" w:hAnsi="Times New Roman" w:eastAsia="宋体" w:cs="Times New Roman"/>
                <w:b/>
                <w:bCs/>
                <w:color w:val="auto"/>
                <w:kern w:val="2"/>
                <w:sz w:val="24"/>
                <w:szCs w:val="24"/>
                <w:highlight w:val="none"/>
                <w:lang w:val="zh-CN" w:eastAsia="zh-CN" w:bidi="ar-SA"/>
              </w:rPr>
              <w:t>图3.</w:t>
            </w:r>
            <w:r>
              <w:rPr>
                <w:rFonts w:hint="eastAsia" w:ascii="Times New Roman" w:hAnsi="Times New Roman" w:eastAsia="宋体" w:cs="Times New Roman"/>
                <w:b/>
                <w:bCs/>
                <w:color w:val="auto"/>
                <w:kern w:val="2"/>
                <w:sz w:val="24"/>
                <w:szCs w:val="24"/>
                <w:highlight w:val="none"/>
                <w:lang w:val="en-US" w:eastAsia="zh-CN" w:bidi="ar-SA"/>
              </w:rPr>
              <w:t xml:space="preserve">2-2 </w:t>
            </w:r>
            <w:r>
              <w:rPr>
                <w:rFonts w:hint="eastAsia" w:ascii="Times New Roman" w:hAnsi="Times New Roman" w:eastAsia="宋体" w:cs="Times New Roman"/>
                <w:b/>
                <w:bCs/>
                <w:color w:val="auto"/>
                <w:kern w:val="2"/>
                <w:sz w:val="24"/>
                <w:szCs w:val="24"/>
                <w:highlight w:val="none"/>
                <w:lang w:val="zh-CN" w:eastAsia="zh-CN" w:bidi="ar-SA"/>
              </w:rPr>
              <w:t>福建省地表水水质状况排序（2024年）截图</w:t>
            </w:r>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生产过程中仅产生间接冷却水，不外排。生活污水经化粪池处理后排入市政污水管网，送往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污水处理厂</w:t>
            </w:r>
            <w:r>
              <w:rPr>
                <w:rFonts w:hint="default" w:ascii="Times New Roman" w:hAnsi="Times New Roman" w:eastAsia="宋体" w:cs="Times New Roman"/>
                <w:color w:val="auto"/>
                <w:sz w:val="24"/>
                <w:highlight w:val="none"/>
              </w:rPr>
              <w:t>尾水排入龙江，所处龙江</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南门桥水闸至龙江入海口</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断面</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pStyle w:val="34"/>
              <w:keepNext w:val="0"/>
              <w:keepLines w:val="0"/>
              <w:pageBreakBefore w:val="0"/>
              <w:kinsoku/>
              <w:wordWrap/>
              <w:overflowPunct/>
              <w:topLinePunct w:val="0"/>
              <w:bidi w:val="0"/>
              <w:spacing w:line="360" w:lineRule="auto"/>
              <w:ind w:firstLine="480"/>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。本评价引用福建省生态环境厅网站发布地表水水质环境质量现状进行分析，符合《建设项目环境影响报告表编制技术指南（污染影响类）（试行）》（环办环评〔2020〕33号）的要求。</w:t>
            </w:r>
          </w:p>
          <w:p w14:paraId="64B0FE7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2" w:name="_Toc27787"/>
            <w:r>
              <w:rPr>
                <w:rFonts w:hint="eastAsia" w:ascii="Times New Roman" w:hAnsi="Times New Roman" w:eastAsia="宋体" w:cs="Times New Roman"/>
                <w:color w:val="auto"/>
                <w:sz w:val="28"/>
                <w:szCs w:val="28"/>
                <w:u w:val="none"/>
                <w:lang w:val="en-US" w:eastAsia="zh-CN"/>
              </w:rPr>
              <w:t>3.3声环境质量现状</w:t>
            </w:r>
            <w:bookmarkEnd w:id="52"/>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3" w:name="_Toc28348"/>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53"/>
          </w:p>
          <w:p w14:paraId="29FE6FEA">
            <w:pPr>
              <w:widowControl/>
              <w:spacing w:line="360" w:lineRule="auto"/>
              <w:ind w:firstLine="480" w:firstLineChars="200"/>
              <w:jc w:val="left"/>
              <w:rPr>
                <w:sz w:val="24"/>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 《声环境质量标准》（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tblHeader/>
              </w:trPr>
              <w:tc>
                <w:tcPr>
                  <w:tcW w:w="811" w:type="pct"/>
                  <w:noWrap w:val="0"/>
                  <w:vAlign w:val="center"/>
                </w:tcPr>
                <w:p w14:paraId="52564316">
                  <w:pPr>
                    <w:jc w:val="center"/>
                    <w:rPr>
                      <w:szCs w:val="21"/>
                    </w:rPr>
                  </w:pPr>
                  <w:r>
                    <w:rPr>
                      <w:szCs w:val="21"/>
                    </w:rPr>
                    <w:t>类别</w:t>
                  </w:r>
                </w:p>
              </w:tc>
              <w:tc>
                <w:tcPr>
                  <w:tcW w:w="3243" w:type="pct"/>
                  <w:noWrap w:val="0"/>
                  <w:vAlign w:val="center"/>
                </w:tcPr>
                <w:p w14:paraId="20AB74F7">
                  <w:pPr>
                    <w:jc w:val="center"/>
                    <w:rPr>
                      <w:szCs w:val="21"/>
                    </w:rPr>
                  </w:pPr>
                  <w:r>
                    <w:rPr>
                      <w:szCs w:val="21"/>
                    </w:rPr>
                    <w:t>适用区域</w:t>
                  </w:r>
                </w:p>
              </w:tc>
              <w:tc>
                <w:tcPr>
                  <w:tcW w:w="499" w:type="pct"/>
                  <w:noWrap w:val="0"/>
                  <w:vAlign w:val="center"/>
                </w:tcPr>
                <w:p w14:paraId="40CAF3BB">
                  <w:pPr>
                    <w:jc w:val="center"/>
                    <w:rPr>
                      <w:szCs w:val="21"/>
                    </w:rPr>
                  </w:pPr>
                  <w:r>
                    <w:rPr>
                      <w:szCs w:val="21"/>
                    </w:rPr>
                    <w:t>昼间</w:t>
                  </w:r>
                </w:p>
              </w:tc>
              <w:tc>
                <w:tcPr>
                  <w:tcW w:w="445" w:type="pct"/>
                  <w:noWrap w:val="0"/>
                  <w:vAlign w:val="center"/>
                </w:tcPr>
                <w:p w14:paraId="263B0BE6">
                  <w:pPr>
                    <w:jc w:val="center"/>
                    <w:rPr>
                      <w:szCs w:val="21"/>
                    </w:rPr>
                  </w:pPr>
                  <w:r>
                    <w:rPr>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811" w:type="pct"/>
                  <w:noWrap w:val="0"/>
                  <w:vAlign w:val="center"/>
                </w:tcPr>
                <w:p w14:paraId="43BFA7A4">
                  <w:pPr>
                    <w:jc w:val="center"/>
                    <w:rPr>
                      <w:szCs w:val="21"/>
                    </w:rPr>
                  </w:pPr>
                  <w:r>
                    <w:rPr>
                      <w:rFonts w:hint="eastAsia"/>
                      <w:szCs w:val="21"/>
                    </w:rPr>
                    <w:t>3</w:t>
                  </w:r>
                  <w:r>
                    <w:rPr>
                      <w:szCs w:val="21"/>
                    </w:rPr>
                    <w:t>类</w:t>
                  </w:r>
                </w:p>
              </w:tc>
              <w:tc>
                <w:tcPr>
                  <w:tcW w:w="3243" w:type="pct"/>
                  <w:noWrap w:val="0"/>
                  <w:vAlign w:val="center"/>
                </w:tcPr>
                <w:p w14:paraId="22BB0B0B">
                  <w:pPr>
                    <w:jc w:val="center"/>
                    <w:rPr>
                      <w:szCs w:val="21"/>
                    </w:rPr>
                  </w:pPr>
                  <w:r>
                    <w:rPr>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szCs w:val="21"/>
                    </w:rPr>
                  </w:pPr>
                  <w:r>
                    <w:rPr>
                      <w:rFonts w:hint="eastAsia"/>
                      <w:szCs w:val="21"/>
                      <w:lang w:val="en-US" w:eastAsia="zh-CN"/>
                    </w:rPr>
                    <w:t>≤</w:t>
                  </w:r>
                  <w:r>
                    <w:rPr>
                      <w:szCs w:val="21"/>
                    </w:rPr>
                    <w:t>6</w:t>
                  </w:r>
                  <w:r>
                    <w:rPr>
                      <w:rFonts w:hint="eastAsia"/>
                      <w:szCs w:val="21"/>
                    </w:rPr>
                    <w:t>5</w:t>
                  </w:r>
                </w:p>
              </w:tc>
              <w:tc>
                <w:tcPr>
                  <w:tcW w:w="445" w:type="pct"/>
                  <w:noWrap w:val="0"/>
                  <w:vAlign w:val="center"/>
                </w:tcPr>
                <w:p w14:paraId="0D17D597">
                  <w:pPr>
                    <w:jc w:val="center"/>
                    <w:rPr>
                      <w:rFonts w:hint="eastAsia"/>
                      <w:szCs w:val="21"/>
                    </w:rPr>
                  </w:pPr>
                  <w:r>
                    <w:rPr>
                      <w:rFonts w:hint="eastAsia"/>
                      <w:szCs w:val="21"/>
                      <w:lang w:val="en-US" w:eastAsia="zh-CN"/>
                    </w:rPr>
                    <w:t>≤</w:t>
                  </w:r>
                  <w:r>
                    <w:rPr>
                      <w:szCs w:val="21"/>
                    </w:rPr>
                    <w:t>5</w:t>
                  </w:r>
                  <w:r>
                    <w:rPr>
                      <w:rFonts w:hint="eastAsia"/>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4" w:name="_Toc20954"/>
            <w:r>
              <w:rPr>
                <w:rFonts w:hint="eastAsia" w:ascii="Times New Roman" w:hAnsi="Times New Roman" w:eastAsia="宋体" w:cs="Times New Roman"/>
                <w:b/>
                <w:bCs/>
                <w:color w:val="auto"/>
                <w:sz w:val="24"/>
                <w:szCs w:val="24"/>
                <w:u w:val="none"/>
                <w:lang w:val="en-US" w:eastAsia="zh-CN"/>
              </w:rPr>
              <w:t>3.3.2声环境质量现状</w:t>
            </w:r>
            <w:bookmarkEnd w:id="54"/>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5" w:name="_Toc25881"/>
            <w:r>
              <w:rPr>
                <w:rFonts w:hint="eastAsia" w:ascii="Times New Roman" w:hAnsi="Times New Roman" w:eastAsia="宋体" w:cs="Times New Roman"/>
                <w:color w:val="auto"/>
                <w:sz w:val="28"/>
                <w:szCs w:val="28"/>
                <w:u w:val="none"/>
                <w:lang w:val="en-US" w:eastAsia="zh-CN"/>
              </w:rPr>
              <w:t>3.4生态环境</w:t>
            </w:r>
            <w:bookmarkEnd w:id="55"/>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本项目购买已建厂房作为生产经营场所，未新增土地用地面积，</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6" w:name="_Toc18566"/>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56"/>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vertAlign w:val="baseline"/>
                <w:lang w:eastAsia="zh-CN"/>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2" w:hRule="atLeast"/>
        </w:trPr>
        <w:tc>
          <w:tcPr>
            <w:tcW w:w="456" w:type="dxa"/>
            <w:vAlign w:val="center"/>
          </w:tcPr>
          <w:p w14:paraId="6F7748B8">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6BCD398D">
            <w:pPr>
              <w:pStyle w:val="45"/>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57" w:name="_Toc3574"/>
            <w:r>
              <w:rPr>
                <w:color w:val="auto"/>
                <w:szCs w:val="28"/>
              </w:rPr>
              <w:t>3.</w:t>
            </w:r>
            <w:r>
              <w:rPr>
                <w:rFonts w:hint="eastAsia"/>
                <w:color w:val="auto"/>
                <w:szCs w:val="28"/>
                <w:lang w:val="en-US" w:eastAsia="zh-CN"/>
              </w:rPr>
              <w:t>6</w:t>
            </w:r>
            <w:r>
              <w:rPr>
                <w:color w:val="auto"/>
                <w:szCs w:val="28"/>
              </w:rPr>
              <w:t>主要环境保护目标</w:t>
            </w:r>
            <w:bookmarkEnd w:id="57"/>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二</w:t>
            </w:r>
            <w:r>
              <w:rPr>
                <w:color w:val="auto"/>
                <w:sz w:val="24"/>
              </w:rPr>
              <w:t>。</w:t>
            </w:r>
          </w:p>
          <w:p w14:paraId="5A9380A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1107"/>
              <w:gridCol w:w="1615"/>
              <w:gridCol w:w="1040"/>
              <w:gridCol w:w="3548"/>
            </w:tblGrid>
            <w:tr w14:paraId="006B2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712" w:type="pct"/>
                  <w:noWrap w:val="0"/>
                  <w:vAlign w:val="center"/>
                </w:tcPr>
                <w:p w14:paraId="5E9AF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66EB6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noWrap w:val="0"/>
                  <w:vAlign w:val="center"/>
                </w:tcPr>
                <w:p w14:paraId="57BBC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222C5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noWrap w:val="0"/>
                  <w:vAlign w:val="center"/>
                </w:tcPr>
                <w:p w14:paraId="12D37D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79" w:type="pct"/>
                  <w:noWrap w:val="0"/>
                  <w:vAlign w:val="center"/>
                </w:tcPr>
                <w:p w14:paraId="18E6F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29202D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12" w:type="pct"/>
                  <w:noWrap w:val="0"/>
                  <w:vAlign w:val="center"/>
                </w:tcPr>
                <w:p w14:paraId="1DBD2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6D369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noWrap w:val="0"/>
                  <w:vAlign w:val="center"/>
                </w:tcPr>
                <w:p w14:paraId="592369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西南侧约380m</w:t>
                  </w:r>
                </w:p>
              </w:tc>
              <w:tc>
                <w:tcPr>
                  <w:tcW w:w="610" w:type="pct"/>
                  <w:noWrap w:val="0"/>
                  <w:vAlign w:val="center"/>
                </w:tcPr>
                <w:p w14:paraId="327CE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79" w:type="pct"/>
                  <w:noWrap w:val="0"/>
                  <w:vAlign w:val="center"/>
                </w:tcPr>
                <w:p w14:paraId="269DD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zh-CN"/>
                    </w:rPr>
                    <w:t>及</w:t>
                  </w:r>
                  <w:r>
                    <w:rPr>
                      <w:rFonts w:hint="default" w:ascii="Times New Roman" w:hAnsi="Times New Roman" w:eastAsia="宋体" w:cs="Times New Roman"/>
                      <w:color w:val="auto"/>
                      <w:sz w:val="21"/>
                      <w:szCs w:val="21"/>
                    </w:rPr>
                    <w:t>其修改单二级标准</w:t>
                  </w:r>
                </w:p>
              </w:tc>
            </w:tr>
            <w:tr w14:paraId="6153B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712" w:type="pct"/>
                  <w:noWrap w:val="0"/>
                  <w:vAlign w:val="center"/>
                </w:tcPr>
                <w:p w14:paraId="55883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52F6C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罗汉溪</w:t>
                  </w:r>
                </w:p>
              </w:tc>
              <w:tc>
                <w:tcPr>
                  <w:tcW w:w="947" w:type="pct"/>
                  <w:noWrap w:val="0"/>
                  <w:vAlign w:val="center"/>
                </w:tcPr>
                <w:p w14:paraId="31494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西北侧约345m</w:t>
                  </w:r>
                </w:p>
              </w:tc>
              <w:tc>
                <w:tcPr>
                  <w:tcW w:w="610" w:type="pct"/>
                  <w:noWrap w:val="0"/>
                  <w:vAlign w:val="center"/>
                </w:tcPr>
                <w:p w14:paraId="21088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79" w:type="pct"/>
                  <w:noWrap w:val="0"/>
                  <w:vAlign w:val="center"/>
                </w:tcPr>
                <w:p w14:paraId="081E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GB3838-2002)Ⅲ类标准</w:t>
                  </w:r>
                </w:p>
              </w:tc>
            </w:tr>
            <w:tr w14:paraId="6C440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2" w:type="pct"/>
                  <w:noWrap w:val="0"/>
                  <w:vAlign w:val="center"/>
                </w:tcPr>
                <w:p w14:paraId="78346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7" w:type="pct"/>
                  <w:gridSpan w:val="4"/>
                  <w:noWrap w:val="0"/>
                  <w:vAlign w:val="center"/>
                </w:tcPr>
                <w:p w14:paraId="1E391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4B7815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712" w:type="pct"/>
                  <w:noWrap w:val="0"/>
                  <w:vAlign w:val="center"/>
                </w:tcPr>
                <w:p w14:paraId="6B6D6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7" w:type="pct"/>
                  <w:gridSpan w:val="4"/>
                  <w:noWrap w:val="0"/>
                  <w:vAlign w:val="center"/>
                </w:tcPr>
                <w:p w14:paraId="64094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57879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12" w:type="pct"/>
                  <w:noWrap w:val="0"/>
                  <w:vAlign w:val="center"/>
                </w:tcPr>
                <w:p w14:paraId="2C65B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7" w:type="pct"/>
                  <w:gridSpan w:val="4"/>
                  <w:noWrap w:val="0"/>
                  <w:vAlign w:val="center"/>
                </w:tcPr>
                <w:p w14:paraId="49B0EC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43EAFFD4">
            <w:pPr>
              <w:rPr>
                <w:rFonts w:hint="eastAsia"/>
                <w:vertAlign w:val="baseline"/>
                <w:lang w:eastAsia="zh-CN"/>
              </w:rPr>
            </w:pPr>
          </w:p>
        </w:tc>
      </w:tr>
      <w:tr w14:paraId="6913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4" w:hRule="atLeast"/>
        </w:trPr>
        <w:tc>
          <w:tcPr>
            <w:tcW w:w="456" w:type="dxa"/>
            <w:vAlign w:val="center"/>
          </w:tcPr>
          <w:p w14:paraId="351D23A2">
            <w:pPr>
              <w:jc w:val="center"/>
              <w:rPr>
                <w:rFonts w:hint="eastAsia"/>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2DC7B087">
            <w:pPr>
              <w:pStyle w:val="45"/>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000000" w:themeColor="text1"/>
                <w:szCs w:val="28"/>
                <w:highlight w:val="none"/>
                <w:lang w:val="en-US" w:eastAsia="zh-CN"/>
                <w14:textFill>
                  <w14:solidFill>
                    <w14:schemeClr w14:val="tx1"/>
                  </w14:solidFill>
                </w14:textFill>
              </w:rPr>
            </w:pPr>
            <w:bookmarkStart w:id="58" w:name="_Toc5981"/>
            <w:bookmarkStart w:id="59" w:name="_Toc10661"/>
            <w:bookmarkStart w:id="60" w:name="_Toc10339"/>
            <w:bookmarkStart w:id="61" w:name="_Toc15260"/>
            <w:bookmarkStart w:id="62" w:name="_Toc22767"/>
            <w:r>
              <w:rPr>
                <w:rFonts w:hint="default"/>
                <w:color w:val="000000" w:themeColor="text1"/>
                <w:szCs w:val="28"/>
                <w:highlight w:val="none"/>
                <w:lang w:val="en-US" w:eastAsia="zh-CN"/>
                <w14:textFill>
                  <w14:solidFill>
                    <w14:schemeClr w14:val="tx1"/>
                  </w14:solidFill>
                </w14:textFill>
              </w:rPr>
              <w:t>3.7 污染物排放标准</w:t>
            </w:r>
            <w:bookmarkEnd w:id="58"/>
            <w:bookmarkEnd w:id="59"/>
            <w:bookmarkEnd w:id="60"/>
            <w:bookmarkEnd w:id="61"/>
            <w:bookmarkEnd w:id="62"/>
          </w:p>
          <w:p w14:paraId="41B936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63" w:name="_Toc994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3.7.1 </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废水</w:t>
            </w:r>
            <w:bookmarkEnd w:id="63"/>
          </w:p>
          <w:p w14:paraId="7CA968BD">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（1）项目水污染物排放标准</w:t>
            </w:r>
          </w:p>
          <w:p w14:paraId="6B042A5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运营期不产生生产废水排放，冷却水为间接冷却，不接触物料且循环使用不外排，因此不产生生产废水；仅产生职工生活污水</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根据现场勘查，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项目生活污水依托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园区内已建化粪池预处理后，接入市政污水管网，纳入福清融元污水处理厂统一处理，尾水排入龙江。</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属于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服务范围</w:t>
            </w:r>
            <w:r>
              <w:rPr>
                <w:rFonts w:hint="eastAsia" w:cs="Times New Roman"/>
                <w:color w:val="000000" w:themeColor="text1"/>
                <w:sz w:val="24"/>
                <w:szCs w:val="24"/>
                <w:highlight w:val="none"/>
                <w:lang w:eastAsia="zh-CN"/>
                <w14:textFill>
                  <w14:solidFill>
                    <w14:schemeClr w14:val="tx1"/>
                  </w14:solidFill>
                </w14:textFill>
              </w:rPr>
              <w:t>且</w:t>
            </w:r>
            <w:r>
              <w:rPr>
                <w:rFonts w:hint="default" w:ascii="Times New Roman" w:hAnsi="Times New Roman" w:cs="Times New Roman"/>
                <w:color w:val="000000" w:themeColor="text1"/>
                <w:sz w:val="24"/>
                <w:szCs w:val="24"/>
                <w:highlight w:val="none"/>
                <w14:textFill>
                  <w14:solidFill>
                    <w14:schemeClr w14:val="tx1"/>
                  </w14:solidFill>
                </w14:textFill>
              </w:rPr>
              <w:t>污水管网已铺设到位，项目生活污水经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园区</w:t>
            </w:r>
            <w:r>
              <w:rPr>
                <w:rFonts w:hint="default" w:ascii="Times New Roman" w:hAnsi="Times New Roman" w:cs="Times New Roman"/>
                <w:color w:val="000000" w:themeColor="text1"/>
                <w:sz w:val="24"/>
                <w:szCs w:val="24"/>
                <w:highlight w:val="none"/>
                <w14:textFill>
                  <w14:solidFill>
                    <w14:schemeClr w14:val="tx1"/>
                  </w14:solidFill>
                </w14:textFill>
              </w:rPr>
              <w:t>已建的化粪池预处理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后接入市政污水管网，外排废水需</w:t>
            </w:r>
            <w:r>
              <w:rPr>
                <w:rFonts w:hint="default" w:ascii="Times New Roman" w:hAnsi="Times New Roman" w:cs="Times New Roman"/>
                <w:color w:val="000000" w:themeColor="text1"/>
                <w:sz w:val="24"/>
                <w:szCs w:val="24"/>
                <w:highlight w:val="none"/>
                <w14:textFill>
                  <w14:solidFill>
                    <w14:schemeClr w14:val="tx1"/>
                  </w14:solidFill>
                </w14:textFill>
              </w:rPr>
              <w:t>达到《污水综合排放标准》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GB8978-1996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表4中的三级标准后排入市政污水管网送往</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集中处理，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14:textFill>
                  <w14:solidFill>
                    <w14:schemeClr w14:val="tx1"/>
                  </w14:solidFill>
                </w14:textFill>
              </w:rPr>
              <w:t>参照执行《污水排入城镇下水道水质标准》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GB/T 31962-2015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表1中B级标准，详见表3.7-1。</w:t>
            </w:r>
          </w:p>
          <w:p w14:paraId="07A9A95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表3.7-1</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项目污水排放标准限值一览表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7"/>
              <w:gridCol w:w="3908"/>
              <w:gridCol w:w="1512"/>
              <w:gridCol w:w="1701"/>
            </w:tblGrid>
            <w:tr w14:paraId="733EA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exact"/>
                <w:jc w:val="center"/>
              </w:trPr>
              <w:tc>
                <w:tcPr>
                  <w:tcW w:w="825" w:type="pct"/>
                  <w:tcBorders>
                    <w:top w:val="single" w:color="auto" w:sz="12" w:space="0"/>
                  </w:tcBorders>
                  <w:noWrap w:val="0"/>
                  <w:vAlign w:val="center"/>
                </w:tcPr>
                <w:p w14:paraId="4AAFA1E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2291" w:type="pct"/>
                  <w:tcBorders>
                    <w:top w:val="single" w:color="auto" w:sz="12" w:space="0"/>
                  </w:tcBorders>
                  <w:noWrap w:val="0"/>
                  <w:vAlign w:val="center"/>
                </w:tcPr>
                <w:p w14:paraId="325B36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c>
                <w:tcPr>
                  <w:tcW w:w="886" w:type="pct"/>
                  <w:tcBorders>
                    <w:top w:val="single" w:color="auto" w:sz="12" w:space="0"/>
                  </w:tcBorders>
                  <w:noWrap w:val="0"/>
                  <w:vAlign w:val="center"/>
                </w:tcPr>
                <w:p w14:paraId="3E8E6D8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997" w:type="pct"/>
                  <w:tcBorders>
                    <w:top w:val="single" w:color="auto" w:sz="12" w:space="0"/>
                  </w:tcBorders>
                  <w:noWrap w:val="0"/>
                  <w:vAlign w:val="center"/>
                </w:tcPr>
                <w:p w14:paraId="62D9D6E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r>
            <w:tr w14:paraId="06B203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exact"/>
                <w:jc w:val="center"/>
              </w:trPr>
              <w:tc>
                <w:tcPr>
                  <w:tcW w:w="825" w:type="pct"/>
                  <w:vMerge w:val="restart"/>
                  <w:noWrap w:val="0"/>
                  <w:vAlign w:val="center"/>
                </w:tcPr>
                <w:p w14:paraId="7FA41A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2291" w:type="pct"/>
                  <w:vMerge w:val="restart"/>
                  <w:noWrap w:val="0"/>
                  <w:vAlign w:val="center"/>
                </w:tcPr>
                <w:p w14:paraId="363B69B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w:t>
                  </w:r>
                </w:p>
                <w:p w14:paraId="7008215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(GB8978-1996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表4三级标准</w:t>
                  </w:r>
                </w:p>
              </w:tc>
              <w:tc>
                <w:tcPr>
                  <w:tcW w:w="886" w:type="pct"/>
                  <w:noWrap w:val="0"/>
                  <w:vAlign w:val="center"/>
                </w:tcPr>
                <w:p w14:paraId="45F8B28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997" w:type="pct"/>
                  <w:noWrap w:val="0"/>
                  <w:vAlign w:val="center"/>
                </w:tcPr>
                <w:p w14:paraId="262171D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r>
            <w:tr w14:paraId="1D5695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2" w:hRule="exact"/>
                <w:jc w:val="center"/>
              </w:trPr>
              <w:tc>
                <w:tcPr>
                  <w:tcW w:w="825" w:type="pct"/>
                  <w:vMerge w:val="continue"/>
                  <w:noWrap w:val="0"/>
                  <w:vAlign w:val="center"/>
                </w:tcPr>
                <w:p w14:paraId="7649F68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098D0C0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07919EB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997" w:type="pct"/>
                  <w:noWrap w:val="0"/>
                  <w:vAlign w:val="center"/>
                </w:tcPr>
                <w:p w14:paraId="065030B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500mg/L</w:t>
                  </w:r>
                </w:p>
              </w:tc>
            </w:tr>
            <w:tr w14:paraId="2CADA0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8" w:hRule="exact"/>
                <w:jc w:val="center"/>
              </w:trPr>
              <w:tc>
                <w:tcPr>
                  <w:tcW w:w="825" w:type="pct"/>
                  <w:vMerge w:val="continue"/>
                  <w:noWrap w:val="0"/>
                  <w:vAlign w:val="center"/>
                </w:tcPr>
                <w:p w14:paraId="4076731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0F360F9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1626AB9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997" w:type="pct"/>
                  <w:noWrap w:val="0"/>
                  <w:vAlign w:val="center"/>
                </w:tcPr>
                <w:p w14:paraId="2AA8A1B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300mg/L</w:t>
                  </w:r>
                </w:p>
              </w:tc>
            </w:tr>
            <w:tr w14:paraId="60C15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5" w:hRule="exact"/>
                <w:jc w:val="center"/>
              </w:trPr>
              <w:tc>
                <w:tcPr>
                  <w:tcW w:w="825" w:type="pct"/>
                  <w:vMerge w:val="continue"/>
                  <w:noWrap w:val="0"/>
                  <w:vAlign w:val="center"/>
                </w:tcPr>
                <w:p w14:paraId="23DCC4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1432298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7D71B4D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997" w:type="pct"/>
                  <w:noWrap w:val="0"/>
                  <w:vAlign w:val="center"/>
                </w:tcPr>
                <w:p w14:paraId="20DEABB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400mg/L</w:t>
                  </w:r>
                </w:p>
              </w:tc>
            </w:tr>
            <w:tr w14:paraId="7C187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20" w:hRule="exact"/>
                <w:jc w:val="center"/>
              </w:trPr>
              <w:tc>
                <w:tcPr>
                  <w:tcW w:w="825" w:type="pct"/>
                  <w:vMerge w:val="continue"/>
                  <w:noWrap w:val="0"/>
                  <w:vAlign w:val="center"/>
                </w:tcPr>
                <w:p w14:paraId="45EDBC3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noWrap w:val="0"/>
                  <w:vAlign w:val="center"/>
                </w:tcPr>
                <w:p w14:paraId="2CB020E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w:t>
                  </w:r>
                </w:p>
                <w:p w14:paraId="6ACC7A2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（GB/T31962-2015）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表1中B级标准</w:t>
                  </w:r>
                </w:p>
              </w:tc>
              <w:tc>
                <w:tcPr>
                  <w:tcW w:w="886" w:type="pct"/>
                  <w:noWrap w:val="0"/>
                  <w:vAlign w:val="center"/>
                </w:tcPr>
                <w:p w14:paraId="64C1537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997" w:type="pct"/>
                  <w:noWrap w:val="0"/>
                  <w:vAlign w:val="center"/>
                </w:tcPr>
                <w:p w14:paraId="14BBC04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45mg/L</w:t>
                  </w:r>
                </w:p>
              </w:tc>
            </w:tr>
          </w:tbl>
          <w:p w14:paraId="7AC4D2D8">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（2）污水处理厂尾水排放标准</w:t>
            </w:r>
          </w:p>
          <w:p w14:paraId="223E7F97">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根据调查，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福清市融元污水处理厂</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尾水</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目前</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排放执行《城镇污水处理厂污染物排放标准》</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GB18918-2002</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及其修改单表1的一级</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标准A</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标准，具体详见表3.</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416FB99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7-2福清市融元</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污水处理厂尾水排放标准一览表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0401B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04" w:type="pct"/>
                  <w:noWrap w:val="0"/>
                  <w:vAlign w:val="center"/>
                </w:tcPr>
                <w:p w14:paraId="132640B7">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序号</w:t>
                  </w:r>
                </w:p>
              </w:tc>
              <w:tc>
                <w:tcPr>
                  <w:tcW w:w="821" w:type="pct"/>
                  <w:noWrap w:val="0"/>
                  <w:vAlign w:val="center"/>
                </w:tcPr>
                <w:p w14:paraId="71D50FC0">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污染物名称</w:t>
                  </w:r>
                </w:p>
              </w:tc>
              <w:tc>
                <w:tcPr>
                  <w:tcW w:w="1583" w:type="pct"/>
                  <w:noWrap w:val="0"/>
                  <w:vAlign w:val="center"/>
                </w:tcPr>
                <w:p w14:paraId="48E54C7F">
                  <w:pPr>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1990" w:type="pct"/>
                  <w:noWrap w:val="0"/>
                  <w:vAlign w:val="center"/>
                </w:tcPr>
                <w:p w14:paraId="4FAD1402">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标准来源</w:t>
                  </w:r>
                </w:p>
              </w:tc>
            </w:tr>
            <w:tr w14:paraId="6DF7C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4" w:type="pct"/>
                  <w:noWrap w:val="0"/>
                  <w:vAlign w:val="center"/>
                </w:tcPr>
                <w:p w14:paraId="08EA19E0">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1</w:t>
                  </w:r>
                </w:p>
              </w:tc>
              <w:tc>
                <w:tcPr>
                  <w:tcW w:w="821" w:type="pct"/>
                  <w:noWrap w:val="0"/>
                  <w:vAlign w:val="center"/>
                </w:tcPr>
                <w:p w14:paraId="2FD64509">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pH</w:t>
                  </w:r>
                </w:p>
              </w:tc>
              <w:tc>
                <w:tcPr>
                  <w:tcW w:w="1583" w:type="pct"/>
                  <w:noWrap w:val="0"/>
                  <w:vAlign w:val="center"/>
                </w:tcPr>
                <w:p w14:paraId="02A17612">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 xml:space="preserve">6～9 </w:t>
                  </w:r>
                  <w:r>
                    <w:rPr>
                      <w:rFonts w:hint="eastAsia" w:cs="Times New Roman"/>
                      <w:color w:val="000000" w:themeColor="text1"/>
                      <w:kern w:val="1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无量纲</w:t>
                  </w:r>
                  <w:r>
                    <w:rPr>
                      <w:rFonts w:hint="eastAsia" w:cs="Times New Roman"/>
                      <w:color w:val="000000" w:themeColor="text1"/>
                      <w:sz w:val="21"/>
                      <w:szCs w:val="21"/>
                      <w:highlight w:val="none"/>
                      <w:lang w:eastAsia="zh-CN"/>
                      <w14:textFill>
                        <w14:solidFill>
                          <w14:schemeClr w14:val="tx1"/>
                        </w14:solidFill>
                      </w14:textFill>
                    </w:rPr>
                    <w:t>）</w:t>
                  </w:r>
                </w:p>
              </w:tc>
              <w:tc>
                <w:tcPr>
                  <w:tcW w:w="1990" w:type="pct"/>
                  <w:vMerge w:val="restart"/>
                  <w:noWrap w:val="0"/>
                  <w:vAlign w:val="center"/>
                </w:tcPr>
                <w:p w14:paraId="6B077863">
                  <w:pPr>
                    <w:widowControl/>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《城镇污水处理厂污染物排放标准》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及其修改单表1</w:t>
                  </w:r>
                </w:p>
              </w:tc>
            </w:tr>
            <w:tr w14:paraId="52FD8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5A7424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2</w:t>
                  </w:r>
                </w:p>
              </w:tc>
              <w:tc>
                <w:tcPr>
                  <w:tcW w:w="821" w:type="pct"/>
                  <w:noWrap w:val="0"/>
                  <w:vAlign w:val="center"/>
                </w:tcPr>
                <w:p w14:paraId="672BC56F">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cr</w:t>
                  </w:r>
                </w:p>
              </w:tc>
              <w:tc>
                <w:tcPr>
                  <w:tcW w:w="1583" w:type="pct"/>
                  <w:noWrap w:val="0"/>
                  <w:vAlign w:val="center"/>
                </w:tcPr>
                <w:p w14:paraId="0F73E654">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4F774E69">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5A15A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03AC0585">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3</w:t>
                  </w:r>
                </w:p>
              </w:tc>
              <w:tc>
                <w:tcPr>
                  <w:tcW w:w="821" w:type="pct"/>
                  <w:noWrap w:val="0"/>
                  <w:vAlign w:val="center"/>
                </w:tcPr>
                <w:p w14:paraId="39A5BE2C">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5</w:t>
                  </w:r>
                </w:p>
              </w:tc>
              <w:tc>
                <w:tcPr>
                  <w:tcW w:w="1583" w:type="pct"/>
                  <w:noWrap w:val="0"/>
                  <w:vAlign w:val="center"/>
                </w:tcPr>
                <w:p w14:paraId="234611E5">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7AB14046">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09ED1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14FAAC33">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4</w:t>
                  </w:r>
                </w:p>
              </w:tc>
              <w:tc>
                <w:tcPr>
                  <w:tcW w:w="821" w:type="pct"/>
                  <w:noWrap w:val="0"/>
                  <w:vAlign w:val="center"/>
                </w:tcPr>
                <w:p w14:paraId="7DA74A45">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SS</w:t>
                  </w:r>
                </w:p>
              </w:tc>
              <w:tc>
                <w:tcPr>
                  <w:tcW w:w="1583" w:type="pct"/>
                  <w:noWrap w:val="0"/>
                  <w:vAlign w:val="center"/>
                </w:tcPr>
                <w:p w14:paraId="6FAFA0C6">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5D2DEA97">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5F896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0D2C7813">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5</w:t>
                  </w:r>
                </w:p>
              </w:tc>
              <w:tc>
                <w:tcPr>
                  <w:tcW w:w="821" w:type="pct"/>
                  <w:noWrap w:val="0"/>
                  <w:vAlign w:val="center"/>
                </w:tcPr>
                <w:p w14:paraId="1608DF82">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NH</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w:t>
                  </w:r>
                </w:p>
              </w:tc>
              <w:tc>
                <w:tcPr>
                  <w:tcW w:w="1583" w:type="pct"/>
                  <w:noWrap w:val="0"/>
                  <w:vAlign w:val="center"/>
                </w:tcPr>
                <w:p w14:paraId="54FF5A32">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mg/L</w:t>
                  </w:r>
                </w:p>
              </w:tc>
              <w:tc>
                <w:tcPr>
                  <w:tcW w:w="1990" w:type="pct"/>
                  <w:vMerge w:val="continue"/>
                  <w:noWrap w:val="0"/>
                  <w:vAlign w:val="center"/>
                </w:tcPr>
                <w:p w14:paraId="33D0BA7A">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bl>
          <w:p w14:paraId="51A11DA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64" w:name="_Toc28297"/>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3.7.2 废气</w:t>
            </w:r>
            <w:bookmarkEnd w:id="64"/>
          </w:p>
          <w:p w14:paraId="18A3C3C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（1）项目有组织废气污染物排放标准</w:t>
            </w:r>
          </w:p>
          <w:p w14:paraId="275AEC0D">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①汽车塑料配件生产：所使用原辅材料为塑料颗粒（PC/ABS、PP、ABS、PP+EPDM-T20、PA6-GF30），生产工序为按照产品要求将对应塑料颗粒投入注塑机内进行加热注塑</w:t>
            </w:r>
            <w:r>
              <w:rPr>
                <w:rFonts w:hint="eastAsia" w:cs="Times New Roman"/>
                <w:bCs/>
                <w:color w:val="000000" w:themeColor="text1"/>
                <w:kern w:val="2"/>
                <w:sz w:val="24"/>
                <w:szCs w:val="24"/>
                <w:highlight w:val="none"/>
                <w:lang w:val="en-US" w:eastAsia="zh-CN" w:bidi="ar-SA"/>
                <w14:textFill>
                  <w14:solidFill>
                    <w14:schemeClr w14:val="tx1"/>
                  </w14:solidFill>
                </w14:textFill>
              </w:rPr>
              <w:t>成形</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，冷却后脱模进行检验。合格产品包装成品送检后入库，不合格产品及边角料</w:t>
            </w:r>
            <w:r>
              <w:rPr>
                <w:rFonts w:hint="eastAsia" w:cs="Times New Roman"/>
                <w:bCs/>
                <w:color w:val="000000" w:themeColor="text1"/>
                <w:kern w:val="2"/>
                <w:sz w:val="24"/>
                <w:szCs w:val="24"/>
                <w:highlight w:val="none"/>
                <w:lang w:val="en-US" w:eastAsia="zh-CN" w:bidi="ar-SA"/>
                <w14:textFill>
                  <w14:solidFill>
                    <w14:schemeClr w14:val="tx1"/>
                  </w14:solidFill>
                </w14:textFill>
              </w:rPr>
              <w:t>通过破碎机进行破碎后外售其他企业综合利用</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。因此，</w:t>
            </w:r>
            <w:r>
              <w:rPr>
                <w:rFonts w:hint="eastAsia" w:cs="Times New Roman"/>
                <w:bCs/>
                <w:color w:val="000000" w:themeColor="text1"/>
                <w:kern w:val="2"/>
                <w:sz w:val="24"/>
                <w:szCs w:val="24"/>
                <w:highlight w:val="none"/>
                <w:lang w:val="en-US" w:eastAsia="zh-CN" w:bidi="ar-SA"/>
                <w14:textFill>
                  <w14:solidFill>
                    <w14:schemeClr w14:val="tx1"/>
                  </w14:solidFill>
                </w14:textFill>
              </w:rPr>
              <w:t>在注塑、脱模过程中</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会产生</w:t>
            </w:r>
            <w:r>
              <w:rPr>
                <w:rFonts w:hint="eastAsia" w:cs="Times New Roman"/>
                <w:bCs/>
                <w:color w:val="000000" w:themeColor="text1"/>
                <w:kern w:val="2"/>
                <w:sz w:val="24"/>
                <w:szCs w:val="24"/>
                <w:highlight w:val="none"/>
                <w:lang w:val="en-US" w:eastAsia="zh-CN" w:bidi="ar-SA"/>
                <w14:textFill>
                  <w14:solidFill>
                    <w14:schemeClr w14:val="tx1"/>
                  </w14:solidFill>
                </w14:textFill>
              </w:rPr>
              <w:t>生产</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废气（非甲烷总烃、臭气浓度</w:t>
            </w:r>
            <w:r>
              <w:rPr>
                <w:rFonts w:hint="eastAsia" w:cs="Times New Roman"/>
                <w:bCs/>
                <w:color w:val="000000" w:themeColor="text1"/>
                <w:kern w:val="2"/>
                <w:sz w:val="24"/>
                <w:szCs w:val="24"/>
                <w:highlight w:val="none"/>
                <w:lang w:val="en-US" w:eastAsia="zh-CN" w:bidi="ar-SA"/>
                <w14:textFill>
                  <w14:solidFill>
                    <w14:schemeClr w14:val="tx1"/>
                  </w14:solidFill>
                </w14:textFill>
              </w:rPr>
              <w:t>、苯乙烯、丙烯腈、1,3-丁二烯、甲苯、乙苯</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cs="Times New Roman"/>
                <w:bCs/>
                <w:color w:val="000000" w:themeColor="text1"/>
                <w:kern w:val="2"/>
                <w:sz w:val="24"/>
                <w:szCs w:val="24"/>
                <w:highlight w:val="none"/>
                <w:lang w:val="en-US" w:eastAsia="zh-CN" w:bidi="ar-SA"/>
                <w14:textFill>
                  <w14:solidFill>
                    <w14:schemeClr w14:val="tx1"/>
                  </w14:solidFill>
                </w14:textFill>
              </w:rPr>
              <w:t>、破碎粉尘（颗粒物）。颗粒物、</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非甲烷总烃</w:t>
            </w:r>
            <w:r>
              <w:rPr>
                <w:rFonts w:hint="eastAsia" w:cs="Times New Roman"/>
                <w:bCs/>
                <w:color w:val="000000" w:themeColor="text1"/>
                <w:kern w:val="2"/>
                <w:sz w:val="24"/>
                <w:szCs w:val="24"/>
                <w:highlight w:val="none"/>
                <w:lang w:val="en-US" w:eastAsia="zh-CN" w:bidi="ar-SA"/>
                <w14:textFill>
                  <w14:solidFill>
                    <w14:schemeClr w14:val="tx1"/>
                  </w14:solidFill>
                </w14:textFill>
              </w:rPr>
              <w:t>、苯乙烯、丙烯腈、1,3-丁二烯、甲苯、乙苯</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执行</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《合成树脂工业污染物排放标准》</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GB31572-2015</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及修改单</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w:t>
            </w:r>
            <w:r>
              <w:rPr>
                <w:rFonts w:ascii="Times New Roman" w:hAnsi="Times New Roman" w:eastAsia="宋体" w:cs="Times New Roman"/>
                <w:color w:val="000000" w:themeColor="text1"/>
                <w:kern w:val="0"/>
                <w:sz w:val="24"/>
                <w:szCs w:val="24"/>
                <w:highlight w:val="none"/>
                <w:u w:val="none"/>
                <w:lang w:val="en-US" w:eastAsia="zh-CN" w:bidi="ar"/>
                <w14:textFill>
                  <w14:solidFill>
                    <w14:schemeClr w14:val="tx1"/>
                  </w14:solidFill>
                </w14:textFill>
              </w:rPr>
              <w:t>2024年7月1日起实施</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的表</w:t>
            </w:r>
            <w:r>
              <w:rPr>
                <w:rFonts w:hint="eastAsia" w:ascii="Times New Roman" w:hAnsi="Times New Roman" w:eastAsia="宋体" w:cs="Times New Roman"/>
                <w:color w:val="000000" w:themeColor="text1"/>
                <w:sz w:val="24"/>
                <w:highlight w:val="none"/>
                <w:u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的</w:t>
            </w:r>
            <w:r>
              <w:rPr>
                <w:rFonts w:hint="default" w:ascii="Times New Roman" w:hAnsi="Times New Roman" w:eastAsia="宋体" w:cs="Times New Roman"/>
                <w:bCs/>
                <w:color w:val="000000" w:themeColor="text1"/>
                <w:kern w:val="2"/>
                <w:sz w:val="24"/>
                <w:szCs w:val="24"/>
                <w:highlight w:val="none"/>
                <w:u w:val="none"/>
                <w:lang w:val="en-US" w:eastAsia="zh-CN" w:bidi="ar-SA"/>
                <w14:textFill>
                  <w14:solidFill>
                    <w14:schemeClr w14:val="tx1"/>
                  </w14:solidFill>
                </w14:textFill>
              </w:rPr>
              <w:t>大气污染物特别排放限值</w:t>
            </w:r>
            <w:r>
              <w:rPr>
                <w:rFonts w:hint="eastAsia" w:ascii="Times New Roman" w:hAnsi="Times New Roman" w:cs="Times New Roman"/>
                <w:bCs/>
                <w:color w:val="000000" w:themeColor="text1"/>
                <w:kern w:val="2"/>
                <w:sz w:val="24"/>
                <w:szCs w:val="24"/>
                <w:highlight w:val="none"/>
                <w:u w:val="none"/>
                <w:lang w:val="en-US" w:eastAsia="zh-CN" w:bidi="ar-SA"/>
                <w14:textFill>
                  <w14:solidFill>
                    <w14:schemeClr w14:val="tx1"/>
                  </w14:solidFill>
                </w14:textFill>
              </w:rPr>
              <w:t>，臭气浓度执行</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《恶臭污染物排放标准》</w:t>
            </w:r>
            <w:r>
              <w:rPr>
                <w:rFonts w:hint="eastAsia" w:cs="Times New Roman"/>
                <w:color w:val="000000" w:themeColor="text1"/>
                <w:sz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GB14554-93</w:t>
            </w:r>
            <w:r>
              <w:rPr>
                <w:rFonts w:hint="eastAsia" w:cs="Times New Roman"/>
                <w:color w:val="000000" w:themeColor="text1"/>
                <w:sz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表2标准限值</w:t>
            </w:r>
            <w:r>
              <w:rPr>
                <w:rFonts w:hint="eastAsia" w:ascii="Times New Roman" w:hAnsi="Times New Roman" w:cs="Times New Roman"/>
                <w:color w:val="000000" w:themeColor="text1"/>
                <w:sz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lang w:eastAsia="zh-CN"/>
                <w14:textFill>
                  <w14:solidFill>
                    <w14:schemeClr w14:val="tx1"/>
                  </w14:solidFill>
                </w14:textFill>
              </w:rPr>
              <w:t>上述标准具体详见表3.7-3。</w:t>
            </w:r>
          </w:p>
          <w:p w14:paraId="7985118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表3.7-3 有组织废气污染物排放标准</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375"/>
              <w:gridCol w:w="1125"/>
              <w:gridCol w:w="812"/>
              <w:gridCol w:w="888"/>
              <w:gridCol w:w="937"/>
              <w:gridCol w:w="2426"/>
            </w:tblGrid>
            <w:tr w14:paraId="2944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6" w:type="pct"/>
                  <w:tcBorders>
                    <w:tl2br w:val="nil"/>
                    <w:tr2bl w:val="nil"/>
                  </w:tcBorders>
                  <w:vAlign w:val="center"/>
                </w:tcPr>
                <w:p w14:paraId="414DBE9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污染物产生工段</w:t>
                  </w:r>
                </w:p>
              </w:tc>
              <w:tc>
                <w:tcPr>
                  <w:tcW w:w="805" w:type="pct"/>
                  <w:tcBorders>
                    <w:tl2br w:val="nil"/>
                    <w:tr2bl w:val="nil"/>
                  </w:tcBorders>
                  <w:vAlign w:val="center"/>
                </w:tcPr>
                <w:p w14:paraId="25C2B1A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659" w:type="pct"/>
                  <w:tcBorders>
                    <w:tl2br w:val="nil"/>
                    <w:tr2bl w:val="nil"/>
                  </w:tcBorders>
                  <w:vAlign w:val="center"/>
                </w:tcPr>
                <w:p w14:paraId="1CC512D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475" w:type="pct"/>
                  <w:tcBorders>
                    <w:tl2br w:val="nil"/>
                    <w:tr2bl w:val="nil"/>
                  </w:tcBorders>
                  <w:vAlign w:val="center"/>
                </w:tcPr>
                <w:p w14:paraId="53B1AC0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污染源名称</w:t>
                  </w:r>
                </w:p>
              </w:tc>
              <w:tc>
                <w:tcPr>
                  <w:tcW w:w="520" w:type="pct"/>
                  <w:tcBorders>
                    <w:tl2br w:val="nil"/>
                    <w:tr2bl w:val="nil"/>
                  </w:tcBorders>
                  <w:vAlign w:val="center"/>
                </w:tcPr>
                <w:p w14:paraId="7F98A08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排气筒编号</w:t>
                  </w:r>
                </w:p>
              </w:tc>
              <w:tc>
                <w:tcPr>
                  <w:tcW w:w="549" w:type="pct"/>
                  <w:tcBorders>
                    <w:tl2br w:val="nil"/>
                    <w:tr2bl w:val="nil"/>
                  </w:tcBorders>
                  <w:vAlign w:val="center"/>
                </w:tcPr>
                <w:p w14:paraId="3284275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排气筒高度</w:t>
                  </w:r>
                </w:p>
                <w:p w14:paraId="59DEA4F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p>
              </w:tc>
              <w:tc>
                <w:tcPr>
                  <w:tcW w:w="1422" w:type="pct"/>
                  <w:tcBorders>
                    <w:tl2br w:val="nil"/>
                    <w:tr2bl w:val="nil"/>
                  </w:tcBorders>
                  <w:vAlign w:val="center"/>
                </w:tcPr>
                <w:p w14:paraId="3C246A2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4F6E8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66" w:type="pct"/>
                  <w:vMerge w:val="restart"/>
                  <w:tcBorders>
                    <w:tl2br w:val="nil"/>
                    <w:tr2bl w:val="nil"/>
                  </w:tcBorders>
                  <w:vAlign w:val="center"/>
                </w:tcPr>
                <w:p w14:paraId="15998B6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注塑</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、脱模</w:t>
                  </w:r>
                </w:p>
              </w:tc>
              <w:tc>
                <w:tcPr>
                  <w:tcW w:w="805" w:type="pct"/>
                  <w:tcBorders>
                    <w:tl2br w:val="nil"/>
                    <w:tr2bl w:val="nil"/>
                  </w:tcBorders>
                  <w:vAlign w:val="center"/>
                </w:tcPr>
                <w:p w14:paraId="77890BC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659" w:type="pct"/>
                  <w:tcBorders>
                    <w:tl2br w:val="nil"/>
                    <w:tr2bl w:val="nil"/>
                  </w:tcBorders>
                  <w:vAlign w:val="center"/>
                </w:tcPr>
                <w:p w14:paraId="4713197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w:t>
                  </w:r>
                </w:p>
              </w:tc>
              <w:tc>
                <w:tcPr>
                  <w:tcW w:w="475" w:type="pct"/>
                  <w:vMerge w:val="restart"/>
                  <w:tcBorders>
                    <w:tl2br w:val="nil"/>
                    <w:tr2bl w:val="nil"/>
                  </w:tcBorders>
                  <w:shd w:val="clear" w:color="auto" w:fill="auto"/>
                  <w:vAlign w:val="center"/>
                </w:tcPr>
                <w:p w14:paraId="3E40DA90">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生产废气排气筒</w:t>
                  </w:r>
                </w:p>
              </w:tc>
              <w:tc>
                <w:tcPr>
                  <w:tcW w:w="520" w:type="pct"/>
                  <w:vMerge w:val="restart"/>
                  <w:tcBorders>
                    <w:tl2br w:val="nil"/>
                    <w:tr2bl w:val="nil"/>
                  </w:tcBorders>
                  <w:shd w:val="clear" w:color="auto" w:fill="auto"/>
                  <w:vAlign w:val="center"/>
                </w:tcPr>
                <w:p w14:paraId="173DD93D">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DA001</w:t>
                  </w:r>
                </w:p>
                <w:p w14:paraId="71BF614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549" w:type="pct"/>
                  <w:vMerge w:val="restart"/>
                  <w:tcBorders>
                    <w:tl2br w:val="nil"/>
                    <w:tr2bl w:val="nil"/>
                  </w:tcBorders>
                  <w:shd w:val="clear" w:color="auto" w:fill="auto"/>
                  <w:vAlign w:val="center"/>
                </w:tcPr>
                <w:p w14:paraId="7A24C75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p>
              </w:tc>
              <w:tc>
                <w:tcPr>
                  <w:tcW w:w="1422" w:type="pct"/>
                  <w:vMerge w:val="restart"/>
                  <w:tcBorders>
                    <w:tl2br w:val="nil"/>
                    <w:tr2bl w:val="nil"/>
                  </w:tcBorders>
                  <w:vAlign w:val="center"/>
                </w:tcPr>
                <w:p w14:paraId="6375845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非甲烷总烃、颗粒物、苯乙烯、丙烯腈、1,3-丁二烯、甲苯、乙苯执行</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《合成树脂工业污染物排放标准》（GB31572-2015）及修改单（2024年7月1日起实施）的表5的大气污染物特别排放限值</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臭气浓度执行</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《恶臭污染物排放标准》</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GB14554-93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表2标准限值</w:t>
                  </w:r>
                </w:p>
              </w:tc>
            </w:tr>
            <w:tr w14:paraId="7155F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tcBorders>
                    <w:tl2br w:val="nil"/>
                    <w:tr2bl w:val="nil"/>
                  </w:tcBorders>
                  <w:vAlign w:val="center"/>
                </w:tcPr>
                <w:p w14:paraId="52339AF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633B9F0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苯乙烯</w:t>
                  </w:r>
                </w:p>
              </w:tc>
              <w:tc>
                <w:tcPr>
                  <w:tcW w:w="659" w:type="pct"/>
                  <w:tcBorders>
                    <w:tl2br w:val="nil"/>
                    <w:tr2bl w:val="nil"/>
                  </w:tcBorders>
                  <w:vAlign w:val="center"/>
                </w:tcPr>
                <w:p w14:paraId="52357D5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475" w:type="pct"/>
                  <w:vMerge w:val="continue"/>
                  <w:tcBorders>
                    <w:tl2br w:val="nil"/>
                    <w:tr2bl w:val="nil"/>
                  </w:tcBorders>
                  <w:shd w:val="clear" w:color="auto" w:fill="auto"/>
                  <w:vAlign w:val="center"/>
                </w:tcPr>
                <w:p w14:paraId="1453C2D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64724EA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549" w:type="pct"/>
                  <w:vMerge w:val="continue"/>
                  <w:tcBorders>
                    <w:tl2br w:val="nil"/>
                    <w:tr2bl w:val="nil"/>
                  </w:tcBorders>
                  <w:shd w:val="clear" w:color="auto" w:fill="auto"/>
                  <w:vAlign w:val="center"/>
                </w:tcPr>
                <w:p w14:paraId="15EA1E7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1422" w:type="pct"/>
                  <w:vMerge w:val="continue"/>
                  <w:tcBorders>
                    <w:tl2br w:val="nil"/>
                    <w:tr2bl w:val="nil"/>
                  </w:tcBorders>
                  <w:vAlign w:val="center"/>
                </w:tcPr>
                <w:p w14:paraId="3E040B5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F6DB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tcBorders>
                    <w:tl2br w:val="nil"/>
                    <w:tr2bl w:val="nil"/>
                  </w:tcBorders>
                  <w:vAlign w:val="center"/>
                </w:tcPr>
                <w:p w14:paraId="37AC13C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4B8BA43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丙烯腈</w:t>
                  </w:r>
                </w:p>
              </w:tc>
              <w:tc>
                <w:tcPr>
                  <w:tcW w:w="659" w:type="pct"/>
                  <w:tcBorders>
                    <w:tl2br w:val="nil"/>
                    <w:tr2bl w:val="nil"/>
                  </w:tcBorders>
                  <w:vAlign w:val="center"/>
                </w:tcPr>
                <w:p w14:paraId="0F38E30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0.5</w:t>
                  </w:r>
                </w:p>
              </w:tc>
              <w:tc>
                <w:tcPr>
                  <w:tcW w:w="475" w:type="pct"/>
                  <w:vMerge w:val="continue"/>
                  <w:tcBorders>
                    <w:tl2br w:val="nil"/>
                    <w:tr2bl w:val="nil"/>
                  </w:tcBorders>
                  <w:shd w:val="clear" w:color="auto" w:fill="auto"/>
                  <w:vAlign w:val="center"/>
                </w:tcPr>
                <w:p w14:paraId="0B36E15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3744FE56">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9" w:type="pct"/>
                  <w:vMerge w:val="continue"/>
                  <w:tcBorders>
                    <w:tl2br w:val="nil"/>
                    <w:tr2bl w:val="nil"/>
                  </w:tcBorders>
                  <w:shd w:val="clear" w:color="auto" w:fill="auto"/>
                  <w:vAlign w:val="center"/>
                </w:tcPr>
                <w:p w14:paraId="1930CCF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22" w:type="pct"/>
                  <w:vMerge w:val="continue"/>
                  <w:tcBorders>
                    <w:tl2br w:val="nil"/>
                    <w:tr2bl w:val="nil"/>
                  </w:tcBorders>
                  <w:vAlign w:val="center"/>
                </w:tcPr>
                <w:p w14:paraId="7057870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1A84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tcBorders>
                    <w:tl2br w:val="nil"/>
                    <w:tr2bl w:val="nil"/>
                  </w:tcBorders>
                  <w:vAlign w:val="center"/>
                </w:tcPr>
                <w:p w14:paraId="7B7A837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38D43FA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1.3-丁二烯</w:t>
                  </w:r>
                </w:p>
              </w:tc>
              <w:tc>
                <w:tcPr>
                  <w:tcW w:w="659" w:type="pct"/>
                  <w:tcBorders>
                    <w:tl2br w:val="nil"/>
                    <w:tr2bl w:val="nil"/>
                  </w:tcBorders>
                  <w:vAlign w:val="center"/>
                </w:tcPr>
                <w:p w14:paraId="631A423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475" w:type="pct"/>
                  <w:vMerge w:val="continue"/>
                  <w:tcBorders>
                    <w:tl2br w:val="nil"/>
                    <w:tr2bl w:val="nil"/>
                  </w:tcBorders>
                  <w:shd w:val="clear" w:color="auto" w:fill="auto"/>
                  <w:vAlign w:val="center"/>
                </w:tcPr>
                <w:p w14:paraId="6E38E70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4B13D12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9" w:type="pct"/>
                  <w:vMerge w:val="continue"/>
                  <w:tcBorders>
                    <w:tl2br w:val="nil"/>
                    <w:tr2bl w:val="nil"/>
                  </w:tcBorders>
                  <w:shd w:val="clear" w:color="auto" w:fill="auto"/>
                  <w:vAlign w:val="center"/>
                </w:tcPr>
                <w:p w14:paraId="3896AD64">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22" w:type="pct"/>
                  <w:vMerge w:val="continue"/>
                  <w:tcBorders>
                    <w:tl2br w:val="nil"/>
                    <w:tr2bl w:val="nil"/>
                  </w:tcBorders>
                  <w:vAlign w:val="center"/>
                </w:tcPr>
                <w:p w14:paraId="1B0C916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D20A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tcBorders>
                    <w:tl2br w:val="nil"/>
                    <w:tr2bl w:val="nil"/>
                  </w:tcBorders>
                  <w:vAlign w:val="center"/>
                </w:tcPr>
                <w:p w14:paraId="51E2F72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5EDB714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甲苯</w:t>
                  </w:r>
                </w:p>
              </w:tc>
              <w:tc>
                <w:tcPr>
                  <w:tcW w:w="659" w:type="pct"/>
                  <w:tcBorders>
                    <w:tl2br w:val="nil"/>
                    <w:tr2bl w:val="nil"/>
                  </w:tcBorders>
                  <w:vAlign w:val="center"/>
                </w:tcPr>
                <w:p w14:paraId="5F1C16A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475" w:type="pct"/>
                  <w:vMerge w:val="continue"/>
                  <w:tcBorders>
                    <w:tl2br w:val="nil"/>
                    <w:tr2bl w:val="nil"/>
                  </w:tcBorders>
                  <w:shd w:val="clear" w:color="auto" w:fill="auto"/>
                  <w:vAlign w:val="center"/>
                </w:tcPr>
                <w:p w14:paraId="06386640">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1194E89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9" w:type="pct"/>
                  <w:vMerge w:val="continue"/>
                  <w:tcBorders>
                    <w:tl2br w:val="nil"/>
                    <w:tr2bl w:val="nil"/>
                  </w:tcBorders>
                  <w:shd w:val="clear" w:color="auto" w:fill="auto"/>
                  <w:vAlign w:val="center"/>
                </w:tcPr>
                <w:p w14:paraId="0C01087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22" w:type="pct"/>
                  <w:vMerge w:val="continue"/>
                  <w:tcBorders>
                    <w:tl2br w:val="nil"/>
                    <w:tr2bl w:val="nil"/>
                  </w:tcBorders>
                  <w:vAlign w:val="center"/>
                </w:tcPr>
                <w:p w14:paraId="37A50EF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E2F6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tcBorders>
                    <w:tl2br w:val="nil"/>
                    <w:tr2bl w:val="nil"/>
                  </w:tcBorders>
                  <w:vAlign w:val="center"/>
                </w:tcPr>
                <w:p w14:paraId="4198E20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2088DFE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乙苯</w:t>
                  </w:r>
                </w:p>
              </w:tc>
              <w:tc>
                <w:tcPr>
                  <w:tcW w:w="659" w:type="pct"/>
                  <w:tcBorders>
                    <w:tl2br w:val="nil"/>
                    <w:tr2bl w:val="nil"/>
                  </w:tcBorders>
                  <w:vAlign w:val="center"/>
                </w:tcPr>
                <w:p w14:paraId="562EABD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50</w:t>
                  </w:r>
                </w:p>
              </w:tc>
              <w:tc>
                <w:tcPr>
                  <w:tcW w:w="475" w:type="pct"/>
                  <w:vMerge w:val="continue"/>
                  <w:tcBorders>
                    <w:tl2br w:val="nil"/>
                    <w:tr2bl w:val="nil"/>
                  </w:tcBorders>
                  <w:shd w:val="clear" w:color="auto" w:fill="auto"/>
                  <w:vAlign w:val="center"/>
                </w:tcPr>
                <w:p w14:paraId="3D4FA8E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2BA5C06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9" w:type="pct"/>
                  <w:vMerge w:val="continue"/>
                  <w:tcBorders>
                    <w:tl2br w:val="nil"/>
                    <w:tr2bl w:val="nil"/>
                  </w:tcBorders>
                  <w:shd w:val="clear" w:color="auto" w:fill="auto"/>
                  <w:vAlign w:val="center"/>
                </w:tcPr>
                <w:p w14:paraId="33251835">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22" w:type="pct"/>
                  <w:vMerge w:val="continue"/>
                  <w:tcBorders>
                    <w:tl2br w:val="nil"/>
                    <w:tr2bl w:val="nil"/>
                  </w:tcBorders>
                  <w:vAlign w:val="center"/>
                </w:tcPr>
                <w:p w14:paraId="5571236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AA8E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566" w:type="pct"/>
                  <w:vMerge w:val="continue"/>
                  <w:tcBorders>
                    <w:tl2br w:val="nil"/>
                    <w:tr2bl w:val="nil"/>
                  </w:tcBorders>
                  <w:vAlign w:val="center"/>
                </w:tcPr>
                <w:p w14:paraId="13E5536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05" w:type="pct"/>
                  <w:tcBorders>
                    <w:tl2br w:val="nil"/>
                    <w:tr2bl w:val="nil"/>
                  </w:tcBorders>
                  <w:vAlign w:val="center"/>
                </w:tcPr>
                <w:p w14:paraId="6551B81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臭气浓度</w:t>
                  </w:r>
                </w:p>
              </w:tc>
              <w:tc>
                <w:tcPr>
                  <w:tcW w:w="659" w:type="pct"/>
                  <w:tcBorders>
                    <w:tl2br w:val="nil"/>
                    <w:tr2bl w:val="nil"/>
                  </w:tcBorders>
                  <w:vAlign w:val="center"/>
                </w:tcPr>
                <w:p w14:paraId="7CFDBF9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w:t>
                  </w:r>
                </w:p>
                <w:p w14:paraId="3BAAC6E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无量纲</w:t>
                  </w:r>
                </w:p>
              </w:tc>
              <w:tc>
                <w:tcPr>
                  <w:tcW w:w="475" w:type="pct"/>
                  <w:vMerge w:val="continue"/>
                  <w:tcBorders>
                    <w:tl2br w:val="nil"/>
                    <w:tr2bl w:val="nil"/>
                  </w:tcBorders>
                  <w:vAlign w:val="center"/>
                </w:tcPr>
                <w:p w14:paraId="2372897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vAlign w:val="center"/>
                </w:tcPr>
                <w:p w14:paraId="3929E14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49" w:type="pct"/>
                  <w:vMerge w:val="continue"/>
                  <w:tcBorders>
                    <w:tl2br w:val="nil"/>
                    <w:tr2bl w:val="nil"/>
                  </w:tcBorders>
                  <w:vAlign w:val="center"/>
                </w:tcPr>
                <w:p w14:paraId="144440E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22" w:type="pct"/>
                  <w:vMerge w:val="continue"/>
                  <w:tcBorders>
                    <w:tl2br w:val="nil"/>
                    <w:tr2bl w:val="nil"/>
                  </w:tcBorders>
                  <w:vAlign w:val="center"/>
                </w:tcPr>
                <w:p w14:paraId="04AA424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C269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66" w:type="pct"/>
                  <w:tcBorders>
                    <w:tl2br w:val="nil"/>
                    <w:tr2bl w:val="nil"/>
                  </w:tcBorders>
                  <w:vAlign w:val="center"/>
                </w:tcPr>
                <w:p w14:paraId="4263E92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不合格产品</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破碎</w:t>
                  </w:r>
                </w:p>
              </w:tc>
              <w:tc>
                <w:tcPr>
                  <w:tcW w:w="805" w:type="pct"/>
                  <w:tcBorders>
                    <w:tl2br w:val="nil"/>
                    <w:tr2bl w:val="nil"/>
                  </w:tcBorders>
                  <w:vAlign w:val="center"/>
                </w:tcPr>
                <w:p w14:paraId="7F88BE2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659" w:type="pct"/>
                  <w:tcBorders>
                    <w:tl2br w:val="nil"/>
                    <w:tr2bl w:val="nil"/>
                  </w:tcBorders>
                  <w:vAlign w:val="center"/>
                </w:tcPr>
                <w:p w14:paraId="5795558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475" w:type="pct"/>
                  <w:vMerge w:val="continue"/>
                  <w:tcBorders>
                    <w:tl2br w:val="nil"/>
                    <w:tr2bl w:val="nil"/>
                  </w:tcBorders>
                  <w:shd w:val="clear" w:color="auto" w:fill="auto"/>
                  <w:vAlign w:val="center"/>
                </w:tcPr>
                <w:p w14:paraId="4285C74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520" w:type="pct"/>
                  <w:vMerge w:val="continue"/>
                  <w:tcBorders>
                    <w:tl2br w:val="nil"/>
                    <w:tr2bl w:val="nil"/>
                  </w:tcBorders>
                  <w:shd w:val="clear" w:color="auto" w:fill="auto"/>
                  <w:vAlign w:val="center"/>
                </w:tcPr>
                <w:p w14:paraId="35C11CF3">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549" w:type="pct"/>
                  <w:vMerge w:val="continue"/>
                  <w:tcBorders>
                    <w:tl2br w:val="nil"/>
                    <w:tr2bl w:val="nil"/>
                  </w:tcBorders>
                  <w:shd w:val="clear" w:color="auto" w:fill="auto"/>
                  <w:vAlign w:val="center"/>
                </w:tcPr>
                <w:p w14:paraId="7504802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1422" w:type="pct"/>
                  <w:vMerge w:val="continue"/>
                  <w:tcBorders>
                    <w:tl2br w:val="nil"/>
                    <w:tr2bl w:val="nil"/>
                  </w:tcBorders>
                  <w:vAlign w:val="center"/>
                </w:tcPr>
                <w:p w14:paraId="706F7695">
                  <w:pPr>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bl>
          <w:p w14:paraId="1E6E69A0">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（2）项目无组织废气污染物排放标准</w:t>
            </w:r>
          </w:p>
          <w:p w14:paraId="1570F159">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项目所使用的塑料颗粒均为颗粒状，无使用粉末状原料，塑料颗粒直径范围在2-5mm之间，粒径较大</w:t>
            </w:r>
            <w:r>
              <w:rPr>
                <w:rFonts w:hint="eastAsia"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因此投料工序无粉尘产生。</w:t>
            </w:r>
            <w:r>
              <w:rPr>
                <w:rFonts w:hint="eastAsia" w:cs="Times New Roman"/>
                <w:bCs/>
                <w:color w:val="000000" w:themeColor="text1"/>
                <w:kern w:val="2"/>
                <w:sz w:val="24"/>
                <w:szCs w:val="24"/>
                <w:highlight w:val="none"/>
                <w:lang w:val="en-US" w:eastAsia="zh-CN" w:bidi="ar-SA"/>
                <w14:textFill>
                  <w14:solidFill>
                    <w14:schemeClr w14:val="tx1"/>
                  </w14:solidFill>
                </w14:textFill>
              </w:rPr>
              <w:t>不合格产品经过破碎后外售其他企业综合利用，此过程会产生破碎粉尘（颗粒物）。</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注塑</w:t>
            </w:r>
            <w:r>
              <w:rPr>
                <w:rFonts w:hint="eastAsia" w:cs="Times New Roman"/>
                <w:bCs/>
                <w:color w:val="000000" w:themeColor="text1"/>
                <w:kern w:val="2"/>
                <w:sz w:val="24"/>
                <w:szCs w:val="24"/>
                <w:highlight w:val="none"/>
                <w:lang w:val="en-US" w:eastAsia="zh-CN" w:bidi="ar-SA"/>
                <w14:textFill>
                  <w14:solidFill>
                    <w14:schemeClr w14:val="tx1"/>
                  </w14:solidFill>
                </w14:textFill>
              </w:rPr>
              <w:t>、脱模</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工序未收集到的废气（</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非甲烷总烃、臭气浓度</w:t>
            </w:r>
            <w:r>
              <w:rPr>
                <w:rFonts w:hint="eastAsia" w:cs="Times New Roman"/>
                <w:bCs/>
                <w:color w:val="000000" w:themeColor="text1"/>
                <w:kern w:val="2"/>
                <w:sz w:val="24"/>
                <w:szCs w:val="24"/>
                <w:highlight w:val="none"/>
                <w:lang w:val="en-US" w:eastAsia="zh-CN" w:bidi="ar-SA"/>
                <w14:textFill>
                  <w14:solidFill>
                    <w14:schemeClr w14:val="tx1"/>
                  </w14:solidFill>
                </w14:textFill>
              </w:rPr>
              <w:t>、甲苯</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）车间内无组织排放执行</w:t>
            </w:r>
            <w:r>
              <w:rPr>
                <w:rFonts w:hint="default" w:ascii="Times New Roman" w:hAnsi="Times New Roman" w:eastAsia="宋体" w:cs="Times New Roman"/>
                <w:color w:val="000000" w:themeColor="text1"/>
                <w:sz w:val="24"/>
                <w:szCs w:val="22"/>
                <w:highlight w:val="none"/>
                <w14:textFill>
                  <w14:solidFill>
                    <w14:schemeClr w14:val="tx1"/>
                  </w14:solidFill>
                </w14:textFill>
              </w:rPr>
              <w:t>《合成树脂工业污染物排放标准》</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14:textFill>
                  <w14:solidFill>
                    <w14:schemeClr w14:val="tx1"/>
                  </w14:solidFill>
                </w14:textFill>
              </w:rPr>
              <w:t>GB 31572—2015，含2024年修改单</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14:textFill>
                  <w14:solidFill>
                    <w14:schemeClr w14:val="tx1"/>
                  </w14:solidFill>
                </w14:textFill>
              </w:rPr>
              <w:t>中表9企业边界大气污染物浓度限值；非甲烷总烃无组织排放同时应符合《挥发性有机物无组织排放控制标准》（GB 37822-2019）表A.1标准特别排放限值</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臭气浓度执行《恶臭污染物排放标准》</w:t>
            </w:r>
            <w:r>
              <w:rPr>
                <w:rFonts w:hint="eastAsia" w:cs="Times New Roman"/>
                <w:color w:val="000000" w:themeColor="text1"/>
                <w:sz w:val="24"/>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GB14554-93</w:t>
            </w:r>
            <w:r>
              <w:rPr>
                <w:rFonts w:hint="eastAsia" w:cs="Times New Roman"/>
                <w:color w:val="000000" w:themeColor="text1"/>
                <w:sz w:val="24"/>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表1标准限值</w:t>
            </w:r>
            <w:r>
              <w:rPr>
                <w:rFonts w:hint="eastAsia" w:cs="Times New Roman"/>
                <w:color w:val="000000" w:themeColor="text1"/>
                <w:sz w:val="24"/>
                <w:szCs w:val="22"/>
                <w:highlight w:val="none"/>
                <w:lang w:val="en-US" w:eastAsia="zh-CN"/>
                <w14:textFill>
                  <w14:solidFill>
                    <w14:schemeClr w14:val="tx1"/>
                  </w14:solidFill>
                </w14:textFill>
              </w:rPr>
              <w:t>；破碎工序未收集到的粉尘（颗粒物）车间内无组织排放执行</w:t>
            </w:r>
            <w:r>
              <w:rPr>
                <w:rFonts w:hint="eastAsia"/>
                <w:color w:val="000000" w:themeColor="text1"/>
                <w:highlight w:val="none"/>
                <w14:textFill>
                  <w14:solidFill>
                    <w14:schemeClr w14:val="tx1"/>
                  </w14:solidFill>
                </w14:textFill>
              </w:rPr>
              <w:t>《合成树脂工业污染物排放标准》（GB 31572-2015）（含2024年修改单）表9企业边界大气污染物浓度限值</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上述标准具体详见表3.7-</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w:t>
            </w:r>
          </w:p>
          <w:p w14:paraId="177BB36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表3.7-4 无组织废气污染物排放标准</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832"/>
              <w:gridCol w:w="1235"/>
              <w:gridCol w:w="4574"/>
            </w:tblGrid>
            <w:tr w14:paraId="102F9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520" w:type="pct"/>
                  <w:vMerge w:val="restart"/>
                  <w:tcBorders>
                    <w:tl2br w:val="nil"/>
                    <w:tr2bl w:val="nil"/>
                  </w:tcBorders>
                  <w:vAlign w:val="center"/>
                </w:tcPr>
                <w:p w14:paraId="26D6B0B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1798" w:type="pct"/>
                  <w:gridSpan w:val="2"/>
                  <w:tcBorders>
                    <w:tl2br w:val="nil"/>
                    <w:tr2bl w:val="nil"/>
                  </w:tcBorders>
                  <w:vAlign w:val="center"/>
                </w:tcPr>
                <w:p w14:paraId="3FFA1AF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无组织排放浓度限值</w:t>
                  </w:r>
                </w:p>
              </w:tc>
              <w:tc>
                <w:tcPr>
                  <w:tcW w:w="2681" w:type="pct"/>
                  <w:vMerge w:val="restart"/>
                  <w:tcBorders>
                    <w:tl2br w:val="nil"/>
                    <w:tr2bl w:val="nil"/>
                  </w:tcBorders>
                  <w:vAlign w:val="center"/>
                </w:tcPr>
                <w:p w14:paraId="661FF10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02179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0" w:type="pct"/>
                  <w:vMerge w:val="continue"/>
                  <w:tcBorders>
                    <w:tl2br w:val="nil"/>
                    <w:tr2bl w:val="nil"/>
                  </w:tcBorders>
                  <w:vAlign w:val="center"/>
                </w:tcPr>
                <w:p w14:paraId="7A7E28E0">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721E066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监控点</w:t>
                  </w:r>
                </w:p>
              </w:tc>
              <w:tc>
                <w:tcPr>
                  <w:tcW w:w="724" w:type="pct"/>
                  <w:tcBorders>
                    <w:tl2br w:val="nil"/>
                    <w:tr2bl w:val="nil"/>
                  </w:tcBorders>
                  <w:vAlign w:val="center"/>
                </w:tcPr>
                <w:p w14:paraId="19AE9CD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浓度mg/m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2681" w:type="pct"/>
                  <w:vMerge w:val="continue"/>
                  <w:tcBorders>
                    <w:tl2br w:val="nil"/>
                    <w:tr2bl w:val="nil"/>
                  </w:tcBorders>
                  <w:vAlign w:val="center"/>
                </w:tcPr>
                <w:p w14:paraId="10099025">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1A67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20" w:type="pct"/>
                  <w:vMerge w:val="restart"/>
                  <w:tcBorders>
                    <w:tl2br w:val="nil"/>
                    <w:tr2bl w:val="nil"/>
                  </w:tcBorders>
                  <w:vAlign w:val="center"/>
                </w:tcPr>
                <w:p w14:paraId="25C111EA">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1074" w:type="pct"/>
                  <w:tcBorders>
                    <w:tl2br w:val="nil"/>
                    <w:tr2bl w:val="nil"/>
                  </w:tcBorders>
                  <w:vAlign w:val="center"/>
                </w:tcPr>
                <w:p w14:paraId="4E49716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4" w:type="pct"/>
                  <w:tcBorders>
                    <w:tl2br w:val="nil"/>
                    <w:tr2bl w:val="nil"/>
                  </w:tcBorders>
                  <w:vAlign w:val="center"/>
                </w:tcPr>
                <w:p w14:paraId="1555D23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w:t>
                  </w:r>
                </w:p>
              </w:tc>
              <w:tc>
                <w:tcPr>
                  <w:tcW w:w="2681" w:type="pct"/>
                  <w:tcBorders>
                    <w:tl2br w:val="nil"/>
                    <w:tr2bl w:val="nil"/>
                  </w:tcBorders>
                  <w:vAlign w:val="center"/>
                </w:tcPr>
                <w:p w14:paraId="3DD9F2A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ascii="Times New Roman"/>
                      <w:color w:val="000000" w:themeColor="text1"/>
                      <w:highlight w:val="none"/>
                      <w:u w:val="none"/>
                      <w:lang w:bidi="he-IL"/>
                      <w14:textFill>
                        <w14:solidFill>
                          <w14:schemeClr w14:val="tx1"/>
                        </w14:solidFill>
                      </w14:textFill>
                    </w:rPr>
                    <w:t>《合成树脂工业污染物排放标准》</w:t>
                  </w:r>
                  <w:r>
                    <w:rPr>
                      <w:rFonts w:hint="eastAsia"/>
                      <w:color w:val="000000" w:themeColor="text1"/>
                      <w:highlight w:val="none"/>
                      <w:u w:val="none"/>
                      <w:lang w:eastAsia="zh-CN" w:bidi="he-IL"/>
                      <w14:textFill>
                        <w14:solidFill>
                          <w14:schemeClr w14:val="tx1"/>
                        </w14:solidFill>
                      </w14:textFill>
                    </w:rPr>
                    <w:t>（</w:t>
                  </w:r>
                  <w:r>
                    <w:rPr>
                      <w:rFonts w:ascii="Times New Roman"/>
                      <w:color w:val="000000" w:themeColor="text1"/>
                      <w:highlight w:val="none"/>
                      <w:u w:val="none"/>
                      <w:lang w:bidi="he-IL"/>
                      <w14:textFill>
                        <w14:solidFill>
                          <w14:schemeClr w14:val="tx1"/>
                        </w14:solidFill>
                      </w14:textFill>
                    </w:rPr>
                    <w:t>GB31572-2015</w:t>
                  </w:r>
                  <w:r>
                    <w:rPr>
                      <w:rFonts w:hint="eastAsia"/>
                      <w:color w:val="000000" w:themeColor="text1"/>
                      <w:highlight w:val="none"/>
                      <w:u w:val="none"/>
                      <w:lang w:eastAsia="zh-CN" w:bidi="he-IL"/>
                      <w14:textFill>
                        <w14:solidFill>
                          <w14:schemeClr w14:val="tx1"/>
                        </w14:solidFill>
                      </w14:textFill>
                    </w:rPr>
                    <w:t>）</w:t>
                  </w:r>
                  <w:r>
                    <w:rPr>
                      <w:rFonts w:hint="eastAsia" w:ascii="Times New Roman"/>
                      <w:color w:val="000000" w:themeColor="text1"/>
                      <w:highlight w:val="none"/>
                      <w:u w:val="none"/>
                      <w:lang w:eastAsia="zh-CN" w:bidi="he-IL"/>
                      <w14:textFill>
                        <w14:solidFill>
                          <w14:schemeClr w14:val="tx1"/>
                        </w14:solidFill>
                      </w14:textFill>
                    </w:rPr>
                    <w:t>及修改单</w:t>
                  </w:r>
                  <w:r>
                    <w:rPr>
                      <w:rFonts w:hint="eastAsia" w:ascii="Times New Roman"/>
                      <w:color w:val="000000" w:themeColor="text1"/>
                      <w:highlight w:val="none"/>
                      <w:u w:val="none"/>
                      <w:lang w:bidi="he-IL"/>
                      <w14:textFill>
                        <w14:solidFill>
                          <w14:schemeClr w14:val="tx1"/>
                        </w14:solidFill>
                      </w14:textFill>
                    </w:rPr>
                    <w:t>表</w:t>
                  </w:r>
                  <w:r>
                    <w:rPr>
                      <w:rFonts w:hint="eastAsia" w:ascii="Times New Roman"/>
                      <w:color w:val="000000" w:themeColor="text1"/>
                      <w:highlight w:val="none"/>
                      <w:u w:val="none"/>
                      <w:lang w:val="en-US" w:eastAsia="zh-CN" w:bidi="he-IL"/>
                      <w14:textFill>
                        <w14:solidFill>
                          <w14:schemeClr w14:val="tx1"/>
                        </w14:solidFill>
                      </w14:textFill>
                    </w:rPr>
                    <w:t>9</w:t>
                  </w:r>
                </w:p>
              </w:tc>
            </w:tr>
            <w:tr w14:paraId="7545B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tcBorders>
                    <w:tl2br w:val="nil"/>
                    <w:tr2bl w:val="nil"/>
                  </w:tcBorders>
                  <w:vAlign w:val="center"/>
                </w:tcPr>
                <w:p w14:paraId="014855DA">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09D58FB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厂区内监控点处1小时平均浓度值</w:t>
                  </w:r>
                </w:p>
              </w:tc>
              <w:tc>
                <w:tcPr>
                  <w:tcW w:w="724" w:type="pct"/>
                  <w:tcBorders>
                    <w:tl2br w:val="nil"/>
                    <w:tr2bl w:val="nil"/>
                  </w:tcBorders>
                  <w:vAlign w:val="center"/>
                </w:tcPr>
                <w:p w14:paraId="6DE53B1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2681" w:type="pct"/>
                  <w:vMerge w:val="restart"/>
                  <w:tcBorders>
                    <w:tl2br w:val="nil"/>
                    <w:tr2bl w:val="nil"/>
                  </w:tcBorders>
                  <w:vAlign w:val="center"/>
                </w:tcPr>
                <w:p w14:paraId="3D3A57E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《挥发性有机物无组织排放控制标准》（GB37822-2019）附录A表A.1</w:t>
                  </w:r>
                  <w:r>
                    <w:rPr>
                      <w:rFonts w:hint="eastAsia"/>
                      <w:color w:val="000000" w:themeColor="text1"/>
                      <w:highlight w:val="none"/>
                      <w:lang w:val="en-US" w:eastAsia="zh-CN"/>
                      <w14:textFill>
                        <w14:solidFill>
                          <w14:schemeClr w14:val="tx1"/>
                        </w14:solidFill>
                      </w14:textFill>
                    </w:rPr>
                    <w:t>标准特别排放限值</w:t>
                  </w:r>
                </w:p>
              </w:tc>
            </w:tr>
            <w:tr w14:paraId="5F913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tcBorders>
                    <w:tl2br w:val="nil"/>
                    <w:tr2bl w:val="nil"/>
                  </w:tcBorders>
                  <w:vAlign w:val="center"/>
                </w:tcPr>
                <w:p w14:paraId="781C8666">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074" w:type="pct"/>
                  <w:tcBorders>
                    <w:tl2br w:val="nil"/>
                    <w:tr2bl w:val="nil"/>
                  </w:tcBorders>
                  <w:vAlign w:val="center"/>
                </w:tcPr>
                <w:p w14:paraId="4EE7107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厂区内监控点处任意一次浓度值</w:t>
                  </w:r>
                </w:p>
              </w:tc>
              <w:tc>
                <w:tcPr>
                  <w:tcW w:w="724" w:type="pct"/>
                  <w:tcBorders>
                    <w:tl2br w:val="nil"/>
                    <w:tr2bl w:val="nil"/>
                  </w:tcBorders>
                  <w:vAlign w:val="center"/>
                </w:tcPr>
                <w:p w14:paraId="6670107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2681" w:type="pct"/>
                  <w:vMerge w:val="continue"/>
                  <w:tcBorders>
                    <w:tl2br w:val="nil"/>
                    <w:tr2bl w:val="nil"/>
                  </w:tcBorders>
                  <w:vAlign w:val="center"/>
                </w:tcPr>
                <w:p w14:paraId="7A03C88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00AF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20" w:type="pct"/>
                  <w:tcBorders>
                    <w:tl2br w:val="nil"/>
                    <w:tr2bl w:val="nil"/>
                  </w:tcBorders>
                  <w:shd w:val="clear" w:color="auto" w:fill="auto"/>
                  <w:vAlign w:val="center"/>
                </w:tcPr>
                <w:p w14:paraId="35390F2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1074" w:type="pct"/>
                  <w:tcBorders>
                    <w:tl2br w:val="nil"/>
                    <w:tr2bl w:val="nil"/>
                  </w:tcBorders>
                  <w:shd w:val="clear" w:color="auto" w:fill="auto"/>
                  <w:vAlign w:val="center"/>
                </w:tcPr>
                <w:p w14:paraId="4A2C249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4" w:type="pct"/>
                  <w:tcBorders>
                    <w:tl2br w:val="nil"/>
                    <w:tr2bl w:val="nil"/>
                  </w:tcBorders>
                  <w:shd w:val="clear" w:color="auto" w:fill="auto"/>
                  <w:vAlign w:val="center"/>
                </w:tcPr>
                <w:p w14:paraId="5F747B4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2681" w:type="pct"/>
                  <w:vMerge w:val="restart"/>
                  <w:tcBorders>
                    <w:tl2br w:val="nil"/>
                    <w:tr2bl w:val="nil"/>
                  </w:tcBorders>
                  <w:shd w:val="clear" w:color="auto" w:fill="auto"/>
                  <w:vAlign w:val="center"/>
                </w:tcPr>
                <w:p w14:paraId="4727997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《合成树脂工业污染物排放标准》</w:t>
                  </w:r>
                </w:p>
                <w:p w14:paraId="5EE09AB8">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（GB 31572-2015）（含2024年修改单）表9企业边界大气污染物浓度限值</w:t>
                  </w:r>
                </w:p>
              </w:tc>
            </w:tr>
            <w:tr w14:paraId="7DBF5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20" w:type="pct"/>
                  <w:tcBorders>
                    <w:tl2br w:val="nil"/>
                    <w:tr2bl w:val="nil"/>
                  </w:tcBorders>
                  <w:vAlign w:val="center"/>
                </w:tcPr>
                <w:p w14:paraId="1554968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甲苯</w:t>
                  </w:r>
                </w:p>
              </w:tc>
              <w:tc>
                <w:tcPr>
                  <w:tcW w:w="1074" w:type="pct"/>
                  <w:tcBorders>
                    <w:tl2br w:val="nil"/>
                    <w:tr2bl w:val="nil"/>
                  </w:tcBorders>
                  <w:vAlign w:val="center"/>
                </w:tcPr>
                <w:p w14:paraId="1349B86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4" w:type="pct"/>
                  <w:tcBorders>
                    <w:tl2br w:val="nil"/>
                    <w:tr2bl w:val="nil"/>
                  </w:tcBorders>
                  <w:vAlign w:val="center"/>
                </w:tcPr>
                <w:p w14:paraId="7A6A283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0.8</w:t>
                  </w:r>
                </w:p>
              </w:tc>
              <w:tc>
                <w:tcPr>
                  <w:tcW w:w="2681" w:type="pct"/>
                  <w:vMerge w:val="continue"/>
                  <w:tcBorders>
                    <w:tl2br w:val="nil"/>
                    <w:tr2bl w:val="nil"/>
                  </w:tcBorders>
                  <w:vAlign w:val="center"/>
                </w:tcPr>
                <w:p w14:paraId="07537FA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5AD6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0" w:type="pct"/>
                  <w:tcBorders>
                    <w:tl2br w:val="nil"/>
                    <w:tr2bl w:val="nil"/>
                  </w:tcBorders>
                  <w:vAlign w:val="center"/>
                </w:tcPr>
                <w:p w14:paraId="5B98F7C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臭气浓度</w:t>
                  </w:r>
                </w:p>
              </w:tc>
              <w:tc>
                <w:tcPr>
                  <w:tcW w:w="1074" w:type="pct"/>
                  <w:tcBorders>
                    <w:tl2br w:val="nil"/>
                    <w:tr2bl w:val="nil"/>
                  </w:tcBorders>
                  <w:vAlign w:val="center"/>
                </w:tcPr>
                <w:p w14:paraId="3258DF22">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4" w:type="pct"/>
                  <w:tcBorders>
                    <w:tl2br w:val="nil"/>
                    <w:tr2bl w:val="nil"/>
                  </w:tcBorders>
                  <w:vAlign w:val="center"/>
                </w:tcPr>
                <w:p w14:paraId="7343521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p w14:paraId="18B7EB3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（无量纲）</w:t>
                  </w:r>
                </w:p>
              </w:tc>
              <w:tc>
                <w:tcPr>
                  <w:tcW w:w="2681" w:type="pct"/>
                  <w:tcBorders>
                    <w:tl2br w:val="nil"/>
                    <w:tr2bl w:val="nil"/>
                  </w:tcBorders>
                  <w:vAlign w:val="center"/>
                </w:tcPr>
                <w:p w14:paraId="1FFAB5B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《恶臭污染物排放标准》</w:t>
                  </w:r>
                </w:p>
                <w:p w14:paraId="427042B5">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(GB14554-93</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表2标准限值-新扩改建标准限值</w:t>
                  </w:r>
                </w:p>
              </w:tc>
            </w:tr>
          </w:tbl>
          <w:p w14:paraId="4909B73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65" w:name="_Toc2403"/>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3.7.3噪声</w:t>
            </w:r>
            <w:bookmarkEnd w:id="65"/>
          </w:p>
          <w:p w14:paraId="496C66E6">
            <w:pPr>
              <w:widowControl/>
              <w:spacing w:line="360" w:lineRule="auto"/>
              <w:ind w:firstLine="480" w:firstLineChars="200"/>
              <w:jc w:val="both"/>
              <w:rPr>
                <w:rFonts w:hint="default" w:eastAsia="宋体"/>
                <w:color w:val="000000" w:themeColor="text1"/>
                <w:sz w:val="24"/>
                <w:highlight w:val="none"/>
                <w:lang w:val="en-US" w:eastAsia="zh-CN"/>
                <w14:textFill>
                  <w14:solidFill>
                    <w14:schemeClr w14:val="tx1"/>
                  </w14:solidFill>
                </w14:textFill>
              </w:rPr>
            </w:pPr>
            <w:r>
              <w:rPr>
                <w:color w:val="000000" w:themeColor="text1"/>
                <w:sz w:val="24"/>
                <w:highlight w:val="none"/>
                <w:lang w:val="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w:t>
            </w:r>
            <w:r>
              <w:rPr>
                <w:color w:val="000000" w:themeColor="text1"/>
                <w:sz w:val="24"/>
                <w:highlight w:val="none"/>
                <w:lang w:val="zh-CN"/>
                <w14:textFill>
                  <w14:solidFill>
                    <w14:schemeClr w14:val="tx1"/>
                  </w14:solidFill>
                </w14:textFill>
              </w:rPr>
              <w:t>厂界噪声排放执行《工业企业厂界环境噪声排放标准》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GB12348-2008</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表1</w:t>
            </w:r>
            <w:r>
              <w:rPr>
                <w:color w:val="000000" w:themeColor="text1"/>
                <w:sz w:val="24"/>
                <w:highlight w:val="none"/>
                <w:lang w:val="zh-CN"/>
                <w14:textFill>
                  <w14:solidFill>
                    <w14:schemeClr w14:val="tx1"/>
                  </w14:solidFill>
                </w14:textFill>
              </w:rPr>
              <w:t>中的3类标准。</w:t>
            </w:r>
            <w:r>
              <w:rPr>
                <w:rFonts w:hint="eastAsia"/>
                <w:color w:val="000000" w:themeColor="text1"/>
                <w:sz w:val="24"/>
                <w:highlight w:val="none"/>
                <w:lang w:val="en-US" w:eastAsia="zh-CN"/>
                <w14:textFill>
                  <w14:solidFill>
                    <w14:schemeClr w14:val="tx1"/>
                  </w14:solidFill>
                </w14:textFill>
              </w:rPr>
              <w:t>详见表3.7-5。</w:t>
            </w:r>
          </w:p>
          <w:p w14:paraId="7725FE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66" w:name="_Toc8302"/>
            <w:bookmarkStart w:id="67" w:name="_Toc31199"/>
            <w:bookmarkStart w:id="68" w:name="_Toc19195"/>
            <w:bookmarkStart w:id="69" w:name="_Toc25865"/>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表3.7-5 《工业企业厂界环境噪声排放标准》（GB12348-2008）表1（摘录）</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16895F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399" w:type="pct"/>
                  <w:tcBorders>
                    <w:tl2br w:val="single" w:color="auto" w:sz="2" w:space="0"/>
                  </w:tcBorders>
                  <w:noWrap w:val="0"/>
                  <w:vAlign w:val="center"/>
                </w:tcPr>
                <w:p w14:paraId="56861939">
                  <w:pPr>
                    <w:snapToGrid w:val="0"/>
                    <w:spacing w:line="340" w:lineRule="exact"/>
                    <w:jc w:val="righ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时段</w:t>
                  </w:r>
                </w:p>
                <w:p w14:paraId="086E30E4">
                  <w:pPr>
                    <w:snapToGrid w:val="0"/>
                    <w:spacing w:line="340" w:lineRule="exac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厂界外声环境功能区类别</w:t>
                  </w:r>
                </w:p>
              </w:tc>
              <w:tc>
                <w:tcPr>
                  <w:tcW w:w="886" w:type="pct"/>
                  <w:noWrap w:val="0"/>
                  <w:vAlign w:val="center"/>
                </w:tcPr>
                <w:p w14:paraId="67794D6D">
                  <w:pPr>
                    <w:snapToGrid w:val="0"/>
                    <w:spacing w:line="340" w:lineRule="exact"/>
                    <w:jc w:val="center"/>
                    <w:rPr>
                      <w:rFonts w:hint="eastAsia"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单位</w:t>
                  </w:r>
                </w:p>
              </w:tc>
              <w:tc>
                <w:tcPr>
                  <w:tcW w:w="839" w:type="pct"/>
                  <w:noWrap w:val="0"/>
                  <w:vAlign w:val="center"/>
                </w:tcPr>
                <w:p w14:paraId="428C4BA4">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eastAsia="宋体"/>
                      <w:snapToGrid w:val="0"/>
                      <w:color w:val="000000" w:themeColor="text1"/>
                      <w:kern w:val="18"/>
                      <w:szCs w:val="21"/>
                      <w:highlight w:val="none"/>
                      <w:lang w:val="en-US" w:eastAsia="zh-CN"/>
                      <w14:textFill>
                        <w14:solidFill>
                          <w14:schemeClr w14:val="tx1"/>
                        </w14:solidFill>
                      </w14:textFill>
                    </w:rPr>
                    <w:t>昼间</w:t>
                  </w:r>
                </w:p>
              </w:tc>
              <w:tc>
                <w:tcPr>
                  <w:tcW w:w="874" w:type="pct"/>
                  <w:noWrap w:val="0"/>
                  <w:vAlign w:val="center"/>
                </w:tcPr>
                <w:p w14:paraId="2D7CA426">
                  <w:pPr>
                    <w:snapToGrid w:val="0"/>
                    <w:spacing w:line="340" w:lineRule="exact"/>
                    <w:jc w:val="center"/>
                    <w:rPr>
                      <w:rFonts w:hint="default"/>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夜间</w:t>
                  </w:r>
                </w:p>
              </w:tc>
            </w:tr>
            <w:tr w14:paraId="1BD5AF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99" w:type="pct"/>
                  <w:noWrap w:val="0"/>
                  <w:vAlign w:val="center"/>
                </w:tcPr>
                <w:p w14:paraId="7E159094">
                  <w:pPr>
                    <w:snapToGrid w:val="0"/>
                    <w:spacing w:line="340" w:lineRule="exact"/>
                    <w:jc w:val="center"/>
                    <w:rPr>
                      <w:snapToGrid w:val="0"/>
                      <w:color w:val="000000" w:themeColor="text1"/>
                      <w:kern w:val="18"/>
                      <w:szCs w:val="2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3</w:t>
                  </w:r>
                  <w:r>
                    <w:rPr>
                      <w:snapToGrid w:val="0"/>
                      <w:color w:val="000000" w:themeColor="text1"/>
                      <w:kern w:val="18"/>
                      <w:szCs w:val="21"/>
                      <w:highlight w:val="none"/>
                      <w14:textFill>
                        <w14:solidFill>
                          <w14:schemeClr w14:val="tx1"/>
                        </w14:solidFill>
                      </w14:textFill>
                    </w:rPr>
                    <w:t>类</w:t>
                  </w:r>
                </w:p>
              </w:tc>
              <w:tc>
                <w:tcPr>
                  <w:tcW w:w="886" w:type="pct"/>
                  <w:noWrap w:val="0"/>
                  <w:vAlign w:val="center"/>
                </w:tcPr>
                <w:p w14:paraId="6B1F140A">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dB(A)</w:t>
                  </w:r>
                </w:p>
              </w:tc>
              <w:tc>
                <w:tcPr>
                  <w:tcW w:w="839" w:type="pct"/>
                  <w:noWrap w:val="0"/>
                  <w:vAlign w:val="center"/>
                </w:tcPr>
                <w:p w14:paraId="2ABD76ED">
                  <w:pPr>
                    <w:snapToGrid w:val="0"/>
                    <w:spacing w:line="340" w:lineRule="exact"/>
                    <w:jc w:val="center"/>
                    <w:rPr>
                      <w:rFonts w:hint="default"/>
                      <w:snapToGrid w:val="0"/>
                      <w:color w:val="000000" w:themeColor="text1"/>
                      <w:kern w:val="18"/>
                      <w:szCs w:val="21"/>
                      <w:highlight w:val="none"/>
                      <w:lang w:val="en-US"/>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65</w:t>
                  </w:r>
                </w:p>
              </w:tc>
              <w:tc>
                <w:tcPr>
                  <w:tcW w:w="874" w:type="pct"/>
                  <w:noWrap w:val="0"/>
                  <w:vAlign w:val="center"/>
                </w:tcPr>
                <w:p w14:paraId="2C40C0FD">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55</w:t>
                  </w:r>
                </w:p>
              </w:tc>
            </w:tr>
          </w:tbl>
          <w:p w14:paraId="05C4978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70" w:name="_Toc422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3.7.4固废</w:t>
            </w:r>
            <w:bookmarkEnd w:id="66"/>
            <w:bookmarkEnd w:id="67"/>
            <w:bookmarkEnd w:id="68"/>
            <w:bookmarkEnd w:id="69"/>
            <w:bookmarkEnd w:id="70"/>
          </w:p>
          <w:p w14:paraId="45C0A22A">
            <w:pPr>
              <w:pStyle w:val="46"/>
              <w:keepNext w:val="0"/>
              <w:keepLines w:val="0"/>
              <w:pageBreakBefore w:val="0"/>
              <w:widowControl w:val="0"/>
              <w:kinsoku/>
              <w:wordWrap/>
              <w:overflowPunct/>
              <w:bidi w:val="0"/>
              <w:snapToGrid/>
              <w:ind w:firstLine="480"/>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运营期项目内产生的一般工业固废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应按照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《一般工业固体废物贮存和填埋污染控制标准》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GB18599-2020</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项目产生的危险废物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highlight w:val="none"/>
                <w:lang w:val="en-US" w:eastAsia="zh-CN"/>
                <w14:textFill>
                  <w14:solidFill>
                    <w14:schemeClr w14:val="tx1"/>
                  </w14:solidFill>
                </w14:textFill>
              </w:rPr>
              <w:t>按照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《危险废物贮存污染控制标准》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GB18597-2023</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，危险废物识别标志按照《危险废物识别标志设置技术规范》</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HJ 1276-2022</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要求进行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，危险废物转移按照《危险废物转移管理办法》要求进行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22878926">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2F3CF6A1">
            <w:pPr>
              <w:pStyle w:val="45"/>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000000" w:themeColor="text1"/>
                <w:szCs w:val="28"/>
                <w:highlight w:val="none"/>
                <w:lang w:val="en-US" w:eastAsia="zh-CN"/>
                <w14:textFill>
                  <w14:solidFill>
                    <w14:schemeClr w14:val="tx1"/>
                  </w14:solidFill>
                </w14:textFill>
              </w:rPr>
            </w:pPr>
            <w:bookmarkStart w:id="71" w:name="_Toc11226"/>
            <w:r>
              <w:rPr>
                <w:rFonts w:hint="eastAsia"/>
                <w:color w:val="000000" w:themeColor="text1"/>
                <w:szCs w:val="28"/>
                <w:highlight w:val="none"/>
                <w:lang w:val="en-US" w:eastAsia="zh-CN"/>
                <w14:textFill>
                  <w14:solidFill>
                    <w14:schemeClr w14:val="tx1"/>
                  </w14:solidFill>
                </w14:textFill>
              </w:rPr>
              <w:t>3.8总量控制</w:t>
            </w:r>
            <w:bookmarkEnd w:id="71"/>
          </w:p>
          <w:p w14:paraId="6DA519CC">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宋体"/>
                <w:color w:val="000000" w:themeColor="text1"/>
                <w:highlight w:val="none"/>
                <w:lang w:val="en-US" w:eastAsia="zh-CN"/>
                <w14:textFill>
                  <w14:solidFill>
                    <w14:schemeClr w14:val="tx1"/>
                  </w14:solidFill>
                </w14:textFill>
              </w:rPr>
              <w:t>-N、SO</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及NOx</w:t>
            </w:r>
            <w:r>
              <w:rPr>
                <w:rFonts w:hint="eastAsia" w:ascii="Times New Roman" w:hAnsi="Times New Roman" w:cs="宋体"/>
                <w:color w:val="000000" w:themeColor="text1"/>
                <w:highlight w:val="none"/>
                <w:lang w:val="en-US" w:eastAsia="zh-CN"/>
                <w14:textFill>
                  <w14:solidFill>
                    <w14:schemeClr w14:val="tx1"/>
                  </w14:solidFill>
                </w14:textFill>
              </w:rPr>
              <w:t>。</w:t>
            </w:r>
            <w:r>
              <w:rPr>
                <w:rFonts w:hint="default" w:ascii="Times New Roman" w:hAnsi="Times New Roman" w:eastAsia="宋体" w:cs="宋体"/>
                <w:color w:val="000000" w:themeColor="text1"/>
                <w:highlight w:val="none"/>
                <w:lang w:val="en-US" w:eastAsia="zh-CN"/>
                <w14:textFill>
                  <w14:solidFill>
                    <w14:schemeClr w14:val="tx1"/>
                  </w14:solidFill>
                </w14:textFill>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72" w:name="_Toc2474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3.8.1废水总量</w:t>
            </w:r>
            <w:bookmarkEnd w:id="72"/>
          </w:p>
          <w:p w14:paraId="6940E237">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本项目</w:t>
            </w:r>
            <w:r>
              <w:rPr>
                <w:rFonts w:hint="eastAsia" w:ascii="Times New Roman" w:hAnsi="Times New Roman" w:eastAsia="宋体" w:cs="宋体"/>
                <w:color w:val="000000" w:themeColor="text1"/>
                <w:highlight w:val="none"/>
                <w:lang w:val="en-US" w:eastAsia="zh-CN"/>
                <w14:textFill>
                  <w14:solidFill>
                    <w14:schemeClr w14:val="tx1"/>
                  </w14:solidFill>
                </w14:textFill>
              </w:rPr>
              <w:t>生产过程中仅产生间接冷却水，不外排。</w:t>
            </w:r>
            <w:r>
              <w:rPr>
                <w:rFonts w:hint="default" w:ascii="Times New Roman" w:hAnsi="Times New Roman" w:eastAsia="宋体" w:cs="宋体"/>
                <w:color w:val="000000" w:themeColor="text1"/>
                <w:highlight w:val="none"/>
                <w:lang w:val="en-US" w:eastAsia="zh-CN"/>
                <w14:textFill>
                  <w14:solidFill>
                    <w14:schemeClr w14:val="tx1"/>
                  </w14:solidFill>
                </w14:textFill>
              </w:rPr>
              <w:t>生活</w:t>
            </w:r>
            <w:r>
              <w:rPr>
                <w:rFonts w:hint="eastAsia" w:ascii="Times New Roman" w:hAnsi="Times New Roman" w:eastAsia="宋体" w:cs="宋体"/>
                <w:color w:val="000000" w:themeColor="text1"/>
                <w:highlight w:val="none"/>
                <w:lang w:val="en-US" w:eastAsia="zh-CN"/>
                <w14:textFill>
                  <w14:solidFill>
                    <w14:schemeClr w14:val="tx1"/>
                  </w14:solidFill>
                </w14:textFill>
              </w:rPr>
              <w:t>污水经化粪池</w:t>
            </w:r>
            <w:r>
              <w:rPr>
                <w:rFonts w:hint="default" w:ascii="Times New Roman" w:hAnsi="Times New Roman" w:eastAsia="宋体" w:cs="宋体"/>
                <w:color w:val="000000" w:themeColor="text1"/>
                <w:highlight w:val="none"/>
                <w:lang w:val="en-US" w:eastAsia="zh-CN"/>
                <w14:textFill>
                  <w14:solidFill>
                    <w14:schemeClr w14:val="tx1"/>
                  </w14:solidFill>
                </w14:textFill>
              </w:rPr>
              <w:t>处理后排入市政污水管网，送往福清市融元污水处理厂进行处理</w:t>
            </w:r>
            <w:r>
              <w:rPr>
                <w:rFonts w:hint="eastAsia" w:ascii="Times New Roman" w:hAnsi="Times New Roman" w:eastAsia="宋体" w:cs="宋体"/>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根据《福建省环保厅关于进一步明确排污权工作有关问题的通知》</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闽环保财</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〔2017〕22号）</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，现有工业排污单位的水污染物的初始排污权只核定工业废水部分，</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本项目无生产废水的排放，</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项目生活污水排放暂不需要购买相应的排污权指标，因此，</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73" w:name="_Toc8925"/>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3.8.2废气总量</w:t>
            </w:r>
            <w:bookmarkEnd w:id="73"/>
          </w:p>
          <w:p w14:paraId="7CE296C3">
            <w:pPr>
              <w:pStyle w:val="4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《福建省环保局关于做好建设项目环保审批污染物总量控制有关工作的通知》</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闽环保监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〔2007〕52号</w:t>
            </w:r>
            <w:r>
              <w:rPr>
                <w:rFonts w:hint="default" w:ascii="Times New Roman" w:hAnsi="Times New Roman" w:eastAsia="宋体" w:cs="Times New Roman"/>
                <w:color w:val="000000" w:themeColor="text1"/>
                <w:sz w:val="24"/>
                <w:szCs w:val="24"/>
                <w:highlight w:val="none"/>
                <w14:textFill>
                  <w14:solidFill>
                    <w14:schemeClr w14:val="tx1"/>
                  </w14:solidFill>
                </w14:textFill>
              </w:rPr>
              <w:t>文</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十三五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主要污染物总量控制规划编制技术指南》的有关总量</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调剂</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项目排放的</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为颗粒物、</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挥发性有机物（非甲烷总烃、苯乙烯、丙烯腈）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项目废气不涉及SO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、NO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x</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等属于国家和地方有偿使用和交易的排污权总量指标</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因此，本项目废气总量控制指标为VOCs。</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废气</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总量指标详见表3.8-1。</w:t>
            </w:r>
          </w:p>
          <w:p w14:paraId="5A71E43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项目废气污染物排放总量指标一览表</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1287"/>
              <w:gridCol w:w="1923"/>
              <w:gridCol w:w="1950"/>
              <w:gridCol w:w="1227"/>
              <w:gridCol w:w="909"/>
            </w:tblGrid>
            <w:tr w14:paraId="7E05C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477" w:type="pct"/>
                  <w:gridSpan w:val="2"/>
                  <w:noWrap w:val="0"/>
                  <w:vAlign w:val="center"/>
                </w:tcPr>
                <w:p w14:paraId="3A227B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污染物</w:t>
                  </w:r>
                </w:p>
              </w:tc>
              <w:tc>
                <w:tcPr>
                  <w:tcW w:w="1127" w:type="pct"/>
                  <w:noWrap w:val="0"/>
                  <w:vAlign w:val="center"/>
                </w:tcPr>
                <w:p w14:paraId="7E678C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有组织预测排放量</w:t>
                  </w:r>
                </w:p>
              </w:tc>
              <w:tc>
                <w:tcPr>
                  <w:tcW w:w="1143" w:type="pct"/>
                  <w:noWrap w:val="0"/>
                  <w:vAlign w:val="center"/>
                </w:tcPr>
                <w:p w14:paraId="3663404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无组织预测排放量</w:t>
                  </w:r>
                </w:p>
              </w:tc>
              <w:tc>
                <w:tcPr>
                  <w:tcW w:w="1252" w:type="pct"/>
                  <w:gridSpan w:val="2"/>
                  <w:noWrap w:val="0"/>
                  <w:vAlign w:val="center"/>
                </w:tcPr>
                <w:p w14:paraId="7EDEDB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全厂合计预测排放量</w:t>
                  </w:r>
                </w:p>
              </w:tc>
            </w:tr>
            <w:tr w14:paraId="44E84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pct"/>
                  <w:vMerge w:val="restart"/>
                  <w:noWrap w:val="0"/>
                  <w:vAlign w:val="center"/>
                </w:tcPr>
                <w:p w14:paraId="55583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挥发性有机物</w:t>
                  </w:r>
                </w:p>
                <w:p w14:paraId="5A8CFC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754" w:type="pct"/>
                  <w:shd w:val="clear" w:color="auto" w:fill="auto"/>
                  <w:noWrap w:val="0"/>
                  <w:vAlign w:val="center"/>
                </w:tcPr>
                <w:p w14:paraId="5C011E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非甲烷总烃</w:t>
                  </w:r>
                </w:p>
                <w:p w14:paraId="6C0CF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D706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0.2151</w:t>
                  </w:r>
                </w:p>
              </w:tc>
              <w:tc>
                <w:tcPr>
                  <w:tcW w:w="1143" w:type="pct"/>
                  <w:shd w:val="clear" w:color="auto" w:fill="auto"/>
                  <w:noWrap w:val="0"/>
                  <w:vAlign w:val="center"/>
                </w:tcPr>
                <w:p w14:paraId="68F69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0.2151</w:t>
                  </w:r>
                </w:p>
              </w:tc>
              <w:tc>
                <w:tcPr>
                  <w:tcW w:w="719" w:type="pct"/>
                  <w:noWrap w:val="0"/>
                  <w:vAlign w:val="center"/>
                </w:tcPr>
                <w:p w14:paraId="7041C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0.4303</w:t>
                  </w:r>
                </w:p>
              </w:tc>
              <w:tc>
                <w:tcPr>
                  <w:tcW w:w="532" w:type="pct"/>
                  <w:vMerge w:val="restart"/>
                  <w:noWrap w:val="0"/>
                  <w:vAlign w:val="center"/>
                </w:tcPr>
                <w:p w14:paraId="2D2F7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0.4343</w:t>
                  </w:r>
                </w:p>
              </w:tc>
            </w:tr>
            <w:tr w14:paraId="246F2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pct"/>
                  <w:vMerge w:val="continue"/>
                  <w:noWrap w:val="0"/>
                  <w:vAlign w:val="center"/>
                </w:tcPr>
                <w:p w14:paraId="067C5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p>
              </w:tc>
              <w:tc>
                <w:tcPr>
                  <w:tcW w:w="754" w:type="pct"/>
                  <w:shd w:val="clear" w:color="auto" w:fill="auto"/>
                  <w:noWrap w:val="0"/>
                  <w:vAlign w:val="center"/>
                </w:tcPr>
                <w:p w14:paraId="07A707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苯乙烯</w:t>
                  </w:r>
                </w:p>
                <w:p w14:paraId="52093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25DB01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0.0010</w:t>
                  </w:r>
                </w:p>
              </w:tc>
              <w:tc>
                <w:tcPr>
                  <w:tcW w:w="1143" w:type="pct"/>
                  <w:shd w:val="clear" w:color="auto" w:fill="auto"/>
                  <w:noWrap w:val="0"/>
                  <w:vAlign w:val="center"/>
                </w:tcPr>
                <w:p w14:paraId="163177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0.0010</w:t>
                  </w:r>
                </w:p>
              </w:tc>
              <w:tc>
                <w:tcPr>
                  <w:tcW w:w="719" w:type="pct"/>
                  <w:noWrap w:val="0"/>
                  <w:vAlign w:val="center"/>
                </w:tcPr>
                <w:p w14:paraId="5AEE05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0.0020</w:t>
                  </w:r>
                </w:p>
              </w:tc>
              <w:tc>
                <w:tcPr>
                  <w:tcW w:w="532" w:type="pct"/>
                  <w:vMerge w:val="continue"/>
                  <w:noWrap w:val="0"/>
                  <w:vAlign w:val="center"/>
                </w:tcPr>
                <w:p w14:paraId="259EA1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4274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23" w:type="pct"/>
                  <w:vMerge w:val="continue"/>
                  <w:noWrap w:val="0"/>
                  <w:vAlign w:val="center"/>
                </w:tcPr>
                <w:p w14:paraId="4C8A1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p>
              </w:tc>
              <w:tc>
                <w:tcPr>
                  <w:tcW w:w="754" w:type="pct"/>
                  <w:shd w:val="clear" w:color="auto" w:fill="auto"/>
                  <w:noWrap w:val="0"/>
                  <w:vAlign w:val="center"/>
                </w:tcPr>
                <w:p w14:paraId="3F910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丙烯腈</w:t>
                  </w:r>
                </w:p>
                <w:p w14:paraId="1B201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830D8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0.0010</w:t>
                  </w:r>
                </w:p>
              </w:tc>
              <w:tc>
                <w:tcPr>
                  <w:tcW w:w="1143" w:type="pct"/>
                  <w:shd w:val="clear" w:color="auto" w:fill="auto"/>
                  <w:noWrap w:val="0"/>
                  <w:vAlign w:val="center"/>
                </w:tcPr>
                <w:p w14:paraId="70CFB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0.0010</w:t>
                  </w:r>
                </w:p>
              </w:tc>
              <w:tc>
                <w:tcPr>
                  <w:tcW w:w="719" w:type="pct"/>
                  <w:noWrap w:val="0"/>
                  <w:vAlign w:val="center"/>
                </w:tcPr>
                <w:p w14:paraId="7A156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0.0020</w:t>
                  </w:r>
                </w:p>
              </w:tc>
              <w:tc>
                <w:tcPr>
                  <w:tcW w:w="532" w:type="pct"/>
                  <w:vMerge w:val="continue"/>
                  <w:noWrap w:val="0"/>
                  <w:vAlign w:val="center"/>
                </w:tcPr>
                <w:p w14:paraId="69EE3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p>
              </w:tc>
            </w:tr>
            <w:tr w14:paraId="23C8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1477" w:type="pct"/>
                  <w:gridSpan w:val="2"/>
                  <w:noWrap w:val="0"/>
                  <w:vAlign w:val="center"/>
                </w:tcPr>
                <w:p w14:paraId="56C44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p w14:paraId="08E0B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(kg/a)</w:t>
                  </w:r>
                </w:p>
              </w:tc>
              <w:tc>
                <w:tcPr>
                  <w:tcW w:w="1127" w:type="pct"/>
                  <w:noWrap w:val="0"/>
                  <w:vAlign w:val="center"/>
                </w:tcPr>
                <w:p w14:paraId="06D9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0.0169</w:t>
                  </w:r>
                </w:p>
              </w:tc>
              <w:tc>
                <w:tcPr>
                  <w:tcW w:w="1143" w:type="pct"/>
                  <w:noWrap w:val="0"/>
                  <w:vAlign w:val="center"/>
                </w:tcPr>
                <w:p w14:paraId="7C8FE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0.0847</w:t>
                  </w:r>
                </w:p>
              </w:tc>
              <w:tc>
                <w:tcPr>
                  <w:tcW w:w="1252" w:type="pct"/>
                  <w:gridSpan w:val="2"/>
                  <w:noWrap w:val="0"/>
                  <w:vAlign w:val="center"/>
                </w:tcPr>
                <w:p w14:paraId="4868F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0.1016</w:t>
                  </w:r>
                </w:p>
              </w:tc>
            </w:tr>
          </w:tbl>
          <w:p w14:paraId="345740E8">
            <w:pPr>
              <w:pStyle w:val="4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关于印发福州市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大气污染联防联控联治工作方案的通知</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》榕环保综</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〔2018〕386号</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：VOCs排放实行区域内倍量替代，新、改扩建涉VOCs排放项目，应从源头加强控制，使用低</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无</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VOCs含量的原辅材料，加强废气收集、安装高效治理设施</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根据《2022年度福州市蓝天碧水碧海净土保卫战行动计划》</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榕环委办</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〔2022〕49号</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实施新建项目VOC</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s</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排放区域内倍量替代。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本项目</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VOCs</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的排放总量为：</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0.4343</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t/a。因此，本项目排放的</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由建设单位向</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福州市福清生态环境局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申请区域</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建设单位承诺在项目投产前取得</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各污染</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并依法</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办理</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排污许可</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手续（总量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承诺函详见</w:t>
            </w:r>
            <w:r>
              <w:rPr>
                <w:rFonts w:hint="eastAsia" w:ascii="Times New Roman" w:hAnsi="Times New Roman" w:eastAsia="宋体" w:cs="Times New Roman"/>
                <w:b/>
                <w:bCs/>
                <w:color w:val="000000" w:themeColor="text1"/>
                <w:kern w:val="2"/>
                <w:szCs w:val="24"/>
                <w:highlight w:val="none"/>
                <w:shd w:val="clear" w:color="auto" w:fill="FFFFFF"/>
                <w:lang w:val="en-US" w:eastAsia="zh-CN"/>
                <w14:textFill>
                  <w14:solidFill>
                    <w14:schemeClr w14:val="tx1"/>
                  </w14:solidFill>
                </w14:textFill>
              </w:rPr>
              <w:t>附件</w:t>
            </w:r>
            <w:r>
              <w:rPr>
                <w:rFonts w:hint="eastAsia" w:ascii="Times New Roman" w:hAnsi="Times New Roman" w:cs="Times New Roman"/>
                <w:b/>
                <w:bCs/>
                <w:color w:val="000000" w:themeColor="text1"/>
                <w:kern w:val="2"/>
                <w:szCs w:val="24"/>
                <w:highlight w:val="none"/>
                <w:shd w:val="clear" w:color="auto" w:fill="FFFFFF"/>
                <w:lang w:val="en-US" w:eastAsia="zh-CN"/>
                <w14:textFill>
                  <w14:solidFill>
                    <w14:schemeClr w14:val="tx1"/>
                  </w14:solidFill>
                </w14:textFill>
              </w:rPr>
              <w:t>十四</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p>
        </w:tc>
      </w:tr>
    </w:tbl>
    <w:p w14:paraId="50819DC2">
      <w:pPr>
        <w:rPr>
          <w:rFonts w:hint="eastAsia"/>
          <w:lang w:eastAsia="zh-CN"/>
        </w:rPr>
      </w:pPr>
      <w:r>
        <w:rPr>
          <w:rFonts w:hint="eastAsia"/>
          <w:highlight w:val="none"/>
          <w:lang w:eastAsia="zh-CN"/>
        </w:rPr>
        <w:br w:type="page"/>
      </w:r>
    </w:p>
    <w:p w14:paraId="150C7E7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74" w:name="_Toc6870"/>
      <w:bookmarkStart w:id="75" w:name="_Toc3502"/>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74"/>
      <w:bookmarkEnd w:id="7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trPr>
        <w:tc>
          <w:tcPr>
            <w:tcW w:w="533" w:type="dxa"/>
            <w:vAlign w:val="center"/>
          </w:tcPr>
          <w:p w14:paraId="6E0219F9">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004AE2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color w:val="000000" w:themeColor="text1"/>
                <w:vertAlign w:val="baseline"/>
                <w:lang w:eastAsia="zh-CN"/>
                <w14:textFill>
                  <w14:solidFill>
                    <w14:schemeClr w14:val="tx1"/>
                  </w14:solidFill>
                </w14:textFill>
              </w:rPr>
            </w:pPr>
            <w:bookmarkStart w:id="76" w:name="_Toc85178610"/>
            <w:bookmarkStart w:id="77" w:name="_Toc225766861"/>
            <w:bookmarkStart w:id="78" w:name="_Toc222825971"/>
            <w:bookmarkStart w:id="79" w:name="_Toc56498971"/>
            <w:bookmarkStart w:id="80" w:name="_Toc279492221"/>
            <w:bookmarkStart w:id="81" w:name="_Toc56498815"/>
            <w:bookmarkStart w:id="82" w:name="_Toc212261317"/>
            <w:bookmarkStart w:id="83" w:name="_Toc281777364"/>
            <w:bookmarkStart w:id="84" w:name="_Toc224713628"/>
            <w:bookmarkStart w:id="85" w:name="_Toc17361639"/>
            <w:bookmarkStart w:id="86" w:name="_Toc278977997"/>
            <w:bookmarkStart w:id="87" w:name="_Toc235065596"/>
            <w:bookmarkStart w:id="88" w:name="_Toc233386843"/>
            <w:bookmarkStart w:id="89" w:name="_Toc213206595"/>
            <w:bookmarkStart w:id="90" w:name="_Toc234833275"/>
            <w:bookmarkStart w:id="91" w:name="_Toc211967612"/>
            <w:bookmarkStart w:id="92" w:name="_Toc17361640"/>
            <w:bookmarkStart w:id="93" w:name="_Toc232930955"/>
            <w:bookmarkStart w:id="94" w:name="_Toc235459029"/>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福清融侨经济技术开发区（均和云谷·福清科技港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000000" w:themeColor="text1"/>
                <w:kern w:val="2"/>
                <w:sz w:val="24"/>
                <w:szCs w:val="24"/>
                <w:shd w:val="clear" w:color="auto" w:fill="FFFFFF"/>
                <w:lang w:val="en-US" w:eastAsia="zh-CN"/>
                <w14:textFill>
                  <w14:solidFill>
                    <w14:schemeClr w14:val="tx1"/>
                  </w14:solidFill>
                </w14:textFill>
              </w:rPr>
              <w:t>且</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时间较短，因此，随着设备安装、调试完毕后，项目施工期也将结束，施工期环境影响也随着消失，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hint="default" w:ascii="Times New Roman" w:hAnsi="Times New Roman" w:eastAsia="宋体" w:cs="Times New Roman"/>
                <w:color w:val="000000" w:themeColor="text1"/>
                <w:kern w:val="2"/>
                <w:sz w:val="24"/>
                <w:szCs w:val="24"/>
                <w:shd w:val="clear" w:color="auto" w:fill="FFFFFF"/>
                <w:lang w:val="zh-CN" w:eastAsia="zh-CN"/>
                <w14:textFill>
                  <w14:solidFill>
                    <w14:schemeClr w14:val="tx1"/>
                  </w14:solidFill>
                </w14:textFill>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018F02A0">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000000" w:themeColor="text1"/>
                <w:sz w:val="28"/>
                <w:szCs w:val="28"/>
                <w14:textFill>
                  <w14:solidFill>
                    <w14:schemeClr w14:val="tx1"/>
                  </w14:solidFill>
                </w14:textFill>
              </w:rPr>
            </w:pPr>
            <w:bookmarkStart w:id="95" w:name="_Toc5587"/>
            <w:r>
              <w:rPr>
                <w:rFonts w:hint="eastAsia"/>
                <w:b/>
                <w:color w:val="000000" w:themeColor="text1"/>
                <w:sz w:val="28"/>
                <w:szCs w:val="28"/>
                <w:lang w:val="en-US" w:eastAsia="zh-CN"/>
                <w14:textFill>
                  <w14:solidFill>
                    <w14:schemeClr w14:val="tx1"/>
                  </w14:solidFill>
                </w14:textFill>
              </w:rPr>
              <w:t>4</w:t>
            </w:r>
            <w:r>
              <w:rPr>
                <w:b/>
                <w:color w:val="000000" w:themeColor="text1"/>
                <w:sz w:val="28"/>
                <w:szCs w:val="28"/>
                <w14:textFill>
                  <w14:solidFill>
                    <w14:schemeClr w14:val="tx1"/>
                  </w14:solidFill>
                </w14:textFill>
              </w:rPr>
              <w:t>.1</w:t>
            </w:r>
            <w:r>
              <w:rPr>
                <w:rFonts w:eastAsia="宋体"/>
                <w:b/>
                <w:color w:val="000000" w:themeColor="text1"/>
                <w:sz w:val="28"/>
                <w:szCs w:val="28"/>
                <w14:textFill>
                  <w14:solidFill>
                    <w14:schemeClr w14:val="tx1"/>
                  </w14:solidFill>
                </w14:textFill>
              </w:rPr>
              <w:t>大气环境影响分析和污染防治措施</w:t>
            </w:r>
            <w:bookmarkEnd w:id="95"/>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000000" w:themeColor="text1"/>
                <w:kern w:val="0"/>
                <w:sz w:val="24"/>
                <w14:textFill>
                  <w14:solidFill>
                    <w14:schemeClr w14:val="tx1"/>
                  </w14:solidFill>
                </w14:textFill>
              </w:rPr>
            </w:pPr>
            <w:bookmarkStart w:id="96" w:name="_Toc24593"/>
            <w:bookmarkStart w:id="97" w:name="_Toc5618"/>
            <w:r>
              <w:rPr>
                <w:b/>
                <w:color w:val="000000" w:themeColor="text1"/>
                <w:kern w:val="0"/>
                <w:sz w:val="24"/>
                <w14:textFill>
                  <w14:solidFill>
                    <w14:schemeClr w14:val="tx1"/>
                  </w14:solidFill>
                </w14:textFill>
              </w:rPr>
              <w:t>4.1.1 运营期废气源强核算</w:t>
            </w:r>
            <w:bookmarkEnd w:id="96"/>
            <w:bookmarkEnd w:id="97"/>
          </w:p>
          <w:p w14:paraId="14AB46F5">
            <w:pPr>
              <w:adjustRightInd w:val="0"/>
              <w:snapToGrid w:val="0"/>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根据生产工艺流程图可知，项目运营期废气</w:t>
            </w:r>
            <w:r>
              <w:rPr>
                <w:rFonts w:hint="eastAsia"/>
                <w:color w:val="000000" w:themeColor="text1"/>
                <w:sz w:val="24"/>
                <w:lang w:val="en-US" w:eastAsia="zh-CN"/>
                <w14:textFill>
                  <w14:solidFill>
                    <w14:schemeClr w14:val="tx1"/>
                  </w14:solidFill>
                </w14:textFill>
              </w:rPr>
              <w:t>来源是汽车塑料制品生产过程中注塑、脱模产生的生产</w:t>
            </w:r>
            <w:r>
              <w:rPr>
                <w:rFonts w:hint="eastAsia"/>
                <w:color w:val="000000" w:themeColor="text1"/>
                <w:sz w:val="24"/>
                <w14:textFill>
                  <w14:solidFill>
                    <w14:schemeClr w14:val="tx1"/>
                  </w14:solidFill>
                </w14:textFill>
              </w:rPr>
              <w:t>废气</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非甲烷总烃、臭气浓度</w:t>
            </w:r>
            <w:r>
              <w:rPr>
                <w:rFonts w:hint="eastAsia" w:cs="Times New Roman"/>
                <w:bCs/>
                <w:color w:val="000000" w:themeColor="text1"/>
                <w:kern w:val="2"/>
                <w:sz w:val="24"/>
                <w:szCs w:val="24"/>
                <w:lang w:val="en-US" w:eastAsia="zh-CN" w:bidi="ar-SA"/>
                <w14:textFill>
                  <w14:solidFill>
                    <w14:schemeClr w14:val="tx1"/>
                  </w14:solidFill>
                </w14:textFill>
              </w:rPr>
              <w:t>、苯乙烯、丙烯腈、1,3-丁二烯、甲苯、乙苯）</w:t>
            </w:r>
            <w:r>
              <w:rPr>
                <w:rFonts w:hint="eastAsia"/>
                <w:color w:val="000000" w:themeColor="text1"/>
                <w:sz w:val="24"/>
                <w:lang w:eastAsia="zh-CN"/>
                <w14:textFill>
                  <w14:solidFill>
                    <w14:schemeClr w14:val="tx1"/>
                  </w14:solidFill>
                </w14:textFill>
              </w:rPr>
              <w:t>。不合格产品破碎过程中产生的粉尘（颗粒物）。</w:t>
            </w:r>
            <w:r>
              <w:rPr>
                <w:rFonts w:hint="eastAsia" w:ascii="Times New Roman" w:hAnsi="Times New Roman" w:eastAsia="宋体" w:cs="Times New Roman"/>
                <w:color w:val="000000" w:themeColor="text1"/>
                <w:sz w:val="24"/>
                <w:lang w:val="en-US" w:eastAsia="zh-CN"/>
                <w14:textFill>
                  <w14:solidFill>
                    <w14:schemeClr w14:val="tx1"/>
                  </w14:solidFill>
                </w14:textFill>
              </w:rPr>
              <w:t>本项目废气源强</w:t>
            </w:r>
            <w:r>
              <w:rPr>
                <w:rFonts w:hint="eastAsia"/>
                <w:color w:val="000000" w:themeColor="text1"/>
                <w:kern w:val="0"/>
                <w:sz w:val="24"/>
                <w:szCs w:val="20"/>
                <w14:textFill>
                  <w14:solidFill>
                    <w14:schemeClr w14:val="tx1"/>
                  </w14:solidFill>
                </w14:textFill>
              </w:rPr>
              <w:t>核算参照《污染源源强核算技术指南 准则》</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lang w:val="en-US" w:eastAsia="zh-CN"/>
                <w14:textFill>
                  <w14:solidFill>
                    <w14:schemeClr w14:val="tx1"/>
                  </w14:solidFill>
                </w14:textFill>
              </w:rPr>
              <w:t>排放源统计调查产排污核算方法和系数手册</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等相关要求进行。项目</w:t>
            </w:r>
            <w:r>
              <w:rPr>
                <w:color w:val="000000" w:themeColor="text1"/>
                <w:kern w:val="0"/>
                <w:sz w:val="24"/>
                <w:szCs w:val="20"/>
                <w14:textFill>
                  <w14:solidFill>
                    <w14:schemeClr w14:val="tx1"/>
                  </w14:solidFill>
                </w14:textFill>
              </w:rPr>
              <w:t>废气污染源</w:t>
            </w:r>
            <w:r>
              <w:rPr>
                <w:rFonts w:hint="eastAsia"/>
                <w:color w:val="000000" w:themeColor="text1"/>
                <w:kern w:val="0"/>
                <w:sz w:val="24"/>
                <w:szCs w:val="20"/>
                <w14:textFill>
                  <w14:solidFill>
                    <w14:schemeClr w14:val="tx1"/>
                  </w14:solidFill>
                </w14:textFill>
              </w:rPr>
              <w:t>源强分析如下：</w:t>
            </w:r>
          </w:p>
          <w:p w14:paraId="5DC81BFF">
            <w:pPr>
              <w:adjustRightInd w:val="0"/>
              <w:snapToGrid w:val="0"/>
              <w:spacing w:line="348"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lang w:eastAsia="zh-CN"/>
                <w14:textFill>
                  <w14:solidFill>
                    <w14:schemeClr w14:val="tx1"/>
                  </w14:solidFill>
                </w14:textFill>
              </w:rPr>
              <w:t>废气</w:t>
            </w:r>
          </w:p>
          <w:p w14:paraId="158A36F2">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rFonts w:hint="eastAsia"/>
                <w:color w:val="000000" w:themeColor="text1"/>
                <w:kern w:val="0"/>
                <w:sz w:val="24"/>
                <w:szCs w:val="20"/>
                <w14:textFill>
                  <w14:solidFill>
                    <w14:schemeClr w14:val="tx1"/>
                  </w14:solidFill>
                </w14:textFill>
              </w:rPr>
              <w:t>注塑机加热温度为</w:t>
            </w:r>
            <w:r>
              <w:rPr>
                <w:rFonts w:hint="eastAsia"/>
                <w:color w:val="000000" w:themeColor="text1"/>
                <w:kern w:val="0"/>
                <w:sz w:val="24"/>
                <w:szCs w:val="20"/>
                <w:highlight w:val="none"/>
                <w14:textFill>
                  <w14:solidFill>
                    <w14:schemeClr w14:val="tx1"/>
                  </w14:solidFill>
                </w14:textFill>
              </w:rPr>
              <w:t>200</w:t>
            </w:r>
            <w:r>
              <w:rPr>
                <w:rFonts w:hint="eastAsia"/>
                <w:color w:val="000000" w:themeColor="text1"/>
                <w:kern w:val="0"/>
                <w:sz w:val="24"/>
                <w:szCs w:val="20"/>
                <w:highlight w:val="none"/>
                <w:lang w:val="en-US"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，因此原料树脂颗粒在注塑机加热温度下不会发生热分解反应。根据《排放源统计调查产排污核算方法和系数手册》</w:t>
            </w:r>
            <w:r>
              <w:rPr>
                <w:color w:val="000000" w:themeColor="text1"/>
                <w:kern w:val="0"/>
                <w:sz w:val="24"/>
                <w:szCs w:val="20"/>
                <w14:textFill>
                  <w14:solidFill>
                    <w14:schemeClr w14:val="tx1"/>
                  </w14:solidFill>
                </w14:textFill>
              </w:rPr>
              <w:t>292</w:t>
            </w:r>
            <w:r>
              <w:rPr>
                <w:rFonts w:hint="eastAsia"/>
                <w:color w:val="000000" w:themeColor="text1"/>
                <w:kern w:val="0"/>
                <w:sz w:val="24"/>
                <w:szCs w:val="20"/>
                <w14:textFill>
                  <w14:solidFill>
                    <w14:schemeClr w14:val="tx1"/>
                  </w14:solidFill>
                </w14:textFill>
              </w:rPr>
              <w:t>塑料制品行业系数手册中“</w:t>
            </w:r>
            <w:r>
              <w:rPr>
                <w:rFonts w:hint="eastAsia"/>
                <w:color w:val="000000" w:themeColor="text1"/>
                <w:kern w:val="0"/>
                <w:sz w:val="24"/>
                <w:szCs w:val="20"/>
                <w:lang w:val="en-US" w:eastAsia="zh-CN"/>
                <w14:textFill>
                  <w14:solidFill>
                    <w14:schemeClr w14:val="tx1"/>
                  </w14:solidFill>
                </w14:textFill>
              </w:rPr>
              <w:t>2929</w:t>
            </w:r>
            <w:r>
              <w:rPr>
                <w:rFonts w:hint="eastAsia"/>
                <w:color w:val="000000" w:themeColor="text1"/>
                <w:kern w:val="0"/>
                <w:sz w:val="24"/>
                <w:szCs w:val="20"/>
                <w14:textFill>
                  <w14:solidFill>
                    <w14:schemeClr w14:val="tx1"/>
                  </w14:solidFill>
                </w14:textFill>
              </w:rPr>
              <w:t>塑料零件及其他塑料制品制造行业系数表”</w:t>
            </w:r>
            <w:r>
              <w:rPr>
                <w:bCs/>
                <w:color w:val="000000" w:themeColor="text1"/>
                <w:sz w:val="24"/>
                <w14:textFill>
                  <w14:solidFill>
                    <w14:schemeClr w14:val="tx1"/>
                  </w14:solidFill>
                </w14:textFill>
              </w:rPr>
              <w:t>进行计算，产污系数详见表4.1-</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w:t>
            </w:r>
          </w:p>
          <w:p w14:paraId="56F4AE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表4.1-</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292</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塑料制品行业系数手册</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产排污核算系数一览表（摘录）</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97"/>
              <w:gridCol w:w="2508"/>
              <w:gridCol w:w="790"/>
              <w:gridCol w:w="994"/>
              <w:gridCol w:w="954"/>
              <w:gridCol w:w="954"/>
              <w:gridCol w:w="698"/>
            </w:tblGrid>
            <w:tr w14:paraId="51DAE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69D4F5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产品</w:t>
                  </w:r>
                </w:p>
                <w:p w14:paraId="445ED3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526" w:type="pct"/>
                  <w:noWrap w:val="0"/>
                  <w:vAlign w:val="center"/>
                </w:tcPr>
                <w:p w14:paraId="4636FE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原料</w:t>
                  </w:r>
                </w:p>
                <w:p w14:paraId="45810E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1470" w:type="pct"/>
                  <w:noWrap w:val="0"/>
                  <w:vAlign w:val="center"/>
                </w:tcPr>
                <w:p w14:paraId="135BC4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工艺</w:t>
                  </w:r>
                </w:p>
                <w:p w14:paraId="6CF78C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463" w:type="pct"/>
                  <w:noWrap w:val="0"/>
                  <w:vAlign w:val="center"/>
                </w:tcPr>
                <w:p w14:paraId="3DDDC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规模等级</w:t>
                  </w:r>
                </w:p>
              </w:tc>
              <w:tc>
                <w:tcPr>
                  <w:tcW w:w="583" w:type="pct"/>
                  <w:noWrap w:val="0"/>
                  <w:vAlign w:val="center"/>
                </w:tcPr>
                <w:p w14:paraId="3ACFE0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污染物类别</w:t>
                  </w:r>
                </w:p>
              </w:tc>
              <w:tc>
                <w:tcPr>
                  <w:tcW w:w="559" w:type="pct"/>
                  <w:noWrap w:val="0"/>
                  <w:vAlign w:val="center"/>
                </w:tcPr>
                <w:p w14:paraId="0352B5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污染物指标</w:t>
                  </w:r>
                </w:p>
              </w:tc>
              <w:tc>
                <w:tcPr>
                  <w:tcW w:w="559" w:type="pct"/>
                  <w:noWrap w:val="0"/>
                  <w:vAlign w:val="center"/>
                </w:tcPr>
                <w:p w14:paraId="6D2A26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单位</w:t>
                  </w:r>
                </w:p>
              </w:tc>
              <w:tc>
                <w:tcPr>
                  <w:tcW w:w="404" w:type="pct"/>
                  <w:noWrap w:val="0"/>
                  <w:vAlign w:val="center"/>
                </w:tcPr>
                <w:p w14:paraId="62FFFF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产污系数</w:t>
                  </w:r>
                </w:p>
              </w:tc>
            </w:tr>
            <w:tr w14:paraId="2D43C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1716EA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塑料</w:t>
                  </w:r>
                </w:p>
                <w:p w14:paraId="3A1B8C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零件</w:t>
                  </w:r>
                </w:p>
              </w:tc>
              <w:tc>
                <w:tcPr>
                  <w:tcW w:w="526" w:type="pct"/>
                  <w:noWrap w:val="0"/>
                  <w:vAlign w:val="center"/>
                </w:tcPr>
                <w:p w14:paraId="20EEB1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树脂、</w:t>
                  </w:r>
                </w:p>
                <w:p w14:paraId="30F8AB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助剂</w:t>
                  </w:r>
                </w:p>
              </w:tc>
              <w:tc>
                <w:tcPr>
                  <w:tcW w:w="1470" w:type="pct"/>
                  <w:noWrap w:val="0"/>
                  <w:vAlign w:val="center"/>
                </w:tcPr>
                <w:p w14:paraId="4AFC00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配料混合挤出/注塑</w:t>
                  </w:r>
                </w:p>
              </w:tc>
              <w:tc>
                <w:tcPr>
                  <w:tcW w:w="463" w:type="pct"/>
                  <w:noWrap w:val="0"/>
                  <w:vAlign w:val="center"/>
                </w:tcPr>
                <w:p w14:paraId="078E94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所有规模</w:t>
                  </w:r>
                </w:p>
              </w:tc>
              <w:tc>
                <w:tcPr>
                  <w:tcW w:w="583" w:type="pct"/>
                  <w:noWrap w:val="0"/>
                  <w:vAlign w:val="center"/>
                </w:tcPr>
                <w:p w14:paraId="581BBC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废气</w:t>
                  </w:r>
                </w:p>
              </w:tc>
              <w:tc>
                <w:tcPr>
                  <w:tcW w:w="559" w:type="pct"/>
                  <w:noWrap w:val="0"/>
                  <w:vAlign w:val="center"/>
                </w:tcPr>
                <w:p w14:paraId="3F6007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挥发性有机物*</w:t>
                  </w:r>
                </w:p>
              </w:tc>
              <w:tc>
                <w:tcPr>
                  <w:tcW w:w="559" w:type="pct"/>
                  <w:noWrap w:val="0"/>
                  <w:vAlign w:val="center"/>
                </w:tcPr>
                <w:p w14:paraId="36521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4" w:type="pct"/>
                  <w:noWrap w:val="0"/>
                  <w:vAlign w:val="center"/>
                </w:tcPr>
                <w:p w14:paraId="378D34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2.7</w:t>
                  </w:r>
                </w:p>
              </w:tc>
            </w:tr>
            <w:tr w14:paraId="0060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14:paraId="3653A47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注：挥发性有机物以非甲烷总烃计。</w:t>
                  </w:r>
                </w:p>
              </w:tc>
            </w:tr>
          </w:tbl>
          <w:p w14:paraId="02D2561E">
            <w:pPr>
              <w:pStyle w:val="49"/>
              <w:ind w:firstLine="480"/>
              <w:jc w:val="both"/>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本项目年产83万套汽车塑料零配件，平均每套产品重0.48kg则本项目年产830000套×0.48kg÷1000=398.4t产品。根据系数手册可知产污系数为2.7kg/吨-产品，则</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非甲烷总烃</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产生量为398.4t产品×2.7kg/吨-产品÷1000=1.07568t/a。经计算，</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非甲烷总烃</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产生量为1.07568t/a。</w:t>
            </w:r>
          </w:p>
          <w:p w14:paraId="6BADA486">
            <w:pPr>
              <w:pStyle w:val="49"/>
              <w:ind w:firstLine="480"/>
              <w:jc w:val="both"/>
              <w:rPr>
                <w:rFonts w:hint="default" w:cs="Times New Roman"/>
                <w:bCs/>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ABS生产过程中除非甲烷总烃外还会产生苯乙烯、丙烯腈</w:t>
            </w:r>
            <w:r>
              <w:rPr>
                <w:rFonts w:hint="eastAsia" w:cs="Times New Roman"/>
                <w:bCs/>
                <w:color w:val="000000" w:themeColor="text1"/>
                <w:kern w:val="2"/>
                <w:sz w:val="24"/>
                <w:szCs w:val="24"/>
                <w:lang w:val="en-US" w:eastAsia="zh-CN" w:bidi="ar-SA"/>
                <w14:textFill>
                  <w14:solidFill>
                    <w14:schemeClr w14:val="tx1"/>
                  </w14:solidFill>
                </w14:textFill>
              </w:rPr>
              <w:t>、1,3-丁二烯、甲苯、乙苯等特征因子。参考《各种塑料原料注塑废气污染物排放系数》，苯乙烯产生量按0.05kg/t树脂类原料计、丙烯腈产生量按0.05kg/t树脂类原料计。本项目PC/ABS塑料颗粒用量为110t/a，其中ABS占30%，则ABS树脂用量为33t/a，另外ABS塑料颗粒用量为70t/a。则注塑过程中苯乙烯产生量为（33t/a+70t/a）×0.05kg/t树脂类原料÷1000=0.00515t/a、丙烯腈产生量为（33t/a+70t/a）×0.05kg/t树脂类原料÷1000=0.00515t/a</w:t>
            </w:r>
          </w:p>
          <w:p w14:paraId="6A550215">
            <w:pPr>
              <w:pStyle w:val="49"/>
              <w:ind w:firstLine="480"/>
              <w:jc w:val="both"/>
              <w:rPr>
                <w:rFonts w:hint="eastAsia"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根据《主要污染物总量减排核算技术指南（</w:t>
            </w:r>
            <w:r>
              <w:rPr>
                <w:color w:val="000000" w:themeColor="text1"/>
                <w:sz w:val="24"/>
                <w:szCs w:val="24"/>
                <w14:textFill>
                  <w14:solidFill>
                    <w14:schemeClr w14:val="tx1"/>
                  </w14:solidFill>
                </w14:textFill>
              </w:rPr>
              <w:t xml:space="preserve">2022 </w:t>
            </w:r>
            <w:r>
              <w:rPr>
                <w:rFonts w:hint="eastAsia"/>
                <w:color w:val="000000" w:themeColor="text1"/>
                <w:sz w:val="24"/>
                <w:szCs w:val="24"/>
                <w14:textFill>
                  <w14:solidFill>
                    <w14:schemeClr w14:val="tx1"/>
                  </w14:solidFill>
                </w14:textFill>
              </w:rPr>
              <w:t>年修订）》中表</w:t>
            </w:r>
            <w:r>
              <w:rPr>
                <w:color w:val="000000" w:themeColor="text1"/>
                <w:sz w:val="24"/>
                <w:szCs w:val="24"/>
                <w14:textFill>
                  <w14:solidFill>
                    <w14:schemeClr w14:val="tx1"/>
                  </w14:solidFill>
                </w14:textFill>
              </w:rPr>
              <w:t>2-3</w:t>
            </w:r>
            <w:r>
              <w:rPr>
                <w:rFonts w:hint="eastAsia"/>
                <w:color w:val="000000" w:themeColor="text1"/>
                <w:sz w:val="24"/>
                <w:szCs w:val="24"/>
                <w14:textFill>
                  <w14:solidFill>
                    <w14:schemeClr w14:val="tx1"/>
                  </w14:solidFill>
                </w14:textFill>
              </w:rPr>
              <w:t>废气收集效率通用系数，项目拟密闭车间，设置单层密闭正压，设施集气效率为</w:t>
            </w:r>
            <w:r>
              <w:rPr>
                <w:color w:val="000000" w:themeColor="text1"/>
                <w:sz w:val="24"/>
                <w:szCs w:val="24"/>
                <w14:textFill>
                  <w14:solidFill>
                    <w14:schemeClr w14:val="tx1"/>
                  </w14:solidFill>
                </w14:textFill>
              </w:rPr>
              <w:t>80%</w:t>
            </w:r>
            <w:r>
              <w:rPr>
                <w:rFonts w:hint="eastAsia"/>
                <w:color w:val="000000" w:themeColor="text1"/>
                <w:sz w:val="24"/>
                <w:szCs w:val="24"/>
                <w14:textFill>
                  <w14:solidFill>
                    <w14:schemeClr w14:val="tx1"/>
                  </w14:solidFill>
                </w14:textFill>
              </w:rPr>
              <w:t>。</w:t>
            </w:r>
            <w:r>
              <w:rPr>
                <w:rFonts w:hint="eastAsia"/>
                <w:color w:val="000000" w:themeColor="text1"/>
                <w:sz w:val="24"/>
                <w:szCs w:val="24"/>
                <w:highlight w:val="none"/>
                <w14:textFill>
                  <w14:solidFill>
                    <w14:schemeClr w14:val="tx1"/>
                  </w14:solidFill>
                </w14:textFill>
              </w:rPr>
              <w:t>建设单位拟将注塑工序废气收集后引至1套“</w:t>
            </w:r>
            <w:r>
              <w:rPr>
                <w:rFonts w:hint="eastAsia"/>
                <w:color w:val="000000" w:themeColor="text1"/>
                <w:sz w:val="24"/>
                <w:szCs w:val="24"/>
                <w:highlight w:val="none"/>
                <w:lang w:val="en-US" w:eastAsia="zh-CN"/>
                <w14:textFill>
                  <w14:solidFill>
                    <w14:schemeClr w14:val="tx1"/>
                  </w14:solidFill>
                </w14:textFill>
              </w:rPr>
              <w:t>二级</w:t>
            </w:r>
            <w:r>
              <w:rPr>
                <w:rFonts w:hint="eastAsia"/>
                <w:color w:val="000000" w:themeColor="text1"/>
                <w:sz w:val="24"/>
                <w:szCs w:val="24"/>
                <w:highlight w:val="none"/>
                <w14:textFill>
                  <w14:solidFill>
                    <w14:schemeClr w14:val="tx1"/>
                  </w14:solidFill>
                </w14:textFill>
              </w:rPr>
              <w:t>活性炭吸附装置”处理后经过1根</w:t>
            </w:r>
            <w:r>
              <w:rPr>
                <w:rFonts w:hint="eastAsia"/>
                <w:color w:val="000000" w:themeColor="text1"/>
                <w:sz w:val="24"/>
                <w:szCs w:val="24"/>
                <w:highlight w:val="none"/>
                <w:lang w:val="en-US" w:eastAsia="zh-CN"/>
                <w14:textFill>
                  <w14:solidFill>
                    <w14:schemeClr w14:val="tx1"/>
                  </w14:solidFill>
                </w14:textFill>
              </w:rPr>
              <w:t>15</w:t>
            </w:r>
            <w:r>
              <w:rPr>
                <w:rFonts w:hint="eastAsia"/>
                <w:color w:val="000000" w:themeColor="text1"/>
                <w:sz w:val="24"/>
                <w:szCs w:val="24"/>
                <w:highlight w:val="none"/>
                <w14:textFill>
                  <w14:solidFill>
                    <w14:schemeClr w14:val="tx1"/>
                  </w14:solidFill>
                </w14:textFill>
              </w:rPr>
              <w:t>m高排气筒排放（DA00</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生态环境部发布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关于印发</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主要污染物总量减排核算技术指南（2022年修订）&gt;的通知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〔2022〕350号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中规定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一次性活性炭的吸附效率50%。采用二级活性炭吸附效率为1-（1-50%）</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（1-50%）=75%。因此本项目活性炭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处理效率以75%计</w:t>
            </w:r>
            <w:r>
              <w:rPr>
                <w:rFonts w:hint="eastAsia" w:eastAsia="宋体" w:cs="Times New Roman"/>
                <w:color w:val="000000" w:themeColor="text1"/>
                <w:sz w:val="24"/>
                <w:szCs w:val="24"/>
                <w:highlight w:val="none"/>
                <w:lang w:val="en-US" w:eastAsia="zh-CN"/>
                <w14:textFill>
                  <w14:solidFill>
                    <w14:schemeClr w14:val="tx1"/>
                  </w14:solidFill>
                </w14:textFill>
              </w:rPr>
              <w:t>，则本项目</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非甲烷总烃</w:t>
            </w:r>
            <w:r>
              <w:rPr>
                <w:rFonts w:hint="eastAsia" w:eastAsia="宋体" w:cs="Times New Roman"/>
                <w:color w:val="000000" w:themeColor="text1"/>
                <w:sz w:val="24"/>
                <w:szCs w:val="24"/>
                <w:highlight w:val="none"/>
                <w:lang w:val="en-US" w:eastAsia="zh-CN"/>
                <w14:textFill>
                  <w14:solidFill>
                    <w14:schemeClr w14:val="tx1"/>
                  </w14:solidFill>
                </w14:textFill>
              </w:rPr>
              <w:t>有组织排放量为0.</w:t>
            </w:r>
            <w:r>
              <w:rPr>
                <w:rFonts w:hint="eastAsia" w:cs="Times New Roman"/>
                <w:color w:val="000000" w:themeColor="text1"/>
                <w:sz w:val="24"/>
                <w:szCs w:val="24"/>
                <w:highlight w:val="none"/>
                <w:lang w:val="en-US" w:eastAsia="zh-CN"/>
                <w14:textFill>
                  <w14:solidFill>
                    <w14:schemeClr w14:val="tx1"/>
                  </w14:solidFill>
                </w14:textFill>
              </w:rPr>
              <w:t>2151</w:t>
            </w:r>
            <w:r>
              <w:rPr>
                <w:rFonts w:hint="eastAsia"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排放浓度为</w:t>
            </w:r>
            <w:r>
              <w:rPr>
                <w:rFonts w:hint="eastAsia" w:cs="Times New Roman"/>
                <w:color w:val="000000" w:themeColor="text1"/>
                <w:sz w:val="24"/>
                <w:szCs w:val="24"/>
                <w:highlight w:val="none"/>
                <w:lang w:val="en-US" w:eastAsia="zh-CN"/>
                <w14:textFill>
                  <w14:solidFill>
                    <w14:schemeClr w14:val="tx1"/>
                  </w14:solidFill>
                </w14:textFill>
              </w:rPr>
              <w:t>3.735</w:t>
            </w:r>
            <w:r>
              <w:rPr>
                <w:rFonts w:hint="eastAsia"/>
                <w:color w:val="000000" w:themeColor="text1"/>
                <w:sz w:val="24"/>
                <w:szCs w:val="24"/>
                <w:highlight w:val="none"/>
                <w:lang w:val="en-US" w:eastAsia="zh-CN"/>
                <w14:textFill>
                  <w14:solidFill>
                    <w14:schemeClr w14:val="tx1"/>
                  </w14:solidFill>
                </w14:textFill>
              </w:rPr>
              <w:t>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vertAlign w:val="baseli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排放速率为0.</w:t>
            </w:r>
            <w:r>
              <w:rPr>
                <w:rFonts w:hint="eastAsia" w:cs="Times New Roman"/>
                <w:color w:val="000000" w:themeColor="text1"/>
                <w:sz w:val="24"/>
                <w:szCs w:val="24"/>
                <w:highlight w:val="none"/>
                <w:lang w:val="en-US" w:eastAsia="zh-CN"/>
                <w14:textFill>
                  <w14:solidFill>
                    <w14:schemeClr w14:val="tx1"/>
                  </w14:solidFill>
                </w14:textFill>
              </w:rPr>
              <w:t>0299</w:t>
            </w:r>
            <w:r>
              <w:rPr>
                <w:rFonts w:hint="eastAsia" w:eastAsia="宋体"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无组织排放量为0.</w:t>
            </w:r>
            <w:r>
              <w:rPr>
                <w:rFonts w:hint="eastAsia" w:cs="Times New Roman"/>
                <w:color w:val="000000" w:themeColor="text1"/>
                <w:sz w:val="24"/>
                <w:szCs w:val="24"/>
                <w:highlight w:val="none"/>
                <w:lang w:val="en-US" w:eastAsia="zh-CN"/>
                <w14:textFill>
                  <w14:solidFill>
                    <w14:schemeClr w14:val="tx1"/>
                  </w14:solidFill>
                </w14:textFill>
              </w:rPr>
              <w:t>2151</w:t>
            </w:r>
            <w:r>
              <w:rPr>
                <w:rFonts w:hint="eastAsia"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；苯乙烯</w:t>
            </w:r>
            <w:r>
              <w:rPr>
                <w:rFonts w:hint="eastAsia" w:eastAsia="宋体" w:cs="Times New Roman"/>
                <w:color w:val="000000" w:themeColor="text1"/>
                <w:sz w:val="24"/>
                <w:szCs w:val="24"/>
                <w:highlight w:val="none"/>
                <w:lang w:val="en-US" w:eastAsia="zh-CN"/>
                <w14:textFill>
                  <w14:solidFill>
                    <w14:schemeClr w14:val="tx1"/>
                  </w14:solidFill>
                </w14:textFill>
              </w:rPr>
              <w:t>有组织排放量为0.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排放浓度为</w:t>
            </w:r>
            <w:r>
              <w:rPr>
                <w:rFonts w:hint="eastAsia" w:cs="Times New Roman"/>
                <w:color w:val="000000" w:themeColor="text1"/>
                <w:sz w:val="24"/>
                <w:szCs w:val="24"/>
                <w:highlight w:val="none"/>
                <w:lang w:val="en-US" w:eastAsia="zh-CN"/>
                <w14:textFill>
                  <w14:solidFill>
                    <w14:schemeClr w14:val="tx1"/>
                  </w14:solidFill>
                </w14:textFill>
              </w:rPr>
              <w:t>0.0179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mg/m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无组织排放量为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；丙烯腈</w:t>
            </w:r>
            <w:r>
              <w:rPr>
                <w:rFonts w:hint="eastAsia" w:eastAsia="宋体" w:cs="Times New Roman"/>
                <w:color w:val="000000" w:themeColor="text1"/>
                <w:sz w:val="24"/>
                <w:szCs w:val="24"/>
                <w:highlight w:val="none"/>
                <w:lang w:val="en-US" w:eastAsia="zh-CN"/>
                <w14:textFill>
                  <w14:solidFill>
                    <w14:schemeClr w14:val="tx1"/>
                  </w14:solidFill>
                </w14:textFill>
              </w:rPr>
              <w:t>有组织排放量为0.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eastAsia="宋体" w:cs="Times New Roman"/>
                <w:color w:val="000000" w:themeColor="text1"/>
                <w:sz w:val="24"/>
                <w:szCs w:val="24"/>
                <w:highlight w:val="none"/>
                <w:lang w:val="en-US" w:eastAsia="zh-CN"/>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排放浓度为</w:t>
            </w:r>
            <w:r>
              <w:rPr>
                <w:rFonts w:hint="eastAsia" w:cs="Times New Roman"/>
                <w:color w:val="000000" w:themeColor="text1"/>
                <w:sz w:val="24"/>
                <w:szCs w:val="24"/>
                <w:highlight w:val="none"/>
                <w:lang w:val="en-US" w:eastAsia="zh-CN"/>
                <w14:textFill>
                  <w14:solidFill>
                    <w14:schemeClr w14:val="tx1"/>
                  </w14:solidFill>
                </w14:textFill>
              </w:rPr>
              <w:t>0.0179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mg/m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无组织排放量为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t/a</w:t>
            </w:r>
            <w:r>
              <w:rPr>
                <w:rFonts w:hint="eastAsia" w:eastAsia="宋体" w:cs="Times New Roman"/>
                <w:color w:val="000000" w:themeColor="text1"/>
                <w:sz w:val="24"/>
                <w:szCs w:val="24"/>
                <w:highlight w:val="none"/>
                <w:lang w:val="en-US" w:eastAsia="zh-CN"/>
                <w14:textFill>
                  <w14:solidFill>
                    <w14:schemeClr w14:val="tx1"/>
                  </w14:solidFill>
                </w14:textFill>
              </w:rPr>
              <w:t>。</w:t>
            </w:r>
          </w:p>
          <w:p w14:paraId="62BD7B1B">
            <w:pPr>
              <w:pStyle w:val="49"/>
              <w:ind w:firstLine="480"/>
              <w:jc w:val="both"/>
              <w:rPr>
                <w:rFonts w:hint="default" w:cs="Times New Roman"/>
                <w:bCs/>
                <w:color w:val="000000" w:themeColor="text1"/>
                <w:kern w:val="2"/>
                <w:sz w:val="24"/>
                <w:szCs w:val="24"/>
                <w:lang w:val="en-US" w:eastAsia="zh-CN" w:bidi="ar-SA"/>
                <w14:textFill>
                  <w14:solidFill>
                    <w14:schemeClr w14:val="tx1"/>
                  </w14:solidFill>
                </w14:textFill>
              </w:rPr>
            </w:pPr>
            <w:r>
              <w:rPr>
                <w:rFonts w:hint="eastAsia" w:cs="Times New Roman"/>
                <w:bCs/>
                <w:color w:val="000000" w:themeColor="text1"/>
                <w:kern w:val="2"/>
                <w:sz w:val="24"/>
                <w:szCs w:val="24"/>
                <w:lang w:val="en-US" w:eastAsia="zh-CN" w:bidi="ar-SA"/>
                <w14:textFill>
                  <w14:solidFill>
                    <w14:schemeClr w14:val="tx1"/>
                  </w14:solidFill>
                </w14:textFill>
              </w:rPr>
              <w:t>另外，原材料ABS在注塑过程中会产生极少量1,2-丁二烯、甲苯、乙苯等气体产生，注塑废气经集气罩收集后通过二级活性炭处理，由15m高排气DA001排放，造成的环境影响可以忽略不计，本环评仅做定性分析。</w:t>
            </w:r>
          </w:p>
          <w:p w14:paraId="1E010098">
            <w:pPr>
              <w:numPr>
                <w:ilvl w:val="0"/>
                <w:numId w:val="0"/>
              </w:numPr>
              <w:adjustRightInd w:val="0"/>
              <w:snapToGrid w:val="0"/>
              <w:spacing w:line="348" w:lineRule="auto"/>
              <w:ind w:left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（2）臭气（异味气体）</w:t>
            </w:r>
          </w:p>
          <w:p w14:paraId="2CD89FE4">
            <w:pPr>
              <w:spacing w:line="360" w:lineRule="auto"/>
              <w:ind w:firstLine="480" w:firstLineChars="200"/>
              <w:rPr>
                <w:rFonts w:hint="eastAsia" w:eastAsia="宋体"/>
                <w:bCs/>
                <w:color w:val="000000" w:themeColor="text1"/>
                <w:sz w:val="24"/>
                <w:lang w:val="en-US" w:eastAsia="zh-CN"/>
                <w14:textFill>
                  <w14:solidFill>
                    <w14:schemeClr w14:val="tx1"/>
                  </w14:solidFill>
                </w14:textFill>
              </w:rPr>
            </w:pPr>
            <w:r>
              <w:rPr>
                <w:color w:val="000000" w:themeColor="text1"/>
                <w:kern w:val="0"/>
                <w:sz w:val="24"/>
                <w:szCs w:val="20"/>
                <w14:textFill>
                  <w14:solidFill>
                    <w14:schemeClr w14:val="tx1"/>
                  </w14:solidFill>
                </w14:textFill>
              </w:rPr>
              <w:t>本项目</w:t>
            </w:r>
            <w:r>
              <w:rPr>
                <w:rFonts w:hint="eastAsia"/>
                <w:color w:val="000000" w:themeColor="text1"/>
                <w:kern w:val="0"/>
                <w:sz w:val="24"/>
                <w:szCs w:val="20"/>
                <w:lang w:val="en-US" w:eastAsia="zh-CN"/>
                <w14:textFill>
                  <w14:solidFill>
                    <w14:schemeClr w14:val="tx1"/>
                  </w14:solidFill>
                </w14:textFill>
              </w:rPr>
              <w:t>塑料颗粒</w:t>
            </w:r>
            <w:r>
              <w:rPr>
                <w:color w:val="000000" w:themeColor="text1"/>
                <w:kern w:val="0"/>
                <w:sz w:val="24"/>
                <w:szCs w:val="20"/>
                <w14:textFill>
                  <w14:solidFill>
                    <w14:schemeClr w14:val="tx1"/>
                  </w14:solidFill>
                </w14:textFill>
              </w:rPr>
              <w:t>在</w:t>
            </w:r>
            <w:r>
              <w:rPr>
                <w:rFonts w:hint="eastAsia"/>
                <w:color w:val="000000" w:themeColor="text1"/>
                <w:kern w:val="0"/>
                <w:sz w:val="24"/>
                <w:szCs w:val="20"/>
                <w14:textFill>
                  <w14:solidFill>
                    <w14:schemeClr w14:val="tx1"/>
                  </w14:solidFill>
                </w14:textFill>
              </w:rPr>
              <w:t>注塑加热</w:t>
            </w:r>
            <w:r>
              <w:rPr>
                <w:color w:val="000000" w:themeColor="text1"/>
                <w:kern w:val="0"/>
                <w:sz w:val="24"/>
                <w:szCs w:val="20"/>
                <w14:textFill>
                  <w14:solidFill>
                    <w14:schemeClr w14:val="tx1"/>
                  </w14:solidFill>
                </w14:textFill>
              </w:rPr>
              <w:t>过程会产生少量的臭气，主要为塑料颗粒在高温加热工序，发生反应，挥发而成。项目原料受热情况下，原料中残存未聚合的反应单体以及从聚合物中分解出的单体可挥发至空气中，其组分较复杂，因此本项目用臭气浓度指标来衡量项</w:t>
            </w:r>
            <w:r>
              <w:rPr>
                <w:bCs/>
                <w:color w:val="000000" w:themeColor="text1"/>
                <w:sz w:val="24"/>
                <w14:textFill>
                  <w14:solidFill>
                    <w14:schemeClr w14:val="tx1"/>
                  </w14:solidFill>
                </w14:textFill>
              </w:rPr>
              <w:t>目生产过</w:t>
            </w:r>
            <w:r>
              <w:rPr>
                <w:rFonts w:hint="eastAsia"/>
                <w:bCs/>
                <w:color w:val="000000" w:themeColor="text1"/>
                <w:sz w:val="24"/>
                <w:lang w:eastAsia="zh-CN"/>
                <w14:textFill>
                  <w14:solidFill>
                    <w14:schemeClr w14:val="tx1"/>
                  </w14:solidFill>
                </w14:textFill>
              </w:rPr>
              <w:t>程中</w:t>
            </w:r>
            <w:r>
              <w:rPr>
                <w:bCs/>
                <w:color w:val="000000" w:themeColor="text1"/>
                <w:sz w:val="24"/>
                <w14:textFill>
                  <w14:solidFill>
                    <w14:schemeClr w14:val="tx1"/>
                  </w14:solidFill>
                </w14:textFill>
              </w:rPr>
              <w:t>产生的恶臭污染程度，本项目臭气经收集后</w:t>
            </w:r>
            <w:r>
              <w:rPr>
                <w:rFonts w:hint="eastAsia"/>
                <w:bCs/>
                <w:color w:val="000000" w:themeColor="text1"/>
                <w:sz w:val="24"/>
                <w:lang w:eastAsia="zh-CN"/>
                <w14:textFill>
                  <w14:solidFill>
                    <w14:schemeClr w14:val="tx1"/>
                  </w14:solidFill>
                </w14:textFill>
              </w:rPr>
              <w:t>通过</w:t>
            </w:r>
            <w:r>
              <w:rPr>
                <w:bCs/>
                <w:color w:val="000000" w:themeColor="text1"/>
                <w:sz w:val="24"/>
                <w14:textFill>
                  <w14:solidFill>
                    <w14:schemeClr w14:val="tx1"/>
                  </w14:solidFill>
                </w14:textFill>
              </w:rPr>
              <w:t>活性炭吸附治理后</w:t>
            </w:r>
            <w:r>
              <w:rPr>
                <w:rFonts w:hint="eastAsia"/>
                <w:bCs/>
                <w:color w:val="000000" w:themeColor="text1"/>
                <w:sz w:val="24"/>
                <w:lang w:val="en-US" w:eastAsia="zh-CN"/>
                <w14:textFill>
                  <w14:solidFill>
                    <w14:schemeClr w14:val="tx1"/>
                  </w14:solidFill>
                </w14:textFill>
              </w:rPr>
              <w:t>高空排放</w:t>
            </w:r>
            <w:r>
              <w:rPr>
                <w:bCs/>
                <w:color w:val="000000" w:themeColor="text1"/>
                <w:sz w:val="24"/>
                <w14:textFill>
                  <w14:solidFill>
                    <w14:schemeClr w14:val="tx1"/>
                  </w14:solidFill>
                </w14:textFill>
              </w:rPr>
              <w:t>，能够减轻项目</w:t>
            </w:r>
            <w:r>
              <w:rPr>
                <w:rFonts w:hint="eastAsia"/>
                <w:bCs/>
                <w:color w:val="000000" w:themeColor="text1"/>
                <w:sz w:val="24"/>
                <w14:textFill>
                  <w14:solidFill>
                    <w14:schemeClr w14:val="tx1"/>
                  </w14:solidFill>
                </w14:textFill>
              </w:rPr>
              <w:t>原料</w:t>
            </w:r>
            <w:r>
              <w:rPr>
                <w:bCs/>
                <w:color w:val="000000" w:themeColor="text1"/>
                <w:sz w:val="24"/>
                <w14:textFill>
                  <w14:solidFill>
                    <w14:schemeClr w14:val="tx1"/>
                  </w14:solidFill>
                </w14:textFill>
              </w:rPr>
              <w:t>加热</w:t>
            </w:r>
            <w:r>
              <w:rPr>
                <w:rFonts w:hint="eastAsia"/>
                <w:bCs/>
                <w:color w:val="000000" w:themeColor="text1"/>
                <w:sz w:val="24"/>
                <w14:textFill>
                  <w14:solidFill>
                    <w14:schemeClr w14:val="tx1"/>
                  </w14:solidFill>
                </w14:textFill>
              </w:rPr>
              <w:t>挤出</w:t>
            </w:r>
            <w:r>
              <w:rPr>
                <w:bCs/>
                <w:color w:val="000000" w:themeColor="text1"/>
                <w:sz w:val="24"/>
                <w14:textFill>
                  <w14:solidFill>
                    <w14:schemeClr w14:val="tx1"/>
                  </w14:solidFill>
                </w14:textFill>
              </w:rPr>
              <w:t>过程中</w:t>
            </w:r>
            <w:r>
              <w:rPr>
                <w:rFonts w:hint="eastAsia"/>
                <w:bCs/>
                <w:color w:val="000000" w:themeColor="text1"/>
                <w:sz w:val="24"/>
                <w14:textFill>
                  <w14:solidFill>
                    <w14:schemeClr w14:val="tx1"/>
                  </w14:solidFill>
                </w14:textFill>
              </w:rPr>
              <w:t>产生</w:t>
            </w:r>
            <w:r>
              <w:rPr>
                <w:bCs/>
                <w:color w:val="000000" w:themeColor="text1"/>
                <w:sz w:val="24"/>
                <w14:textFill>
                  <w14:solidFill>
                    <w14:schemeClr w14:val="tx1"/>
                  </w14:solidFill>
                </w14:textFill>
              </w:rPr>
              <w:t>的异味，</w:t>
            </w:r>
            <w:r>
              <w:rPr>
                <w:rFonts w:hint="eastAsia" w:ascii="Times New Roman" w:hAnsi="Times New Roman" w:eastAsia="宋体" w:cs="Times New Roman"/>
                <w:color w:val="000000" w:themeColor="text1"/>
                <w:kern w:val="0"/>
                <w:sz w:val="24"/>
                <w:szCs w:val="20"/>
                <w14:textFill>
                  <w14:solidFill>
                    <w14:schemeClr w14:val="tx1"/>
                  </w14:solidFill>
                </w14:textFill>
              </w:rPr>
              <w:t>项目周边以工业企业为主，项目周边最近的环境敏感点为</w:t>
            </w:r>
            <w:r>
              <w:rPr>
                <w:rFonts w:hint="eastAsia" w:eastAsia="宋体" w:cs="Times New Roman"/>
                <w:color w:val="000000" w:themeColor="text1"/>
                <w:kern w:val="0"/>
                <w:sz w:val="24"/>
                <w:szCs w:val="20"/>
                <w:lang w:val="en-US" w:eastAsia="zh-CN"/>
                <w14:textFill>
                  <w14:solidFill>
                    <w14:schemeClr w14:val="tx1"/>
                  </w14:solidFill>
                </w14:textFill>
              </w:rPr>
              <w:t>项目西南侧380</w:t>
            </w:r>
            <w:r>
              <w:rPr>
                <w:rFonts w:hint="eastAsia" w:ascii="Times New Roman" w:hAnsi="Times New Roman" w:eastAsia="宋体" w:cs="Times New Roman"/>
                <w:color w:val="000000" w:themeColor="text1"/>
                <w:kern w:val="0"/>
                <w:sz w:val="24"/>
                <w:szCs w:val="20"/>
                <w14:textFill>
                  <w14:solidFill>
                    <w14:schemeClr w14:val="tx1"/>
                  </w14:solidFill>
                </w14:textFill>
              </w:rPr>
              <w:t>m</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的下田村</w:t>
            </w:r>
            <w:r>
              <w:rPr>
                <w:rFonts w:hint="eastAsia" w:ascii="Times New Roman" w:hAnsi="Times New Roman" w:eastAsia="宋体" w:cs="Times New Roman"/>
                <w:color w:val="000000" w:themeColor="text1"/>
                <w:kern w:val="0"/>
                <w:sz w:val="24"/>
                <w:szCs w:val="20"/>
                <w14:textFill>
                  <w14:solidFill>
                    <w14:schemeClr w14:val="tx1"/>
                  </w14:solidFill>
                </w14:textFill>
              </w:rPr>
              <w:t>，有一定距离，项目产生的臭气经收集治理</w:t>
            </w:r>
            <w:r>
              <w:rPr>
                <w:rFonts w:hint="eastAsia" w:eastAsia="宋体" w:cs="Times New Roman"/>
                <w:color w:val="000000" w:themeColor="text1"/>
                <w:kern w:val="0"/>
                <w:sz w:val="24"/>
                <w:szCs w:val="20"/>
                <w:lang w:eastAsia="zh-CN"/>
                <w14:textFill>
                  <w14:solidFill>
                    <w14:schemeClr w14:val="tx1"/>
                  </w14:solidFill>
                </w14:textFill>
              </w:rPr>
              <w:t>（</w:t>
            </w:r>
            <w:r>
              <w:rPr>
                <w:rFonts w:hint="eastAsia" w:eastAsia="宋体" w:cs="Times New Roman"/>
                <w:color w:val="000000" w:themeColor="text1"/>
                <w:kern w:val="0"/>
                <w:sz w:val="24"/>
                <w:szCs w:val="20"/>
                <w:lang w:val="en-US" w:eastAsia="zh-CN"/>
                <w14:textFill>
                  <w14:solidFill>
                    <w14:schemeClr w14:val="tx1"/>
                  </w14:solidFill>
                </w14:textFill>
              </w:rPr>
              <w:t>活性炭吸附</w:t>
            </w:r>
            <w:r>
              <w:rPr>
                <w:rFonts w:hint="eastAsia" w:eastAsia="宋体" w:cs="Times New Roman"/>
                <w:color w:val="000000" w:themeColor="text1"/>
                <w:kern w:val="0"/>
                <w:sz w:val="24"/>
                <w:szCs w:val="20"/>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14:textFill>
                  <w14:solidFill>
                    <w14:schemeClr w14:val="tx1"/>
                  </w14:solidFill>
                </w14:textFill>
              </w:rPr>
              <w:t>后，对周边环境不会造成显著影响，因此，</w:t>
            </w:r>
            <w:r>
              <w:rPr>
                <w:rFonts w:ascii="Times New Roman" w:hAnsi="Times New Roman" w:eastAsia="宋体" w:cs="Times New Roman"/>
                <w:color w:val="000000" w:themeColor="text1"/>
                <w:kern w:val="0"/>
                <w:sz w:val="24"/>
                <w:szCs w:val="20"/>
                <w14:textFill>
                  <w14:solidFill>
                    <w14:schemeClr w14:val="tx1"/>
                  </w14:solidFill>
                </w14:textFill>
              </w:rPr>
              <w:t>本评价</w:t>
            </w:r>
            <w:r>
              <w:rPr>
                <w:rFonts w:hint="eastAsia" w:cs="Times New Roman"/>
                <w:color w:val="000000" w:themeColor="text1"/>
                <w:kern w:val="0"/>
                <w:sz w:val="24"/>
                <w:szCs w:val="20"/>
                <w:lang w:eastAsia="zh-CN"/>
                <w14:textFill>
                  <w14:solidFill>
                    <w14:schemeClr w14:val="tx1"/>
                  </w14:solidFill>
                </w14:textFill>
              </w:rPr>
              <w:t>仅</w:t>
            </w:r>
            <w:r>
              <w:rPr>
                <w:rFonts w:ascii="Times New Roman" w:hAnsi="Times New Roman" w:eastAsia="宋体" w:cs="Times New Roman"/>
                <w:color w:val="000000" w:themeColor="text1"/>
                <w:kern w:val="0"/>
                <w:sz w:val="24"/>
                <w:szCs w:val="20"/>
                <w14:textFill>
                  <w14:solidFill>
                    <w14:schemeClr w14:val="tx1"/>
                  </w14:solidFill>
                </w14:textFill>
              </w:rPr>
              <w:t>做定性分析。</w:t>
            </w:r>
          </w:p>
          <w:p w14:paraId="2FD5FEEB">
            <w:pPr>
              <w:numPr>
                <w:ilvl w:val="0"/>
                <w:numId w:val="0"/>
              </w:numPr>
              <w:adjustRightInd w:val="0"/>
              <w:snapToGrid w:val="0"/>
              <w:spacing w:line="348" w:lineRule="auto"/>
              <w:ind w:leftChars="20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（3）破碎废气（颗粒物）</w:t>
            </w:r>
          </w:p>
          <w:p w14:paraId="329BD8C4">
            <w:pPr>
              <w:spacing w:line="360" w:lineRule="auto"/>
              <w:ind w:firstLine="480" w:firstLineChars="200"/>
              <w:rPr>
                <w:rFonts w:hint="default" w:cs="Times New Roman"/>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项目在</w:t>
            </w:r>
            <w:r>
              <w:rPr>
                <w:rFonts w:hint="eastAsia"/>
                <w:color w:val="000000" w:themeColor="text1"/>
                <w:sz w:val="24"/>
                <w:lang w:val="en-US" w:eastAsia="zh-CN"/>
                <w14:textFill>
                  <w14:solidFill>
                    <w14:schemeClr w14:val="tx1"/>
                  </w14:solidFill>
                </w14:textFill>
              </w:rPr>
              <w:t>汽车塑料制品生产</w:t>
            </w:r>
            <w:r>
              <w:rPr>
                <w:rFonts w:hint="eastAsia"/>
                <w:color w:val="000000" w:themeColor="text1"/>
                <w:sz w:val="24"/>
                <w14:textFill>
                  <w14:solidFill>
                    <w14:schemeClr w14:val="tx1"/>
                  </w14:solidFill>
                </w14:textFill>
              </w:rPr>
              <w:t>过</w:t>
            </w:r>
            <w:r>
              <w:rPr>
                <w:rFonts w:hint="eastAsia"/>
                <w:color w:val="000000" w:themeColor="text1"/>
                <w:sz w:val="24"/>
                <w:lang w:eastAsia="zh-CN"/>
                <w14:textFill>
                  <w14:solidFill>
                    <w14:schemeClr w14:val="tx1"/>
                  </w14:solidFill>
                </w14:textFill>
              </w:rPr>
              <w:t>程中</w:t>
            </w:r>
            <w:r>
              <w:rPr>
                <w:rFonts w:hint="eastAsia"/>
                <w:color w:val="000000" w:themeColor="text1"/>
                <w:sz w:val="24"/>
                <w14:textFill>
                  <w14:solidFill>
                    <w14:schemeClr w14:val="tx1"/>
                  </w14:solidFill>
                </w14:textFill>
              </w:rPr>
              <w:t>会产生少许边角料</w:t>
            </w:r>
            <w:r>
              <w:rPr>
                <w:rFonts w:hint="eastAsia"/>
                <w:color w:val="000000" w:themeColor="text1"/>
                <w:sz w:val="24"/>
                <w:lang w:val="en-US" w:eastAsia="zh-CN"/>
                <w14:textFill>
                  <w14:solidFill>
                    <w14:schemeClr w14:val="tx1"/>
                  </w14:solidFill>
                </w14:textFill>
              </w:rPr>
              <w:t>及次品</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参考《排放源统计调查产排污核算方法和系数手册》中《292塑料制品行业系数手册》，一般工业固废产生量为2.5</w:t>
            </w:r>
            <w:r>
              <w:rPr>
                <w:rFonts w:hint="eastAsia"/>
                <w:color w:val="000000" w:themeColor="text1"/>
                <w:sz w:val="24"/>
                <w:lang w:val="en-US" w:eastAsia="zh-CN"/>
                <w14:textFill>
                  <w14:solidFill>
                    <w14:schemeClr w14:val="tx1"/>
                  </w14:solidFill>
                </w14:textFill>
              </w:rPr>
              <w:t>kg</w:t>
            </w:r>
            <w:r>
              <w:rPr>
                <w:color w:val="000000" w:themeColor="text1"/>
                <w:sz w:val="24"/>
                <w14:textFill>
                  <w14:solidFill>
                    <w14:schemeClr w14:val="tx1"/>
                  </w14:solidFill>
                </w14:textFill>
              </w:rPr>
              <w:t>/t-产品，</w:t>
            </w:r>
            <w:r>
              <w:rPr>
                <w:rFonts w:hint="eastAsia"/>
                <w:color w:val="000000" w:themeColor="text1"/>
                <w:sz w:val="24"/>
                <w14:textFill>
                  <w14:solidFill>
                    <w14:schemeClr w14:val="tx1"/>
                  </w14:solidFill>
                </w14:textFill>
              </w:rPr>
              <w:t>则边角料</w:t>
            </w:r>
            <w:r>
              <w:rPr>
                <w:rFonts w:hint="eastAsia"/>
                <w:color w:val="000000" w:themeColor="text1"/>
                <w:sz w:val="24"/>
                <w:lang w:val="en-US" w:eastAsia="zh-CN"/>
                <w14:textFill>
                  <w14:solidFill>
                    <w14:schemeClr w14:val="tx1"/>
                  </w14:solidFill>
                </w14:textFill>
              </w:rPr>
              <w:t>及次品的</w:t>
            </w:r>
            <w:r>
              <w:rPr>
                <w:rFonts w:hint="eastAsia"/>
                <w:color w:val="000000" w:themeColor="text1"/>
                <w:sz w:val="24"/>
                <w14:textFill>
                  <w14:solidFill>
                    <w14:schemeClr w14:val="tx1"/>
                  </w14:solidFill>
                </w14:textFill>
              </w:rPr>
              <w:t>产生量为</w:t>
            </w:r>
            <w:r>
              <w:rPr>
                <w:rFonts w:hint="eastAsia"/>
                <w:color w:val="000000" w:themeColor="text1"/>
                <w:sz w:val="24"/>
                <w:lang w:val="en-US" w:eastAsia="zh-CN"/>
                <w14:textFill>
                  <w14:solidFill>
                    <w14:schemeClr w14:val="tx1"/>
                  </w14:solidFill>
                </w14:textFill>
              </w:rPr>
              <w:t>0.996</w:t>
            </w:r>
            <w:r>
              <w:rPr>
                <w:color w:val="000000" w:themeColor="text1"/>
                <w:sz w:val="24"/>
                <w14:textFill>
                  <w14:solidFill>
                    <w14:schemeClr w14:val="tx1"/>
                  </w14:solidFill>
                </w14:textFill>
              </w:rPr>
              <w:t>t/a</w:t>
            </w:r>
            <w:r>
              <w:rPr>
                <w:rFonts w:hint="eastAsia"/>
                <w:color w:val="000000" w:themeColor="text1"/>
                <w:kern w:val="0"/>
                <w:sz w:val="24"/>
                <w:szCs w:val="20"/>
                <w14:textFill>
                  <w14:solidFill>
                    <w14:schemeClr w14:val="tx1"/>
                  </w14:solidFill>
                </w14:textFill>
              </w:rPr>
              <w:t>，破碎过程会产生粉尘，该过程在破碎机内部进行</w:t>
            </w:r>
            <w:r>
              <w:rPr>
                <w:rFonts w:hint="eastAsia"/>
                <w:color w:val="000000" w:themeColor="text1"/>
                <w:kern w:val="0"/>
                <w:sz w:val="24"/>
                <w:szCs w:val="20"/>
                <w:lang w:eastAsia="zh-CN"/>
                <w14:textFill>
                  <w14:solidFill>
                    <w14:schemeClr w14:val="tx1"/>
                  </w14:solidFill>
                </w14:textFill>
              </w:rPr>
              <w:t>且</w:t>
            </w:r>
            <w:r>
              <w:rPr>
                <w:rFonts w:hint="eastAsia"/>
                <w:color w:val="000000" w:themeColor="text1"/>
                <w:kern w:val="0"/>
                <w:sz w:val="24"/>
                <w:szCs w:val="20"/>
                <w14:textFill>
                  <w14:solidFill>
                    <w14:schemeClr w14:val="tx1"/>
                  </w14:solidFill>
                </w14:textFill>
              </w:rPr>
              <w:t>入料口设有挡板，可一定程度减少粉尘四散。参考《排放源统计调查产排污核算方法和系数手册》42 废弃资源综合利用行业系数手册-4220 非金属废料和碎屑加工处理行业系数表，废PS/ABS干法破碎颗粒物产生系数为425</w:t>
            </w:r>
            <w:r>
              <w:rPr>
                <w:rFonts w:hint="eastAsia"/>
                <w:color w:val="000000" w:themeColor="text1"/>
                <w:kern w:val="0"/>
                <w:sz w:val="24"/>
                <w:szCs w:val="20"/>
                <w:lang w:val="en-US" w:eastAsia="zh-CN"/>
                <w14:textFill>
                  <w14:solidFill>
                    <w14:schemeClr w14:val="tx1"/>
                  </w14:solidFill>
                </w14:textFill>
              </w:rPr>
              <w:t>g</w:t>
            </w:r>
            <w:r>
              <w:rPr>
                <w:rFonts w:hint="eastAsia"/>
                <w:color w:val="000000" w:themeColor="text1"/>
                <w:kern w:val="0"/>
                <w:sz w:val="24"/>
                <w:szCs w:val="20"/>
                <w14:textFill>
                  <w14:solidFill>
                    <w14:schemeClr w14:val="tx1"/>
                  </w14:solidFill>
                </w14:textFill>
              </w:rPr>
              <w:t>/</w:t>
            </w:r>
            <w:r>
              <w:rPr>
                <w:rFonts w:hint="eastAsia"/>
                <w:color w:val="000000" w:themeColor="text1"/>
                <w:kern w:val="0"/>
                <w:sz w:val="24"/>
                <w:szCs w:val="20"/>
                <w:lang w:val="en-US" w:eastAsia="zh-CN"/>
                <w14:textFill>
                  <w14:solidFill>
                    <w14:schemeClr w14:val="tx1"/>
                  </w14:solidFill>
                </w14:textFill>
              </w:rPr>
              <w:t>t</w:t>
            </w:r>
            <w:r>
              <w:rPr>
                <w:rFonts w:hint="eastAsia"/>
                <w:color w:val="000000" w:themeColor="text1"/>
                <w:kern w:val="0"/>
                <w:sz w:val="24"/>
                <w:szCs w:val="20"/>
                <w14:textFill>
                  <w14:solidFill>
                    <w14:schemeClr w14:val="tx1"/>
                  </w14:solidFill>
                </w14:textFill>
              </w:rPr>
              <w:t>-原料，则破碎粉尘产生量</w:t>
            </w:r>
            <w:r>
              <w:rPr>
                <w:rFonts w:hint="eastAsia"/>
                <w:color w:val="000000" w:themeColor="text1"/>
                <w:kern w:val="0"/>
                <w:sz w:val="24"/>
                <w:szCs w:val="20"/>
                <w:lang w:val="en-US" w:eastAsia="zh-CN"/>
                <w14:textFill>
                  <w14:solidFill>
                    <w14:schemeClr w14:val="tx1"/>
                  </w14:solidFill>
                </w14:textFill>
              </w:rPr>
              <w:t>0.4233</w:t>
            </w:r>
            <w:r>
              <w:rPr>
                <w:rFonts w:hint="eastAsia"/>
                <w:color w:val="000000" w:themeColor="text1"/>
                <w:kern w:val="0"/>
                <w:sz w:val="24"/>
                <w:szCs w:val="20"/>
                <w14:textFill>
                  <w14:solidFill>
                    <w14:schemeClr w14:val="tx1"/>
                  </w14:solidFill>
                </w14:textFill>
              </w:rPr>
              <w:t>kg/a。破碎工序在密闭设备内进行，破碎过程</w:t>
            </w:r>
            <w:r>
              <w:rPr>
                <w:rFonts w:hint="eastAsia"/>
                <w:color w:val="000000" w:themeColor="text1"/>
                <w:kern w:val="0"/>
                <w:sz w:val="24"/>
                <w:szCs w:val="20"/>
                <w:lang w:val="en-US" w:eastAsia="zh-CN"/>
                <w14:textFill>
                  <w14:solidFill>
                    <w14:schemeClr w14:val="tx1"/>
                  </w14:solidFill>
                </w14:textFill>
              </w:rPr>
              <w:t>中产生</w:t>
            </w:r>
            <w:r>
              <w:rPr>
                <w:rFonts w:hint="eastAsia"/>
                <w:color w:val="000000" w:themeColor="text1"/>
                <w:kern w:val="0"/>
                <w:sz w:val="24"/>
                <w:szCs w:val="20"/>
                <w14:textFill>
                  <w14:solidFill>
                    <w14:schemeClr w14:val="tx1"/>
                  </w14:solidFill>
                </w14:textFill>
              </w:rPr>
              <w:t>颗粒物</w:t>
            </w:r>
            <w:r>
              <w:rPr>
                <w:rFonts w:hint="eastAsia"/>
                <w:color w:val="000000" w:themeColor="text1"/>
                <w:kern w:val="0"/>
                <w:sz w:val="24"/>
                <w:szCs w:val="20"/>
                <w:lang w:val="en-US" w:eastAsia="zh-CN"/>
                <w14:textFill>
                  <w14:solidFill>
                    <w14:schemeClr w14:val="tx1"/>
                  </w14:solidFill>
                </w14:textFill>
              </w:rPr>
              <w:t>经集气罩收集后通过布袋除尘器（TA002）处理后并入15m高排气筒（DA001）排放。集气罩收集效率为80%，布袋除尘器处理效率为95%，则本项目颗粒物有组织排放量为0.0169kg/a，排放浓度为0.0012mg/m</w:t>
            </w:r>
            <w:r>
              <w:rPr>
                <w:rFonts w:hint="eastAsia"/>
                <w:color w:val="000000" w:themeColor="text1"/>
                <w:kern w:val="0"/>
                <w:sz w:val="24"/>
                <w:szCs w:val="20"/>
                <w:vertAlign w:val="superscript"/>
                <w:lang w:val="en-US" w:eastAsia="zh-CN"/>
                <w14:textFill>
                  <w14:solidFill>
                    <w14:schemeClr w14:val="tx1"/>
                  </w14:solidFill>
                </w14:textFill>
              </w:rPr>
              <w:t>3</w:t>
            </w:r>
            <w:r>
              <w:rPr>
                <w:rFonts w:hint="eastAsia"/>
                <w:color w:val="000000" w:themeColor="text1"/>
                <w:kern w:val="0"/>
                <w:sz w:val="24"/>
                <w:szCs w:val="20"/>
                <w:lang w:val="en-US" w:eastAsia="zh-CN"/>
                <w14:textFill>
                  <w14:solidFill>
                    <w14:schemeClr w14:val="tx1"/>
                  </w14:solidFill>
                </w14:textFill>
              </w:rPr>
              <w:t>，按照破碎机每天运行6小时计算，排放速率为0.0094g/h。无组织排放量为0.0847kg/a。</w:t>
            </w:r>
          </w:p>
        </w:tc>
      </w:tr>
    </w:tbl>
    <w:p w14:paraId="404EAE54">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3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0C02A4A1">
            <w:pPr>
              <w:jc w:val="center"/>
              <w:rPr>
                <w:rFonts w:hint="default" w:ascii="Times New Roman" w:hAnsi="Times New Roman" w:eastAsia="宋体" w:cs="Times New Roman"/>
                <w:color w:val="auto"/>
                <w:kern w:val="0"/>
                <w:sz w:val="24"/>
                <w:szCs w:val="24"/>
                <w:lang w:val="en-US" w:eastAsia="zh-CN"/>
              </w:rPr>
            </w:pPr>
          </w:p>
        </w:tc>
        <w:tc>
          <w:tcPr>
            <w:tcW w:w="4806" w:type="pct"/>
          </w:tcPr>
          <w:p w14:paraId="2CB7860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8" w:name="_Toc25571"/>
            <w:r>
              <w:rPr>
                <w:rFonts w:hint="eastAsia"/>
                <w:b/>
                <w:color w:val="262626"/>
                <w:kern w:val="0"/>
                <w:sz w:val="24"/>
                <w:lang w:val="en-US" w:eastAsia="zh-CN"/>
              </w:rPr>
              <w:t>4.1.2 废气产排情况一览表</w:t>
            </w:r>
            <w:bookmarkEnd w:id="98"/>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表4.1-3 项目废气产排情况一览表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92"/>
              <w:gridCol w:w="888"/>
              <w:gridCol w:w="192"/>
              <w:gridCol w:w="540"/>
              <w:gridCol w:w="804"/>
              <w:gridCol w:w="828"/>
              <w:gridCol w:w="804"/>
              <w:gridCol w:w="1842"/>
              <w:gridCol w:w="810"/>
              <w:gridCol w:w="810"/>
              <w:gridCol w:w="795"/>
              <w:gridCol w:w="210"/>
              <w:gridCol w:w="645"/>
              <w:gridCol w:w="435"/>
              <w:gridCol w:w="836"/>
              <w:gridCol w:w="34"/>
              <w:gridCol w:w="900"/>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7"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416"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338"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279" w:type="pct"/>
                  <w:gridSpan w:val="2"/>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p>
              </w:tc>
              <w:tc>
                <w:tcPr>
                  <w:tcW w:w="928"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702" w:type="pct"/>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920"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1166" w:type="pct"/>
                  <w:gridSpan w:val="6"/>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47"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416"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38"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79" w:type="pct"/>
                  <w:gridSpan w:val="2"/>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06" w:type="pct"/>
                  <w:tcBorders>
                    <w:tl2br w:val="nil"/>
                    <w:tr2bl w:val="nil"/>
                  </w:tcBorders>
                  <w:vAlign w:val="center"/>
                </w:tcPr>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tc>
              <w:tc>
                <w:tcPr>
                  <w:tcW w:w="315"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p>
              </w:tc>
              <w:tc>
                <w:tcPr>
                  <w:tcW w:w="306" w:type="pct"/>
                  <w:tcBorders>
                    <w:tl2br w:val="nil"/>
                    <w:tr2bl w:val="nil"/>
                  </w:tcBorders>
                  <w:vAlign w:val="center"/>
                </w:tcPr>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产生浓度</w:t>
                  </w:r>
                </w:p>
              </w:tc>
              <w:tc>
                <w:tcPr>
                  <w:tcW w:w="702" w:type="pct"/>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308" w:type="pct"/>
                  <w:tcBorders>
                    <w:tl2br w:val="nil"/>
                    <w:tr2bl w:val="nil"/>
                  </w:tcBorders>
                  <w:vAlign w:val="center"/>
                </w:tcPr>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tc>
              <w:tc>
                <w:tcPr>
                  <w:tcW w:w="308"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w:t>
                  </w:r>
                </w:p>
              </w:tc>
              <w:tc>
                <w:tcPr>
                  <w:tcW w:w="303"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w:t>
                  </w:r>
                </w:p>
              </w:tc>
              <w:tc>
                <w:tcPr>
                  <w:tcW w:w="325" w:type="pct"/>
                  <w:gridSpan w:val="2"/>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165" w:type="pct"/>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331" w:type="pct"/>
                  <w:gridSpan w:val="2"/>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343"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47"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416" w:type="pct"/>
                  <w:vMerge w:val="restart"/>
                  <w:tcBorders>
                    <w:tl2br w:val="nil"/>
                    <w:tr2bl w:val="nil"/>
                  </w:tcBorders>
                  <w:vAlign w:val="center"/>
                </w:tcPr>
                <w:p w14:paraId="355FD8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注塑、脱模</w:t>
                  </w:r>
                </w:p>
              </w:tc>
              <w:tc>
                <w:tcPr>
                  <w:tcW w:w="338"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非甲烷总烃</w:t>
                  </w:r>
                </w:p>
              </w:tc>
              <w:tc>
                <w:tcPr>
                  <w:tcW w:w="279" w:type="pct"/>
                  <w:gridSpan w:val="2"/>
                  <w:vMerge w:val="restart"/>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8000</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306"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0.8605</w:t>
                  </w: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1195</w:t>
                  </w:r>
                  <w:r>
                    <w:rPr>
                      <w:rFonts w:hint="default" w:ascii="Times New Roman" w:hAnsi="Times New Roman" w:eastAsia="宋体" w:cs="Times New Roman"/>
                      <w:b w:val="0"/>
                      <w:bCs w:val="0"/>
                      <w:color w:val="auto"/>
                      <w:sz w:val="21"/>
                      <w:szCs w:val="21"/>
                      <w:highlight w:val="none"/>
                      <w:u w:val="none"/>
                      <w:vertAlign w:val="baseline"/>
                      <w:lang w:val="en-US" w:eastAsia="zh-CN"/>
                    </w:rPr>
                    <w:t>kg/h</w:t>
                  </w:r>
                </w:p>
              </w:tc>
              <w:tc>
                <w:tcPr>
                  <w:tcW w:w="306" w:type="pct"/>
                  <w:tcBorders>
                    <w:tl2br w:val="nil"/>
                    <w:tr2bl w:val="nil"/>
                  </w:tcBorders>
                  <w:vAlign w:val="center"/>
                </w:tcPr>
                <w:p w14:paraId="3425A6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14.94</w:t>
                  </w:r>
                </w:p>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702" w:type="pct"/>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cs="Times New Roman"/>
                      <w:b w:val="0"/>
                      <w:bCs w:val="0"/>
                      <w:color w:val="auto"/>
                      <w:sz w:val="21"/>
                      <w:szCs w:val="21"/>
                      <w:highlight w:val="none"/>
                      <w:u w:val="none"/>
                      <w:vertAlign w:val="baseline"/>
                      <w:lang w:val="en-US" w:eastAsia="zh-CN"/>
                    </w:rPr>
                    <w:t>+15m排气筒（DA001）</w:t>
                  </w:r>
                </w:p>
              </w:tc>
              <w:tc>
                <w:tcPr>
                  <w:tcW w:w="308" w:type="pct"/>
                  <w:tcBorders>
                    <w:tl2br w:val="nil"/>
                    <w:tr2bl w:val="nil"/>
                  </w:tcBorders>
                  <w:vAlign w:val="center"/>
                </w:tcPr>
                <w:p w14:paraId="7FC5BC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0.2</w:t>
                  </w:r>
                  <w:r>
                    <w:rPr>
                      <w:rFonts w:hint="eastAsia" w:cs="Times New Roman"/>
                      <w:color w:val="auto"/>
                      <w:sz w:val="21"/>
                      <w:szCs w:val="21"/>
                      <w:highlight w:val="none"/>
                      <w:vertAlign w:val="baseline"/>
                      <w:lang w:val="en-US" w:eastAsia="zh-CN"/>
                    </w:rPr>
                    <w:t>151</w:t>
                  </w:r>
                </w:p>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299</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vAlign w:val="center"/>
                </w:tcPr>
                <w:p w14:paraId="4462B8E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3.74</w:t>
                  </w:r>
                </w:p>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gridSpan w:val="2"/>
                  <w:vMerge w:val="restar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165" w:type="pct"/>
                  <w:vMerge w:val="restart"/>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331" w:type="pct"/>
                  <w:gridSpan w:val="2"/>
                  <w:vMerge w:val="restar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343" w:type="pct"/>
                  <w:vMerge w:val="restar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24℃</w:t>
                  </w:r>
                </w:p>
              </w:tc>
            </w:tr>
            <w:tr w14:paraId="7F130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47" w:type="pct"/>
                  <w:vMerge w:val="continue"/>
                  <w:tcBorders>
                    <w:tl2br w:val="nil"/>
                    <w:tr2bl w:val="nil"/>
                  </w:tcBorders>
                  <w:vAlign w:val="center"/>
                </w:tcPr>
                <w:p w14:paraId="6CEF68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416" w:type="pct"/>
                  <w:vMerge w:val="continue"/>
                  <w:tcBorders>
                    <w:tl2br w:val="nil"/>
                    <w:tr2bl w:val="nil"/>
                  </w:tcBorders>
                  <w:vAlign w:val="center"/>
                </w:tcPr>
                <w:p w14:paraId="49F5B7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vAlign w:val="center"/>
                </w:tcPr>
                <w:p w14:paraId="69A690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79" w:type="pct"/>
                  <w:gridSpan w:val="2"/>
                  <w:vMerge w:val="continue"/>
                  <w:tcBorders>
                    <w:tl2br w:val="nil"/>
                    <w:tr2bl w:val="nil"/>
                  </w:tcBorders>
                  <w:vAlign w:val="center"/>
                </w:tcPr>
                <w:p w14:paraId="46A3B95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306" w:type="pct"/>
                  <w:tcBorders>
                    <w:tl2br w:val="nil"/>
                    <w:tr2bl w:val="nil"/>
                  </w:tcBorders>
                  <w:vAlign w:val="center"/>
                </w:tcPr>
                <w:p w14:paraId="69AAA7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0.0041</w:t>
                  </w:r>
                  <w:r>
                    <w:rPr>
                      <w:rFonts w:hint="eastAsia"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4758C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0.0006</w:t>
                  </w:r>
                  <w:r>
                    <w:rPr>
                      <w:rFonts w:hint="eastAsia" w:eastAsia="宋体" w:cs="Times New Roman"/>
                      <w:b w:val="0"/>
                      <w:bCs w:val="0"/>
                      <w:color w:val="auto"/>
                      <w:sz w:val="21"/>
                      <w:szCs w:val="21"/>
                      <w:highlight w:val="none"/>
                      <w:u w:val="none"/>
                      <w:vertAlign w:val="baseline"/>
                      <w:lang w:val="en-US" w:eastAsia="zh-CN"/>
                    </w:rPr>
                    <w:t>kg/h</w:t>
                  </w:r>
                </w:p>
              </w:tc>
              <w:tc>
                <w:tcPr>
                  <w:tcW w:w="306" w:type="pct"/>
                  <w:tcBorders>
                    <w:tl2br w:val="nil"/>
                    <w:tr2bl w:val="nil"/>
                  </w:tcBorders>
                  <w:vAlign w:val="center"/>
                </w:tcPr>
                <w:p w14:paraId="18AF73E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0.07</w:t>
                  </w:r>
                </w:p>
                <w:p w14:paraId="701FB1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mg/m</w:t>
                  </w:r>
                  <w:r>
                    <w:rPr>
                      <w:rFonts w:hint="eastAsia" w:eastAsia="宋体" w:cs="Times New Roman"/>
                      <w:b w:val="0"/>
                      <w:bCs w:val="0"/>
                      <w:color w:val="auto"/>
                      <w:sz w:val="21"/>
                      <w:szCs w:val="21"/>
                      <w:highlight w:val="none"/>
                      <w:u w:val="none"/>
                      <w:vertAlign w:val="superscript"/>
                      <w:lang w:val="en-US" w:eastAsia="zh-CN"/>
                    </w:rPr>
                    <w:t>3</w:t>
                  </w:r>
                </w:p>
              </w:tc>
              <w:tc>
                <w:tcPr>
                  <w:tcW w:w="702" w:type="pct"/>
                  <w:vMerge w:val="continue"/>
                  <w:tcBorders>
                    <w:tl2br w:val="nil"/>
                    <w:tr2bl w:val="nil"/>
                  </w:tcBorders>
                  <w:vAlign w:val="center"/>
                </w:tcPr>
                <w:p w14:paraId="73AF23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8" w:type="pct"/>
                  <w:tcBorders>
                    <w:tl2br w:val="nil"/>
                    <w:tr2bl w:val="nil"/>
                  </w:tcBorders>
                  <w:vAlign w:val="center"/>
                </w:tcPr>
                <w:p w14:paraId="467F83D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0.0010</w:t>
                  </w:r>
                </w:p>
                <w:p w14:paraId="223FE8A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0A7995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0.0001</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vAlign w:val="center"/>
                </w:tcPr>
                <w:p w14:paraId="34560E9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0.0179</w:t>
                  </w:r>
                </w:p>
                <w:p w14:paraId="1987FE3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gridSpan w:val="2"/>
                  <w:vMerge w:val="continue"/>
                  <w:tcBorders>
                    <w:tl2br w:val="nil"/>
                    <w:tr2bl w:val="nil"/>
                  </w:tcBorders>
                  <w:vAlign w:val="center"/>
                </w:tcPr>
                <w:p w14:paraId="4419240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165" w:type="pct"/>
                  <w:vMerge w:val="continue"/>
                  <w:tcBorders>
                    <w:tl2br w:val="nil"/>
                    <w:tr2bl w:val="nil"/>
                  </w:tcBorders>
                  <w:vAlign w:val="center"/>
                </w:tcPr>
                <w:p w14:paraId="574A7C1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31" w:type="pct"/>
                  <w:gridSpan w:val="2"/>
                  <w:vMerge w:val="continue"/>
                  <w:tcBorders>
                    <w:tl2br w:val="nil"/>
                    <w:tr2bl w:val="nil"/>
                  </w:tcBorders>
                  <w:vAlign w:val="center"/>
                </w:tcPr>
                <w:p w14:paraId="3D535A6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43" w:type="pct"/>
                  <w:vMerge w:val="continue"/>
                  <w:tcBorders>
                    <w:tl2br w:val="nil"/>
                    <w:tr2bl w:val="nil"/>
                  </w:tcBorders>
                  <w:vAlign w:val="center"/>
                </w:tcPr>
                <w:p w14:paraId="1B4963A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r>
            <w:tr w14:paraId="63DA7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687D57E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416" w:type="pct"/>
                  <w:vMerge w:val="continue"/>
                  <w:tcBorders>
                    <w:tl2br w:val="nil"/>
                    <w:tr2bl w:val="nil"/>
                  </w:tcBorders>
                  <w:vAlign w:val="center"/>
                </w:tcPr>
                <w:p w14:paraId="2CF0E93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vAlign w:val="center"/>
                </w:tcPr>
                <w:p w14:paraId="2389B6B1">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丙烯腈</w:t>
                  </w:r>
                </w:p>
              </w:tc>
              <w:tc>
                <w:tcPr>
                  <w:tcW w:w="279" w:type="pct"/>
                  <w:gridSpan w:val="2"/>
                  <w:vMerge w:val="continue"/>
                  <w:tcBorders>
                    <w:tl2br w:val="nil"/>
                    <w:tr2bl w:val="nil"/>
                  </w:tcBorders>
                  <w:vAlign w:val="center"/>
                </w:tcPr>
                <w:p w14:paraId="6D25FD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p>
              </w:tc>
              <w:tc>
                <w:tcPr>
                  <w:tcW w:w="306" w:type="pct"/>
                  <w:tcBorders>
                    <w:tl2br w:val="nil"/>
                    <w:tr2bl w:val="nil"/>
                  </w:tcBorders>
                  <w:shd w:val="clear" w:color="auto" w:fill="auto"/>
                  <w:vAlign w:val="center"/>
                </w:tcPr>
                <w:p w14:paraId="388A9A1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0.0041</w:t>
                  </w:r>
                  <w:r>
                    <w:rPr>
                      <w:rFonts w:hint="eastAsia"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shd w:val="clear" w:color="auto" w:fill="auto"/>
                  <w:vAlign w:val="center"/>
                </w:tcPr>
                <w:p w14:paraId="4894E6B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0.0006</w:t>
                  </w:r>
                  <w:r>
                    <w:rPr>
                      <w:rFonts w:hint="eastAsia" w:eastAsia="宋体" w:cs="Times New Roman"/>
                      <w:b w:val="0"/>
                      <w:bCs w:val="0"/>
                      <w:color w:val="auto"/>
                      <w:sz w:val="21"/>
                      <w:szCs w:val="21"/>
                      <w:highlight w:val="none"/>
                      <w:u w:val="none"/>
                      <w:vertAlign w:val="baseline"/>
                      <w:lang w:val="en-US" w:eastAsia="zh-CN"/>
                    </w:rPr>
                    <w:t>kg/h</w:t>
                  </w:r>
                </w:p>
              </w:tc>
              <w:tc>
                <w:tcPr>
                  <w:tcW w:w="306" w:type="pct"/>
                  <w:tcBorders>
                    <w:tl2br w:val="nil"/>
                    <w:tr2bl w:val="nil"/>
                  </w:tcBorders>
                  <w:shd w:val="clear" w:color="auto" w:fill="auto"/>
                  <w:vAlign w:val="center"/>
                </w:tcPr>
                <w:p w14:paraId="202975C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0.07</w:t>
                  </w:r>
                </w:p>
                <w:p w14:paraId="170A68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highlight w:val="none"/>
                      <w:u w:val="none"/>
                      <w:vertAlign w:val="baseline"/>
                      <w:lang w:val="en-US" w:eastAsia="zh-CN"/>
                    </w:rPr>
                    <w:t>mg/m</w:t>
                  </w:r>
                  <w:r>
                    <w:rPr>
                      <w:rFonts w:hint="eastAsia" w:eastAsia="宋体" w:cs="Times New Roman"/>
                      <w:b w:val="0"/>
                      <w:bCs w:val="0"/>
                      <w:color w:val="auto"/>
                      <w:sz w:val="21"/>
                      <w:szCs w:val="21"/>
                      <w:highlight w:val="none"/>
                      <w:u w:val="none"/>
                      <w:vertAlign w:val="superscript"/>
                      <w:lang w:val="en-US" w:eastAsia="zh-CN"/>
                    </w:rPr>
                    <w:t>3</w:t>
                  </w:r>
                </w:p>
              </w:tc>
              <w:tc>
                <w:tcPr>
                  <w:tcW w:w="702" w:type="pct"/>
                  <w:vMerge w:val="continue"/>
                  <w:tcBorders>
                    <w:tl2br w:val="nil"/>
                    <w:tr2bl w:val="nil"/>
                  </w:tcBorders>
                  <w:vAlign w:val="center"/>
                </w:tcPr>
                <w:p w14:paraId="6E6D299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308" w:type="pct"/>
                  <w:tcBorders>
                    <w:tl2br w:val="nil"/>
                    <w:tr2bl w:val="nil"/>
                  </w:tcBorders>
                  <w:shd w:val="clear" w:color="auto" w:fill="auto"/>
                  <w:vAlign w:val="center"/>
                </w:tcPr>
                <w:p w14:paraId="5F62793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0.0010</w:t>
                  </w:r>
                </w:p>
                <w:p w14:paraId="28688A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shd w:val="clear" w:color="auto" w:fill="auto"/>
                  <w:vAlign w:val="center"/>
                </w:tcPr>
                <w:p w14:paraId="701055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0.0001</w:t>
                  </w:r>
                  <w:r>
                    <w:rPr>
                      <w:rFonts w:hint="eastAsia" w:eastAsia="宋体" w:cs="Times New Roman"/>
                      <w:b w:val="0"/>
                      <w:bCs w:val="0"/>
                      <w:color w:val="auto"/>
                      <w:sz w:val="21"/>
                      <w:szCs w:val="21"/>
                      <w:u w:val="none"/>
                      <w:vertAlign w:val="baseline"/>
                      <w:lang w:val="en-US" w:eastAsia="zh-CN"/>
                    </w:rPr>
                    <w:t>kg/h</w:t>
                  </w:r>
                </w:p>
              </w:tc>
              <w:tc>
                <w:tcPr>
                  <w:tcW w:w="303" w:type="pct"/>
                  <w:tcBorders>
                    <w:tl2br w:val="nil"/>
                    <w:tr2bl w:val="nil"/>
                  </w:tcBorders>
                  <w:shd w:val="clear" w:color="auto" w:fill="auto"/>
                  <w:vAlign w:val="center"/>
                </w:tcPr>
                <w:p w14:paraId="775750C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0.0179</w:t>
                  </w:r>
                </w:p>
                <w:p w14:paraId="1CD016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eastAsia="宋体" w:cs="Times New Roman"/>
                      <w:b w:val="0"/>
                      <w:bCs w:val="0"/>
                      <w:color w:val="auto"/>
                      <w:sz w:val="21"/>
                      <w:szCs w:val="21"/>
                      <w:u w:val="none"/>
                      <w:vertAlign w:val="baseline"/>
                      <w:lang w:val="en-US" w:eastAsia="zh-CN"/>
                    </w:rPr>
                    <w:t>mg/m</w:t>
                  </w:r>
                  <w:r>
                    <w:rPr>
                      <w:rFonts w:hint="eastAsia" w:eastAsia="宋体" w:cs="Times New Roman"/>
                      <w:b w:val="0"/>
                      <w:bCs w:val="0"/>
                      <w:color w:val="auto"/>
                      <w:sz w:val="21"/>
                      <w:szCs w:val="21"/>
                      <w:u w:val="none"/>
                      <w:vertAlign w:val="superscript"/>
                      <w:lang w:val="en-US" w:eastAsia="zh-CN"/>
                    </w:rPr>
                    <w:t>3</w:t>
                  </w:r>
                </w:p>
              </w:tc>
              <w:tc>
                <w:tcPr>
                  <w:tcW w:w="325" w:type="pct"/>
                  <w:gridSpan w:val="2"/>
                  <w:vMerge w:val="continue"/>
                  <w:tcBorders>
                    <w:tl2br w:val="nil"/>
                    <w:tr2bl w:val="nil"/>
                  </w:tcBorders>
                  <w:vAlign w:val="center"/>
                </w:tcPr>
                <w:p w14:paraId="7D46439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165" w:type="pct"/>
                  <w:vMerge w:val="continue"/>
                  <w:tcBorders>
                    <w:tl2br w:val="nil"/>
                    <w:tr2bl w:val="nil"/>
                  </w:tcBorders>
                  <w:vAlign w:val="center"/>
                </w:tcPr>
                <w:p w14:paraId="76960E0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31" w:type="pct"/>
                  <w:gridSpan w:val="2"/>
                  <w:vMerge w:val="continue"/>
                  <w:tcBorders>
                    <w:tl2br w:val="nil"/>
                    <w:tr2bl w:val="nil"/>
                  </w:tcBorders>
                  <w:vAlign w:val="center"/>
                </w:tcPr>
                <w:p w14:paraId="7B6DA42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c>
                <w:tcPr>
                  <w:tcW w:w="343" w:type="pct"/>
                  <w:vMerge w:val="continue"/>
                  <w:tcBorders>
                    <w:tl2br w:val="nil"/>
                    <w:tr2bl w:val="nil"/>
                  </w:tcBorders>
                  <w:vAlign w:val="center"/>
                </w:tcPr>
                <w:p w14:paraId="7F7676F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vertAlign w:val="baseline"/>
                      <w:lang w:val="en-US" w:eastAsia="zh-CN"/>
                    </w:rPr>
                  </w:pP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416" w:type="pct"/>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cs="Times New Roman"/>
                      <w:b w:val="0"/>
                      <w:bCs w:val="0"/>
                      <w:color w:val="auto"/>
                      <w:sz w:val="21"/>
                      <w:szCs w:val="21"/>
                      <w:highlight w:val="none"/>
                      <w:u w:val="none"/>
                      <w:lang w:val="en-US" w:eastAsia="zh-CN"/>
                    </w:rPr>
                    <w:t>不合格产品破碎</w:t>
                  </w:r>
                </w:p>
              </w:tc>
              <w:tc>
                <w:tcPr>
                  <w:tcW w:w="338"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颗粒物</w:t>
                  </w:r>
                </w:p>
              </w:tc>
              <w:tc>
                <w:tcPr>
                  <w:tcW w:w="279" w:type="pct"/>
                  <w:gridSpan w:val="2"/>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8000</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306"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3386kg/a</w:t>
                  </w:r>
                </w:p>
              </w:tc>
              <w:tc>
                <w:tcPr>
                  <w:tcW w:w="315"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0.1881g/h</w:t>
                  </w:r>
                </w:p>
              </w:tc>
              <w:tc>
                <w:tcPr>
                  <w:tcW w:w="306" w:type="pct"/>
                  <w:tcBorders>
                    <w:tl2br w:val="nil"/>
                    <w:tr2bl w:val="nil"/>
                  </w:tcBorders>
                  <w:vAlign w:val="center"/>
                </w:tcPr>
                <w:p w14:paraId="1A424DA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0.02</w:t>
                  </w:r>
                </w:p>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702" w:type="pct"/>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集气罩+布袋除尘器（TA002）+15m排气筒（DA001）</w:t>
                  </w:r>
                </w:p>
              </w:tc>
              <w:tc>
                <w:tcPr>
                  <w:tcW w:w="308"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169kg/a</w:t>
                  </w:r>
                </w:p>
              </w:tc>
              <w:tc>
                <w:tcPr>
                  <w:tcW w:w="308"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094g/h</w:t>
                  </w:r>
                </w:p>
              </w:tc>
              <w:tc>
                <w:tcPr>
                  <w:tcW w:w="303"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012</w:t>
                  </w:r>
                  <w:r>
                    <w:rPr>
                      <w:rFonts w:hint="eastAsia" w:eastAsia="宋体" w:cs="Times New Roman"/>
                      <w:b w:val="0"/>
                      <w:bCs w:val="0"/>
                      <w:color w:val="auto"/>
                      <w:sz w:val="21"/>
                      <w:szCs w:val="21"/>
                      <w:highlight w:val="none"/>
                      <w:u w:val="none"/>
                      <w:vertAlign w:val="baseline"/>
                      <w:lang w:val="en-US" w:eastAsia="zh-CN"/>
                    </w:rPr>
                    <w:t>mg/m</w:t>
                  </w:r>
                  <w:r>
                    <w:rPr>
                      <w:rFonts w:hint="eastAsia" w:eastAsia="宋体" w:cs="Times New Roman"/>
                      <w:b w:val="0"/>
                      <w:bCs w:val="0"/>
                      <w:color w:val="auto"/>
                      <w:sz w:val="21"/>
                      <w:szCs w:val="21"/>
                      <w:highlight w:val="none"/>
                      <w:u w:val="none"/>
                      <w:vertAlign w:val="superscript"/>
                      <w:lang w:val="en-US" w:eastAsia="zh-CN"/>
                    </w:rPr>
                    <w:t>3</w:t>
                  </w:r>
                </w:p>
              </w:tc>
              <w:tc>
                <w:tcPr>
                  <w:tcW w:w="325" w:type="pct"/>
                  <w:gridSpan w:val="2"/>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165" w:type="pct"/>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331" w:type="pct"/>
                  <w:gridSpan w:val="2"/>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343"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24℃</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47"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416" w:type="pct"/>
                  <w:vMerge w:val="restart"/>
                  <w:tcBorders>
                    <w:tl2br w:val="nil"/>
                    <w:tr2bl w:val="nil"/>
                  </w:tcBorders>
                  <w:shd w:val="clear" w:color="auto" w:fill="auto"/>
                  <w:vAlign w:val="center"/>
                </w:tcPr>
                <w:p w14:paraId="1FEE4F2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注塑、脱模</w:t>
                  </w:r>
                </w:p>
              </w:tc>
              <w:tc>
                <w:tcPr>
                  <w:tcW w:w="338"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非甲烷总烃</w:t>
                  </w:r>
                </w:p>
              </w:tc>
              <w:tc>
                <w:tcPr>
                  <w:tcW w:w="279" w:type="pct"/>
                  <w:gridSpan w:val="2"/>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2151</w:t>
                  </w: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02" w:type="pct"/>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08" w:type="pct"/>
                  <w:tcBorders>
                    <w:tl2br w:val="nil"/>
                    <w:tr2bl w:val="nil"/>
                  </w:tcBorders>
                  <w:vAlign w:val="center"/>
                </w:tcPr>
                <w:p w14:paraId="12FACD0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0.2</w:t>
                  </w:r>
                  <w:r>
                    <w:rPr>
                      <w:rFonts w:hint="eastAsia" w:cs="Times New Roman"/>
                      <w:b w:val="0"/>
                      <w:bCs w:val="0"/>
                      <w:color w:val="auto"/>
                      <w:sz w:val="21"/>
                      <w:szCs w:val="21"/>
                      <w:highlight w:val="none"/>
                      <w:u w:val="none"/>
                      <w:vertAlign w:val="baseline"/>
                      <w:lang w:val="en-US" w:eastAsia="zh-CN"/>
                    </w:rPr>
                    <w:t>151</w:t>
                  </w:r>
                </w:p>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0.0</w:t>
                  </w:r>
                  <w:r>
                    <w:rPr>
                      <w:rFonts w:hint="eastAsia" w:cs="Times New Roman"/>
                      <w:b w:val="0"/>
                      <w:bCs w:val="0"/>
                      <w:color w:val="auto"/>
                      <w:sz w:val="21"/>
                      <w:szCs w:val="21"/>
                      <w:highlight w:val="none"/>
                      <w:u w:val="none"/>
                      <w:vertAlign w:val="baseline"/>
                      <w:lang w:val="en-US" w:eastAsia="zh-CN"/>
                    </w:rPr>
                    <w:t>299</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5" w:type="pct"/>
                  <w:gridSpan w:val="2"/>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1" w:type="pct"/>
                  <w:gridSpan w:val="2"/>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579EC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73AFF92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FF0000"/>
                      <w:sz w:val="21"/>
                      <w:szCs w:val="21"/>
                      <w:u w:val="none"/>
                      <w:vertAlign w:val="baseline"/>
                      <w:lang w:val="en-US" w:eastAsia="zh-CN"/>
                    </w:rPr>
                  </w:pPr>
                </w:p>
              </w:tc>
              <w:tc>
                <w:tcPr>
                  <w:tcW w:w="416" w:type="pct"/>
                  <w:vMerge w:val="continue"/>
                  <w:tcBorders>
                    <w:tl2br w:val="nil"/>
                    <w:tr2bl w:val="nil"/>
                  </w:tcBorders>
                  <w:shd w:val="clear" w:color="auto" w:fill="auto"/>
                  <w:vAlign w:val="center"/>
                </w:tcPr>
                <w:p w14:paraId="7813F1E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shd w:val="clear" w:color="auto" w:fill="auto"/>
                  <w:vAlign w:val="center"/>
                </w:tcPr>
                <w:p w14:paraId="5F3A24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79" w:type="pct"/>
                  <w:gridSpan w:val="2"/>
                  <w:tcBorders>
                    <w:tl2br w:val="nil"/>
                    <w:tr2bl w:val="nil"/>
                  </w:tcBorders>
                  <w:vAlign w:val="center"/>
                </w:tcPr>
                <w:p w14:paraId="1F44092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44B8A4B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7744692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vAlign w:val="center"/>
                </w:tcPr>
                <w:p w14:paraId="4D524B0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E0EDC3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02" w:type="pct"/>
                  <w:vMerge w:val="continue"/>
                  <w:tcBorders>
                    <w:tl2br w:val="nil"/>
                    <w:tr2bl w:val="nil"/>
                  </w:tcBorders>
                  <w:vAlign w:val="center"/>
                </w:tcPr>
                <w:p w14:paraId="2BC3CC4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B4A591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0.0010</w:t>
                  </w:r>
                </w:p>
                <w:p w14:paraId="1DAC9A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vAlign w:val="center"/>
                </w:tcPr>
                <w:p w14:paraId="0E25A4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0.0001</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vAlign w:val="center"/>
                </w:tcPr>
                <w:p w14:paraId="341F5D3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5" w:type="pct"/>
                  <w:gridSpan w:val="2"/>
                  <w:tcBorders>
                    <w:tl2br w:val="nil"/>
                    <w:tr2bl w:val="nil"/>
                  </w:tcBorders>
                  <w:shd w:val="clear" w:color="auto" w:fill="auto"/>
                  <w:vAlign w:val="center"/>
                </w:tcPr>
                <w:p w14:paraId="732802E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5025F95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31" w:type="pct"/>
                  <w:gridSpan w:val="2"/>
                  <w:tcBorders>
                    <w:tl2br w:val="nil"/>
                    <w:tr2bl w:val="nil"/>
                  </w:tcBorders>
                  <w:shd w:val="clear" w:color="auto" w:fill="auto"/>
                  <w:vAlign w:val="center"/>
                </w:tcPr>
                <w:p w14:paraId="696EDB2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46254F0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5AF69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380830B2">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FF0000"/>
                      <w:sz w:val="21"/>
                      <w:szCs w:val="21"/>
                      <w:u w:val="none"/>
                      <w:vertAlign w:val="baseline"/>
                      <w:lang w:val="en-US" w:eastAsia="zh-CN"/>
                    </w:rPr>
                  </w:pPr>
                </w:p>
              </w:tc>
              <w:tc>
                <w:tcPr>
                  <w:tcW w:w="416" w:type="pct"/>
                  <w:vMerge w:val="continue"/>
                  <w:tcBorders>
                    <w:tl2br w:val="nil"/>
                    <w:tr2bl w:val="nil"/>
                  </w:tcBorders>
                  <w:shd w:val="clear" w:color="auto" w:fill="auto"/>
                  <w:vAlign w:val="center"/>
                </w:tcPr>
                <w:p w14:paraId="6E8594A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338" w:type="pct"/>
                  <w:tcBorders>
                    <w:tl2br w:val="nil"/>
                    <w:tr2bl w:val="nil"/>
                  </w:tcBorders>
                  <w:shd w:val="clear" w:color="auto" w:fill="auto"/>
                  <w:vAlign w:val="center"/>
                </w:tcPr>
                <w:p w14:paraId="579D23F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丙烯腈</w:t>
                  </w:r>
                </w:p>
              </w:tc>
              <w:tc>
                <w:tcPr>
                  <w:tcW w:w="279" w:type="pct"/>
                  <w:gridSpan w:val="2"/>
                  <w:tcBorders>
                    <w:tl2br w:val="nil"/>
                    <w:tr2bl w:val="nil"/>
                  </w:tcBorders>
                  <w:shd w:val="clear" w:color="auto" w:fill="auto"/>
                  <w:vAlign w:val="center"/>
                </w:tcPr>
                <w:p w14:paraId="0E0DE81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shd w:val="clear" w:color="auto" w:fill="auto"/>
                  <w:vAlign w:val="center"/>
                </w:tcPr>
                <w:p w14:paraId="5A39F14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w:t>
                  </w:r>
                </w:p>
                <w:p w14:paraId="0A6149F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15" w:type="pct"/>
                  <w:tcBorders>
                    <w:tl2br w:val="nil"/>
                    <w:tr2bl w:val="nil"/>
                  </w:tcBorders>
                  <w:shd w:val="clear" w:color="auto" w:fill="auto"/>
                  <w:vAlign w:val="center"/>
                </w:tcPr>
                <w:p w14:paraId="2A7E6F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shd w:val="clear" w:color="auto" w:fill="auto"/>
                  <w:vAlign w:val="center"/>
                </w:tcPr>
                <w:p w14:paraId="79D3B1A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702" w:type="pct"/>
                  <w:vMerge w:val="continue"/>
                  <w:tcBorders>
                    <w:tl2br w:val="nil"/>
                    <w:tr2bl w:val="nil"/>
                  </w:tcBorders>
                  <w:vAlign w:val="center"/>
                </w:tcPr>
                <w:p w14:paraId="529B8DD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shd w:val="clear" w:color="auto" w:fill="auto"/>
                  <w:vAlign w:val="center"/>
                </w:tcPr>
                <w:p w14:paraId="5C30B42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0.0010</w:t>
                  </w:r>
                </w:p>
                <w:p w14:paraId="78BACD1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t/a</w:t>
                  </w:r>
                </w:p>
              </w:tc>
              <w:tc>
                <w:tcPr>
                  <w:tcW w:w="308" w:type="pct"/>
                  <w:tcBorders>
                    <w:tl2br w:val="nil"/>
                    <w:tr2bl w:val="nil"/>
                  </w:tcBorders>
                  <w:shd w:val="clear" w:color="auto" w:fill="auto"/>
                  <w:vAlign w:val="center"/>
                </w:tcPr>
                <w:p w14:paraId="5298E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0.0001</w:t>
                  </w:r>
                  <w:r>
                    <w:rPr>
                      <w:rFonts w:hint="eastAsia" w:eastAsia="宋体" w:cs="Times New Roman"/>
                      <w:b w:val="0"/>
                      <w:bCs w:val="0"/>
                      <w:color w:val="auto"/>
                      <w:sz w:val="21"/>
                      <w:szCs w:val="21"/>
                      <w:highlight w:val="none"/>
                      <w:u w:val="none"/>
                      <w:vertAlign w:val="baseline"/>
                      <w:lang w:val="en-US" w:eastAsia="zh-CN"/>
                    </w:rPr>
                    <w:t>kg/h</w:t>
                  </w:r>
                </w:p>
              </w:tc>
              <w:tc>
                <w:tcPr>
                  <w:tcW w:w="303" w:type="pct"/>
                  <w:tcBorders>
                    <w:tl2br w:val="nil"/>
                    <w:tr2bl w:val="nil"/>
                  </w:tcBorders>
                  <w:shd w:val="clear" w:color="auto" w:fill="auto"/>
                  <w:vAlign w:val="center"/>
                </w:tcPr>
                <w:p w14:paraId="12CF739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w:t>
                  </w:r>
                </w:p>
              </w:tc>
              <w:tc>
                <w:tcPr>
                  <w:tcW w:w="325" w:type="pct"/>
                  <w:gridSpan w:val="2"/>
                  <w:tcBorders>
                    <w:tl2br w:val="nil"/>
                    <w:tr2bl w:val="nil"/>
                  </w:tcBorders>
                  <w:shd w:val="clear" w:color="auto" w:fill="auto"/>
                  <w:vAlign w:val="center"/>
                </w:tcPr>
                <w:p w14:paraId="7E00096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66756B7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331" w:type="pct"/>
                  <w:gridSpan w:val="2"/>
                  <w:tcBorders>
                    <w:tl2br w:val="nil"/>
                    <w:tr2bl w:val="nil"/>
                  </w:tcBorders>
                  <w:shd w:val="clear" w:color="auto" w:fill="auto"/>
                  <w:vAlign w:val="center"/>
                </w:tcPr>
                <w:p w14:paraId="5A4937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4485C48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416" w:type="pct"/>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vertAlign w:val="baseline"/>
                      <w:lang w:val="en-US" w:eastAsia="zh-CN" w:bidi="ar-SA"/>
                    </w:rPr>
                  </w:pPr>
                  <w:r>
                    <w:rPr>
                      <w:rFonts w:hint="eastAsia" w:cs="Times New Roman"/>
                      <w:b w:val="0"/>
                      <w:bCs w:val="0"/>
                      <w:color w:val="auto"/>
                      <w:sz w:val="21"/>
                      <w:szCs w:val="21"/>
                      <w:highlight w:val="none"/>
                      <w:u w:val="none"/>
                      <w:lang w:val="en-US" w:eastAsia="zh-CN"/>
                    </w:rPr>
                    <w:t>不合格产品破碎</w:t>
                  </w:r>
                </w:p>
              </w:tc>
              <w:tc>
                <w:tcPr>
                  <w:tcW w:w="338"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颗粒物</w:t>
                  </w:r>
                </w:p>
              </w:tc>
              <w:tc>
                <w:tcPr>
                  <w:tcW w:w="279" w:type="pct"/>
                  <w:gridSpan w:val="2"/>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0CC55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0847kg/a</w:t>
                  </w:r>
                </w:p>
              </w:tc>
              <w:tc>
                <w:tcPr>
                  <w:tcW w:w="315"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02" w:type="pct"/>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0847kg/a</w:t>
                  </w:r>
                </w:p>
              </w:tc>
              <w:tc>
                <w:tcPr>
                  <w:tcW w:w="308"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0.0470g/h</w:t>
                  </w:r>
                </w:p>
              </w:tc>
              <w:tc>
                <w:tcPr>
                  <w:tcW w:w="303"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5" w:type="pct"/>
                  <w:gridSpan w:val="2"/>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165" w:type="pct"/>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1" w:type="pct"/>
                  <w:gridSpan w:val="2"/>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43"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1656" w:type="pct"/>
                  <w:gridSpan w:val="6"/>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1008" w:type="pct"/>
                  <w:gridSpan w:val="2"/>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1000" w:type="pct"/>
                  <w:gridSpan w:val="4"/>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1086" w:type="pct"/>
                  <w:gridSpan w:val="5"/>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r>
            <w:tr w14:paraId="4D557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56" w:type="pct"/>
                  <w:gridSpan w:val="6"/>
                  <w:vAlign w:val="center"/>
                </w:tcPr>
                <w:p w14:paraId="11698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颗粒物</w:t>
                  </w:r>
                  <w:r>
                    <w:rPr>
                      <w:rFonts w:hint="eastAsia" w:cs="Times New Roman"/>
                      <w:b w:val="0"/>
                      <w:bCs w:val="0"/>
                      <w:color w:val="auto"/>
                      <w:sz w:val="21"/>
                      <w:szCs w:val="21"/>
                      <w:u w:val="none"/>
                      <w:lang w:val="en-US" w:eastAsia="zh-CN"/>
                    </w:rPr>
                    <w:t>（kg/a）</w:t>
                  </w:r>
                </w:p>
              </w:tc>
              <w:tc>
                <w:tcPr>
                  <w:tcW w:w="1008" w:type="pct"/>
                  <w:gridSpan w:val="2"/>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0.0169</w:t>
                  </w:r>
                </w:p>
              </w:tc>
              <w:tc>
                <w:tcPr>
                  <w:tcW w:w="1000" w:type="pct"/>
                  <w:gridSpan w:val="4"/>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s="Times New Roman"/>
                      <w:b w:val="0"/>
                      <w:bCs w:val="0"/>
                      <w:color w:val="auto"/>
                      <w:kern w:val="2"/>
                      <w:sz w:val="21"/>
                      <w:szCs w:val="21"/>
                      <w:u w:val="none"/>
                      <w:vertAlign w:val="baseline"/>
                      <w:lang w:val="en-US" w:eastAsia="zh-CN" w:bidi="ar-SA"/>
                    </w:rPr>
                    <w:t>0.0847</w:t>
                  </w:r>
                </w:p>
              </w:tc>
              <w:tc>
                <w:tcPr>
                  <w:tcW w:w="1086" w:type="pct"/>
                  <w:gridSpan w:val="5"/>
                  <w:vAlign w:val="center"/>
                </w:tcPr>
                <w:p w14:paraId="4FE36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0.1016</w:t>
                  </w:r>
                </w:p>
              </w:tc>
            </w:tr>
            <w:tr w14:paraId="30732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47" w:type="pct"/>
                  <w:vMerge w:val="continue"/>
                  <w:vAlign w:val="center"/>
                </w:tcPr>
                <w:p w14:paraId="3B12D4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828" w:type="pct"/>
                  <w:gridSpan w:val="3"/>
                  <w:vMerge w:val="restart"/>
                  <w:vAlign w:val="center"/>
                </w:tcPr>
                <w:p w14:paraId="7C61A2F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挥发性有机物</w:t>
                  </w:r>
                </w:p>
                <w:p w14:paraId="2217A1C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（t/a）</w:t>
                  </w:r>
                </w:p>
              </w:tc>
              <w:tc>
                <w:tcPr>
                  <w:tcW w:w="828" w:type="pct"/>
                  <w:gridSpan w:val="3"/>
                  <w:shd w:val="clear" w:color="auto" w:fill="auto"/>
                  <w:vAlign w:val="center"/>
                </w:tcPr>
                <w:p w14:paraId="47223E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非甲烷总烃</w:t>
                  </w:r>
                  <w:r>
                    <w:rPr>
                      <w:rFonts w:hint="eastAsia" w:cs="Times New Roman"/>
                      <w:b w:val="0"/>
                      <w:bCs w:val="0"/>
                      <w:color w:val="auto"/>
                      <w:sz w:val="21"/>
                      <w:szCs w:val="21"/>
                      <w:highlight w:val="none"/>
                      <w:u w:val="none"/>
                      <w:lang w:val="en-US" w:eastAsia="zh-CN"/>
                    </w:rPr>
                    <w:t>（t/a）</w:t>
                  </w:r>
                </w:p>
              </w:tc>
              <w:tc>
                <w:tcPr>
                  <w:tcW w:w="1008" w:type="pct"/>
                  <w:gridSpan w:val="2"/>
                  <w:shd w:val="clear" w:color="auto" w:fill="auto"/>
                  <w:vAlign w:val="center"/>
                </w:tcPr>
                <w:p w14:paraId="227DB8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2151</w:t>
                  </w:r>
                </w:p>
              </w:tc>
              <w:tc>
                <w:tcPr>
                  <w:tcW w:w="1000" w:type="pct"/>
                  <w:gridSpan w:val="4"/>
                  <w:shd w:val="clear" w:color="auto" w:fill="auto"/>
                  <w:vAlign w:val="center"/>
                </w:tcPr>
                <w:p w14:paraId="4BC6E5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t>0.2</w:t>
                  </w:r>
                  <w:r>
                    <w:rPr>
                      <w:rFonts w:hint="eastAsia" w:cs="Times New Roman"/>
                      <w:b w:val="0"/>
                      <w:bCs w:val="0"/>
                      <w:color w:val="auto"/>
                      <w:kern w:val="2"/>
                      <w:sz w:val="21"/>
                      <w:szCs w:val="21"/>
                      <w:highlight w:val="none"/>
                      <w:u w:val="none"/>
                      <w:vertAlign w:val="baseline"/>
                      <w:lang w:val="en-US" w:eastAsia="zh-CN" w:bidi="ar-SA"/>
                    </w:rPr>
                    <w:t>151</w:t>
                  </w:r>
                </w:p>
              </w:tc>
              <w:tc>
                <w:tcPr>
                  <w:tcW w:w="730" w:type="pct"/>
                  <w:gridSpan w:val="3"/>
                  <w:vAlign w:val="center"/>
                </w:tcPr>
                <w:p w14:paraId="53F9B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4303</w:t>
                  </w:r>
                </w:p>
              </w:tc>
              <w:tc>
                <w:tcPr>
                  <w:tcW w:w="356" w:type="pct"/>
                  <w:gridSpan w:val="2"/>
                  <w:vMerge w:val="restart"/>
                  <w:vAlign w:val="center"/>
                </w:tcPr>
                <w:p w14:paraId="11551E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0.4343</w:t>
                  </w:r>
                </w:p>
              </w:tc>
            </w:tr>
            <w:tr w14:paraId="0770F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5A14C8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828" w:type="pct"/>
                  <w:gridSpan w:val="3"/>
                  <w:vMerge w:val="continue"/>
                  <w:vAlign w:val="center"/>
                </w:tcPr>
                <w:p w14:paraId="566C11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828" w:type="pct"/>
                  <w:gridSpan w:val="3"/>
                  <w:shd w:val="clear" w:color="auto" w:fill="auto"/>
                  <w:vAlign w:val="center"/>
                </w:tcPr>
                <w:p w14:paraId="59E212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sz w:val="21"/>
                      <w:szCs w:val="21"/>
                      <w:highlight w:val="none"/>
                      <w:u w:val="none"/>
                      <w:lang w:val="en-US" w:eastAsia="zh-CN"/>
                    </w:rPr>
                    <w:t>苯乙烯（t/a）</w:t>
                  </w:r>
                </w:p>
              </w:tc>
              <w:tc>
                <w:tcPr>
                  <w:tcW w:w="1008" w:type="pct"/>
                  <w:gridSpan w:val="2"/>
                  <w:shd w:val="clear" w:color="auto" w:fill="auto"/>
                  <w:vAlign w:val="center"/>
                </w:tcPr>
                <w:p w14:paraId="78ACBB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0.0010</w:t>
                  </w:r>
                </w:p>
              </w:tc>
              <w:tc>
                <w:tcPr>
                  <w:tcW w:w="1000" w:type="pct"/>
                  <w:gridSpan w:val="4"/>
                  <w:shd w:val="clear" w:color="auto" w:fill="auto"/>
                  <w:vAlign w:val="center"/>
                </w:tcPr>
                <w:p w14:paraId="03BD44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0.0010</w:t>
                  </w:r>
                </w:p>
              </w:tc>
              <w:tc>
                <w:tcPr>
                  <w:tcW w:w="730" w:type="pct"/>
                  <w:gridSpan w:val="3"/>
                  <w:vAlign w:val="center"/>
                </w:tcPr>
                <w:p w14:paraId="088522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0.0020</w:t>
                  </w:r>
                </w:p>
              </w:tc>
              <w:tc>
                <w:tcPr>
                  <w:tcW w:w="356" w:type="pct"/>
                  <w:gridSpan w:val="2"/>
                  <w:vMerge w:val="continue"/>
                  <w:vAlign w:val="center"/>
                </w:tcPr>
                <w:p w14:paraId="6AB423D0">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r>
            <w:tr w14:paraId="6C74E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7" w:type="pct"/>
                  <w:vMerge w:val="continue"/>
                  <w:vAlign w:val="center"/>
                </w:tcPr>
                <w:p w14:paraId="7537F2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828" w:type="pct"/>
                  <w:gridSpan w:val="3"/>
                  <w:vMerge w:val="continue"/>
                  <w:vAlign w:val="center"/>
                </w:tcPr>
                <w:p w14:paraId="49964F9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p>
              </w:tc>
              <w:tc>
                <w:tcPr>
                  <w:tcW w:w="828" w:type="pct"/>
                  <w:gridSpan w:val="3"/>
                  <w:shd w:val="clear" w:color="auto" w:fill="auto"/>
                  <w:vAlign w:val="center"/>
                </w:tcPr>
                <w:p w14:paraId="3C6AE1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sz w:val="21"/>
                      <w:szCs w:val="21"/>
                      <w:highlight w:val="none"/>
                      <w:u w:val="none"/>
                      <w:lang w:val="en-US" w:eastAsia="zh-CN"/>
                    </w:rPr>
                    <w:t>丙烯腈（t/a）</w:t>
                  </w:r>
                </w:p>
              </w:tc>
              <w:tc>
                <w:tcPr>
                  <w:tcW w:w="1008" w:type="pct"/>
                  <w:gridSpan w:val="2"/>
                  <w:shd w:val="clear" w:color="auto" w:fill="auto"/>
                  <w:vAlign w:val="center"/>
                </w:tcPr>
                <w:p w14:paraId="547315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0.0010</w:t>
                  </w:r>
                </w:p>
              </w:tc>
              <w:tc>
                <w:tcPr>
                  <w:tcW w:w="1000" w:type="pct"/>
                  <w:gridSpan w:val="4"/>
                  <w:shd w:val="clear" w:color="auto" w:fill="auto"/>
                  <w:vAlign w:val="center"/>
                </w:tcPr>
                <w:p w14:paraId="6AD422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0.0010</w:t>
                  </w:r>
                </w:p>
              </w:tc>
              <w:tc>
                <w:tcPr>
                  <w:tcW w:w="730" w:type="pct"/>
                  <w:gridSpan w:val="3"/>
                  <w:shd w:val="clear" w:color="auto" w:fill="auto"/>
                  <w:vAlign w:val="center"/>
                </w:tcPr>
                <w:p w14:paraId="787ACEE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0.0020</w:t>
                  </w:r>
                </w:p>
              </w:tc>
              <w:tc>
                <w:tcPr>
                  <w:tcW w:w="356" w:type="pct"/>
                  <w:gridSpan w:val="2"/>
                  <w:vMerge w:val="continue"/>
                  <w:shd w:val="clear" w:color="auto" w:fill="auto"/>
                  <w:vAlign w:val="center"/>
                </w:tcPr>
                <w:p w14:paraId="595D84A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r>
          </w:tbl>
          <w:p w14:paraId="5A49083B">
            <w:pPr>
              <w:numPr>
                <w:ilvl w:val="0"/>
                <w:numId w:val="0"/>
              </w:numPr>
              <w:adjustRightInd w:val="0"/>
              <w:snapToGrid w:val="0"/>
              <w:spacing w:line="348" w:lineRule="auto"/>
              <w:rPr>
                <w:rFonts w:hint="default" w:cs="Times New Roman"/>
                <w:color w:val="262626"/>
                <w:sz w:val="24"/>
                <w:lang w:val="en-US" w:eastAsia="zh-CN"/>
              </w:rPr>
            </w:pPr>
          </w:p>
        </w:tc>
      </w:tr>
    </w:tbl>
    <w:p w14:paraId="556EF41F">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0" w:hRule="atLeast"/>
        </w:trPr>
        <w:tc>
          <w:tcPr>
            <w:tcW w:w="252"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47"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9" w:name="_Toc13376"/>
            <w:r>
              <w:rPr>
                <w:rFonts w:hint="eastAsia"/>
                <w:b/>
                <w:color w:val="262626"/>
                <w:kern w:val="0"/>
                <w:sz w:val="24"/>
                <w:lang w:val="en-US" w:eastAsia="zh-CN"/>
              </w:rPr>
              <w:t>4.1.3运营期大气污染防治措施合理性分析</w:t>
            </w:r>
            <w:bookmarkEnd w:id="99"/>
          </w:p>
          <w:p w14:paraId="4B91027D">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非甲烷总烃</w:t>
            </w:r>
            <w:r>
              <w:rPr>
                <w:rFonts w:hint="eastAsia" w:ascii="Times New Roman" w:hAnsi="Times New Roman" w:cs="Times New Roman"/>
                <w:color w:val="auto"/>
                <w:sz w:val="24"/>
                <w:szCs w:val="24"/>
                <w:lang w:val="en-US" w:eastAsia="zh-CN"/>
              </w:rPr>
              <w:t>、苯乙烯、丙烯腈</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auto"/>
                <w:kern w:val="2"/>
                <w:sz w:val="24"/>
                <w:szCs w:val="24"/>
                <w:lang w:val="en-US" w:eastAsia="zh-CN" w:bidi="ar-SA"/>
              </w:rPr>
              <w:t>1,2-丁二烯、甲苯、乙苯、</w:t>
            </w:r>
            <w:r>
              <w:rPr>
                <w:rFonts w:hint="eastAsia" w:ascii="Times New Roman" w:hAnsi="Times New Roman" w:cs="Times New Roman"/>
                <w:bCs/>
                <w:color w:val="auto"/>
                <w:kern w:val="2"/>
                <w:sz w:val="24"/>
                <w:szCs w:val="24"/>
                <w:lang w:val="en-US" w:eastAsia="zh-CN" w:bidi="ar-SA"/>
              </w:rPr>
              <w:t>臭气、</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4DE774BF">
            <w:pPr>
              <w:pStyle w:val="44"/>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厂房总体为钢筋混凝土结构，墙体、屋顶、门窗等均采用密闭设计。本项目所使用设备均设置在车间内，密闭条件较好</w:t>
            </w:r>
            <w:r>
              <w:rPr>
                <w:rFonts w:hint="eastAsia" w:ascii="Times New Roman" w:hAnsi="Times New Roman" w:cs="Times New Roman"/>
                <w:color w:val="auto"/>
                <w:sz w:val="24"/>
                <w:szCs w:val="24"/>
                <w:lang w:val="en-US" w:eastAsia="zh-CN"/>
              </w:rPr>
              <w:t>注塑机、电切割</w:t>
            </w:r>
            <w:r>
              <w:rPr>
                <w:rFonts w:hint="eastAsia" w:ascii="Times New Roman" w:hAnsi="Times New Roman" w:eastAsia="宋体" w:cs="Times New Roman"/>
                <w:color w:val="auto"/>
                <w:sz w:val="24"/>
                <w:szCs w:val="24"/>
                <w:lang w:val="en-US" w:eastAsia="zh-CN"/>
              </w:rPr>
              <w:t>等污染较大的设备，设置在厂房一角建设隔断墙密闭管理，可减少污染物无组织扩散。</w:t>
            </w:r>
          </w:p>
          <w:p w14:paraId="4B0B26E6">
            <w:pPr>
              <w:pStyle w:val="44"/>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F1A8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非甲烷总烃、苯乙烯、</w:t>
            </w:r>
            <w:r>
              <w:rPr>
                <w:rFonts w:hint="eastAsia" w:ascii="Times New Roman" w:hAnsi="Times New Roman" w:cs="Times New Roman"/>
                <w:color w:val="auto"/>
                <w:sz w:val="24"/>
                <w:szCs w:val="24"/>
                <w:lang w:val="en-US" w:eastAsia="zh-CN"/>
              </w:rPr>
              <w:t>丙烯腈</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auto"/>
                <w:kern w:val="2"/>
                <w:sz w:val="24"/>
                <w:szCs w:val="24"/>
                <w:lang w:val="en-US" w:eastAsia="zh-CN" w:bidi="ar-SA"/>
              </w:rPr>
              <w:t>1,2-丁二烯、甲苯、乙苯、</w:t>
            </w:r>
            <w:r>
              <w:rPr>
                <w:rFonts w:hint="eastAsia" w:cs="Times New Roman"/>
                <w:color w:val="auto"/>
                <w:kern w:val="0"/>
                <w:sz w:val="24"/>
                <w:szCs w:val="24"/>
                <w:highlight w:val="none"/>
                <w:lang w:val="en-US" w:eastAsia="zh-CN" w:bidi="ar-SA"/>
              </w:rPr>
              <w:t>臭气</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（TA00</w:t>
            </w:r>
            <w:r>
              <w:rPr>
                <w:rFonts w:hint="eastAsia" w:cs="Times New Roman"/>
                <w:i w:val="0"/>
                <w:iCs w:val="0"/>
                <w:caps w:val="0"/>
                <w:color w:val="auto"/>
                <w:spacing w:val="0"/>
                <w:sz w:val="24"/>
                <w:szCs w:val="24"/>
                <w:highlight w:val="none"/>
                <w:shd w:val="clear" w:color="auto" w:fill="FFFFFF"/>
                <w:lang w:val="en-US" w:eastAsia="zh-CN"/>
              </w:rPr>
              <w:t>1</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不合格产品破碎过程所产生的破碎粉尘（颗粒物）经“集</w:t>
            </w:r>
            <w:r>
              <w:rPr>
                <w:rFonts w:hint="eastAsia" w:cs="Times New Roman"/>
                <w:color w:val="000000" w:themeColor="text1"/>
                <w:kern w:val="0"/>
                <w:sz w:val="24"/>
                <w:szCs w:val="24"/>
                <w:highlight w:val="none"/>
                <w:lang w:val="en-US" w:eastAsia="zh-CN" w:bidi="ar-SA"/>
                <w14:textFill>
                  <w14:solidFill>
                    <w14:schemeClr w14:val="tx1"/>
                  </w14:solidFill>
                </w14:textFill>
              </w:rPr>
              <w:t>气罩收集+布袋除尘器（TA002）”处理后并入15m高排气筒（DA001）排放</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本项目破碎工序与注塑、脱模工序所产生的废气执行相同的排放标准</w:t>
            </w:r>
            <w:r>
              <w:rPr>
                <w:rFonts w:hint="eastAsia" w:cs="Times New Roman"/>
                <w:color w:val="000000" w:themeColor="text1"/>
                <w:kern w:val="0"/>
                <w:sz w:val="24"/>
                <w:szCs w:val="24"/>
                <w:highlight w:val="none"/>
                <w:lang w:val="en-US" w:eastAsia="zh-CN" w:bidi="ar-SA"/>
                <w14:textFill>
                  <w14:solidFill>
                    <w14:schemeClr w14:val="tx1"/>
                  </w14:solidFill>
                </w14:textFill>
              </w:rPr>
              <w:t>且</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污染源位置相近，具备合并排放的先决条件。将两根排气筒合并具有充分的合理性：技术上，合并后可建设更高规格的排气筒，利用更强的烟囱效应提升污染物扩散效率，能确保稳定满足环保标准；经济与管理上，可实现净化设施的集中配置与统一运维，显著降低投资与长期运营成本，并简化监测与监管流程。破碎机为间歇运行工况，仅在不合格产品统一收集到一定量后进行破碎，通过合理的系统设计，其运行特性不会对合并后处理系统的稳定性与处理效率构成影响。因此，破碎废气与注塑、脱模废气合并一根排气筒排放方案可行。项目车间废气处理工艺流程图详见图4.</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w:t>
            </w:r>
          </w:p>
          <w:p w14:paraId="41EFABD6">
            <w:pPr>
              <w:pStyle w:val="49"/>
              <w:ind w:left="0" w:leftChars="0" w:firstLine="0" w:firstLineChars="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drawing>
                <wp:inline distT="0" distB="0" distL="114300" distR="114300">
                  <wp:extent cx="5458460" cy="1922145"/>
                  <wp:effectExtent l="0" t="0" r="8890" b="1905"/>
                  <wp:docPr id="93" name="F360BE8B-6686-4F3D-AEAF-501FE73E4058-1" descr="大松废气治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360BE8B-6686-4F3D-AEAF-501FE73E4058-1" descr="大松废气治理(1)"/>
                          <pic:cNvPicPr>
                            <a:picLocks noChangeAspect="1"/>
                          </pic:cNvPicPr>
                        </pic:nvPicPr>
                        <pic:blipFill>
                          <a:blip r:embed="rId16"/>
                          <a:stretch>
                            <a:fillRect/>
                          </a:stretch>
                        </pic:blipFill>
                        <pic:spPr>
                          <a:xfrm>
                            <a:off x="0" y="0"/>
                            <a:ext cx="5458460" cy="1922145"/>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本项目采用颗粒</w:t>
            </w:r>
            <w:r>
              <w:rPr>
                <w:rFonts w:hint="default" w:ascii="Times New Roman" w:hAnsi="Times New Roman" w:eastAsia="宋体" w:cs="Times New Roman"/>
                <w:color w:val="000000"/>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ascii="Times New Roman" w:hAnsi="Times New Roman" w:cs="Times New Roman"/>
                <w:color w:val="auto"/>
                <w:sz w:val="24"/>
                <w:szCs w:val="24"/>
                <w:highlight w:val="none"/>
                <w:lang w:val="en-US" w:eastAsia="zh-CN"/>
              </w:rPr>
              <w:t>8000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）》中“采用颗粒状吸附剂时，气体流速宜低于</w:t>
            </w:r>
            <w:r>
              <w:rPr>
                <w:rFonts w:hint="default" w:ascii="Times New Roman" w:hAnsi="Times New Roman" w:eastAsia="宋体" w:cs="Times New Roman"/>
                <w:color w:val="auto"/>
                <w:sz w:val="24"/>
                <w:szCs w:val="24"/>
                <w:highlight w:val="none"/>
                <w:lang w:val="en-US" w:eastAsia="zh-CN"/>
              </w:rPr>
              <w:t>0.6m/s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8639</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127C7E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2D97A9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p>
          <w:p w14:paraId="74153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 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3481705"/>
                  <wp:effectExtent l="0" t="0" r="1587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337175" cy="3481705"/>
                          </a:xfrm>
                          <a:prstGeom prst="rect">
                            <a:avLst/>
                          </a:prstGeom>
                          <a:noFill/>
                          <a:ln>
                            <a:noFill/>
                          </a:ln>
                        </pic:spPr>
                      </pic:pic>
                    </a:graphicData>
                  </a:graphic>
                </wp:inline>
              </w:drawing>
            </w:r>
          </w:p>
          <w:p w14:paraId="6C1A6D43">
            <w:pPr>
              <w:pStyle w:val="50"/>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2"/>
              <w:gridCol w:w="1202"/>
              <w:gridCol w:w="1202"/>
              <w:gridCol w:w="1202"/>
              <w:gridCol w:w="1202"/>
              <w:gridCol w:w="1202"/>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01" w:type="dxa"/>
                  <w:noWrap w:val="0"/>
                  <w:vAlign w:val="center"/>
                </w:tcPr>
                <w:p w14:paraId="0B2C38B6">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1202" w:type="dxa"/>
                  <w:noWrap w:val="0"/>
                  <w:vAlign w:val="center"/>
                </w:tcPr>
                <w:p w14:paraId="1F3F7B8B">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1202" w:type="dxa"/>
                  <w:noWrap w:val="0"/>
                  <w:vAlign w:val="center"/>
                </w:tcPr>
                <w:p w14:paraId="363A8EF9">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1202" w:type="dxa"/>
                  <w:noWrap w:val="0"/>
                  <w:vAlign w:val="center"/>
                </w:tcPr>
                <w:p w14:paraId="5923A629">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1202" w:type="dxa"/>
                  <w:noWrap w:val="0"/>
                  <w:vAlign w:val="center"/>
                </w:tcPr>
                <w:p w14:paraId="3964E26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1202" w:type="dxa"/>
                  <w:noWrap w:val="0"/>
                  <w:vAlign w:val="center"/>
                </w:tcPr>
                <w:p w14:paraId="7577035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1202" w:type="dxa"/>
                  <w:noWrap w:val="0"/>
                  <w:vAlign w:val="center"/>
                </w:tcPr>
                <w:p w14:paraId="20BDF03A">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01" w:type="dxa"/>
                  <w:noWrap w:val="0"/>
                  <w:vAlign w:val="center"/>
                </w:tcPr>
                <w:p w14:paraId="062C170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1202" w:type="dxa"/>
                  <w:noWrap w:val="0"/>
                  <w:vAlign w:val="center"/>
                </w:tcPr>
                <w:p w14:paraId="3C4F7B2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1202" w:type="dxa"/>
                  <w:noWrap w:val="0"/>
                  <w:vAlign w:val="center"/>
                </w:tcPr>
                <w:p w14:paraId="7AEA8ADC">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1202" w:type="dxa"/>
                  <w:noWrap w:val="0"/>
                  <w:vAlign w:val="center"/>
                </w:tcPr>
                <w:p w14:paraId="0EF1D91C">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1202" w:type="dxa"/>
                  <w:noWrap w:val="0"/>
                  <w:vAlign w:val="center"/>
                </w:tcPr>
                <w:p w14:paraId="498E41FF">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1202" w:type="dxa"/>
                  <w:noWrap w:val="0"/>
                  <w:vAlign w:val="center"/>
                </w:tcPr>
                <w:p w14:paraId="7E61975B">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1202" w:type="dxa"/>
                  <w:noWrap w:val="0"/>
                  <w:vAlign w:val="center"/>
                </w:tcPr>
                <w:p w14:paraId="7926F5D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01" w:type="dxa"/>
                  <w:noWrap w:val="0"/>
                  <w:vAlign w:val="center"/>
                </w:tcPr>
                <w:p w14:paraId="0AD4EC05">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1202" w:type="dxa"/>
                  <w:noWrap w:val="0"/>
                  <w:vAlign w:val="center"/>
                </w:tcPr>
                <w:p w14:paraId="20BB5EAD">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699.1</w:t>
                  </w:r>
                </w:p>
              </w:tc>
              <w:tc>
                <w:tcPr>
                  <w:tcW w:w="1202" w:type="dxa"/>
                  <w:noWrap w:val="0"/>
                  <w:vAlign w:val="center"/>
                </w:tcPr>
                <w:p w14:paraId="01CA2960">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1202" w:type="dxa"/>
                  <w:noWrap w:val="0"/>
                  <w:vAlign w:val="center"/>
                </w:tcPr>
                <w:p w14:paraId="2736CC2E">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11.2</w:t>
                  </w:r>
                </w:p>
              </w:tc>
              <w:tc>
                <w:tcPr>
                  <w:tcW w:w="1202" w:type="dxa"/>
                  <w:noWrap w:val="0"/>
                  <w:vAlign w:val="center"/>
                </w:tcPr>
                <w:p w14:paraId="249EDA23">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8000</w:t>
                  </w:r>
                </w:p>
              </w:tc>
              <w:tc>
                <w:tcPr>
                  <w:tcW w:w="1202" w:type="dxa"/>
                  <w:noWrap w:val="0"/>
                  <w:vAlign w:val="center"/>
                </w:tcPr>
                <w:p w14:paraId="6D3C0718">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p>
              </w:tc>
              <w:tc>
                <w:tcPr>
                  <w:tcW w:w="1202" w:type="dxa"/>
                  <w:noWrap w:val="0"/>
                  <w:vAlign w:val="center"/>
                </w:tcPr>
                <w:p w14:paraId="189B9D38">
                  <w:pPr>
                    <w:pStyle w:val="50"/>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98</w:t>
                  </w:r>
                </w:p>
              </w:tc>
            </w:tr>
          </w:tbl>
          <w:p w14:paraId="061095AB">
            <w:pPr>
              <w:pStyle w:val="50"/>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生态环境部发布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关于印发〈主要污染物总量减排核算技术指南（2022年修订）〉的通知》〔2022〕350号中规定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一次性活性炭的吸附效率50%。采用二级活性炭吸附效率为1-（1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为保证废气与活性炭的接触时间和吸附效果，要求控制吸附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置吸附层的风速，一般取0.10m/s～0.15m/s之间；吸附剂和气体的接触时间宜按不低于3s计；同时确保项目活性炭吸附装置一次性装置量，定期更换活性纤维，采取以上治理措</w:t>
            </w:r>
            <w:r>
              <w:rPr>
                <w:rFonts w:hint="eastAsia" w:cs="Times New Roman"/>
                <w:color w:val="000000" w:themeColor="text1"/>
                <w:sz w:val="24"/>
                <w:szCs w:val="24"/>
                <w:lang w:val="en-US" w:eastAsia="zh-CN"/>
                <w14:textFill>
                  <w14:solidFill>
                    <w14:schemeClr w14:val="tx1"/>
                  </w14:solidFill>
                </w14:textFill>
              </w:rPr>
              <w:t>施和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综合治理措施后，本评价废气设施去除效率按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%计，根据预测，有机废气污染物非甲烷总烃可以达标排放，因此，项目有机废气经处理后对环境影响较小，采取的措施可行。</w:t>
            </w:r>
          </w:p>
          <w:p w14:paraId="0C9ECFA7">
            <w:pPr>
              <w:pStyle w:val="49"/>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（3）集气罩收集效率可行性分析</w:t>
            </w:r>
          </w:p>
          <w:p w14:paraId="44C82ECB">
            <w:pPr>
              <w:pStyle w:val="49"/>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根据《废气处理工程设计手册》（王纯、张殷印主编）中的经验公式：</w:t>
            </w:r>
          </w:p>
          <w:p w14:paraId="582B0C2B">
            <w:pPr>
              <w:pStyle w:val="49"/>
              <w:ind w:firstLine="48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Q=3600Fvβ</w:t>
            </w:r>
          </w:p>
          <w:p w14:paraId="1B45ED3F">
            <w:pPr>
              <w:pStyle w:val="49"/>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其中：Q为集气罩的计算风量m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2C11550A">
            <w:pPr>
              <w:pStyle w:val="49"/>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V罩口平均速度，m/s。可取0.5~1.5。本项目取0.5。</w:t>
            </w:r>
          </w:p>
          <w:p w14:paraId="63300EDD">
            <w:pPr>
              <w:pStyle w:val="49"/>
              <w:ind w:firstLine="480"/>
              <w:jc w:val="both"/>
              <w:rPr>
                <w:rFonts w:hint="default" w:ascii="Times New Roman" w:hAnsi="Times New Roman" w:eastAsia="宋体" w:cs="Times New Roman"/>
                <w:color w:val="000000" w:themeColor="text1"/>
                <w:sz w:val="84"/>
                <w:szCs w:val="8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，注塑机上方集气罩尺寸为0.5m、0.</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m，共计设置</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个，则集气罩共计面积为</w:t>
            </w:r>
            <w:r>
              <w:rPr>
                <w:rFonts w:hint="eastAsia"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498DADE">
            <w:pPr>
              <w:pStyle w:val="49"/>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β—安全系数，一般取1.05~1.1，本环评取1.1：</w:t>
            </w:r>
          </w:p>
          <w:p w14:paraId="028D05E5">
            <w:pPr>
              <w:pStyle w:val="49"/>
              <w:ind w:firstLine="480"/>
              <w:jc w:val="both"/>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计算可得，风机总风量为</w:t>
            </w:r>
            <w:r>
              <w:rPr>
                <w:rFonts w:hint="eastAsia" w:cs="Times New Roman"/>
                <w:color w:val="000000" w:themeColor="text1"/>
                <w:sz w:val="24"/>
                <w:szCs w:val="24"/>
                <w:lang w:val="en-US" w:eastAsia="zh-CN"/>
                <w14:textFill>
                  <w14:solidFill>
                    <w14:schemeClr w14:val="tx1"/>
                  </w14:solidFill>
                </w14:textFill>
              </w:rPr>
              <w:t>6930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/h，考虑管阻等因素，引风机风量按不低于120%的集气罩风量进行设计，项目引风机风量按</w:t>
            </w:r>
            <w:r>
              <w:rPr>
                <w:rFonts w:hint="eastAsia" w:cs="Times New Roman"/>
                <w:color w:val="000000" w:themeColor="text1"/>
                <w:sz w:val="24"/>
                <w:szCs w:val="24"/>
                <w:lang w:val="en-US" w:eastAsia="zh-CN"/>
                <w14:textFill>
                  <w14:solidFill>
                    <w14:schemeClr w14:val="tx1"/>
                  </w14:solidFill>
                </w14:textFill>
              </w:rPr>
              <w:t>8000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/h进行设计。</w:t>
            </w:r>
          </w:p>
          <w:p w14:paraId="5636F706">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（3）污染物达标分析</w:t>
            </w:r>
          </w:p>
          <w:p w14:paraId="39C450D1">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本项目非甲烷总烃有组织排放浓度为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3.74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，排放速率为0.</w:t>
            </w:r>
            <w:r>
              <w:rPr>
                <w:rFonts w:hint="eastAsia" w:ascii="Times New Roman" w:hAnsi="Times New Roman" w:cs="Times New Roman"/>
                <w:color w:val="000000" w:themeColor="text1"/>
                <w:highlight w:val="none"/>
                <w:lang w:val="en-US" w:eastAsia="zh-CN"/>
                <w14:textFill>
                  <w14:solidFill>
                    <w14:schemeClr w14:val="tx1"/>
                  </w14:solidFill>
                </w14:textFill>
              </w:rPr>
              <w:t>0299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kg/h</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颗粒物有组织排放浓度为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0.0012mg</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094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g/h</w:t>
            </w:r>
            <w:r>
              <w:rPr>
                <w:rFonts w:hint="eastAsia" w:ascii="Times New Roman" w:hAnsi="Times New Roman" w:cs="Times New Roman"/>
                <w:color w:val="000000" w:themeColor="text1"/>
                <w:highlight w:val="none"/>
                <w:lang w:val="en-US" w:eastAsia="zh-CN"/>
                <w14:textFill>
                  <w14:solidFill>
                    <w14:schemeClr w14:val="tx1"/>
                  </w14:solidFill>
                </w14:textFill>
              </w:rPr>
              <w:t>；苯乙烯有组织排放浓度0.33mg/</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026m</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g/h。可达到《合成树脂工业污染物排放标准》（GB31572-2015含2024修改单）中表4标准中排放限值要求（即颗粒物有组织排放≤30mg/m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非甲烷总烃有组织排放≤100mg/m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苯乙烯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w:t>
            </w:r>
            <w:r>
              <w:rPr>
                <w:rFonts w:hint="eastAsia" w:ascii="Times New Roman" w:hAnsi="Times New Roman" w:cs="Times New Roman"/>
                <w:color w:val="000000" w:themeColor="text1"/>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项目废气经处理后对环境影响较小，</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采取的措施可行。</w:t>
            </w:r>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000000" w:themeColor="text1"/>
                <w:kern w:val="0"/>
                <w:sz w:val="24"/>
                <w:lang w:val="en-US" w:eastAsia="zh-CN"/>
                <w14:textFill>
                  <w14:solidFill>
                    <w14:schemeClr w14:val="tx1"/>
                  </w14:solidFill>
                </w14:textFill>
              </w:rPr>
            </w:pPr>
            <w:bookmarkStart w:id="100" w:name="_Toc25956"/>
            <w:r>
              <w:rPr>
                <w:rFonts w:hint="eastAsia"/>
                <w:b/>
                <w:color w:val="000000" w:themeColor="text1"/>
                <w:kern w:val="0"/>
                <w:sz w:val="24"/>
                <w:lang w:val="en-US" w:eastAsia="zh-CN"/>
                <w14:textFill>
                  <w14:solidFill>
                    <w14:schemeClr w14:val="tx1"/>
                  </w14:solidFill>
                </w14:textFill>
              </w:rPr>
              <w:t>4.1.4非正常工况排放量核算</w:t>
            </w:r>
            <w:bookmarkEnd w:id="100"/>
          </w:p>
          <w:p w14:paraId="2BB07C4F">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（1）非正常排放情形及排放源强</w:t>
            </w:r>
          </w:p>
          <w:p w14:paraId="0DCCC08D">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5D853BAE">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themeColor="text1"/>
                <w:lang w:val="en-US" w:eastAsia="zh-CN"/>
                <w14:textFill>
                  <w14:solidFill>
                    <w14:schemeClr w14:val="tx1"/>
                  </w14:solidFill>
                </w14:textFill>
              </w:rPr>
              <w:t>有机废气处理设施故障，导致有机废气非正常排放。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本评价按最不利情况考虑，即废气处理效率降低为0</w:t>
            </w:r>
            <w:r>
              <w:rPr>
                <w:rFonts w:hint="default" w:ascii="Times New Roman" w:hAnsi="Times New Roman" w:eastAsia="宋体" w:cs="Times New Roman"/>
                <w:color w:val="000000"/>
                <w:kern w:val="2"/>
                <w:sz w:val="24"/>
                <w:szCs w:val="24"/>
                <w:lang w:val="en-US" w:eastAsia="zh-CN" w:bidi="ar-SA"/>
              </w:rPr>
              <w:t>%的情况下污染物排放对周边环境的影响。由于有机废气事故排放效果不显著，短时间内难以发现，非正常工况持续时间按1h计，发生频率按1次/年。非正常工况下废气排放源强核算结果见下表4.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p>
          <w:p w14:paraId="60C8CC8F">
            <w:pPr>
              <w:pStyle w:val="50"/>
              <w:bidi w:val="0"/>
              <w:rPr>
                <w:rFonts w:hint="eastAsia" w:ascii="Times New Roman" w:hAnsi="Times New Roman" w:eastAsia="宋体" w:cs="Times New Roman"/>
                <w:color w:val="auto"/>
                <w:sz w:val="24"/>
                <w:szCs w:val="24"/>
                <w:highlight w:val="none"/>
                <w:lang w:val="en-US" w:eastAsia="zh-CN"/>
              </w:rPr>
            </w:pPr>
          </w:p>
          <w:p w14:paraId="078CCDC1">
            <w:pPr>
              <w:pStyle w:val="50"/>
              <w:bidi w:val="0"/>
              <w:rPr>
                <w:rFonts w:hint="eastAsia" w:ascii="Times New Roman" w:hAnsi="Times New Roman" w:eastAsia="宋体" w:cs="Times New Roman"/>
                <w:color w:val="auto"/>
                <w:sz w:val="24"/>
                <w:szCs w:val="24"/>
                <w:highlight w:val="none"/>
                <w:lang w:val="en-US" w:eastAsia="zh-CN"/>
              </w:rPr>
            </w:pPr>
          </w:p>
          <w:p w14:paraId="7340953F">
            <w:pPr>
              <w:pStyle w:val="50"/>
              <w:bidi w:val="0"/>
              <w:rPr>
                <w:rFonts w:hint="eastAsia" w:ascii="Times New Roman" w:hAnsi="Times New Roman" w:eastAsia="宋体" w:cs="Times New Roman"/>
                <w:color w:val="auto"/>
                <w:sz w:val="24"/>
                <w:szCs w:val="24"/>
                <w:highlight w:val="none"/>
                <w:lang w:val="en-US" w:eastAsia="zh-CN"/>
              </w:rPr>
            </w:pPr>
          </w:p>
          <w:p w14:paraId="088ABDC1">
            <w:pPr>
              <w:pStyle w:val="50"/>
              <w:bidi w:val="0"/>
              <w:rPr>
                <w:rFonts w:hint="eastAsia" w:ascii="Times New Roman" w:hAnsi="Times New Roman" w:eastAsia="宋体" w:cs="Times New Roman"/>
                <w:color w:val="auto"/>
                <w:sz w:val="24"/>
                <w:szCs w:val="24"/>
                <w:highlight w:val="none"/>
                <w:lang w:val="en-US" w:eastAsia="zh-CN"/>
              </w:rPr>
            </w:pPr>
          </w:p>
          <w:p w14:paraId="44C6426D">
            <w:pPr>
              <w:pStyle w:val="50"/>
              <w:bidi w:val="0"/>
              <w:rPr>
                <w:rFonts w:hint="eastAsia" w:ascii="Times New Roman" w:hAnsi="Times New Roman" w:eastAsia="宋体" w:cs="Times New Roman"/>
                <w:color w:val="auto"/>
                <w:sz w:val="24"/>
                <w:szCs w:val="24"/>
                <w:highlight w:val="none"/>
                <w:lang w:val="en-US" w:eastAsia="zh-CN"/>
              </w:rPr>
            </w:pPr>
          </w:p>
          <w:p w14:paraId="6EE0C6BE">
            <w:pPr>
              <w:pStyle w:val="50"/>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696"/>
              <w:gridCol w:w="934"/>
              <w:gridCol w:w="1238"/>
              <w:gridCol w:w="1124"/>
              <w:gridCol w:w="1200"/>
              <w:gridCol w:w="703"/>
              <w:gridCol w:w="791"/>
              <w:gridCol w:w="1433"/>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排放源</w:t>
                  </w:r>
                </w:p>
              </w:tc>
              <w:tc>
                <w:tcPr>
                  <w:tcW w:w="543"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非正常排放原因</w:t>
                  </w:r>
                </w:p>
              </w:tc>
              <w:tc>
                <w:tcPr>
                  <w:tcW w:w="720"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污染源</w:t>
                  </w:r>
                </w:p>
              </w:tc>
              <w:tc>
                <w:tcPr>
                  <w:tcW w:w="654" w:type="pct"/>
                  <w:tcBorders>
                    <w:tl2br w:val="nil"/>
                    <w:tr2bl w:val="nil"/>
                  </w:tcBorders>
                  <w:noWrap w:val="0"/>
                  <w:vAlign w:val="center"/>
                </w:tcPr>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非正常排放浓度mg/m</w:t>
                  </w:r>
                  <w:r>
                    <w:rPr>
                      <w:rFonts w:hint="eastAsia" w:ascii="Times New Roman" w:hAnsi="Times New Roman" w:eastAsia="宋体" w:cs="Times New Roman"/>
                      <w:color w:val="000000"/>
                      <w:kern w:val="0"/>
                      <w:sz w:val="21"/>
                      <w:szCs w:val="21"/>
                      <w:vertAlign w:val="superscript"/>
                      <w:lang w:val="en-US" w:eastAsia="zh-CN" w:bidi="ar-SA"/>
                    </w:rPr>
                    <w:t>3</w:t>
                  </w:r>
                </w:p>
              </w:tc>
              <w:tc>
                <w:tcPr>
                  <w:tcW w:w="698" w:type="pct"/>
                  <w:tcBorders>
                    <w:tl2br w:val="nil"/>
                    <w:tr2bl w:val="nil"/>
                  </w:tcBorders>
                  <w:noWrap w:val="0"/>
                  <w:vAlign w:val="center"/>
                </w:tcPr>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非正常排放速率kg/h</w:t>
                  </w:r>
                </w:p>
              </w:tc>
              <w:tc>
                <w:tcPr>
                  <w:tcW w:w="409"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单次维持时间</w:t>
                  </w:r>
                </w:p>
              </w:tc>
              <w:tc>
                <w:tcPr>
                  <w:tcW w:w="460"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年发生次数</w:t>
                  </w:r>
                </w:p>
              </w:tc>
              <w:tc>
                <w:tcPr>
                  <w:tcW w:w="833"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1" w:hRule="atLeast"/>
                <w:jc w:val="center"/>
              </w:trPr>
              <w:tc>
                <w:tcPr>
                  <w:tcW w:w="273" w:type="pc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w:t>
                  </w:r>
                </w:p>
              </w:tc>
              <w:tc>
                <w:tcPr>
                  <w:tcW w:w="405" w:type="pc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DA001</w:t>
                  </w:r>
                </w:p>
              </w:tc>
              <w:tc>
                <w:tcPr>
                  <w:tcW w:w="543" w:type="pct"/>
                  <w:tcBorders>
                    <w:tl2br w:val="nil"/>
                    <w:tr2bl w:val="nil"/>
                  </w:tcBorders>
                  <w:noWrap w:val="0"/>
                  <w:vAlign w:val="center"/>
                </w:tcPr>
                <w:p w14:paraId="54EF24D0">
                  <w:pPr>
                    <w:pStyle w:val="51"/>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处理设施故障</w:t>
                  </w:r>
                </w:p>
              </w:tc>
              <w:tc>
                <w:tcPr>
                  <w:tcW w:w="720" w:type="pct"/>
                  <w:tcBorders>
                    <w:tl2br w:val="nil"/>
                    <w:tr2bl w:val="nil"/>
                  </w:tcBorders>
                  <w:noWrap w:val="0"/>
                  <w:vAlign w:val="center"/>
                </w:tcPr>
                <w:p w14:paraId="7E3F955F">
                  <w:pPr>
                    <w:pStyle w:val="51"/>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挥发性有机物</w:t>
                  </w:r>
                </w:p>
              </w:tc>
              <w:tc>
                <w:tcPr>
                  <w:tcW w:w="654"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1</w:t>
                  </w:r>
                  <w:r>
                    <w:rPr>
                      <w:rFonts w:hint="eastAsia" w:cs="Times New Roman"/>
                      <w:color w:val="000000"/>
                      <w:kern w:val="0"/>
                      <w:sz w:val="21"/>
                      <w:szCs w:val="21"/>
                      <w:lang w:val="en-US" w:eastAsia="zh-CN" w:bidi="ar-SA"/>
                    </w:rPr>
                    <w:t>4.94</w:t>
                  </w:r>
                </w:p>
              </w:tc>
              <w:tc>
                <w:tcPr>
                  <w:tcW w:w="698"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lang w:val="en-US" w:eastAsia="zh-CN"/>
                    </w:rPr>
                    <w:t>0.</w:t>
                  </w:r>
                  <w:r>
                    <w:rPr>
                      <w:rFonts w:hint="eastAsia" w:eastAsia="宋体" w:cs="Times New Roman"/>
                      <w:color w:val="000000"/>
                      <w:lang w:val="en-US" w:eastAsia="zh-CN"/>
                    </w:rPr>
                    <w:t>1</w:t>
                  </w:r>
                  <w:r>
                    <w:rPr>
                      <w:rFonts w:hint="eastAsia" w:cs="Times New Roman"/>
                      <w:color w:val="000000"/>
                      <w:lang w:val="en-US" w:eastAsia="zh-CN"/>
                    </w:rPr>
                    <w:t>1952</w:t>
                  </w:r>
                </w:p>
              </w:tc>
              <w:tc>
                <w:tcPr>
                  <w:tcW w:w="409" w:type="pc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1h</w:t>
                  </w:r>
                </w:p>
              </w:tc>
              <w:tc>
                <w:tcPr>
                  <w:tcW w:w="460" w:type="pc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1次</w:t>
                  </w:r>
                </w:p>
              </w:tc>
              <w:tc>
                <w:tcPr>
                  <w:tcW w:w="833" w:type="pc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立即停产，修复后生产</w:t>
                  </w:r>
                </w:p>
              </w:tc>
            </w:tr>
          </w:tbl>
          <w:p w14:paraId="0494A0D7">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197C6D5">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04AFC87B">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34E5F8D8">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7C3E7621">
            <w:pPr>
              <w:pStyle w:val="4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01" w:name="_Toc2614"/>
            <w:r>
              <w:rPr>
                <w:rFonts w:hint="eastAsia" w:ascii="Times New Roman" w:hAnsi="Times New Roman" w:eastAsia="宋体" w:cs="Times New Roman"/>
                <w:color w:val="auto"/>
                <w:sz w:val="28"/>
                <w:szCs w:val="28"/>
                <w:u w:val="none"/>
                <w:lang w:val="en-US" w:eastAsia="zh-CN"/>
              </w:rPr>
              <w:t>4.2水环境影响分析和污染防治措施</w:t>
            </w:r>
            <w:bookmarkEnd w:id="101"/>
          </w:p>
          <w:p w14:paraId="6AE1F93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02" w:name="_Toc22065"/>
            <w:r>
              <w:rPr>
                <w:rFonts w:hint="eastAsia"/>
                <w:b/>
                <w:color w:val="262626"/>
                <w:kern w:val="0"/>
                <w:sz w:val="24"/>
                <w:lang w:val="en-US" w:eastAsia="zh-CN"/>
              </w:rPr>
              <w:t>4.2.1运营期废水源强分析</w:t>
            </w:r>
            <w:bookmarkEnd w:id="102"/>
          </w:p>
          <w:p w14:paraId="2B90B117">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（1）间接冷却水</w:t>
            </w:r>
          </w:p>
          <w:p w14:paraId="746F0903">
            <w:pPr>
              <w:widowControl/>
              <w:spacing w:line="360" w:lineRule="auto"/>
              <w:ind w:firstLine="480" w:firstLineChars="200"/>
              <w:jc w:val="left"/>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根据水平衡分析可知，项目拟设置1台冷却水塔，</w:t>
            </w:r>
            <w:r>
              <w:rPr>
                <w:color w:val="000000" w:themeColor="text1"/>
                <w:sz w:val="24"/>
                <w:highlight w:val="none"/>
                <w14:textFill>
                  <w14:solidFill>
                    <w14:schemeClr w14:val="tx1"/>
                  </w14:solidFill>
                </w14:textFill>
              </w:rPr>
              <w:t>在循环过程中因受热等因素损失的水量，</w:t>
            </w:r>
            <w:r>
              <w:rPr>
                <w:rFonts w:hint="eastAsia"/>
                <w:color w:val="000000" w:themeColor="text1"/>
                <w:sz w:val="24"/>
                <w:highlight w:val="none"/>
                <w14:textFill>
                  <w14:solidFill>
                    <w14:schemeClr w14:val="tx1"/>
                  </w14:solidFill>
                </w14:textFill>
              </w:rPr>
              <w:t>约</w:t>
            </w:r>
            <w:r>
              <w:rPr>
                <w:rFonts w:hint="eastAsia"/>
                <w:color w:val="000000" w:themeColor="text1"/>
                <w:sz w:val="24"/>
                <w:highlight w:val="none"/>
                <w:lang w:val="en-US" w:eastAsia="zh-CN"/>
                <w14:textFill>
                  <w14:solidFill>
                    <w14:schemeClr w14:val="tx1"/>
                  </w14:solidFill>
                </w14:textFill>
              </w:rPr>
              <w:t>1.72t</w:t>
            </w:r>
            <w:r>
              <w:rPr>
                <w:rFonts w:hint="eastAsia"/>
                <w:color w:val="000000" w:themeColor="text1"/>
                <w:sz w:val="24"/>
                <w:highlight w:val="none"/>
                <w14:textFill>
                  <w14:solidFill>
                    <w14:schemeClr w14:val="tx1"/>
                  </w14:solidFill>
                </w14:textFill>
              </w:rPr>
              <w:t>/d，</w:t>
            </w:r>
            <w:r>
              <w:rPr>
                <w:color w:val="000000" w:themeColor="text1"/>
                <w:sz w:val="24"/>
                <w:highlight w:val="none"/>
                <w14:textFill>
                  <w14:solidFill>
                    <w14:schemeClr w14:val="tx1"/>
                  </w14:solidFill>
                </w14:textFill>
              </w:rPr>
              <w:t>则年补充新鲜水量约</w:t>
            </w:r>
            <w:r>
              <w:rPr>
                <w:rFonts w:hint="eastAsia"/>
                <w:color w:val="000000" w:themeColor="text1"/>
                <w:sz w:val="24"/>
                <w:highlight w:val="none"/>
                <w:lang w:val="en-US" w:eastAsia="zh-CN"/>
                <w14:textFill>
                  <w14:solidFill>
                    <w14:schemeClr w14:val="tx1"/>
                  </w14:solidFill>
                </w14:textFill>
              </w:rPr>
              <w:t>516</w:t>
            </w:r>
            <w:r>
              <w:rPr>
                <w:color w:val="000000" w:themeColor="text1"/>
                <w:sz w:val="24"/>
                <w:highlight w:val="none"/>
                <w14:textFill>
                  <w14:solidFill>
                    <w14:schemeClr w14:val="tx1"/>
                  </w14:solidFill>
                </w14:textFill>
              </w:rPr>
              <w:t>t/a。</w:t>
            </w:r>
          </w:p>
          <w:p w14:paraId="75E81C23">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w:t>
            </w:r>
            <w:r>
              <w:rPr>
                <w:rFonts w:hint="eastAsia" w:cs="Times New Roman"/>
                <w:bCs/>
                <w:color w:val="auto"/>
                <w:sz w:val="24"/>
                <w:highlight w:val="none"/>
                <w:lang w:val="en-US" w:eastAsia="zh-CN"/>
              </w:rPr>
              <w:t>生活污水</w:t>
            </w:r>
          </w:p>
          <w:p w14:paraId="014BBD81">
            <w:pPr>
              <w:pStyle w:val="52"/>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bookmarkStart w:id="103" w:name="_Toc22817"/>
            <w:bookmarkStart w:id="104" w:name="_Toc28146"/>
            <w:bookmarkStart w:id="105" w:name="_Toc4624"/>
            <w:r>
              <w:rPr>
                <w:rFonts w:hint="default" w:ascii="Times New Roman" w:hAnsi="Times New Roman" w:eastAsia="宋体" w:cs="Times New Roman"/>
                <w:b w:val="0"/>
                <w:bCs w:val="0"/>
                <w:color w:val="auto"/>
                <w:sz w:val="24"/>
                <w:szCs w:val="24"/>
                <w:highlight w:val="none"/>
                <w:lang w:val="en-US" w:eastAsia="zh-CN"/>
              </w:rPr>
              <w:t>本项目劳动定员</w:t>
            </w:r>
            <w:r>
              <w:rPr>
                <w:rFonts w:hint="eastAsia" w:eastAsia="宋体"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人，均不住厂，根据《建筑给水排水设计标准》（GB50015-2019），车间工作人员的生活用水额定</w:t>
            </w:r>
            <w:r>
              <w:rPr>
                <w:rFonts w:hint="eastAsia" w:eastAsia="宋体" w:cs="Times New Roman"/>
                <w:b w:val="0"/>
                <w:bCs w:val="0"/>
                <w:color w:val="auto"/>
                <w:sz w:val="24"/>
                <w:szCs w:val="24"/>
                <w:highlight w:val="none"/>
                <w:lang w:val="en-US" w:eastAsia="zh-CN"/>
              </w:rPr>
              <w:t>应</w:t>
            </w:r>
            <w:r>
              <w:rPr>
                <w:rFonts w:hint="default" w:ascii="Times New Roman" w:hAnsi="Times New Roman" w:eastAsia="宋体" w:cs="Times New Roman"/>
                <w:b w:val="0"/>
                <w:bCs w:val="0"/>
                <w:color w:val="auto"/>
                <w:sz w:val="24"/>
                <w:szCs w:val="24"/>
                <w:highlight w:val="none"/>
                <w:lang w:val="en-US" w:eastAsia="zh-CN"/>
              </w:rPr>
              <w:t>根据车间性质确定，一般宜采用30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50L/人·班，本项目不住厂职工生活用水额定按50L/人·班计。项目年工作日按300天计，则本项目职工生活用水量约</w:t>
            </w:r>
            <w:r>
              <w:rPr>
                <w:rFonts w:hint="eastAsia" w:eastAsia="宋体"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450</w:t>
            </w:r>
            <w:r>
              <w:rPr>
                <w:rFonts w:hint="default" w:ascii="Times New Roman" w:hAnsi="Times New Roman" w:eastAsia="宋体" w:cs="Times New Roman"/>
                <w:b w:val="0"/>
                <w:bCs w:val="0"/>
                <w:color w:val="auto"/>
                <w:sz w:val="24"/>
                <w:szCs w:val="24"/>
                <w:highlight w:val="none"/>
                <w:lang w:val="en-US" w:eastAsia="zh-CN"/>
              </w:rPr>
              <w:t>t/a），根据《排水源统计调查产排污计算方法和核算手册》中《生活源产排污系数手册》，人均日生活用水量≤150升/人·天时，折污系数取0.8，则项目生活污水产生量约</w:t>
            </w:r>
            <w:r>
              <w:rPr>
                <w:rFonts w:hint="eastAsia"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z w:val="24"/>
                <w:szCs w:val="24"/>
                <w:highlight w:val="none"/>
                <w:lang w:val="en-US" w:eastAsia="zh-CN"/>
              </w:rPr>
              <w:t>t/d（</w:t>
            </w:r>
            <w:r>
              <w:rPr>
                <w:rFonts w:hint="eastAsia" w:ascii="Times New Roman" w:hAnsi="Times New Roman" w:eastAsia="宋体" w:cs="Times New Roman"/>
                <w:b w:val="0"/>
                <w:bCs w:val="0"/>
                <w:color w:val="auto"/>
                <w:sz w:val="24"/>
                <w:szCs w:val="24"/>
                <w:highlight w:val="none"/>
                <w:lang w:val="en-US" w:eastAsia="zh-CN"/>
              </w:rPr>
              <w:t>360</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生活污水依托厂区现有的化粪池处理达标后排入市政污水管网，最终进入</w:t>
            </w:r>
            <w:bookmarkEnd w:id="103"/>
            <w:bookmarkEnd w:id="104"/>
            <w:bookmarkEnd w:id="105"/>
            <w:r>
              <w:rPr>
                <w:rFonts w:hint="eastAsia" w:eastAsia="宋体" w:cs="Times New Roman"/>
                <w:color w:val="auto"/>
                <w:sz w:val="24"/>
                <w:szCs w:val="24"/>
                <w:lang w:val="en-US" w:eastAsia="zh-CN"/>
              </w:rPr>
              <w:t>福清市融元污水处理厂集</w:t>
            </w:r>
            <w:r>
              <w:rPr>
                <w:rFonts w:hint="eastAsia" w:ascii="Times New Roman" w:hAnsi="Times New Roman" w:eastAsia="宋体" w:cs="Times New Roman"/>
                <w:b w:val="0"/>
                <w:bCs w:val="0"/>
                <w:color w:val="auto"/>
                <w:sz w:val="24"/>
                <w:szCs w:val="24"/>
                <w:highlight w:val="none"/>
                <w:lang w:val="en-US" w:eastAsia="zh-CN"/>
              </w:rPr>
              <w:t>中进行处理，污水处理厂</w:t>
            </w:r>
            <w:r>
              <w:rPr>
                <w:rFonts w:hint="default" w:ascii="Times New Roman" w:hAnsi="Times New Roman" w:eastAsia="宋体" w:cs="Times New Roman"/>
                <w:b w:val="0"/>
                <w:bCs w:val="0"/>
                <w:color w:val="auto"/>
                <w:sz w:val="24"/>
                <w:szCs w:val="24"/>
                <w:highlight w:val="none"/>
                <w:lang w:val="en-US" w:eastAsia="zh-CN"/>
              </w:rPr>
              <w:t>尾水排入龙江，所处龙江</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南门桥水闸至龙江入海口</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断面。</w:t>
            </w:r>
          </w:p>
          <w:p w14:paraId="58887A91">
            <w:pPr>
              <w:pStyle w:val="52"/>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06" w:name="_Toc6977"/>
            <w:bookmarkStart w:id="107" w:name="_Toc14324"/>
            <w:bookmarkStart w:id="108" w:name="_Toc22915"/>
            <w:r>
              <w:rPr>
                <w:rFonts w:hint="default" w:ascii="Times New Roman" w:hAnsi="Times New Roman" w:eastAsia="宋体" w:cs="Times New Roman"/>
                <w:b w:val="0"/>
                <w:bCs w:val="0"/>
                <w:color w:val="auto"/>
                <w:sz w:val="24"/>
                <w:szCs w:val="24"/>
                <w:highlight w:val="none"/>
                <w:lang w:val="en-US" w:eastAsia="zh-CN"/>
              </w:rPr>
              <w:t>参考</w:t>
            </w:r>
            <w:r>
              <w:rPr>
                <w:rFonts w:hint="eastAsia" w:ascii="Times New Roman" w:hAnsi="Times New Roman" w:eastAsia="宋体" w:cs="Times New Roman"/>
                <w:b w:val="0"/>
                <w:bCs w:val="0"/>
                <w:color w:val="auto"/>
                <w:sz w:val="24"/>
                <w:szCs w:val="24"/>
                <w:highlight w:val="none"/>
                <w:lang w:val="en-US" w:eastAsia="zh-CN"/>
              </w:rPr>
              <w:t>《给排水设计手册》第五册《城镇排水》表</w:t>
            </w:r>
            <w:r>
              <w:rPr>
                <w:rFonts w:hint="default" w:ascii="Times New Roman" w:hAnsi="Times New Roman" w:eastAsia="宋体" w:cs="Times New Roman"/>
                <w:b w:val="0"/>
                <w:bCs w:val="0"/>
                <w:color w:val="auto"/>
                <w:sz w:val="24"/>
                <w:szCs w:val="24"/>
                <w:highlight w:val="none"/>
                <w:lang w:val="en-US" w:eastAsia="zh-CN"/>
              </w:rPr>
              <w:t>4-1</w:t>
            </w:r>
            <w:r>
              <w:rPr>
                <w:rFonts w:hint="eastAsia" w:ascii="Times New Roman" w:hAnsi="Times New Roman" w:eastAsia="宋体" w:cs="Times New Roman"/>
                <w:b w:val="0"/>
                <w:bCs w:val="0"/>
                <w:color w:val="auto"/>
                <w:sz w:val="24"/>
                <w:szCs w:val="24"/>
                <w:highlight w:val="none"/>
                <w:lang w:val="en-US" w:eastAsia="zh-CN"/>
              </w:rPr>
              <w:t>典型生活污水水质示例的低浓度；因此，不住厂职工产生的生活污水中各主要污染物浓度按</w:t>
            </w:r>
            <w:r>
              <w:rPr>
                <w:rFonts w:hint="default" w:ascii="Times New Roman" w:hAnsi="Times New Roman" w:eastAsia="宋体" w:cs="Times New Roman"/>
                <w:b w:val="0"/>
                <w:bCs w:val="0"/>
                <w:color w:val="auto"/>
                <w:sz w:val="24"/>
                <w:szCs w:val="24"/>
                <w:highlight w:val="none"/>
                <w:lang w:val="en-US" w:eastAsia="zh-CN"/>
              </w:rPr>
              <w:t>CODcr：</w:t>
            </w:r>
            <w:r>
              <w:rPr>
                <w:rFonts w:hint="eastAsia" w:ascii="Times New Roman" w:hAnsi="Times New Roman" w:eastAsia="宋体" w:cs="Times New Roman"/>
                <w:b w:val="0"/>
                <w:bCs w:val="0"/>
                <w:color w:val="auto"/>
                <w:sz w:val="24"/>
                <w:szCs w:val="24"/>
                <w:highlight w:val="none"/>
                <w:lang w:val="en-US" w:eastAsia="zh-CN"/>
              </w:rPr>
              <w:t>250</w:t>
            </w:r>
            <w:r>
              <w:rPr>
                <w:rFonts w:hint="default" w:ascii="Times New Roman" w:hAnsi="Times New Roman" w:eastAsia="宋体" w:cs="Times New Roman"/>
                <w:b w:val="0"/>
                <w:bCs w:val="0"/>
                <w:color w:val="auto"/>
                <w:sz w:val="24"/>
                <w:szCs w:val="24"/>
                <w:highlight w:val="none"/>
                <w:lang w:val="en-US" w:eastAsia="zh-CN"/>
              </w:rPr>
              <w:t>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eastAsia="宋体" w:cs="Times New Roman"/>
                <w:b w:val="0"/>
                <w:bCs w:val="0"/>
                <w:color w:val="auto"/>
                <w:sz w:val="24"/>
                <w:szCs w:val="24"/>
                <w:highlight w:val="none"/>
                <w:vertAlign w:val="subscript"/>
                <w:lang w:val="en-US" w:eastAsia="zh-CN"/>
              </w:rPr>
              <w:t>:</w:t>
            </w:r>
            <w:r>
              <w:rPr>
                <w:rFonts w:hint="eastAsia" w:ascii="Times New Roman" w:hAnsi="Times New Roman" w:eastAsia="宋体" w:cs="Times New Roman"/>
                <w:b w:val="0"/>
                <w:bCs w:val="0"/>
                <w:color w:val="auto"/>
                <w:sz w:val="24"/>
                <w:szCs w:val="24"/>
                <w:highlight w:val="none"/>
                <w:lang w:val="en-US" w:eastAsia="zh-CN"/>
              </w:rPr>
              <w:t>110</w:t>
            </w:r>
            <w:r>
              <w:rPr>
                <w:rFonts w:hint="default" w:ascii="Times New Roman" w:hAnsi="Times New Roman" w:eastAsia="宋体" w:cs="Times New Roman"/>
                <w:b w:val="0"/>
                <w:bCs w:val="0"/>
                <w:color w:val="auto"/>
                <w:sz w:val="24"/>
                <w:szCs w:val="24"/>
                <w:highlight w:val="none"/>
                <w:lang w:val="en-US" w:eastAsia="zh-CN"/>
              </w:rPr>
              <w:t>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mg/L、SS：</w:t>
            </w:r>
            <w:r>
              <w:rPr>
                <w:rFonts w:hint="eastAsia" w:ascii="Times New Roman" w:hAnsi="Times New Roman" w:eastAsia="宋体" w:cs="Times New Roman"/>
                <w:b w:val="0"/>
                <w:bCs w:val="0"/>
                <w:color w:val="auto"/>
                <w:sz w:val="24"/>
                <w:szCs w:val="24"/>
                <w:highlight w:val="none"/>
                <w:lang w:val="en-US" w:eastAsia="zh-CN"/>
              </w:rPr>
              <w:t>100</w:t>
            </w:r>
            <w:r>
              <w:rPr>
                <w:rFonts w:hint="default" w:ascii="Times New Roman" w:hAnsi="Times New Roman" w:eastAsia="宋体" w:cs="Times New Roman"/>
                <w:b w:val="0"/>
                <w:bCs w:val="0"/>
                <w:color w:val="auto"/>
                <w:sz w:val="24"/>
                <w:szCs w:val="24"/>
                <w:highlight w:val="none"/>
                <w:lang w:val="en-US" w:eastAsia="zh-CN"/>
              </w:rPr>
              <w:t>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-1。</w:t>
            </w:r>
            <w:bookmarkEnd w:id="106"/>
            <w:bookmarkEnd w:id="107"/>
            <w:bookmarkEnd w:id="108"/>
          </w:p>
          <w:p w14:paraId="789F3B51">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废水污染物产生及排放情况一览表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741"/>
              <w:gridCol w:w="970"/>
              <w:gridCol w:w="882"/>
              <w:gridCol w:w="995"/>
              <w:gridCol w:w="848"/>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74" w:type="pct"/>
                  <w:tcBorders>
                    <w:tl2br w:val="nil"/>
                    <w:tr2bl w:val="nil"/>
                  </w:tcBorders>
                  <w:noWrap w:val="0"/>
                  <w:vAlign w:val="center"/>
                </w:tcPr>
                <w:p w14:paraId="3620B43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0762AD0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7991F67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1" w:type="pct"/>
                  <w:tcBorders>
                    <w:tl2br w:val="nil"/>
                    <w:tr2bl w:val="nil"/>
                  </w:tcBorders>
                  <w:noWrap w:val="0"/>
                  <w:vAlign w:val="center"/>
                </w:tcPr>
                <w:p w14:paraId="6ED9C9E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4" w:type="pct"/>
                  <w:vMerge w:val="restart"/>
                  <w:tcBorders>
                    <w:tl2br w:val="nil"/>
                    <w:tr2bl w:val="nil"/>
                  </w:tcBorders>
                  <w:noWrap w:val="0"/>
                  <w:vAlign w:val="center"/>
                </w:tcPr>
                <w:p w14:paraId="35837F8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450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7F0B4B3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2666065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1" w:type="pct"/>
                  <w:tcBorders>
                    <w:tl2br w:val="nil"/>
                    <w:tr2bl w:val="nil"/>
                  </w:tcBorders>
                  <w:noWrap w:val="0"/>
                  <w:vAlign w:val="center"/>
                </w:tcPr>
                <w:p w14:paraId="23E4AA9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4" w:type="pct"/>
                  <w:vMerge w:val="continue"/>
                  <w:tcBorders>
                    <w:tl2br w:val="nil"/>
                    <w:tr2bl w:val="nil"/>
                  </w:tcBorders>
                  <w:noWrap w:val="0"/>
                  <w:vAlign w:val="center"/>
                </w:tcPr>
                <w:p w14:paraId="7CAE4C3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7E86DD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1125</w:t>
                  </w:r>
                </w:p>
              </w:tc>
              <w:tc>
                <w:tcPr>
                  <w:tcW w:w="513" w:type="pct"/>
                  <w:tcBorders>
                    <w:tl2br w:val="nil"/>
                    <w:tr2bl w:val="nil"/>
                  </w:tcBorders>
                  <w:noWrap w:val="0"/>
                  <w:vAlign w:val="center"/>
                </w:tcPr>
                <w:p w14:paraId="3493228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0495</w:t>
                  </w:r>
                </w:p>
              </w:tc>
              <w:tc>
                <w:tcPr>
                  <w:tcW w:w="579" w:type="pct"/>
                  <w:tcBorders>
                    <w:tl2br w:val="nil"/>
                    <w:tr2bl w:val="nil"/>
                  </w:tcBorders>
                  <w:noWrap w:val="0"/>
                  <w:vAlign w:val="center"/>
                </w:tcPr>
                <w:p w14:paraId="2DB20B87">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45</w:t>
                  </w:r>
                </w:p>
              </w:tc>
              <w:tc>
                <w:tcPr>
                  <w:tcW w:w="491" w:type="pct"/>
                  <w:tcBorders>
                    <w:tl2br w:val="nil"/>
                    <w:tr2bl w:val="nil"/>
                  </w:tcBorders>
                  <w:noWrap w:val="0"/>
                  <w:vAlign w:val="center"/>
                </w:tcPr>
                <w:p w14:paraId="0EC0425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108</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74" w:type="pct"/>
                  <w:tcBorders>
                    <w:tl2br w:val="nil"/>
                    <w:tr2bl w:val="nil"/>
                  </w:tcBorders>
                  <w:noWrap w:val="0"/>
                  <w:vAlign w:val="center"/>
                </w:tcPr>
                <w:p w14:paraId="0A8A9E5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5" w:type="pct"/>
                  <w:gridSpan w:val="5"/>
                  <w:tcBorders>
                    <w:tl2br w:val="nil"/>
                    <w:tr2bl w:val="nil"/>
                  </w:tcBorders>
                  <w:noWrap w:val="0"/>
                  <w:vAlign w:val="center"/>
                </w:tcPr>
                <w:p w14:paraId="7D3891B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pct"/>
                  <w:vMerge w:val="restart"/>
                  <w:tcBorders>
                    <w:tl2br w:val="nil"/>
                    <w:tr2bl w:val="nil"/>
                  </w:tcBorders>
                  <w:noWrap w:val="0"/>
                  <w:vAlign w:val="center"/>
                </w:tcPr>
                <w:p w14:paraId="2B8E296B">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eastAsia="宋体" w:cs="Times New Roman"/>
                      <w:color w:val="auto"/>
                      <w:sz w:val="21"/>
                      <w:szCs w:val="21"/>
                      <w:vertAlign w:val="baseline"/>
                      <w:lang w:val="en-US" w:eastAsia="zh-CN"/>
                    </w:rPr>
                    <w:t>360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53010DF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12E52C8D">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1" w:type="pct"/>
                  <w:tcBorders>
                    <w:tl2br w:val="nil"/>
                    <w:tr2bl w:val="nil"/>
                  </w:tcBorders>
                  <w:noWrap w:val="0"/>
                  <w:vAlign w:val="center"/>
                </w:tcPr>
                <w:p w14:paraId="2A56707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74" w:type="pct"/>
                  <w:vMerge w:val="continue"/>
                  <w:tcBorders>
                    <w:tl2br w:val="nil"/>
                    <w:tr2bl w:val="nil"/>
                  </w:tcBorders>
                  <w:noWrap w:val="0"/>
                  <w:vAlign w:val="center"/>
                </w:tcPr>
                <w:p w14:paraId="2A5D1FD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36C6D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1D360E6F">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1" w:type="pct"/>
                  <w:tcBorders>
                    <w:tl2br w:val="nil"/>
                    <w:tr2bl w:val="nil"/>
                  </w:tcBorders>
                  <w:noWrap w:val="0"/>
                  <w:vAlign w:val="center"/>
                </w:tcPr>
                <w:p w14:paraId="155169C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pct"/>
                  <w:vMerge w:val="continue"/>
                  <w:tcBorders>
                    <w:tl2br w:val="nil"/>
                    <w:tr2bl w:val="nil"/>
                  </w:tcBorders>
                  <w:noWrap w:val="0"/>
                  <w:vAlign w:val="center"/>
                </w:tcPr>
                <w:p w14:paraId="61AF04C2">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E55DF71">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72</w:t>
                  </w:r>
                </w:p>
              </w:tc>
              <w:tc>
                <w:tcPr>
                  <w:tcW w:w="513" w:type="pct"/>
                  <w:tcBorders>
                    <w:tl2br w:val="nil"/>
                    <w:tr2bl w:val="nil"/>
                  </w:tcBorders>
                  <w:noWrap w:val="0"/>
                  <w:vAlign w:val="center"/>
                </w:tcPr>
                <w:p w14:paraId="1184B65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337</w:t>
                  </w:r>
                </w:p>
              </w:tc>
              <w:tc>
                <w:tcPr>
                  <w:tcW w:w="579" w:type="pct"/>
                  <w:tcBorders>
                    <w:tl2br w:val="nil"/>
                    <w:tr2bl w:val="nil"/>
                  </w:tcBorders>
                  <w:noWrap w:val="0"/>
                  <w:vAlign w:val="center"/>
                </w:tcPr>
                <w:p w14:paraId="3F2EF79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252</w:t>
                  </w:r>
                </w:p>
              </w:tc>
              <w:tc>
                <w:tcPr>
                  <w:tcW w:w="491" w:type="pct"/>
                  <w:tcBorders>
                    <w:tl2br w:val="nil"/>
                    <w:tr2bl w:val="nil"/>
                  </w:tcBorders>
                  <w:noWrap w:val="0"/>
                  <w:vAlign w:val="center"/>
                </w:tcPr>
                <w:p w14:paraId="11A249F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086</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50" w:type="pct"/>
                  <w:gridSpan w:val="2"/>
                  <w:tcBorders>
                    <w:tl2br w:val="nil"/>
                    <w:tr2bl w:val="nil"/>
                  </w:tcBorders>
                  <w:noWrap w:val="0"/>
                  <w:vAlign w:val="center"/>
                </w:tcPr>
                <w:p w14:paraId="532FE66C">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0EFE3FCE">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47738F86">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1"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50" w:type="pct"/>
                  <w:gridSpan w:val="2"/>
                  <w:tcBorders>
                    <w:tl2br w:val="nil"/>
                    <w:tr2bl w:val="nil"/>
                  </w:tcBorders>
                  <w:noWrap w:val="0"/>
                  <w:vAlign w:val="center"/>
                </w:tcPr>
                <w:p w14:paraId="338AD4F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69972B88">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1"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850" w:type="pct"/>
                  <w:gridSpan w:val="2"/>
                  <w:tcBorders>
                    <w:tl2br w:val="nil"/>
                    <w:tr2bl w:val="nil"/>
                  </w:tcBorders>
                  <w:noWrap w:val="0"/>
                  <w:vAlign w:val="center"/>
                </w:tcPr>
                <w:p w14:paraId="1F6C3774">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3B61A0E5">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1" w:type="pct"/>
                  <w:tcBorders>
                    <w:tl2br w:val="nil"/>
                    <w:tr2bl w:val="nil"/>
                  </w:tcBorders>
                  <w:noWrap w:val="0"/>
                  <w:vAlign w:val="center"/>
                </w:tcPr>
                <w:p w14:paraId="2819D059">
                  <w:pPr>
                    <w:pStyle w:val="14"/>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09" w:name="_Toc19668"/>
            <w:bookmarkStart w:id="110" w:name="_Toc14541"/>
            <w:bookmarkStart w:id="111" w:name="_Toc16893"/>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2" w:name="_Toc22874"/>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112"/>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（1）化粪池依托处理可行性分析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b w:val="0"/>
                <w:bCs w:val="0"/>
                <w:strike w:val="0"/>
                <w:dstrike w:val="0"/>
                <w:color w:val="auto"/>
                <w:sz w:val="24"/>
                <w:szCs w:val="24"/>
                <w:highlight w:val="none"/>
                <w:lang w:val="en-US" w:eastAsia="zh-CN"/>
              </w:rPr>
              <w:t>项目</w:t>
            </w:r>
            <w:r>
              <w:rPr>
                <w:rFonts w:hint="default" w:ascii="Times New Roman" w:hAnsi="Times New Roman" w:eastAsia="宋体" w:cs="Times New Roman"/>
                <w:strike w:val="0"/>
                <w:dstrike w:val="0"/>
                <w:color w:val="auto"/>
                <w:sz w:val="24"/>
                <w:szCs w:val="24"/>
                <w:lang w:val="en-US" w:eastAsia="zh-CN"/>
              </w:rPr>
              <w:t>生产废水为冷却塔用水，循环使用不外排</w:t>
            </w: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中进行处理，污水处理厂尾水排入龙江，所处龙江“南门桥水闸至龙江入海口”断面。生活污水依托厂区（均和云谷·福清科技港园区）现有的化粪池（50m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lang w:val="en-GB"/>
              </w:rPr>
              <w:t>证明材料</w:t>
            </w:r>
            <w:r>
              <w:rPr>
                <w:rFonts w:hint="default" w:ascii="Times New Roman" w:hAnsi="Times New Roman" w:eastAsia="宋体" w:cs="Times New Roman"/>
                <w:bCs/>
                <w:strike w:val="0"/>
                <w:dstrike w:val="0"/>
                <w:color w:val="auto"/>
                <w:sz w:val="24"/>
                <w:szCs w:val="24"/>
                <w:lang w:val="en-US" w:eastAsia="zh-CN"/>
              </w:rPr>
              <w:t>（目前仅</w:t>
            </w:r>
            <w:r>
              <w:rPr>
                <w:rFonts w:hint="default" w:ascii="Times New Roman" w:hAnsi="Times New Roman" w:eastAsia="宋体" w:cs="Times New Roman"/>
                <w:bCs/>
                <w:strike w:val="0"/>
                <w:dstrike w:val="0"/>
                <w:color w:val="auto"/>
                <w:sz w:val="24"/>
                <w:szCs w:val="24"/>
              </w:rPr>
              <w:t>福州睿信模具有限公司</w:t>
            </w:r>
            <w:r>
              <w:rPr>
                <w:rFonts w:hint="default" w:ascii="Times New Roman" w:hAnsi="Times New Roman" w:eastAsia="宋体" w:cs="Times New Roman"/>
                <w:bCs/>
                <w:strike w:val="0"/>
                <w:dstrike w:val="0"/>
                <w:color w:val="auto"/>
                <w:sz w:val="24"/>
                <w:szCs w:val="24"/>
                <w:lang w:val="en-US" w:eastAsia="zh-CN"/>
              </w:rPr>
              <w:t>排放的生活污水1.575t/d、福州融耀智造科技有限公司排放的生活污水2.25t/d、福州塑颜新材料有限公司排放的生活污水0.6t/d、</w:t>
            </w:r>
            <w:r>
              <w:rPr>
                <w:rFonts w:hint="default" w:ascii="Times New Roman" w:hAnsi="Times New Roman" w:eastAsia="宋体" w:cs="Times New Roman"/>
                <w:strike w:val="0"/>
                <w:dstrike w:val="0"/>
                <w:color w:val="auto"/>
                <w:sz w:val="24"/>
                <w:szCs w:val="24"/>
                <w:highlight w:val="none"/>
                <w:lang w:eastAsia="zh-CN"/>
              </w:rPr>
              <w:t>福清市鑫汉电子科技有限公</w:t>
            </w:r>
            <w:r>
              <w:rPr>
                <w:rFonts w:hint="default" w:ascii="Times New Roman" w:hAnsi="Times New Roman" w:eastAsia="宋体" w:cs="Times New Roman"/>
                <w:bCs/>
                <w:strike w:val="0"/>
                <w:dstrike w:val="0"/>
                <w:color w:val="auto"/>
                <w:sz w:val="24"/>
                <w:szCs w:val="24"/>
                <w:lang w:val="en-US" w:eastAsia="zh-CN"/>
              </w:rPr>
              <w:t>司排放的生活污水1.28t/d、福州格霖灌溉设备有限公司排放的生活污水1.6t/d、福州闽新新材料科技有限公司排放的生活污水0.9t/d、</w:t>
            </w:r>
            <w:bookmarkStart w:id="113" w:name="项目名称"/>
            <w:r>
              <w:rPr>
                <w:rFonts w:hint="default" w:ascii="Times New Roman" w:hAnsi="Times New Roman" w:eastAsia="宋体" w:cs="Times New Roman"/>
                <w:bCs/>
                <w:strike w:val="0"/>
                <w:dstrike w:val="0"/>
                <w:color w:val="auto"/>
                <w:sz w:val="24"/>
                <w:szCs w:val="24"/>
                <w:lang w:val="en-US" w:eastAsia="zh-CN"/>
              </w:rPr>
              <w:t>福州利鑫新材料科技有限公司</w:t>
            </w:r>
            <w:bookmarkEnd w:id="113"/>
            <w:r>
              <w:rPr>
                <w:rFonts w:hint="default" w:ascii="Times New Roman" w:hAnsi="Times New Roman" w:eastAsia="宋体" w:cs="Times New Roman"/>
                <w:bCs/>
                <w:strike w:val="0"/>
                <w:dstrike w:val="0"/>
                <w:color w:val="auto"/>
                <w:sz w:val="24"/>
                <w:szCs w:val="24"/>
                <w:lang w:val="en-US" w:eastAsia="zh-CN"/>
              </w:rPr>
              <w:t>排放的生活污水0.6t/d、三辉新材料科技有限公司0.6t/d）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default" w:ascii="Times New Roman" w:hAnsi="Times New Roman" w:eastAsia="宋体" w:cs="Times New Roman"/>
                <w:strike w:val="0"/>
                <w:dstrike w:val="0"/>
                <w:color w:val="auto"/>
                <w:sz w:val="24"/>
                <w:lang w:val="en-US" w:eastAsia="zh-CN"/>
              </w:rPr>
              <w:t>41.795</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default"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rPr>
              <w:t>t/d，约占剩余化粪池处理量</w:t>
            </w:r>
            <w:r>
              <w:rPr>
                <w:rFonts w:hint="default" w:ascii="Times New Roman" w:hAnsi="Times New Roman" w:eastAsia="宋体" w:cs="Times New Roman"/>
                <w:strike w:val="0"/>
                <w:dstrike w:val="0"/>
                <w:color w:val="auto"/>
                <w:sz w:val="24"/>
                <w:lang w:val="en-US" w:eastAsia="zh-CN"/>
              </w:rPr>
              <w:t>14.63</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九</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lang w:val="en-US" w:eastAsia="zh-CN"/>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（2）依托集中污水处理厂的可行性分析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374AF3F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4B0813EC">
            <w:pPr>
              <w:widowControl/>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E0B49BE">
            <w:pPr>
              <w:pStyle w:val="50"/>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7"/>
              <w:gridCol w:w="1375"/>
              <w:gridCol w:w="1119"/>
              <w:gridCol w:w="1012"/>
              <w:gridCol w:w="1077"/>
              <w:gridCol w:w="998"/>
              <w:gridCol w:w="998"/>
              <w:gridCol w:w="891"/>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5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65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65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6E76E4FE">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6CAE1082">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A2/O生化反应工艺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4.2-1</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62C5F2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41.65pt;width:440.1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14:paraId="5FC7194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default" w:ascii="Times New Roman" w:hAnsi="Times New Roman" w:eastAsia="宋体" w:cs="Times New Roman"/>
                <w:b/>
                <w:bCs/>
                <w:color w:val="auto"/>
                <w:sz w:val="24"/>
                <w:szCs w:val="24"/>
                <w:highlight w:val="none"/>
                <w:lang w:val="en-US" w:eastAsia="zh-CN"/>
              </w:rPr>
              <w:t>污水处理厂处理工艺流程图</w:t>
            </w:r>
          </w:p>
          <w:p w14:paraId="45C99D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540C7C9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19856300">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w:t>
            </w:r>
            <w:r>
              <w:rPr>
                <w:rFonts w:hint="eastAsia" w:ascii="Times New Roman" w:hAnsi="Times New Roman" w:eastAsia="宋体" w:cs="Times New Roman"/>
                <w:strike w:val="0"/>
                <w:dstrike w:val="0"/>
                <w:color w:val="auto"/>
                <w:sz w:val="24"/>
                <w:lang w:val="en-US" w:eastAsia="zh-CN"/>
              </w:rPr>
              <w:t>岁金</w:t>
            </w:r>
            <w:r>
              <w:rPr>
                <w:rFonts w:hint="eastAsia" w:cs="Times New Roman"/>
                <w:strike w:val="0"/>
                <w:dstrike w:val="0"/>
                <w:color w:val="auto"/>
                <w:sz w:val="24"/>
                <w:lang w:val="en-US" w:eastAsia="zh-CN"/>
              </w:rPr>
              <w:t>配套</w:t>
            </w:r>
            <w:r>
              <w:rPr>
                <w:rFonts w:hint="default" w:ascii="Times New Roman" w:hAnsi="Times New Roman" w:eastAsia="宋体" w:cs="Times New Roman"/>
                <w:strike w:val="0"/>
                <w:dstrike w:val="0"/>
                <w:color w:val="auto"/>
                <w:sz w:val="24"/>
                <w:lang w:val="en-US" w:eastAsia="zh-CN"/>
              </w:rPr>
              <w:t>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587115"/>
                  <wp:effectExtent l="0" t="0" r="1905" b="13335"/>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20"/>
                          <a:stretch>
                            <a:fillRect/>
                          </a:stretch>
                        </pic:blipFill>
                        <pic:spPr>
                          <a:xfrm>
                            <a:off x="0" y="0"/>
                            <a:ext cx="5427345" cy="3587115"/>
                          </a:xfrm>
                          <a:prstGeom prst="rect">
                            <a:avLst/>
                          </a:prstGeom>
                          <a:noFill/>
                          <a:ln>
                            <a:noFill/>
                          </a:ln>
                        </pic:spPr>
                      </pic:pic>
                    </a:graphicData>
                  </a:graphic>
                </wp:inline>
              </w:drawing>
            </w:r>
          </w:p>
          <w:p w14:paraId="296396FE">
            <w:pPr>
              <w:pStyle w:val="40"/>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污水工程规划图</w:t>
            </w:r>
          </w:p>
          <w:p w14:paraId="2215E0B4">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7BFB5F66">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2EACF1A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63FC75E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市融元污水处理厂厂内提标及改造工程已经完成并正常使用，平均处理规模约为11.85万m³/d，剩余处理能力1500m³/d。本项目生活污水排放量</w:t>
            </w:r>
            <w:r>
              <w:rPr>
                <w:rFonts w:hint="eastAsia"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lang w:val="en-US" w:eastAsia="zh-CN"/>
              </w:rPr>
              <w:t>t/d，仅占福清市融元污水处理厂剩余处理规模的0.0</w:t>
            </w:r>
            <w:r>
              <w:rPr>
                <w:rFonts w:hint="eastAsia" w:ascii="Times New Roman" w:hAnsi="Times New Roman" w:eastAsia="宋体"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3317076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14" w:name="_Toc5960"/>
            <w:r>
              <w:rPr>
                <w:rFonts w:hint="eastAsia" w:ascii="Times New Roman" w:hAnsi="Times New Roman" w:eastAsia="宋体" w:cs="Times New Roman"/>
                <w:color w:val="auto"/>
                <w:sz w:val="28"/>
                <w:szCs w:val="28"/>
                <w:u w:val="none"/>
                <w:lang w:val="en-US" w:eastAsia="zh-CN"/>
              </w:rPr>
              <w:t>4.3噪声环境影响分析和污染防治措施</w:t>
            </w:r>
            <w:bookmarkEnd w:id="114"/>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5" w:name="_Toc20783"/>
            <w:r>
              <w:rPr>
                <w:rFonts w:hint="default"/>
                <w:b/>
                <w:color w:val="262626"/>
                <w:kern w:val="0"/>
                <w:sz w:val="24"/>
                <w:lang w:val="en-US" w:eastAsia="zh-CN"/>
              </w:rPr>
              <w:t>4.3.1噪声源强分析</w:t>
            </w:r>
            <w:bookmarkEnd w:id="115"/>
          </w:p>
          <w:p w14:paraId="5EE9123B">
            <w:pPr>
              <w:pStyle w:val="56"/>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 噪声源强调查清单（室内声源）</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370"/>
              <w:gridCol w:w="570"/>
              <w:gridCol w:w="388"/>
              <w:gridCol w:w="529"/>
              <w:gridCol w:w="613"/>
              <w:gridCol w:w="507"/>
              <w:gridCol w:w="592"/>
              <w:gridCol w:w="373"/>
              <w:gridCol w:w="519"/>
              <w:gridCol w:w="477"/>
              <w:gridCol w:w="663"/>
              <w:gridCol w:w="599"/>
              <w:gridCol w:w="726"/>
              <w:gridCol w:w="649"/>
              <w:gridCol w:w="704"/>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62FA156E">
                  <w:pPr>
                    <w:jc w:val="center"/>
                    <w:rPr>
                      <w:rFonts w:hint="eastAsia"/>
                      <w:szCs w:val="21"/>
                    </w:rPr>
                  </w:pPr>
                  <w:r>
                    <w:rPr>
                      <w:rFonts w:hint="eastAsia"/>
                      <w:szCs w:val="21"/>
                    </w:rPr>
                    <w:t>序号</w:t>
                  </w:r>
                </w:p>
              </w:tc>
              <w:tc>
                <w:tcPr>
                  <w:tcW w:w="215" w:type="pct"/>
                  <w:vMerge w:val="restart"/>
                  <w:noWrap w:val="0"/>
                  <w:vAlign w:val="center"/>
                </w:tcPr>
                <w:p w14:paraId="1E78D581">
                  <w:pPr>
                    <w:jc w:val="center"/>
                    <w:rPr>
                      <w:rFonts w:hint="eastAsia"/>
                      <w:szCs w:val="21"/>
                    </w:rPr>
                  </w:pPr>
                  <w:r>
                    <w:rPr>
                      <w:rFonts w:hint="eastAsia"/>
                      <w:szCs w:val="21"/>
                    </w:rPr>
                    <w:t>建筑物名称</w:t>
                  </w:r>
                </w:p>
              </w:tc>
              <w:tc>
                <w:tcPr>
                  <w:tcW w:w="331" w:type="pct"/>
                  <w:vMerge w:val="restart"/>
                  <w:noWrap w:val="0"/>
                  <w:vAlign w:val="center"/>
                </w:tcPr>
                <w:p w14:paraId="7874F41E">
                  <w:pPr>
                    <w:jc w:val="center"/>
                    <w:rPr>
                      <w:rFonts w:hint="eastAsia"/>
                      <w:szCs w:val="21"/>
                    </w:rPr>
                  </w:pPr>
                  <w:r>
                    <w:rPr>
                      <w:rFonts w:hint="eastAsia"/>
                      <w:szCs w:val="21"/>
                    </w:rPr>
                    <w:t>声源名称</w:t>
                  </w:r>
                </w:p>
              </w:tc>
              <w:tc>
                <w:tcPr>
                  <w:tcW w:w="225" w:type="pct"/>
                  <w:vMerge w:val="restart"/>
                  <w:noWrap w:val="0"/>
                  <w:vAlign w:val="center"/>
                </w:tcPr>
                <w:p w14:paraId="2ED653C8">
                  <w:pPr>
                    <w:jc w:val="center"/>
                    <w:rPr>
                      <w:rFonts w:hint="eastAsia"/>
                      <w:szCs w:val="21"/>
                    </w:rPr>
                  </w:pPr>
                  <w:r>
                    <w:rPr>
                      <w:rFonts w:hint="eastAsia"/>
                      <w:szCs w:val="21"/>
                    </w:rPr>
                    <w:t>台/套数</w:t>
                  </w:r>
                </w:p>
              </w:tc>
              <w:tc>
                <w:tcPr>
                  <w:tcW w:w="308" w:type="pct"/>
                  <w:vMerge w:val="restart"/>
                  <w:noWrap w:val="0"/>
                  <w:vAlign w:val="center"/>
                </w:tcPr>
                <w:p w14:paraId="55821A3C">
                  <w:pPr>
                    <w:jc w:val="center"/>
                    <w:rPr>
                      <w:rFonts w:hint="eastAsia"/>
                      <w:szCs w:val="21"/>
                    </w:rPr>
                  </w:pPr>
                  <w:r>
                    <w:rPr>
                      <w:rFonts w:hint="eastAsia"/>
                      <w:szCs w:val="21"/>
                    </w:rPr>
                    <w:t>声功率级</w:t>
                  </w:r>
                </w:p>
                <w:p w14:paraId="5BF14801">
                  <w:pPr>
                    <w:jc w:val="center"/>
                    <w:rPr>
                      <w:rFonts w:hint="eastAsia"/>
                      <w:szCs w:val="21"/>
                    </w:rPr>
                  </w:pPr>
                  <w:r>
                    <w:rPr>
                      <w:rFonts w:hint="eastAsia"/>
                      <w:szCs w:val="21"/>
                    </w:rPr>
                    <w:t>/dB(A)</w:t>
                  </w:r>
                </w:p>
              </w:tc>
              <w:tc>
                <w:tcPr>
                  <w:tcW w:w="357" w:type="pct"/>
                  <w:vMerge w:val="restart"/>
                  <w:noWrap w:val="0"/>
                  <w:vAlign w:val="center"/>
                </w:tcPr>
                <w:p w14:paraId="7903167C">
                  <w:pPr>
                    <w:jc w:val="center"/>
                    <w:rPr>
                      <w:rFonts w:hint="eastAsia"/>
                      <w:szCs w:val="21"/>
                    </w:rPr>
                  </w:pPr>
                  <w:r>
                    <w:rPr>
                      <w:rFonts w:hint="eastAsia"/>
                      <w:szCs w:val="21"/>
                    </w:rPr>
                    <w:t>声源控制措施</w:t>
                  </w:r>
                </w:p>
              </w:tc>
              <w:tc>
                <w:tcPr>
                  <w:tcW w:w="857" w:type="pct"/>
                  <w:gridSpan w:val="3"/>
                  <w:noWrap w:val="0"/>
                  <w:vAlign w:val="center"/>
                </w:tcPr>
                <w:p w14:paraId="51CBB0C0">
                  <w:pPr>
                    <w:jc w:val="center"/>
                    <w:rPr>
                      <w:rFonts w:hint="eastAsia"/>
                      <w:szCs w:val="21"/>
                    </w:rPr>
                  </w:pPr>
                  <w:r>
                    <w:rPr>
                      <w:rFonts w:hint="eastAsia"/>
                      <w:szCs w:val="21"/>
                    </w:rPr>
                    <w:t>空间相对位置/m</w:t>
                  </w:r>
                </w:p>
              </w:tc>
              <w:tc>
                <w:tcPr>
                  <w:tcW w:w="580" w:type="pct"/>
                  <w:gridSpan w:val="2"/>
                  <w:vMerge w:val="restart"/>
                  <w:noWrap w:val="0"/>
                  <w:vAlign w:val="center"/>
                </w:tcPr>
                <w:p w14:paraId="369DC476">
                  <w:pPr>
                    <w:jc w:val="center"/>
                    <w:rPr>
                      <w:rFonts w:hint="eastAsia"/>
                      <w:szCs w:val="21"/>
                    </w:rPr>
                  </w:pPr>
                  <w:r>
                    <w:rPr>
                      <w:rFonts w:hint="eastAsia"/>
                      <w:szCs w:val="21"/>
                    </w:rPr>
                    <w:t>距室内边界距离/m</w:t>
                  </w:r>
                </w:p>
              </w:tc>
              <w:tc>
                <w:tcPr>
                  <w:tcW w:w="386" w:type="pct"/>
                  <w:vMerge w:val="restart"/>
                  <w:noWrap w:val="0"/>
                  <w:vAlign w:val="center"/>
                </w:tcPr>
                <w:p w14:paraId="3BD05F07">
                  <w:pPr>
                    <w:jc w:val="center"/>
                    <w:rPr>
                      <w:rFonts w:hint="eastAsia"/>
                      <w:szCs w:val="21"/>
                    </w:rPr>
                  </w:pPr>
                  <w:r>
                    <w:rPr>
                      <w:rFonts w:hint="eastAsia"/>
                      <w:szCs w:val="21"/>
                    </w:rPr>
                    <w:t>室内边界声级</w:t>
                  </w:r>
                </w:p>
                <w:p w14:paraId="01D05D15">
                  <w:pPr>
                    <w:jc w:val="center"/>
                    <w:rPr>
                      <w:rFonts w:hint="eastAsia"/>
                      <w:szCs w:val="21"/>
                    </w:rPr>
                  </w:pPr>
                  <w:r>
                    <w:rPr>
                      <w:rFonts w:hint="eastAsia"/>
                      <w:szCs w:val="21"/>
                    </w:rPr>
                    <w:t>/dB(A)</w:t>
                  </w:r>
                </w:p>
              </w:tc>
              <w:tc>
                <w:tcPr>
                  <w:tcW w:w="348" w:type="pct"/>
                  <w:vMerge w:val="restart"/>
                  <w:noWrap w:val="0"/>
                  <w:vAlign w:val="center"/>
                </w:tcPr>
                <w:p w14:paraId="3431DE61">
                  <w:pPr>
                    <w:jc w:val="center"/>
                    <w:rPr>
                      <w:rFonts w:hint="eastAsia"/>
                      <w:szCs w:val="21"/>
                    </w:rPr>
                  </w:pPr>
                  <w:r>
                    <w:rPr>
                      <w:rFonts w:hint="eastAsia"/>
                      <w:szCs w:val="21"/>
                    </w:rPr>
                    <w:t>运行时段</w:t>
                  </w:r>
                </w:p>
              </w:tc>
              <w:tc>
                <w:tcPr>
                  <w:tcW w:w="422" w:type="pct"/>
                  <w:vMerge w:val="restart"/>
                  <w:noWrap w:val="0"/>
                  <w:vAlign w:val="center"/>
                </w:tcPr>
                <w:p w14:paraId="12F67225">
                  <w:pPr>
                    <w:jc w:val="center"/>
                    <w:rPr>
                      <w:rFonts w:hint="eastAsia"/>
                      <w:szCs w:val="21"/>
                    </w:rPr>
                  </w:pPr>
                  <w:r>
                    <w:rPr>
                      <w:rFonts w:hint="eastAsia"/>
                      <w:szCs w:val="21"/>
                    </w:rPr>
                    <w:t>建筑物插入损失/dB(A)</w:t>
                  </w:r>
                </w:p>
              </w:tc>
              <w:tc>
                <w:tcPr>
                  <w:tcW w:w="788" w:type="pct"/>
                  <w:gridSpan w:val="2"/>
                  <w:noWrap w:val="0"/>
                  <w:vAlign w:val="center"/>
                </w:tcPr>
                <w:p w14:paraId="1123375D">
                  <w:pPr>
                    <w:jc w:val="center"/>
                    <w:rPr>
                      <w:rFonts w:hint="eastAsia"/>
                      <w:szCs w:val="21"/>
                    </w:rPr>
                  </w:pPr>
                  <w:r>
                    <w:rPr>
                      <w:rFonts w:hint="eastAsia"/>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178" w:type="pct"/>
                  <w:vMerge w:val="continue"/>
                  <w:noWrap w:val="0"/>
                  <w:vAlign w:val="center"/>
                </w:tcPr>
                <w:p w14:paraId="2A56588D">
                  <w:pPr>
                    <w:jc w:val="center"/>
                    <w:rPr>
                      <w:rFonts w:hint="eastAsia"/>
                      <w:szCs w:val="21"/>
                    </w:rPr>
                  </w:pPr>
                </w:p>
              </w:tc>
              <w:tc>
                <w:tcPr>
                  <w:tcW w:w="215" w:type="pct"/>
                  <w:vMerge w:val="continue"/>
                  <w:noWrap w:val="0"/>
                  <w:vAlign w:val="center"/>
                </w:tcPr>
                <w:p w14:paraId="71B354A8">
                  <w:pPr>
                    <w:jc w:val="center"/>
                    <w:rPr>
                      <w:rFonts w:hint="eastAsia"/>
                      <w:szCs w:val="21"/>
                    </w:rPr>
                  </w:pPr>
                </w:p>
              </w:tc>
              <w:tc>
                <w:tcPr>
                  <w:tcW w:w="331" w:type="pct"/>
                  <w:vMerge w:val="continue"/>
                  <w:noWrap w:val="0"/>
                  <w:vAlign w:val="center"/>
                </w:tcPr>
                <w:p w14:paraId="26391101">
                  <w:pPr>
                    <w:jc w:val="center"/>
                    <w:rPr>
                      <w:rFonts w:hint="eastAsia"/>
                      <w:szCs w:val="21"/>
                    </w:rPr>
                  </w:pPr>
                </w:p>
              </w:tc>
              <w:tc>
                <w:tcPr>
                  <w:tcW w:w="225" w:type="pct"/>
                  <w:vMerge w:val="continue"/>
                  <w:noWrap w:val="0"/>
                  <w:vAlign w:val="center"/>
                </w:tcPr>
                <w:p w14:paraId="4EC4C098">
                  <w:pPr>
                    <w:jc w:val="center"/>
                    <w:rPr>
                      <w:rFonts w:hint="eastAsia"/>
                      <w:szCs w:val="21"/>
                    </w:rPr>
                  </w:pPr>
                </w:p>
              </w:tc>
              <w:tc>
                <w:tcPr>
                  <w:tcW w:w="308" w:type="pct"/>
                  <w:vMerge w:val="continue"/>
                  <w:noWrap w:val="0"/>
                  <w:vAlign w:val="center"/>
                </w:tcPr>
                <w:p w14:paraId="72455F16">
                  <w:pPr>
                    <w:jc w:val="center"/>
                    <w:rPr>
                      <w:rFonts w:hint="eastAsia"/>
                      <w:szCs w:val="21"/>
                    </w:rPr>
                  </w:pPr>
                </w:p>
              </w:tc>
              <w:tc>
                <w:tcPr>
                  <w:tcW w:w="357" w:type="pct"/>
                  <w:vMerge w:val="continue"/>
                  <w:noWrap w:val="0"/>
                  <w:vAlign w:val="center"/>
                </w:tcPr>
                <w:p w14:paraId="07BA0A6E">
                  <w:pPr>
                    <w:jc w:val="center"/>
                    <w:rPr>
                      <w:rFonts w:hint="eastAsia"/>
                      <w:szCs w:val="21"/>
                    </w:rPr>
                  </w:pPr>
                </w:p>
              </w:tc>
              <w:tc>
                <w:tcPr>
                  <w:tcW w:w="295" w:type="pct"/>
                  <w:noWrap w:val="0"/>
                  <w:vAlign w:val="center"/>
                </w:tcPr>
                <w:p w14:paraId="7A391080">
                  <w:pPr>
                    <w:jc w:val="center"/>
                    <w:rPr>
                      <w:rFonts w:hint="eastAsia"/>
                      <w:szCs w:val="21"/>
                    </w:rPr>
                  </w:pPr>
                  <w:r>
                    <w:rPr>
                      <w:rFonts w:hint="eastAsia"/>
                      <w:szCs w:val="21"/>
                    </w:rPr>
                    <w:t>X</w:t>
                  </w:r>
                </w:p>
              </w:tc>
              <w:tc>
                <w:tcPr>
                  <w:tcW w:w="344" w:type="pct"/>
                  <w:noWrap w:val="0"/>
                  <w:vAlign w:val="center"/>
                </w:tcPr>
                <w:p w14:paraId="6A09235D">
                  <w:pPr>
                    <w:jc w:val="center"/>
                    <w:rPr>
                      <w:rFonts w:hint="eastAsia"/>
                      <w:szCs w:val="21"/>
                    </w:rPr>
                  </w:pPr>
                  <w:r>
                    <w:rPr>
                      <w:rFonts w:hint="eastAsia"/>
                      <w:szCs w:val="21"/>
                    </w:rPr>
                    <w:t>Y</w:t>
                  </w:r>
                </w:p>
              </w:tc>
              <w:tc>
                <w:tcPr>
                  <w:tcW w:w="217" w:type="pct"/>
                  <w:noWrap w:val="0"/>
                  <w:vAlign w:val="center"/>
                </w:tcPr>
                <w:p w14:paraId="31AD39D7">
                  <w:pPr>
                    <w:jc w:val="center"/>
                    <w:rPr>
                      <w:rFonts w:hint="eastAsia"/>
                      <w:szCs w:val="21"/>
                    </w:rPr>
                  </w:pPr>
                  <w:r>
                    <w:rPr>
                      <w:rFonts w:hint="eastAsia"/>
                      <w:szCs w:val="21"/>
                    </w:rPr>
                    <w:t>Z</w:t>
                  </w:r>
                </w:p>
              </w:tc>
              <w:tc>
                <w:tcPr>
                  <w:tcW w:w="580" w:type="pct"/>
                  <w:gridSpan w:val="2"/>
                  <w:vMerge w:val="continue"/>
                  <w:noWrap w:val="0"/>
                  <w:vAlign w:val="center"/>
                </w:tcPr>
                <w:p w14:paraId="62F09364">
                  <w:pPr>
                    <w:jc w:val="center"/>
                    <w:rPr>
                      <w:rFonts w:hint="eastAsia"/>
                      <w:szCs w:val="21"/>
                    </w:rPr>
                  </w:pPr>
                </w:p>
              </w:tc>
              <w:tc>
                <w:tcPr>
                  <w:tcW w:w="386" w:type="pct"/>
                  <w:vMerge w:val="continue"/>
                  <w:noWrap w:val="0"/>
                  <w:vAlign w:val="center"/>
                </w:tcPr>
                <w:p w14:paraId="013391F1">
                  <w:pPr>
                    <w:jc w:val="center"/>
                    <w:rPr>
                      <w:rFonts w:hint="eastAsia"/>
                      <w:szCs w:val="21"/>
                    </w:rPr>
                  </w:pPr>
                </w:p>
              </w:tc>
              <w:tc>
                <w:tcPr>
                  <w:tcW w:w="348" w:type="pct"/>
                  <w:vMerge w:val="continue"/>
                  <w:noWrap w:val="0"/>
                  <w:vAlign w:val="center"/>
                </w:tcPr>
                <w:p w14:paraId="3A1B1726">
                  <w:pPr>
                    <w:jc w:val="center"/>
                    <w:rPr>
                      <w:rFonts w:hint="eastAsia"/>
                      <w:szCs w:val="21"/>
                    </w:rPr>
                  </w:pPr>
                </w:p>
              </w:tc>
              <w:tc>
                <w:tcPr>
                  <w:tcW w:w="422" w:type="pct"/>
                  <w:vMerge w:val="continue"/>
                  <w:noWrap w:val="0"/>
                  <w:vAlign w:val="center"/>
                </w:tcPr>
                <w:p w14:paraId="74132505">
                  <w:pPr>
                    <w:jc w:val="center"/>
                    <w:rPr>
                      <w:rFonts w:hint="eastAsia"/>
                      <w:szCs w:val="21"/>
                    </w:rPr>
                  </w:pPr>
                </w:p>
              </w:tc>
              <w:tc>
                <w:tcPr>
                  <w:tcW w:w="377" w:type="pct"/>
                  <w:noWrap w:val="0"/>
                  <w:vAlign w:val="center"/>
                </w:tcPr>
                <w:p w14:paraId="5669A91D">
                  <w:pPr>
                    <w:jc w:val="center"/>
                    <w:rPr>
                      <w:rFonts w:hint="eastAsia"/>
                      <w:szCs w:val="21"/>
                    </w:rPr>
                  </w:pPr>
                  <w:r>
                    <w:rPr>
                      <w:rFonts w:hint="eastAsia"/>
                      <w:szCs w:val="21"/>
                    </w:rPr>
                    <w:t>声压级</w:t>
                  </w:r>
                </w:p>
                <w:p w14:paraId="41B58377">
                  <w:pPr>
                    <w:jc w:val="center"/>
                    <w:rPr>
                      <w:rFonts w:hint="eastAsia"/>
                      <w:szCs w:val="21"/>
                    </w:rPr>
                  </w:pPr>
                  <w:r>
                    <w:rPr>
                      <w:rFonts w:hint="eastAsia"/>
                      <w:szCs w:val="21"/>
                    </w:rPr>
                    <w:t>/dB(A)</w:t>
                  </w:r>
                </w:p>
              </w:tc>
              <w:tc>
                <w:tcPr>
                  <w:tcW w:w="410" w:type="pct"/>
                  <w:noWrap w:val="0"/>
                  <w:vAlign w:val="center"/>
                </w:tcPr>
                <w:p w14:paraId="121D7657">
                  <w:pPr>
                    <w:jc w:val="center"/>
                    <w:rPr>
                      <w:rFonts w:hint="eastAsia"/>
                      <w:szCs w:val="21"/>
                    </w:rPr>
                  </w:pPr>
                  <w:r>
                    <w:rPr>
                      <w:rFonts w:hint="eastAsia"/>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20900564">
                  <w:pPr>
                    <w:jc w:val="center"/>
                    <w:rPr>
                      <w:rFonts w:hint="eastAsia"/>
                      <w:szCs w:val="21"/>
                    </w:rPr>
                  </w:pPr>
                  <w:r>
                    <w:rPr>
                      <w:rFonts w:hint="eastAsia"/>
                      <w:szCs w:val="21"/>
                    </w:rPr>
                    <w:t>1</w:t>
                  </w:r>
                </w:p>
              </w:tc>
              <w:tc>
                <w:tcPr>
                  <w:tcW w:w="215" w:type="pct"/>
                  <w:vMerge w:val="restart"/>
                  <w:noWrap w:val="0"/>
                  <w:vAlign w:val="center"/>
                </w:tcPr>
                <w:p w14:paraId="0BF64E75">
                  <w:pPr>
                    <w:jc w:val="center"/>
                    <w:rPr>
                      <w:rFonts w:hint="default" w:eastAsia="宋体"/>
                      <w:szCs w:val="21"/>
                      <w:lang w:val="en-US" w:eastAsia="zh-CN"/>
                    </w:rPr>
                  </w:pPr>
                  <w:r>
                    <w:rPr>
                      <w:rFonts w:hint="eastAsia"/>
                      <w:szCs w:val="21"/>
                      <w:lang w:val="en-US" w:eastAsia="zh-CN"/>
                    </w:rPr>
                    <w:t>一层厂房内</w:t>
                  </w:r>
                </w:p>
              </w:tc>
              <w:tc>
                <w:tcPr>
                  <w:tcW w:w="331" w:type="pct"/>
                  <w:vMerge w:val="restart"/>
                  <w:noWrap w:val="0"/>
                  <w:vAlign w:val="center"/>
                </w:tcPr>
                <w:p w14:paraId="2A13FBC5">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注塑机</w:t>
                  </w:r>
                </w:p>
              </w:tc>
              <w:tc>
                <w:tcPr>
                  <w:tcW w:w="225" w:type="pct"/>
                  <w:vMerge w:val="restart"/>
                  <w:noWrap w:val="0"/>
                  <w:vAlign w:val="center"/>
                </w:tcPr>
                <w:p w14:paraId="0CE18594">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308" w:type="pct"/>
                  <w:vMerge w:val="restart"/>
                  <w:noWrap w:val="0"/>
                  <w:vAlign w:val="center"/>
                </w:tcPr>
                <w:p w14:paraId="770758C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70-75</w:t>
                  </w:r>
                </w:p>
              </w:tc>
              <w:tc>
                <w:tcPr>
                  <w:tcW w:w="357" w:type="pct"/>
                  <w:vMerge w:val="restart"/>
                  <w:noWrap w:val="0"/>
                  <w:vAlign w:val="center"/>
                </w:tcPr>
                <w:p w14:paraId="47621061">
                  <w:pPr>
                    <w:jc w:val="center"/>
                    <w:rPr>
                      <w:szCs w:val="21"/>
                    </w:rPr>
                  </w:pPr>
                  <w:r>
                    <w:rPr>
                      <w:rFonts w:hint="eastAsia"/>
                      <w:szCs w:val="21"/>
                    </w:rPr>
                    <w:t>减震垫，墙体隔声</w:t>
                  </w:r>
                </w:p>
              </w:tc>
              <w:tc>
                <w:tcPr>
                  <w:tcW w:w="295" w:type="pct"/>
                  <w:vMerge w:val="restart"/>
                  <w:noWrap w:val="0"/>
                  <w:vAlign w:val="center"/>
                </w:tcPr>
                <w:p w14:paraId="3C19E2DB">
                  <w:pPr>
                    <w:jc w:val="center"/>
                    <w:rPr>
                      <w:rFonts w:hint="default" w:eastAsia="宋体"/>
                      <w:szCs w:val="21"/>
                      <w:lang w:val="en-US" w:eastAsia="zh-CN"/>
                    </w:rPr>
                  </w:pPr>
                  <w:r>
                    <w:rPr>
                      <w:rFonts w:hint="eastAsia"/>
                      <w:szCs w:val="21"/>
                      <w:lang w:val="en-US" w:eastAsia="zh-CN"/>
                    </w:rPr>
                    <w:t>1-22</w:t>
                  </w:r>
                </w:p>
              </w:tc>
              <w:tc>
                <w:tcPr>
                  <w:tcW w:w="344" w:type="pct"/>
                  <w:vMerge w:val="restart"/>
                  <w:noWrap w:val="0"/>
                  <w:vAlign w:val="center"/>
                </w:tcPr>
                <w:p w14:paraId="4936935D">
                  <w:pPr>
                    <w:jc w:val="center"/>
                    <w:rPr>
                      <w:rFonts w:hint="default" w:eastAsia="宋体"/>
                      <w:szCs w:val="21"/>
                      <w:lang w:val="en-US" w:eastAsia="zh-CN"/>
                    </w:rPr>
                  </w:pPr>
                  <w:r>
                    <w:rPr>
                      <w:rFonts w:hint="eastAsia" w:eastAsia="宋体"/>
                      <w:szCs w:val="21"/>
                      <w:lang w:val="en-US" w:eastAsia="zh-CN"/>
                    </w:rPr>
                    <w:t>0.7-11</w:t>
                  </w:r>
                </w:p>
              </w:tc>
              <w:tc>
                <w:tcPr>
                  <w:tcW w:w="217" w:type="pct"/>
                  <w:vMerge w:val="restart"/>
                  <w:noWrap w:val="0"/>
                  <w:vAlign w:val="center"/>
                </w:tcPr>
                <w:p w14:paraId="553ED1B7">
                  <w:pPr>
                    <w:jc w:val="center"/>
                    <w:rPr>
                      <w:rFonts w:hint="default" w:eastAsia="宋体"/>
                      <w:szCs w:val="21"/>
                      <w:lang w:val="en-US" w:eastAsia="zh-CN"/>
                    </w:rPr>
                  </w:pPr>
                  <w:r>
                    <w:rPr>
                      <w:rFonts w:hint="eastAsia" w:eastAsia="宋体"/>
                      <w:szCs w:val="21"/>
                      <w:lang w:val="en-US" w:eastAsia="zh-CN"/>
                    </w:rPr>
                    <w:t>1.2</w:t>
                  </w:r>
                </w:p>
              </w:tc>
              <w:tc>
                <w:tcPr>
                  <w:tcW w:w="302" w:type="pct"/>
                  <w:tcBorders>
                    <w:right w:val="single" w:color="000000" w:sz="4" w:space="0"/>
                  </w:tcBorders>
                  <w:noWrap w:val="0"/>
                  <w:vAlign w:val="center"/>
                </w:tcPr>
                <w:p w14:paraId="50762D2A">
                  <w:pPr>
                    <w:jc w:val="center"/>
                    <w:rPr>
                      <w:rFonts w:hint="eastAsia" w:eastAsia="宋体"/>
                      <w:szCs w:val="21"/>
                      <w:lang w:val="en-US" w:eastAsia="zh-CN"/>
                    </w:rPr>
                  </w:pPr>
                  <w:r>
                    <w:rPr>
                      <w:rFonts w:hint="eastAsia"/>
                      <w:szCs w:val="21"/>
                      <w:lang w:val="en-US" w:eastAsia="zh-CN"/>
                    </w:rPr>
                    <w:t>西北</w:t>
                  </w:r>
                </w:p>
              </w:tc>
              <w:tc>
                <w:tcPr>
                  <w:tcW w:w="277" w:type="pct"/>
                  <w:tcBorders>
                    <w:left w:val="single" w:color="000000" w:sz="4" w:space="0"/>
                  </w:tcBorders>
                  <w:noWrap w:val="0"/>
                  <w:vAlign w:val="center"/>
                </w:tcPr>
                <w:p w14:paraId="0D13013A">
                  <w:pPr>
                    <w:jc w:val="center"/>
                    <w:rPr>
                      <w:rFonts w:hint="default" w:eastAsia="宋体"/>
                      <w:szCs w:val="21"/>
                      <w:lang w:val="en-US" w:eastAsia="zh-CN"/>
                    </w:rPr>
                  </w:pPr>
                  <w:r>
                    <w:rPr>
                      <w:rFonts w:hint="eastAsia" w:eastAsia="宋体"/>
                      <w:szCs w:val="21"/>
                      <w:lang w:val="en-US" w:eastAsia="zh-CN"/>
                    </w:rPr>
                    <w:t>0.7</w:t>
                  </w:r>
                </w:p>
              </w:tc>
              <w:tc>
                <w:tcPr>
                  <w:tcW w:w="386" w:type="pct"/>
                  <w:noWrap w:val="0"/>
                  <w:vAlign w:val="center"/>
                </w:tcPr>
                <w:p w14:paraId="2C478B7E">
                  <w:pPr>
                    <w:jc w:val="center"/>
                    <w:rPr>
                      <w:rFonts w:hint="default" w:eastAsia="宋体"/>
                      <w:szCs w:val="21"/>
                      <w:lang w:val="en-US" w:eastAsia="zh-CN"/>
                    </w:rPr>
                  </w:pPr>
                  <w:r>
                    <w:rPr>
                      <w:rFonts w:hint="eastAsia"/>
                      <w:szCs w:val="21"/>
                      <w:lang w:val="en-US" w:eastAsia="zh-CN"/>
                    </w:rPr>
                    <w:t>65.2</w:t>
                  </w:r>
                </w:p>
              </w:tc>
              <w:tc>
                <w:tcPr>
                  <w:tcW w:w="348" w:type="pct"/>
                  <w:vMerge w:val="restart"/>
                  <w:noWrap w:val="0"/>
                  <w:vAlign w:val="center"/>
                </w:tcPr>
                <w:p w14:paraId="092B136B">
                  <w:pPr>
                    <w:jc w:val="center"/>
                    <w:rPr>
                      <w:rFonts w:hint="eastAsia"/>
                      <w:szCs w:val="21"/>
                    </w:rPr>
                  </w:pPr>
                  <w:r>
                    <w:rPr>
                      <w:rFonts w:hint="eastAsia"/>
                      <w:snapToGrid w:val="0"/>
                      <w:szCs w:val="21"/>
                      <w:lang w:val="en-US" w:eastAsia="zh-CN"/>
                    </w:rPr>
                    <w:t>24</w:t>
                  </w:r>
                  <w:r>
                    <w:rPr>
                      <w:snapToGrid w:val="0"/>
                      <w:szCs w:val="21"/>
                    </w:rPr>
                    <w:t>h</w:t>
                  </w:r>
                  <w:r>
                    <w:rPr>
                      <w:rFonts w:hint="eastAsia"/>
                      <w:snapToGrid w:val="0"/>
                      <w:szCs w:val="21"/>
                    </w:rPr>
                    <w:t>/d</w:t>
                  </w:r>
                </w:p>
              </w:tc>
              <w:tc>
                <w:tcPr>
                  <w:tcW w:w="422" w:type="pct"/>
                  <w:vMerge w:val="restart"/>
                  <w:noWrap w:val="0"/>
                  <w:vAlign w:val="center"/>
                </w:tcPr>
                <w:p w14:paraId="0EA9C8DD">
                  <w:pPr>
                    <w:jc w:val="center"/>
                    <w:rPr>
                      <w:rFonts w:hint="eastAsia"/>
                      <w:szCs w:val="21"/>
                    </w:rPr>
                  </w:pPr>
                  <w:r>
                    <w:rPr>
                      <w:rFonts w:hint="eastAsia"/>
                      <w:szCs w:val="21"/>
                    </w:rPr>
                    <w:t>-15</w:t>
                  </w:r>
                </w:p>
              </w:tc>
              <w:tc>
                <w:tcPr>
                  <w:tcW w:w="377" w:type="pct"/>
                  <w:noWrap w:val="0"/>
                  <w:vAlign w:val="center"/>
                </w:tcPr>
                <w:p w14:paraId="27DE4437">
                  <w:pPr>
                    <w:jc w:val="center"/>
                    <w:rPr>
                      <w:rFonts w:hint="default" w:eastAsia="宋体"/>
                      <w:szCs w:val="21"/>
                      <w:lang w:val="en-US" w:eastAsia="zh-CN"/>
                    </w:rPr>
                  </w:pPr>
                  <w:r>
                    <w:rPr>
                      <w:rFonts w:hint="eastAsia" w:eastAsia="宋体"/>
                      <w:szCs w:val="21"/>
                      <w:lang w:val="en-US" w:eastAsia="zh-CN"/>
                    </w:rPr>
                    <w:t>50.2</w:t>
                  </w:r>
                </w:p>
              </w:tc>
              <w:tc>
                <w:tcPr>
                  <w:tcW w:w="410" w:type="pct"/>
                  <w:vMerge w:val="restart"/>
                  <w:noWrap w:val="0"/>
                  <w:vAlign w:val="center"/>
                </w:tcPr>
                <w:p w14:paraId="00B18668">
                  <w:pPr>
                    <w:jc w:val="center"/>
                    <w:rPr>
                      <w:rFonts w:hint="eastAsia"/>
                      <w:szCs w:val="21"/>
                    </w:rPr>
                  </w:pPr>
                  <w:r>
                    <w:rPr>
                      <w:rFonts w:hint="eastAsia"/>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0F224AB7">
                  <w:pPr>
                    <w:jc w:val="center"/>
                    <w:rPr>
                      <w:rFonts w:hint="eastAsia"/>
                      <w:szCs w:val="21"/>
                    </w:rPr>
                  </w:pPr>
                </w:p>
              </w:tc>
              <w:tc>
                <w:tcPr>
                  <w:tcW w:w="215" w:type="pct"/>
                  <w:vMerge w:val="continue"/>
                  <w:noWrap w:val="0"/>
                  <w:vAlign w:val="center"/>
                </w:tcPr>
                <w:p w14:paraId="034489CB">
                  <w:pPr>
                    <w:jc w:val="center"/>
                    <w:rPr>
                      <w:rFonts w:hint="eastAsia"/>
                      <w:szCs w:val="21"/>
                    </w:rPr>
                  </w:pPr>
                </w:p>
              </w:tc>
              <w:tc>
                <w:tcPr>
                  <w:tcW w:w="331" w:type="pct"/>
                  <w:vMerge w:val="continue"/>
                  <w:noWrap w:val="0"/>
                  <w:vAlign w:val="center"/>
                </w:tcPr>
                <w:p w14:paraId="531F28F1">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55D33786">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5451AFF0">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1383C931">
                  <w:pPr>
                    <w:jc w:val="center"/>
                    <w:rPr>
                      <w:rFonts w:hint="eastAsia"/>
                      <w:szCs w:val="21"/>
                    </w:rPr>
                  </w:pPr>
                </w:p>
              </w:tc>
              <w:tc>
                <w:tcPr>
                  <w:tcW w:w="295" w:type="pct"/>
                  <w:vMerge w:val="continue"/>
                  <w:noWrap w:val="0"/>
                  <w:vAlign w:val="center"/>
                </w:tcPr>
                <w:p w14:paraId="20B09230">
                  <w:pPr>
                    <w:jc w:val="center"/>
                    <w:rPr>
                      <w:szCs w:val="21"/>
                    </w:rPr>
                  </w:pPr>
                </w:p>
              </w:tc>
              <w:tc>
                <w:tcPr>
                  <w:tcW w:w="344" w:type="pct"/>
                  <w:vMerge w:val="continue"/>
                  <w:noWrap w:val="0"/>
                  <w:vAlign w:val="center"/>
                </w:tcPr>
                <w:p w14:paraId="0929CF9A">
                  <w:pPr>
                    <w:jc w:val="center"/>
                    <w:rPr>
                      <w:szCs w:val="21"/>
                    </w:rPr>
                  </w:pPr>
                </w:p>
              </w:tc>
              <w:tc>
                <w:tcPr>
                  <w:tcW w:w="217" w:type="pct"/>
                  <w:vMerge w:val="continue"/>
                  <w:noWrap w:val="0"/>
                  <w:vAlign w:val="center"/>
                </w:tcPr>
                <w:p w14:paraId="63F6C3F7">
                  <w:pPr>
                    <w:jc w:val="center"/>
                    <w:rPr>
                      <w:rFonts w:hint="eastAsia"/>
                      <w:szCs w:val="21"/>
                    </w:rPr>
                  </w:pPr>
                </w:p>
              </w:tc>
              <w:tc>
                <w:tcPr>
                  <w:tcW w:w="302" w:type="pct"/>
                  <w:tcBorders>
                    <w:right w:val="single" w:color="000000" w:sz="4" w:space="0"/>
                  </w:tcBorders>
                  <w:noWrap w:val="0"/>
                  <w:vAlign w:val="center"/>
                </w:tcPr>
                <w:p w14:paraId="6B845918">
                  <w:pPr>
                    <w:jc w:val="center"/>
                    <w:rPr>
                      <w:rFonts w:hint="eastAsia" w:eastAsia="宋体"/>
                      <w:szCs w:val="21"/>
                      <w:lang w:val="en-US" w:eastAsia="zh-CN"/>
                    </w:rPr>
                  </w:pPr>
                  <w:r>
                    <w:rPr>
                      <w:rFonts w:hint="eastAsia"/>
                      <w:szCs w:val="21"/>
                      <w:lang w:val="en-US" w:eastAsia="zh-CN"/>
                    </w:rPr>
                    <w:t>西南</w:t>
                  </w:r>
                </w:p>
              </w:tc>
              <w:tc>
                <w:tcPr>
                  <w:tcW w:w="277" w:type="pct"/>
                  <w:tcBorders>
                    <w:left w:val="single" w:color="000000" w:sz="4" w:space="0"/>
                  </w:tcBorders>
                  <w:noWrap w:val="0"/>
                  <w:vAlign w:val="center"/>
                </w:tcPr>
                <w:p w14:paraId="527E7CA0">
                  <w:pPr>
                    <w:jc w:val="center"/>
                    <w:rPr>
                      <w:rFonts w:hint="default" w:eastAsia="宋体"/>
                      <w:szCs w:val="21"/>
                      <w:lang w:val="en-US" w:eastAsia="zh-CN"/>
                    </w:rPr>
                  </w:pPr>
                  <w:r>
                    <w:rPr>
                      <w:rFonts w:hint="eastAsia" w:eastAsia="宋体"/>
                      <w:szCs w:val="21"/>
                      <w:lang w:val="en-US" w:eastAsia="zh-CN"/>
                    </w:rPr>
                    <w:t>11</w:t>
                  </w:r>
                </w:p>
              </w:tc>
              <w:tc>
                <w:tcPr>
                  <w:tcW w:w="386" w:type="pct"/>
                  <w:noWrap w:val="0"/>
                  <w:vAlign w:val="center"/>
                </w:tcPr>
                <w:p w14:paraId="0A3FBEEA">
                  <w:pPr>
                    <w:jc w:val="center"/>
                    <w:rPr>
                      <w:rFonts w:hint="default" w:eastAsia="宋体"/>
                      <w:szCs w:val="21"/>
                      <w:lang w:val="en-US" w:eastAsia="zh-CN"/>
                    </w:rPr>
                  </w:pPr>
                  <w:r>
                    <w:rPr>
                      <w:rFonts w:hint="eastAsia"/>
                      <w:szCs w:val="21"/>
                      <w:lang w:val="en-US" w:eastAsia="zh-CN"/>
                    </w:rPr>
                    <w:t>52.1</w:t>
                  </w:r>
                </w:p>
              </w:tc>
              <w:tc>
                <w:tcPr>
                  <w:tcW w:w="348" w:type="pct"/>
                  <w:vMerge w:val="continue"/>
                  <w:noWrap w:val="0"/>
                  <w:vAlign w:val="center"/>
                </w:tcPr>
                <w:p w14:paraId="129114D9">
                  <w:pPr>
                    <w:jc w:val="center"/>
                    <w:rPr>
                      <w:rFonts w:hint="eastAsia"/>
                      <w:snapToGrid w:val="0"/>
                      <w:szCs w:val="21"/>
                      <w:lang w:val="en-US" w:eastAsia="zh-CN"/>
                    </w:rPr>
                  </w:pPr>
                </w:p>
              </w:tc>
              <w:tc>
                <w:tcPr>
                  <w:tcW w:w="422" w:type="pct"/>
                  <w:vMerge w:val="continue"/>
                  <w:noWrap w:val="0"/>
                  <w:vAlign w:val="center"/>
                </w:tcPr>
                <w:p w14:paraId="380C412F">
                  <w:pPr>
                    <w:jc w:val="center"/>
                    <w:rPr>
                      <w:rFonts w:hint="eastAsia"/>
                      <w:szCs w:val="21"/>
                    </w:rPr>
                  </w:pPr>
                </w:p>
              </w:tc>
              <w:tc>
                <w:tcPr>
                  <w:tcW w:w="377" w:type="pct"/>
                  <w:noWrap w:val="0"/>
                  <w:vAlign w:val="center"/>
                </w:tcPr>
                <w:p w14:paraId="4CF794A9">
                  <w:pPr>
                    <w:jc w:val="center"/>
                    <w:rPr>
                      <w:rFonts w:hint="default" w:eastAsia="宋体"/>
                      <w:szCs w:val="21"/>
                      <w:lang w:val="en-US" w:eastAsia="zh-CN"/>
                    </w:rPr>
                  </w:pPr>
                  <w:r>
                    <w:rPr>
                      <w:rFonts w:hint="eastAsia" w:eastAsia="宋体"/>
                      <w:szCs w:val="21"/>
                      <w:lang w:val="en-US" w:eastAsia="zh-CN"/>
                    </w:rPr>
                    <w:t>37.1</w:t>
                  </w:r>
                </w:p>
              </w:tc>
              <w:tc>
                <w:tcPr>
                  <w:tcW w:w="410" w:type="pct"/>
                  <w:vMerge w:val="continue"/>
                  <w:noWrap w:val="0"/>
                  <w:vAlign w:val="center"/>
                </w:tcPr>
                <w:p w14:paraId="4C959A22">
                  <w:pPr>
                    <w:jc w:val="center"/>
                    <w:rPr>
                      <w:rFonts w:hint="eastAsia"/>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36D34A22">
                  <w:pPr>
                    <w:jc w:val="center"/>
                    <w:rPr>
                      <w:rFonts w:hint="eastAsia"/>
                      <w:szCs w:val="21"/>
                    </w:rPr>
                  </w:pPr>
                </w:p>
              </w:tc>
              <w:tc>
                <w:tcPr>
                  <w:tcW w:w="215" w:type="pct"/>
                  <w:vMerge w:val="continue"/>
                  <w:noWrap w:val="0"/>
                  <w:vAlign w:val="center"/>
                </w:tcPr>
                <w:p w14:paraId="1EEF55F7">
                  <w:pPr>
                    <w:jc w:val="center"/>
                    <w:rPr>
                      <w:rFonts w:hint="eastAsia"/>
                      <w:szCs w:val="21"/>
                    </w:rPr>
                  </w:pPr>
                </w:p>
              </w:tc>
              <w:tc>
                <w:tcPr>
                  <w:tcW w:w="331" w:type="pct"/>
                  <w:vMerge w:val="continue"/>
                  <w:noWrap w:val="0"/>
                  <w:vAlign w:val="center"/>
                </w:tcPr>
                <w:p w14:paraId="7B64C734">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41A04AAC">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485AF579">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7FDBC0D4">
                  <w:pPr>
                    <w:jc w:val="center"/>
                    <w:rPr>
                      <w:rFonts w:hint="eastAsia"/>
                      <w:szCs w:val="21"/>
                    </w:rPr>
                  </w:pPr>
                </w:p>
              </w:tc>
              <w:tc>
                <w:tcPr>
                  <w:tcW w:w="295" w:type="pct"/>
                  <w:vMerge w:val="continue"/>
                  <w:noWrap w:val="0"/>
                  <w:vAlign w:val="center"/>
                </w:tcPr>
                <w:p w14:paraId="1821CE39">
                  <w:pPr>
                    <w:jc w:val="center"/>
                    <w:rPr>
                      <w:rFonts w:hint="eastAsia"/>
                      <w:szCs w:val="21"/>
                    </w:rPr>
                  </w:pPr>
                </w:p>
              </w:tc>
              <w:tc>
                <w:tcPr>
                  <w:tcW w:w="344" w:type="pct"/>
                  <w:vMerge w:val="continue"/>
                  <w:noWrap w:val="0"/>
                  <w:vAlign w:val="center"/>
                </w:tcPr>
                <w:p w14:paraId="1CF1EC50">
                  <w:pPr>
                    <w:jc w:val="center"/>
                    <w:rPr>
                      <w:rFonts w:hint="eastAsia"/>
                      <w:szCs w:val="21"/>
                    </w:rPr>
                  </w:pPr>
                </w:p>
              </w:tc>
              <w:tc>
                <w:tcPr>
                  <w:tcW w:w="217" w:type="pct"/>
                  <w:vMerge w:val="continue"/>
                  <w:noWrap w:val="0"/>
                  <w:vAlign w:val="center"/>
                </w:tcPr>
                <w:p w14:paraId="3C44B57A">
                  <w:pPr>
                    <w:jc w:val="center"/>
                    <w:rPr>
                      <w:rFonts w:hint="eastAsia"/>
                      <w:szCs w:val="21"/>
                    </w:rPr>
                  </w:pPr>
                </w:p>
              </w:tc>
              <w:tc>
                <w:tcPr>
                  <w:tcW w:w="302" w:type="pct"/>
                  <w:tcBorders>
                    <w:right w:val="single" w:color="000000" w:sz="4" w:space="0"/>
                  </w:tcBorders>
                  <w:noWrap w:val="0"/>
                  <w:vAlign w:val="center"/>
                </w:tcPr>
                <w:p w14:paraId="21DC38D7">
                  <w:pPr>
                    <w:jc w:val="center"/>
                    <w:rPr>
                      <w:rFonts w:hint="eastAsia" w:eastAsia="宋体"/>
                      <w:szCs w:val="21"/>
                      <w:lang w:val="en-US" w:eastAsia="zh-CN"/>
                    </w:rPr>
                  </w:pPr>
                  <w:r>
                    <w:rPr>
                      <w:rFonts w:hint="eastAsia"/>
                      <w:szCs w:val="21"/>
                      <w:lang w:val="en-US" w:eastAsia="zh-CN"/>
                    </w:rPr>
                    <w:t>东北</w:t>
                  </w:r>
                </w:p>
              </w:tc>
              <w:tc>
                <w:tcPr>
                  <w:tcW w:w="277" w:type="pct"/>
                  <w:tcBorders>
                    <w:left w:val="single" w:color="000000" w:sz="4" w:space="0"/>
                  </w:tcBorders>
                  <w:noWrap w:val="0"/>
                  <w:vAlign w:val="center"/>
                </w:tcPr>
                <w:p w14:paraId="41BB612A">
                  <w:pPr>
                    <w:jc w:val="center"/>
                    <w:rPr>
                      <w:rFonts w:hint="default" w:eastAsia="宋体"/>
                      <w:szCs w:val="21"/>
                      <w:lang w:val="en-US" w:eastAsia="zh-CN"/>
                    </w:rPr>
                  </w:pPr>
                  <w:r>
                    <w:rPr>
                      <w:rFonts w:hint="eastAsia" w:eastAsia="宋体"/>
                      <w:szCs w:val="21"/>
                      <w:lang w:val="en-US" w:eastAsia="zh-CN"/>
                    </w:rPr>
                    <w:t>1</w:t>
                  </w:r>
                </w:p>
              </w:tc>
              <w:tc>
                <w:tcPr>
                  <w:tcW w:w="386" w:type="pct"/>
                  <w:noWrap w:val="0"/>
                  <w:vAlign w:val="center"/>
                </w:tcPr>
                <w:p w14:paraId="7F84AF43">
                  <w:pPr>
                    <w:jc w:val="center"/>
                    <w:rPr>
                      <w:rFonts w:hint="default" w:eastAsia="宋体"/>
                      <w:szCs w:val="21"/>
                      <w:lang w:val="en-US" w:eastAsia="zh-CN"/>
                    </w:rPr>
                  </w:pPr>
                  <w:r>
                    <w:rPr>
                      <w:rFonts w:hint="eastAsia"/>
                      <w:szCs w:val="21"/>
                      <w:lang w:val="en-US" w:eastAsia="zh-CN"/>
                    </w:rPr>
                    <w:t>58.1</w:t>
                  </w:r>
                </w:p>
              </w:tc>
              <w:tc>
                <w:tcPr>
                  <w:tcW w:w="348" w:type="pct"/>
                  <w:vMerge w:val="continue"/>
                  <w:noWrap w:val="0"/>
                  <w:vAlign w:val="center"/>
                </w:tcPr>
                <w:p w14:paraId="4E9F3453">
                  <w:pPr>
                    <w:jc w:val="center"/>
                    <w:rPr>
                      <w:rFonts w:hint="eastAsia"/>
                      <w:szCs w:val="21"/>
                    </w:rPr>
                  </w:pPr>
                </w:p>
              </w:tc>
              <w:tc>
                <w:tcPr>
                  <w:tcW w:w="422" w:type="pct"/>
                  <w:vMerge w:val="continue"/>
                  <w:noWrap w:val="0"/>
                  <w:vAlign w:val="center"/>
                </w:tcPr>
                <w:p w14:paraId="7AC98529">
                  <w:pPr>
                    <w:jc w:val="center"/>
                    <w:rPr>
                      <w:rFonts w:hint="eastAsia"/>
                      <w:szCs w:val="21"/>
                    </w:rPr>
                  </w:pPr>
                </w:p>
              </w:tc>
              <w:tc>
                <w:tcPr>
                  <w:tcW w:w="377" w:type="pct"/>
                  <w:noWrap w:val="0"/>
                  <w:vAlign w:val="center"/>
                </w:tcPr>
                <w:p w14:paraId="593832D0">
                  <w:pPr>
                    <w:jc w:val="center"/>
                    <w:rPr>
                      <w:rFonts w:hint="default" w:eastAsia="宋体"/>
                      <w:szCs w:val="21"/>
                      <w:lang w:val="en-US" w:eastAsia="zh-CN"/>
                    </w:rPr>
                  </w:pPr>
                  <w:r>
                    <w:rPr>
                      <w:rFonts w:hint="eastAsia" w:eastAsia="宋体"/>
                      <w:szCs w:val="21"/>
                      <w:lang w:val="en-US" w:eastAsia="zh-CN"/>
                    </w:rPr>
                    <w:t>43.1</w:t>
                  </w:r>
                </w:p>
              </w:tc>
              <w:tc>
                <w:tcPr>
                  <w:tcW w:w="410" w:type="pct"/>
                  <w:vMerge w:val="continue"/>
                  <w:noWrap w:val="0"/>
                  <w:vAlign w:val="center"/>
                </w:tcPr>
                <w:p w14:paraId="34702E43">
                  <w:pPr>
                    <w:jc w:val="center"/>
                    <w:rPr>
                      <w:rFonts w:hint="eastAsia"/>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78" w:type="pct"/>
                  <w:vMerge w:val="continue"/>
                  <w:noWrap w:val="0"/>
                  <w:vAlign w:val="center"/>
                </w:tcPr>
                <w:p w14:paraId="23EA6699">
                  <w:pPr>
                    <w:jc w:val="center"/>
                    <w:rPr>
                      <w:rFonts w:hint="eastAsia"/>
                      <w:szCs w:val="21"/>
                    </w:rPr>
                  </w:pPr>
                </w:p>
              </w:tc>
              <w:tc>
                <w:tcPr>
                  <w:tcW w:w="215" w:type="pct"/>
                  <w:vMerge w:val="continue"/>
                  <w:noWrap w:val="0"/>
                  <w:vAlign w:val="center"/>
                </w:tcPr>
                <w:p w14:paraId="26B1D270">
                  <w:pPr>
                    <w:jc w:val="center"/>
                    <w:rPr>
                      <w:rFonts w:hint="eastAsia"/>
                      <w:szCs w:val="21"/>
                    </w:rPr>
                  </w:pPr>
                </w:p>
              </w:tc>
              <w:tc>
                <w:tcPr>
                  <w:tcW w:w="331" w:type="pct"/>
                  <w:vMerge w:val="continue"/>
                  <w:noWrap w:val="0"/>
                  <w:vAlign w:val="center"/>
                </w:tcPr>
                <w:p w14:paraId="26157CA7">
                  <w:pPr>
                    <w:jc w:val="center"/>
                    <w:rPr>
                      <w:rFonts w:hint="eastAsia" w:ascii="Times New Roman" w:hAnsi="Times New Roman" w:eastAsia="宋体" w:cs="Times New Roman"/>
                      <w:szCs w:val="21"/>
                      <w:lang w:val="en-US" w:eastAsia="zh-CN"/>
                    </w:rPr>
                  </w:pPr>
                </w:p>
              </w:tc>
              <w:tc>
                <w:tcPr>
                  <w:tcW w:w="225" w:type="pct"/>
                  <w:vMerge w:val="continue"/>
                  <w:noWrap w:val="0"/>
                  <w:vAlign w:val="center"/>
                </w:tcPr>
                <w:p w14:paraId="69745296">
                  <w:pPr>
                    <w:jc w:val="center"/>
                    <w:rPr>
                      <w:rFonts w:hint="eastAsia" w:ascii="Times New Roman" w:hAnsi="Times New Roman" w:eastAsia="宋体" w:cs="Times New Roman"/>
                      <w:szCs w:val="21"/>
                      <w:lang w:val="en-US" w:eastAsia="zh-CN"/>
                    </w:rPr>
                  </w:pPr>
                </w:p>
              </w:tc>
              <w:tc>
                <w:tcPr>
                  <w:tcW w:w="308" w:type="pct"/>
                  <w:vMerge w:val="continue"/>
                  <w:noWrap w:val="0"/>
                  <w:vAlign w:val="center"/>
                </w:tcPr>
                <w:p w14:paraId="6E4D2AF2">
                  <w:pPr>
                    <w:jc w:val="center"/>
                    <w:rPr>
                      <w:rFonts w:hint="eastAsia" w:ascii="Times New Roman" w:hAnsi="Times New Roman" w:eastAsia="宋体" w:cs="Times New Roman"/>
                      <w:szCs w:val="21"/>
                      <w:lang w:val="en-US" w:eastAsia="zh-CN"/>
                    </w:rPr>
                  </w:pPr>
                </w:p>
              </w:tc>
              <w:tc>
                <w:tcPr>
                  <w:tcW w:w="357" w:type="pct"/>
                  <w:vMerge w:val="continue"/>
                  <w:noWrap w:val="0"/>
                  <w:vAlign w:val="center"/>
                </w:tcPr>
                <w:p w14:paraId="63D3BDCE">
                  <w:pPr>
                    <w:jc w:val="center"/>
                    <w:rPr>
                      <w:rFonts w:hint="eastAsia"/>
                      <w:szCs w:val="21"/>
                    </w:rPr>
                  </w:pPr>
                </w:p>
              </w:tc>
              <w:tc>
                <w:tcPr>
                  <w:tcW w:w="295" w:type="pct"/>
                  <w:vMerge w:val="continue"/>
                  <w:noWrap w:val="0"/>
                  <w:vAlign w:val="center"/>
                </w:tcPr>
                <w:p w14:paraId="42F90A44">
                  <w:pPr>
                    <w:jc w:val="center"/>
                    <w:rPr>
                      <w:rFonts w:hint="eastAsia"/>
                      <w:szCs w:val="21"/>
                    </w:rPr>
                  </w:pPr>
                </w:p>
              </w:tc>
              <w:tc>
                <w:tcPr>
                  <w:tcW w:w="344" w:type="pct"/>
                  <w:vMerge w:val="continue"/>
                  <w:noWrap w:val="0"/>
                  <w:vAlign w:val="center"/>
                </w:tcPr>
                <w:p w14:paraId="0261B98F">
                  <w:pPr>
                    <w:jc w:val="center"/>
                    <w:rPr>
                      <w:rFonts w:hint="eastAsia"/>
                      <w:szCs w:val="21"/>
                    </w:rPr>
                  </w:pPr>
                </w:p>
              </w:tc>
              <w:tc>
                <w:tcPr>
                  <w:tcW w:w="217" w:type="pct"/>
                  <w:vMerge w:val="continue"/>
                  <w:noWrap w:val="0"/>
                  <w:vAlign w:val="center"/>
                </w:tcPr>
                <w:p w14:paraId="454D2B8C">
                  <w:pPr>
                    <w:jc w:val="center"/>
                    <w:rPr>
                      <w:rFonts w:hint="eastAsia"/>
                      <w:szCs w:val="21"/>
                    </w:rPr>
                  </w:pPr>
                </w:p>
              </w:tc>
              <w:tc>
                <w:tcPr>
                  <w:tcW w:w="302" w:type="pct"/>
                  <w:tcBorders>
                    <w:right w:val="single" w:color="000000" w:sz="4" w:space="0"/>
                  </w:tcBorders>
                  <w:noWrap w:val="0"/>
                  <w:vAlign w:val="center"/>
                </w:tcPr>
                <w:p w14:paraId="21C4F1D3">
                  <w:pPr>
                    <w:jc w:val="center"/>
                    <w:rPr>
                      <w:rFonts w:hint="eastAsia" w:eastAsia="宋体"/>
                      <w:szCs w:val="21"/>
                      <w:lang w:val="en-US" w:eastAsia="zh-CN"/>
                    </w:rPr>
                  </w:pPr>
                  <w:r>
                    <w:rPr>
                      <w:rFonts w:hint="eastAsia"/>
                      <w:szCs w:val="21"/>
                      <w:lang w:val="en-US" w:eastAsia="zh-CN"/>
                    </w:rPr>
                    <w:t>东南</w:t>
                  </w:r>
                </w:p>
              </w:tc>
              <w:tc>
                <w:tcPr>
                  <w:tcW w:w="277" w:type="pct"/>
                  <w:tcBorders>
                    <w:left w:val="single" w:color="000000" w:sz="4" w:space="0"/>
                  </w:tcBorders>
                  <w:noWrap w:val="0"/>
                  <w:vAlign w:val="center"/>
                </w:tcPr>
                <w:p w14:paraId="2D925FDF">
                  <w:pPr>
                    <w:jc w:val="center"/>
                    <w:rPr>
                      <w:rFonts w:hint="default" w:eastAsia="宋体"/>
                      <w:szCs w:val="21"/>
                      <w:lang w:val="en-US" w:eastAsia="zh-CN"/>
                    </w:rPr>
                  </w:pPr>
                  <w:r>
                    <w:rPr>
                      <w:rFonts w:hint="eastAsia" w:eastAsia="宋体"/>
                      <w:szCs w:val="21"/>
                      <w:lang w:val="en-US" w:eastAsia="zh-CN"/>
                    </w:rPr>
                    <w:t>1</w:t>
                  </w:r>
                </w:p>
              </w:tc>
              <w:tc>
                <w:tcPr>
                  <w:tcW w:w="386" w:type="pct"/>
                  <w:noWrap w:val="0"/>
                  <w:vAlign w:val="center"/>
                </w:tcPr>
                <w:p w14:paraId="314F5F85">
                  <w:pPr>
                    <w:jc w:val="center"/>
                    <w:rPr>
                      <w:rFonts w:hint="default" w:eastAsia="宋体"/>
                      <w:szCs w:val="21"/>
                      <w:lang w:val="en-US" w:eastAsia="zh-CN"/>
                    </w:rPr>
                  </w:pPr>
                  <w:r>
                    <w:rPr>
                      <w:rFonts w:hint="eastAsia"/>
                      <w:szCs w:val="21"/>
                      <w:lang w:val="en-US" w:eastAsia="zh-CN"/>
                    </w:rPr>
                    <w:t>51.5</w:t>
                  </w:r>
                </w:p>
              </w:tc>
              <w:tc>
                <w:tcPr>
                  <w:tcW w:w="348" w:type="pct"/>
                  <w:vMerge w:val="continue"/>
                  <w:noWrap w:val="0"/>
                  <w:vAlign w:val="center"/>
                </w:tcPr>
                <w:p w14:paraId="6EBA34F4">
                  <w:pPr>
                    <w:jc w:val="center"/>
                    <w:rPr>
                      <w:rFonts w:hint="eastAsia"/>
                      <w:szCs w:val="21"/>
                    </w:rPr>
                  </w:pPr>
                </w:p>
              </w:tc>
              <w:tc>
                <w:tcPr>
                  <w:tcW w:w="422" w:type="pct"/>
                  <w:vMerge w:val="continue"/>
                  <w:noWrap w:val="0"/>
                  <w:vAlign w:val="center"/>
                </w:tcPr>
                <w:p w14:paraId="2E5465F8">
                  <w:pPr>
                    <w:jc w:val="center"/>
                    <w:rPr>
                      <w:rFonts w:hint="eastAsia"/>
                      <w:szCs w:val="21"/>
                    </w:rPr>
                  </w:pPr>
                </w:p>
              </w:tc>
              <w:tc>
                <w:tcPr>
                  <w:tcW w:w="377" w:type="pct"/>
                  <w:noWrap w:val="0"/>
                  <w:vAlign w:val="center"/>
                </w:tcPr>
                <w:p w14:paraId="7BD87CF3">
                  <w:pPr>
                    <w:jc w:val="center"/>
                    <w:rPr>
                      <w:rFonts w:hint="default" w:eastAsia="宋体"/>
                      <w:szCs w:val="21"/>
                      <w:lang w:val="en-US" w:eastAsia="zh-CN"/>
                    </w:rPr>
                  </w:pPr>
                  <w:r>
                    <w:rPr>
                      <w:rFonts w:hint="eastAsia" w:eastAsia="宋体"/>
                      <w:szCs w:val="21"/>
                      <w:lang w:val="en-US" w:eastAsia="zh-CN"/>
                    </w:rPr>
                    <w:t>36.5</w:t>
                  </w:r>
                </w:p>
              </w:tc>
              <w:tc>
                <w:tcPr>
                  <w:tcW w:w="410" w:type="pct"/>
                  <w:vMerge w:val="continue"/>
                  <w:noWrap w:val="0"/>
                  <w:vAlign w:val="center"/>
                </w:tcPr>
                <w:p w14:paraId="401F0159">
                  <w:pPr>
                    <w:jc w:val="center"/>
                    <w:rPr>
                      <w:rFonts w:hint="eastAsia"/>
                      <w:szCs w:val="21"/>
                    </w:rPr>
                  </w:pPr>
                </w:p>
              </w:tc>
            </w:tr>
            <w:tr w14:paraId="432EF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636E321D">
                  <w:pPr>
                    <w:jc w:val="center"/>
                  </w:pPr>
                </w:p>
              </w:tc>
              <w:tc>
                <w:tcPr>
                  <w:tcW w:w="215" w:type="pct"/>
                  <w:vMerge w:val="continue"/>
                  <w:vAlign w:val="center"/>
                </w:tcPr>
                <w:p w14:paraId="45C06A68">
                  <w:pPr>
                    <w:jc w:val="center"/>
                  </w:pPr>
                </w:p>
              </w:tc>
              <w:tc>
                <w:tcPr>
                  <w:tcW w:w="331" w:type="pct"/>
                  <w:vMerge w:val="continue"/>
                  <w:shd w:val="clear" w:color="auto" w:fill="auto"/>
                  <w:vAlign w:val="center"/>
                </w:tcPr>
                <w:p w14:paraId="42429BFE">
                  <w:pPr>
                    <w:jc w:val="center"/>
                  </w:pPr>
                </w:p>
              </w:tc>
              <w:tc>
                <w:tcPr>
                  <w:tcW w:w="225" w:type="pct"/>
                  <w:vMerge w:val="continue"/>
                  <w:shd w:val="clear" w:color="auto" w:fill="auto"/>
                  <w:vAlign w:val="center"/>
                </w:tcPr>
                <w:p w14:paraId="31BFDFA4">
                  <w:pPr>
                    <w:jc w:val="center"/>
                  </w:pPr>
                </w:p>
              </w:tc>
              <w:tc>
                <w:tcPr>
                  <w:tcW w:w="308" w:type="pct"/>
                  <w:vMerge w:val="continue"/>
                  <w:vAlign w:val="center"/>
                </w:tcPr>
                <w:p w14:paraId="72532231">
                  <w:pPr>
                    <w:jc w:val="center"/>
                  </w:pPr>
                </w:p>
              </w:tc>
              <w:tc>
                <w:tcPr>
                  <w:tcW w:w="357" w:type="pct"/>
                  <w:vMerge w:val="continue"/>
                  <w:vAlign w:val="center"/>
                </w:tcPr>
                <w:p w14:paraId="3AEDF598">
                  <w:pPr>
                    <w:jc w:val="center"/>
                  </w:pPr>
                </w:p>
              </w:tc>
              <w:tc>
                <w:tcPr>
                  <w:tcW w:w="295" w:type="pct"/>
                  <w:vMerge w:val="continue"/>
                  <w:vAlign w:val="center"/>
                </w:tcPr>
                <w:p w14:paraId="38EAF528">
                  <w:pPr>
                    <w:jc w:val="center"/>
                  </w:pPr>
                </w:p>
              </w:tc>
              <w:tc>
                <w:tcPr>
                  <w:tcW w:w="344" w:type="pct"/>
                  <w:vMerge w:val="continue"/>
                  <w:vAlign w:val="center"/>
                </w:tcPr>
                <w:p w14:paraId="4DE22794">
                  <w:pPr>
                    <w:jc w:val="center"/>
                  </w:pPr>
                </w:p>
              </w:tc>
              <w:tc>
                <w:tcPr>
                  <w:tcW w:w="217" w:type="pct"/>
                  <w:vMerge w:val="continue"/>
                  <w:vAlign w:val="center"/>
                </w:tcPr>
                <w:p w14:paraId="089517CB">
                  <w:pPr>
                    <w:jc w:val="center"/>
                  </w:pPr>
                </w:p>
              </w:tc>
              <w:tc>
                <w:tcPr>
                  <w:tcW w:w="302" w:type="pct"/>
                  <w:shd w:val="clear" w:color="auto" w:fill="auto"/>
                  <w:vAlign w:val="center"/>
                </w:tcPr>
                <w:p w14:paraId="5784BE0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77" w:type="pct"/>
                  <w:shd w:val="clear" w:color="auto" w:fill="auto"/>
                  <w:vAlign w:val="center"/>
                </w:tcPr>
                <w:p w14:paraId="17925926">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w:t>
                  </w:r>
                </w:p>
              </w:tc>
              <w:tc>
                <w:tcPr>
                  <w:tcW w:w="386" w:type="pct"/>
                  <w:vAlign w:val="center"/>
                </w:tcPr>
                <w:p w14:paraId="530BBF2A">
                  <w:pPr>
                    <w:jc w:val="center"/>
                    <w:rPr>
                      <w:rFonts w:hint="default"/>
                      <w:szCs w:val="21"/>
                      <w:lang w:val="en-US" w:eastAsia="zh-CN"/>
                    </w:rPr>
                  </w:pPr>
                  <w:r>
                    <w:rPr>
                      <w:rFonts w:hint="eastAsia"/>
                      <w:szCs w:val="21"/>
                      <w:lang w:val="en-US" w:eastAsia="zh-CN"/>
                    </w:rPr>
                    <w:t>56.1</w:t>
                  </w:r>
                </w:p>
              </w:tc>
              <w:tc>
                <w:tcPr>
                  <w:tcW w:w="348" w:type="pct"/>
                  <w:vMerge w:val="continue"/>
                  <w:vAlign w:val="center"/>
                </w:tcPr>
                <w:p w14:paraId="1041284C">
                  <w:pPr>
                    <w:jc w:val="center"/>
                    <w:rPr>
                      <w:rFonts w:hint="eastAsia"/>
                      <w:szCs w:val="21"/>
                      <w:lang w:val="en-US" w:eastAsia="zh-CN"/>
                    </w:rPr>
                  </w:pPr>
                </w:p>
              </w:tc>
              <w:tc>
                <w:tcPr>
                  <w:tcW w:w="422" w:type="pct"/>
                  <w:vMerge w:val="continue"/>
                  <w:vAlign w:val="center"/>
                </w:tcPr>
                <w:p w14:paraId="7E0DA793">
                  <w:pPr>
                    <w:jc w:val="center"/>
                    <w:rPr>
                      <w:rFonts w:hint="eastAsia"/>
                      <w:szCs w:val="21"/>
                      <w:lang w:val="en-US" w:eastAsia="zh-CN"/>
                    </w:rPr>
                  </w:pPr>
                </w:p>
              </w:tc>
              <w:tc>
                <w:tcPr>
                  <w:tcW w:w="377" w:type="pct"/>
                  <w:vAlign w:val="center"/>
                </w:tcPr>
                <w:p w14:paraId="14BE14B9">
                  <w:pPr>
                    <w:jc w:val="center"/>
                    <w:rPr>
                      <w:rFonts w:hint="default"/>
                      <w:szCs w:val="21"/>
                      <w:lang w:val="en-US" w:eastAsia="zh-CN"/>
                    </w:rPr>
                  </w:pPr>
                  <w:r>
                    <w:rPr>
                      <w:rFonts w:hint="eastAsia"/>
                      <w:szCs w:val="21"/>
                      <w:lang w:val="en-US" w:eastAsia="zh-CN"/>
                    </w:rPr>
                    <w:t>41.1</w:t>
                  </w:r>
                </w:p>
              </w:tc>
              <w:tc>
                <w:tcPr>
                  <w:tcW w:w="410" w:type="pct"/>
                  <w:vMerge w:val="continue"/>
                  <w:vAlign w:val="center"/>
                </w:tcPr>
                <w:p w14:paraId="1FFB88BE">
                  <w:pPr>
                    <w:jc w:val="center"/>
                    <w:rPr>
                      <w:rFonts w:hint="eastAsia"/>
                      <w:szCs w:val="21"/>
                      <w:lang w:val="en-US" w:eastAsia="zh-CN"/>
                    </w:rPr>
                  </w:pPr>
                </w:p>
              </w:tc>
            </w:tr>
            <w:tr w14:paraId="7625D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3BF604E3">
                  <w:pPr>
                    <w:jc w:val="center"/>
                    <w:rPr>
                      <w:rFonts w:hint="eastAsia"/>
                      <w:szCs w:val="21"/>
                      <w:lang w:val="en-US" w:eastAsia="zh-CN"/>
                    </w:rPr>
                  </w:pPr>
                </w:p>
              </w:tc>
              <w:tc>
                <w:tcPr>
                  <w:tcW w:w="215" w:type="pct"/>
                  <w:vMerge w:val="continue"/>
                  <w:vAlign w:val="center"/>
                </w:tcPr>
                <w:p w14:paraId="54622461">
                  <w:pPr>
                    <w:jc w:val="center"/>
                    <w:rPr>
                      <w:rFonts w:hint="eastAsia"/>
                      <w:szCs w:val="21"/>
                      <w:lang w:val="en-US" w:eastAsia="zh-CN"/>
                    </w:rPr>
                  </w:pPr>
                </w:p>
              </w:tc>
              <w:tc>
                <w:tcPr>
                  <w:tcW w:w="331" w:type="pct"/>
                  <w:vMerge w:val="continue"/>
                  <w:shd w:val="clear" w:color="auto" w:fill="auto"/>
                  <w:vAlign w:val="center"/>
                </w:tcPr>
                <w:p w14:paraId="7FE56C26">
                  <w:pPr>
                    <w:jc w:val="center"/>
                    <w:rPr>
                      <w:rFonts w:hint="eastAsia"/>
                      <w:szCs w:val="21"/>
                      <w:lang w:val="en-US" w:eastAsia="zh-CN"/>
                    </w:rPr>
                  </w:pPr>
                </w:p>
              </w:tc>
              <w:tc>
                <w:tcPr>
                  <w:tcW w:w="225" w:type="pct"/>
                  <w:vMerge w:val="continue"/>
                  <w:shd w:val="clear" w:color="auto" w:fill="auto"/>
                  <w:vAlign w:val="center"/>
                </w:tcPr>
                <w:p w14:paraId="29B0E97A">
                  <w:pPr>
                    <w:jc w:val="center"/>
                    <w:rPr>
                      <w:rFonts w:hint="eastAsia"/>
                      <w:szCs w:val="21"/>
                      <w:lang w:val="en-US" w:eastAsia="zh-CN"/>
                    </w:rPr>
                  </w:pPr>
                </w:p>
              </w:tc>
              <w:tc>
                <w:tcPr>
                  <w:tcW w:w="308" w:type="pct"/>
                  <w:vMerge w:val="continue"/>
                  <w:vAlign w:val="center"/>
                </w:tcPr>
                <w:p w14:paraId="1DC3789C">
                  <w:pPr>
                    <w:jc w:val="center"/>
                    <w:rPr>
                      <w:rFonts w:hint="eastAsia"/>
                      <w:szCs w:val="21"/>
                      <w:lang w:val="en-US" w:eastAsia="zh-CN"/>
                    </w:rPr>
                  </w:pPr>
                </w:p>
              </w:tc>
              <w:tc>
                <w:tcPr>
                  <w:tcW w:w="357" w:type="pct"/>
                  <w:vMerge w:val="continue"/>
                  <w:vAlign w:val="center"/>
                </w:tcPr>
                <w:p w14:paraId="558489EB">
                  <w:pPr>
                    <w:jc w:val="center"/>
                    <w:rPr>
                      <w:rFonts w:hint="eastAsia"/>
                      <w:szCs w:val="21"/>
                      <w:lang w:val="en-US" w:eastAsia="zh-CN"/>
                    </w:rPr>
                  </w:pPr>
                </w:p>
              </w:tc>
              <w:tc>
                <w:tcPr>
                  <w:tcW w:w="295" w:type="pct"/>
                  <w:vMerge w:val="continue"/>
                  <w:vAlign w:val="center"/>
                </w:tcPr>
                <w:p w14:paraId="601C6AB1">
                  <w:pPr>
                    <w:jc w:val="center"/>
                    <w:rPr>
                      <w:rFonts w:hint="eastAsia"/>
                      <w:szCs w:val="21"/>
                      <w:lang w:val="en-US" w:eastAsia="zh-CN"/>
                    </w:rPr>
                  </w:pPr>
                </w:p>
              </w:tc>
              <w:tc>
                <w:tcPr>
                  <w:tcW w:w="344" w:type="pct"/>
                  <w:vMerge w:val="continue"/>
                  <w:vAlign w:val="center"/>
                </w:tcPr>
                <w:p w14:paraId="3E8CDF94">
                  <w:pPr>
                    <w:jc w:val="center"/>
                    <w:rPr>
                      <w:rFonts w:hint="eastAsia"/>
                      <w:szCs w:val="21"/>
                      <w:lang w:val="en-US" w:eastAsia="zh-CN"/>
                    </w:rPr>
                  </w:pPr>
                </w:p>
              </w:tc>
              <w:tc>
                <w:tcPr>
                  <w:tcW w:w="217" w:type="pct"/>
                  <w:vMerge w:val="continue"/>
                  <w:vAlign w:val="center"/>
                </w:tcPr>
                <w:p w14:paraId="1772DE8A">
                  <w:pPr>
                    <w:jc w:val="center"/>
                    <w:rPr>
                      <w:rFonts w:hint="eastAsia"/>
                      <w:szCs w:val="21"/>
                      <w:lang w:val="en-US" w:eastAsia="zh-CN"/>
                    </w:rPr>
                  </w:pPr>
                </w:p>
              </w:tc>
              <w:tc>
                <w:tcPr>
                  <w:tcW w:w="302" w:type="pct"/>
                  <w:shd w:val="clear" w:color="auto" w:fill="auto"/>
                  <w:vAlign w:val="center"/>
                </w:tcPr>
                <w:p w14:paraId="46E2B2A9">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77" w:type="pct"/>
                  <w:shd w:val="clear" w:color="auto" w:fill="auto"/>
                  <w:vAlign w:val="center"/>
                </w:tcPr>
                <w:p w14:paraId="1E8F10A7">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386" w:type="pct"/>
                  <w:vAlign w:val="center"/>
                </w:tcPr>
                <w:p w14:paraId="5CC7D69B">
                  <w:pPr>
                    <w:jc w:val="center"/>
                    <w:rPr>
                      <w:rFonts w:hint="default"/>
                      <w:szCs w:val="21"/>
                      <w:lang w:val="en-US" w:eastAsia="zh-CN"/>
                    </w:rPr>
                  </w:pPr>
                  <w:r>
                    <w:rPr>
                      <w:rFonts w:hint="eastAsia"/>
                      <w:szCs w:val="21"/>
                      <w:lang w:val="en-US" w:eastAsia="zh-CN"/>
                    </w:rPr>
                    <w:t>51.2</w:t>
                  </w:r>
                </w:p>
              </w:tc>
              <w:tc>
                <w:tcPr>
                  <w:tcW w:w="348" w:type="pct"/>
                  <w:vMerge w:val="continue"/>
                  <w:vAlign w:val="center"/>
                </w:tcPr>
                <w:p w14:paraId="011871AB">
                  <w:pPr>
                    <w:jc w:val="center"/>
                    <w:rPr>
                      <w:rFonts w:hint="eastAsia"/>
                      <w:szCs w:val="21"/>
                      <w:lang w:val="en-US" w:eastAsia="zh-CN"/>
                    </w:rPr>
                  </w:pPr>
                </w:p>
              </w:tc>
              <w:tc>
                <w:tcPr>
                  <w:tcW w:w="422" w:type="pct"/>
                  <w:vMerge w:val="continue"/>
                  <w:vAlign w:val="center"/>
                </w:tcPr>
                <w:p w14:paraId="4E271F12">
                  <w:pPr>
                    <w:jc w:val="center"/>
                    <w:rPr>
                      <w:rFonts w:hint="eastAsia"/>
                      <w:szCs w:val="21"/>
                      <w:lang w:val="en-US" w:eastAsia="zh-CN"/>
                    </w:rPr>
                  </w:pPr>
                </w:p>
              </w:tc>
              <w:tc>
                <w:tcPr>
                  <w:tcW w:w="377" w:type="pct"/>
                  <w:vAlign w:val="center"/>
                </w:tcPr>
                <w:p w14:paraId="77BAB552">
                  <w:pPr>
                    <w:jc w:val="center"/>
                    <w:rPr>
                      <w:rFonts w:hint="default"/>
                      <w:szCs w:val="21"/>
                      <w:lang w:val="en-US" w:eastAsia="zh-CN"/>
                    </w:rPr>
                  </w:pPr>
                  <w:r>
                    <w:rPr>
                      <w:rFonts w:hint="eastAsia"/>
                      <w:szCs w:val="21"/>
                      <w:lang w:val="en-US" w:eastAsia="zh-CN"/>
                    </w:rPr>
                    <w:t>36.2</w:t>
                  </w:r>
                </w:p>
              </w:tc>
              <w:tc>
                <w:tcPr>
                  <w:tcW w:w="410" w:type="pct"/>
                  <w:vMerge w:val="continue"/>
                  <w:vAlign w:val="center"/>
                </w:tcPr>
                <w:p w14:paraId="738D3B27">
                  <w:pPr>
                    <w:jc w:val="center"/>
                    <w:rPr>
                      <w:rFonts w:hint="eastAsia"/>
                      <w:szCs w:val="21"/>
                      <w:lang w:val="en-US" w:eastAsia="zh-CN"/>
                    </w:rPr>
                  </w:pPr>
                </w:p>
              </w:tc>
            </w:tr>
            <w:tr w14:paraId="55202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060201A">
                  <w:pPr>
                    <w:jc w:val="center"/>
                    <w:rPr>
                      <w:rFonts w:hint="eastAsia"/>
                      <w:szCs w:val="21"/>
                      <w:lang w:val="en-US" w:eastAsia="zh-CN"/>
                    </w:rPr>
                  </w:pPr>
                </w:p>
              </w:tc>
              <w:tc>
                <w:tcPr>
                  <w:tcW w:w="215" w:type="pct"/>
                  <w:vMerge w:val="continue"/>
                  <w:vAlign w:val="center"/>
                </w:tcPr>
                <w:p w14:paraId="63D33DC2">
                  <w:pPr>
                    <w:jc w:val="center"/>
                    <w:rPr>
                      <w:rFonts w:hint="eastAsia"/>
                      <w:szCs w:val="21"/>
                      <w:lang w:val="en-US" w:eastAsia="zh-CN"/>
                    </w:rPr>
                  </w:pPr>
                </w:p>
              </w:tc>
              <w:tc>
                <w:tcPr>
                  <w:tcW w:w="331" w:type="pct"/>
                  <w:vMerge w:val="continue"/>
                  <w:shd w:val="clear" w:color="auto" w:fill="auto"/>
                  <w:vAlign w:val="center"/>
                </w:tcPr>
                <w:p w14:paraId="50E0B859">
                  <w:pPr>
                    <w:jc w:val="center"/>
                    <w:rPr>
                      <w:rFonts w:hint="eastAsia"/>
                      <w:szCs w:val="21"/>
                      <w:lang w:val="en-US" w:eastAsia="zh-CN"/>
                    </w:rPr>
                  </w:pPr>
                </w:p>
              </w:tc>
              <w:tc>
                <w:tcPr>
                  <w:tcW w:w="225" w:type="pct"/>
                  <w:vMerge w:val="continue"/>
                  <w:shd w:val="clear" w:color="auto" w:fill="auto"/>
                  <w:vAlign w:val="center"/>
                </w:tcPr>
                <w:p w14:paraId="09630572">
                  <w:pPr>
                    <w:jc w:val="center"/>
                    <w:rPr>
                      <w:rFonts w:hint="eastAsia"/>
                      <w:szCs w:val="21"/>
                      <w:lang w:val="en-US" w:eastAsia="zh-CN"/>
                    </w:rPr>
                  </w:pPr>
                </w:p>
              </w:tc>
              <w:tc>
                <w:tcPr>
                  <w:tcW w:w="308" w:type="pct"/>
                  <w:vMerge w:val="continue"/>
                  <w:vAlign w:val="center"/>
                </w:tcPr>
                <w:p w14:paraId="409630D3">
                  <w:pPr>
                    <w:jc w:val="center"/>
                    <w:rPr>
                      <w:rFonts w:hint="eastAsia"/>
                      <w:szCs w:val="21"/>
                      <w:lang w:val="en-US" w:eastAsia="zh-CN"/>
                    </w:rPr>
                  </w:pPr>
                </w:p>
              </w:tc>
              <w:tc>
                <w:tcPr>
                  <w:tcW w:w="357" w:type="pct"/>
                  <w:vMerge w:val="continue"/>
                  <w:vAlign w:val="center"/>
                </w:tcPr>
                <w:p w14:paraId="432A18FA">
                  <w:pPr>
                    <w:jc w:val="center"/>
                    <w:rPr>
                      <w:rFonts w:hint="eastAsia"/>
                      <w:szCs w:val="21"/>
                      <w:lang w:val="en-US" w:eastAsia="zh-CN"/>
                    </w:rPr>
                  </w:pPr>
                </w:p>
              </w:tc>
              <w:tc>
                <w:tcPr>
                  <w:tcW w:w="295" w:type="pct"/>
                  <w:vMerge w:val="continue"/>
                  <w:vAlign w:val="center"/>
                </w:tcPr>
                <w:p w14:paraId="024F58AF">
                  <w:pPr>
                    <w:jc w:val="center"/>
                    <w:rPr>
                      <w:rFonts w:hint="eastAsia"/>
                      <w:szCs w:val="21"/>
                      <w:lang w:val="en-US" w:eastAsia="zh-CN"/>
                    </w:rPr>
                  </w:pPr>
                </w:p>
              </w:tc>
              <w:tc>
                <w:tcPr>
                  <w:tcW w:w="344" w:type="pct"/>
                  <w:vMerge w:val="continue"/>
                  <w:vAlign w:val="center"/>
                </w:tcPr>
                <w:p w14:paraId="3BE49D44">
                  <w:pPr>
                    <w:jc w:val="center"/>
                    <w:rPr>
                      <w:rFonts w:hint="eastAsia"/>
                      <w:szCs w:val="21"/>
                      <w:lang w:val="en-US" w:eastAsia="zh-CN"/>
                    </w:rPr>
                  </w:pPr>
                </w:p>
              </w:tc>
              <w:tc>
                <w:tcPr>
                  <w:tcW w:w="217" w:type="pct"/>
                  <w:vMerge w:val="continue"/>
                  <w:vAlign w:val="center"/>
                </w:tcPr>
                <w:p w14:paraId="3099177F">
                  <w:pPr>
                    <w:jc w:val="center"/>
                    <w:rPr>
                      <w:rFonts w:hint="eastAsia"/>
                      <w:szCs w:val="21"/>
                      <w:lang w:val="en-US" w:eastAsia="zh-CN"/>
                    </w:rPr>
                  </w:pPr>
                </w:p>
              </w:tc>
              <w:tc>
                <w:tcPr>
                  <w:tcW w:w="302" w:type="pct"/>
                  <w:shd w:val="clear" w:color="auto" w:fill="auto"/>
                  <w:vAlign w:val="center"/>
                </w:tcPr>
                <w:p w14:paraId="6BB4D76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77" w:type="pct"/>
                  <w:shd w:val="clear" w:color="auto" w:fill="auto"/>
                  <w:vAlign w:val="center"/>
                </w:tcPr>
                <w:p w14:paraId="245DAAC9">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386" w:type="pct"/>
                  <w:vAlign w:val="center"/>
                </w:tcPr>
                <w:p w14:paraId="05429A2D">
                  <w:pPr>
                    <w:jc w:val="center"/>
                    <w:rPr>
                      <w:rFonts w:hint="default"/>
                      <w:szCs w:val="21"/>
                      <w:lang w:val="en-US" w:eastAsia="zh-CN"/>
                    </w:rPr>
                  </w:pPr>
                  <w:r>
                    <w:rPr>
                      <w:rFonts w:hint="eastAsia"/>
                      <w:szCs w:val="21"/>
                      <w:lang w:val="en-US" w:eastAsia="zh-CN"/>
                    </w:rPr>
                    <w:t>52.8</w:t>
                  </w:r>
                </w:p>
              </w:tc>
              <w:tc>
                <w:tcPr>
                  <w:tcW w:w="348" w:type="pct"/>
                  <w:vMerge w:val="continue"/>
                  <w:vAlign w:val="center"/>
                </w:tcPr>
                <w:p w14:paraId="25043FF7">
                  <w:pPr>
                    <w:jc w:val="center"/>
                    <w:rPr>
                      <w:rFonts w:hint="eastAsia"/>
                      <w:szCs w:val="21"/>
                      <w:lang w:val="en-US" w:eastAsia="zh-CN"/>
                    </w:rPr>
                  </w:pPr>
                </w:p>
              </w:tc>
              <w:tc>
                <w:tcPr>
                  <w:tcW w:w="422" w:type="pct"/>
                  <w:vMerge w:val="continue"/>
                  <w:vAlign w:val="center"/>
                </w:tcPr>
                <w:p w14:paraId="229AB73C">
                  <w:pPr>
                    <w:jc w:val="center"/>
                    <w:rPr>
                      <w:rFonts w:hint="eastAsia"/>
                      <w:szCs w:val="21"/>
                      <w:lang w:val="en-US" w:eastAsia="zh-CN"/>
                    </w:rPr>
                  </w:pPr>
                </w:p>
              </w:tc>
              <w:tc>
                <w:tcPr>
                  <w:tcW w:w="377" w:type="pct"/>
                  <w:vAlign w:val="center"/>
                </w:tcPr>
                <w:p w14:paraId="67E8F584">
                  <w:pPr>
                    <w:jc w:val="center"/>
                    <w:rPr>
                      <w:rFonts w:hint="default"/>
                      <w:szCs w:val="21"/>
                      <w:lang w:val="en-US" w:eastAsia="zh-CN"/>
                    </w:rPr>
                  </w:pPr>
                  <w:r>
                    <w:rPr>
                      <w:rFonts w:hint="eastAsia"/>
                      <w:szCs w:val="21"/>
                      <w:lang w:val="en-US" w:eastAsia="zh-CN"/>
                    </w:rPr>
                    <w:t>37.8</w:t>
                  </w:r>
                </w:p>
              </w:tc>
              <w:tc>
                <w:tcPr>
                  <w:tcW w:w="410" w:type="pct"/>
                  <w:vMerge w:val="continue"/>
                  <w:vAlign w:val="center"/>
                </w:tcPr>
                <w:p w14:paraId="5912E42B">
                  <w:pPr>
                    <w:jc w:val="center"/>
                    <w:rPr>
                      <w:rFonts w:hint="eastAsia"/>
                      <w:szCs w:val="21"/>
                      <w:lang w:val="en-US" w:eastAsia="zh-CN"/>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8" w:hRule="atLeast"/>
                <w:jc w:val="center"/>
              </w:trPr>
              <w:tc>
                <w:tcPr>
                  <w:tcW w:w="178" w:type="pct"/>
                  <w:vMerge w:val="restart"/>
                  <w:vAlign w:val="center"/>
                </w:tcPr>
                <w:p w14:paraId="7C9B0B93">
                  <w:pPr>
                    <w:jc w:val="center"/>
                    <w:rPr>
                      <w:rFonts w:hint="eastAsia" w:eastAsia="宋体"/>
                      <w:szCs w:val="21"/>
                      <w:lang w:val="en-US" w:eastAsia="zh-CN"/>
                    </w:rPr>
                  </w:pPr>
                  <w:r>
                    <w:rPr>
                      <w:rFonts w:hint="eastAsia"/>
                      <w:szCs w:val="21"/>
                      <w:lang w:val="en-US" w:eastAsia="zh-CN"/>
                    </w:rPr>
                    <w:t>2</w:t>
                  </w:r>
                </w:p>
              </w:tc>
              <w:tc>
                <w:tcPr>
                  <w:tcW w:w="215" w:type="pct"/>
                  <w:vMerge w:val="continue"/>
                  <w:vAlign w:val="center"/>
                </w:tcPr>
                <w:p w14:paraId="6CBC750B">
                  <w:pPr>
                    <w:jc w:val="center"/>
                    <w:rPr>
                      <w:rFonts w:hint="eastAsia"/>
                      <w:szCs w:val="21"/>
                    </w:rPr>
                  </w:pPr>
                </w:p>
              </w:tc>
              <w:tc>
                <w:tcPr>
                  <w:tcW w:w="331" w:type="pct"/>
                  <w:vMerge w:val="restart"/>
                  <w:shd w:val="clear" w:color="auto" w:fill="auto"/>
                  <w:vAlign w:val="center"/>
                </w:tcPr>
                <w:p w14:paraId="2042F45A">
                  <w:pPr>
                    <w:jc w:val="center"/>
                    <w:rPr>
                      <w:rFonts w:hint="default" w:ascii="Times New Roman" w:hAnsi="Times New Roman" w:eastAsia="宋体" w:cs="Times New Roman"/>
                      <w:szCs w:val="21"/>
                      <w:lang w:val="en-US" w:eastAsia="zh-CN"/>
                    </w:rPr>
                  </w:pPr>
                  <w:r>
                    <w:rPr>
                      <w:rFonts w:hint="eastAsia" w:cs="Times New Roman"/>
                      <w:szCs w:val="21"/>
                      <w:lang w:val="en-US" w:eastAsia="zh-CN"/>
                    </w:rPr>
                    <w:t>破碎机</w:t>
                  </w:r>
                </w:p>
              </w:tc>
              <w:tc>
                <w:tcPr>
                  <w:tcW w:w="225" w:type="pct"/>
                  <w:vMerge w:val="restart"/>
                  <w:shd w:val="clear" w:color="auto" w:fill="auto"/>
                  <w:vAlign w:val="center"/>
                </w:tcPr>
                <w:p w14:paraId="17DD228C">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308" w:type="pct"/>
                  <w:vMerge w:val="restart"/>
                  <w:vAlign w:val="center"/>
                </w:tcPr>
                <w:p w14:paraId="31958D1F">
                  <w:pPr>
                    <w:jc w:val="center"/>
                    <w:rPr>
                      <w:rFonts w:hint="default" w:ascii="Times New Roman" w:hAnsi="Times New Roman" w:eastAsia="宋体" w:cs="Times New Roman"/>
                      <w:szCs w:val="21"/>
                      <w:lang w:val="en-US" w:eastAsia="zh-CN"/>
                    </w:rPr>
                  </w:pPr>
                  <w:r>
                    <w:rPr>
                      <w:rFonts w:hint="eastAsia" w:cs="Times New Roman"/>
                      <w:szCs w:val="21"/>
                      <w:lang w:val="en-US" w:eastAsia="zh-CN"/>
                    </w:rPr>
                    <w:t>80-85</w:t>
                  </w:r>
                </w:p>
              </w:tc>
              <w:tc>
                <w:tcPr>
                  <w:tcW w:w="357" w:type="pct"/>
                  <w:vMerge w:val="continue"/>
                  <w:vAlign w:val="center"/>
                </w:tcPr>
                <w:p w14:paraId="33A21C49">
                  <w:pPr>
                    <w:jc w:val="center"/>
                    <w:rPr>
                      <w:rFonts w:hint="eastAsia"/>
                      <w:szCs w:val="21"/>
                    </w:rPr>
                  </w:pPr>
                </w:p>
              </w:tc>
              <w:tc>
                <w:tcPr>
                  <w:tcW w:w="295" w:type="pct"/>
                  <w:vMerge w:val="restart"/>
                  <w:shd w:val="clear" w:color="auto" w:fill="auto"/>
                  <w:vAlign w:val="center"/>
                </w:tcPr>
                <w:p w14:paraId="4BA85CA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p w14:paraId="60368AC0">
                  <w:pPr>
                    <w:jc w:val="center"/>
                    <w:rPr>
                      <w:rFonts w:hint="eastAsia" w:ascii="Times New Roman" w:hAnsi="Times New Roman" w:eastAsia="宋体" w:cs="Times New Roman"/>
                      <w:kern w:val="2"/>
                      <w:sz w:val="21"/>
                      <w:szCs w:val="21"/>
                      <w:lang w:val="en-US" w:eastAsia="zh-CN" w:bidi="ar-SA"/>
                    </w:rPr>
                  </w:pPr>
                </w:p>
                <w:p w14:paraId="60BAB81E">
                  <w:pPr>
                    <w:jc w:val="center"/>
                    <w:rPr>
                      <w:rFonts w:hint="eastAsia"/>
                      <w:szCs w:val="21"/>
                    </w:rPr>
                  </w:pPr>
                </w:p>
              </w:tc>
              <w:tc>
                <w:tcPr>
                  <w:tcW w:w="344" w:type="pct"/>
                  <w:vMerge w:val="restart"/>
                  <w:shd w:val="clear" w:color="auto" w:fill="auto"/>
                  <w:vAlign w:val="center"/>
                </w:tcPr>
                <w:p w14:paraId="343D717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p w14:paraId="3B70B027">
                  <w:pPr>
                    <w:jc w:val="center"/>
                    <w:rPr>
                      <w:rFonts w:hint="eastAsia" w:ascii="Times New Roman" w:hAnsi="Times New Roman" w:eastAsia="宋体" w:cs="Times New Roman"/>
                      <w:kern w:val="2"/>
                      <w:sz w:val="21"/>
                      <w:szCs w:val="21"/>
                      <w:lang w:val="en-US" w:eastAsia="zh-CN" w:bidi="ar-SA"/>
                    </w:rPr>
                  </w:pPr>
                </w:p>
                <w:p w14:paraId="72898F46">
                  <w:pPr>
                    <w:jc w:val="center"/>
                    <w:rPr>
                      <w:rFonts w:hint="eastAsia"/>
                      <w:szCs w:val="21"/>
                    </w:rPr>
                  </w:pPr>
                </w:p>
              </w:tc>
              <w:tc>
                <w:tcPr>
                  <w:tcW w:w="217" w:type="pct"/>
                  <w:vMerge w:val="restart"/>
                  <w:shd w:val="clear" w:color="auto" w:fill="auto"/>
                  <w:vAlign w:val="center"/>
                </w:tcPr>
                <w:p w14:paraId="7664155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1.2</w:t>
                  </w:r>
                </w:p>
                <w:p w14:paraId="002FB333">
                  <w:pPr>
                    <w:jc w:val="center"/>
                    <w:rPr>
                      <w:rFonts w:hint="eastAsia" w:ascii="Times New Roman" w:hAnsi="Times New Roman" w:eastAsia="宋体" w:cs="Times New Roman"/>
                      <w:kern w:val="2"/>
                      <w:sz w:val="21"/>
                      <w:szCs w:val="21"/>
                      <w:lang w:val="en-US" w:eastAsia="zh-CN" w:bidi="ar-SA"/>
                    </w:rPr>
                  </w:pPr>
                </w:p>
                <w:p w14:paraId="295EC59C">
                  <w:pPr>
                    <w:jc w:val="center"/>
                    <w:rPr>
                      <w:rFonts w:hint="eastAsia"/>
                      <w:szCs w:val="21"/>
                    </w:rPr>
                  </w:pPr>
                </w:p>
              </w:tc>
              <w:tc>
                <w:tcPr>
                  <w:tcW w:w="302" w:type="pct"/>
                  <w:shd w:val="clear" w:color="auto" w:fill="auto"/>
                  <w:vAlign w:val="center"/>
                </w:tcPr>
                <w:p w14:paraId="3AC916A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77" w:type="pct"/>
                  <w:shd w:val="clear" w:color="auto" w:fill="auto"/>
                  <w:vAlign w:val="center"/>
                </w:tcPr>
                <w:p w14:paraId="11B35EBA">
                  <w:pPr>
                    <w:jc w:val="center"/>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19</w:t>
                  </w:r>
                </w:p>
              </w:tc>
              <w:tc>
                <w:tcPr>
                  <w:tcW w:w="386" w:type="pct"/>
                  <w:vAlign w:val="center"/>
                </w:tcPr>
                <w:p w14:paraId="2096534C">
                  <w:pPr>
                    <w:jc w:val="center"/>
                    <w:rPr>
                      <w:rFonts w:hint="default"/>
                      <w:szCs w:val="21"/>
                      <w:lang w:val="en-US" w:eastAsia="zh-CN"/>
                    </w:rPr>
                  </w:pPr>
                  <w:r>
                    <w:rPr>
                      <w:rFonts w:hint="eastAsia"/>
                      <w:szCs w:val="21"/>
                      <w:lang w:val="en-US" w:eastAsia="zh-CN"/>
                    </w:rPr>
                    <w:t>66.8</w:t>
                  </w:r>
                </w:p>
              </w:tc>
              <w:tc>
                <w:tcPr>
                  <w:tcW w:w="348" w:type="pct"/>
                  <w:vMerge w:val="continue"/>
                  <w:vAlign w:val="center"/>
                </w:tcPr>
                <w:p w14:paraId="099C2390">
                  <w:pPr>
                    <w:jc w:val="center"/>
                    <w:rPr>
                      <w:rFonts w:hint="eastAsia"/>
                      <w:szCs w:val="21"/>
                    </w:rPr>
                  </w:pPr>
                </w:p>
              </w:tc>
              <w:tc>
                <w:tcPr>
                  <w:tcW w:w="422" w:type="pct"/>
                  <w:vMerge w:val="continue"/>
                  <w:vAlign w:val="center"/>
                </w:tcPr>
                <w:p w14:paraId="51DE8630">
                  <w:pPr>
                    <w:jc w:val="center"/>
                    <w:rPr>
                      <w:rFonts w:hint="eastAsia"/>
                      <w:szCs w:val="21"/>
                    </w:rPr>
                  </w:pPr>
                </w:p>
              </w:tc>
              <w:tc>
                <w:tcPr>
                  <w:tcW w:w="377" w:type="pct"/>
                  <w:vAlign w:val="center"/>
                </w:tcPr>
                <w:p w14:paraId="12D0CA0E">
                  <w:pPr>
                    <w:jc w:val="center"/>
                    <w:rPr>
                      <w:rFonts w:hint="default"/>
                      <w:szCs w:val="21"/>
                      <w:lang w:val="en-US" w:eastAsia="zh-CN"/>
                    </w:rPr>
                  </w:pPr>
                  <w:r>
                    <w:rPr>
                      <w:rFonts w:hint="eastAsia"/>
                      <w:szCs w:val="21"/>
                      <w:lang w:val="en-US" w:eastAsia="zh-CN"/>
                    </w:rPr>
                    <w:t>51.8</w:t>
                  </w:r>
                </w:p>
              </w:tc>
              <w:tc>
                <w:tcPr>
                  <w:tcW w:w="410" w:type="pct"/>
                  <w:vMerge w:val="continue"/>
                  <w:vAlign w:val="center"/>
                </w:tcPr>
                <w:p w14:paraId="2D6FE7CD">
                  <w:pPr>
                    <w:jc w:val="center"/>
                    <w:rPr>
                      <w:rFonts w:hint="eastAsia"/>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5DB685E3">
                  <w:pPr>
                    <w:jc w:val="center"/>
                  </w:pPr>
                </w:p>
              </w:tc>
              <w:tc>
                <w:tcPr>
                  <w:tcW w:w="215" w:type="pct"/>
                  <w:vMerge w:val="continue"/>
                  <w:vAlign w:val="center"/>
                </w:tcPr>
                <w:p w14:paraId="02349115">
                  <w:pPr>
                    <w:jc w:val="center"/>
                  </w:pPr>
                </w:p>
              </w:tc>
              <w:tc>
                <w:tcPr>
                  <w:tcW w:w="331" w:type="pct"/>
                  <w:vMerge w:val="continue"/>
                  <w:shd w:val="clear" w:color="auto" w:fill="auto"/>
                  <w:vAlign w:val="center"/>
                </w:tcPr>
                <w:p w14:paraId="55752C50">
                  <w:pPr>
                    <w:jc w:val="center"/>
                  </w:pPr>
                </w:p>
              </w:tc>
              <w:tc>
                <w:tcPr>
                  <w:tcW w:w="225" w:type="pct"/>
                  <w:vMerge w:val="continue"/>
                  <w:shd w:val="clear" w:color="auto" w:fill="auto"/>
                  <w:vAlign w:val="center"/>
                </w:tcPr>
                <w:p w14:paraId="40AEB890">
                  <w:pPr>
                    <w:jc w:val="center"/>
                  </w:pPr>
                </w:p>
              </w:tc>
              <w:tc>
                <w:tcPr>
                  <w:tcW w:w="308" w:type="pct"/>
                  <w:vMerge w:val="continue"/>
                  <w:vAlign w:val="center"/>
                </w:tcPr>
                <w:p w14:paraId="36A8C40F">
                  <w:pPr>
                    <w:jc w:val="center"/>
                  </w:pPr>
                </w:p>
              </w:tc>
              <w:tc>
                <w:tcPr>
                  <w:tcW w:w="357" w:type="pct"/>
                  <w:vMerge w:val="continue"/>
                  <w:vAlign w:val="center"/>
                </w:tcPr>
                <w:p w14:paraId="39640948">
                  <w:pPr>
                    <w:jc w:val="center"/>
                  </w:pPr>
                </w:p>
              </w:tc>
              <w:tc>
                <w:tcPr>
                  <w:tcW w:w="295" w:type="pct"/>
                  <w:vMerge w:val="continue"/>
                  <w:vAlign w:val="center"/>
                </w:tcPr>
                <w:p w14:paraId="4D1FBA4B">
                  <w:pPr>
                    <w:jc w:val="center"/>
                  </w:pPr>
                </w:p>
              </w:tc>
              <w:tc>
                <w:tcPr>
                  <w:tcW w:w="344" w:type="pct"/>
                  <w:vMerge w:val="continue"/>
                  <w:vAlign w:val="center"/>
                </w:tcPr>
                <w:p w14:paraId="3B62F255">
                  <w:pPr>
                    <w:jc w:val="center"/>
                  </w:pPr>
                </w:p>
              </w:tc>
              <w:tc>
                <w:tcPr>
                  <w:tcW w:w="217" w:type="pct"/>
                  <w:vMerge w:val="continue"/>
                  <w:vAlign w:val="center"/>
                </w:tcPr>
                <w:p w14:paraId="0FB69189">
                  <w:pPr>
                    <w:jc w:val="center"/>
                  </w:pPr>
                </w:p>
              </w:tc>
              <w:tc>
                <w:tcPr>
                  <w:tcW w:w="302" w:type="pct"/>
                  <w:shd w:val="clear" w:color="auto" w:fill="auto"/>
                  <w:vAlign w:val="center"/>
                </w:tcPr>
                <w:p w14:paraId="41A838F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77" w:type="pct"/>
                  <w:shd w:val="clear" w:color="auto" w:fill="auto"/>
                  <w:vAlign w:val="center"/>
                </w:tcPr>
                <w:p w14:paraId="7FA2B8C2">
                  <w:pPr>
                    <w:jc w:val="center"/>
                    <w:rPr>
                      <w:rFonts w:hint="eastAsia" w:ascii="Times New Roman" w:hAnsi="Times New Roman" w:eastAsia="宋体" w:cs="Times New Roman"/>
                      <w:kern w:val="2"/>
                      <w:sz w:val="21"/>
                      <w:szCs w:val="21"/>
                      <w:lang w:val="en-US" w:eastAsia="zh-CN" w:bidi="ar-SA"/>
                    </w:rPr>
                  </w:pPr>
                  <w:r>
                    <w:rPr>
                      <w:rFonts w:hint="eastAsia" w:eastAsia="宋体"/>
                      <w:szCs w:val="21"/>
                      <w:lang w:val="en-US" w:eastAsia="zh-CN"/>
                    </w:rPr>
                    <w:t>1</w:t>
                  </w:r>
                </w:p>
              </w:tc>
              <w:tc>
                <w:tcPr>
                  <w:tcW w:w="386" w:type="pct"/>
                  <w:vAlign w:val="center"/>
                </w:tcPr>
                <w:p w14:paraId="20D2BD50">
                  <w:pPr>
                    <w:jc w:val="center"/>
                    <w:rPr>
                      <w:rFonts w:hint="default"/>
                      <w:szCs w:val="21"/>
                      <w:lang w:val="en-US" w:eastAsia="zh-CN"/>
                    </w:rPr>
                  </w:pPr>
                  <w:r>
                    <w:rPr>
                      <w:rFonts w:hint="eastAsia"/>
                      <w:szCs w:val="21"/>
                      <w:lang w:val="en-US" w:eastAsia="zh-CN"/>
                    </w:rPr>
                    <w:t>76.1</w:t>
                  </w:r>
                </w:p>
              </w:tc>
              <w:tc>
                <w:tcPr>
                  <w:tcW w:w="348" w:type="pct"/>
                  <w:vMerge w:val="continue"/>
                  <w:vAlign w:val="center"/>
                </w:tcPr>
                <w:p w14:paraId="6A56812A">
                  <w:pPr>
                    <w:jc w:val="center"/>
                    <w:rPr>
                      <w:rFonts w:hint="eastAsia"/>
                      <w:szCs w:val="21"/>
                      <w:lang w:val="en-US" w:eastAsia="zh-CN"/>
                    </w:rPr>
                  </w:pPr>
                </w:p>
              </w:tc>
              <w:tc>
                <w:tcPr>
                  <w:tcW w:w="422" w:type="pct"/>
                  <w:vMerge w:val="continue"/>
                  <w:vAlign w:val="center"/>
                </w:tcPr>
                <w:p w14:paraId="0F68F3A7">
                  <w:pPr>
                    <w:jc w:val="center"/>
                    <w:rPr>
                      <w:rFonts w:hint="eastAsia"/>
                      <w:szCs w:val="21"/>
                      <w:lang w:val="en-US" w:eastAsia="zh-CN"/>
                    </w:rPr>
                  </w:pPr>
                </w:p>
              </w:tc>
              <w:tc>
                <w:tcPr>
                  <w:tcW w:w="377" w:type="pct"/>
                  <w:vAlign w:val="center"/>
                </w:tcPr>
                <w:p w14:paraId="44E7418C">
                  <w:pPr>
                    <w:jc w:val="center"/>
                    <w:rPr>
                      <w:rFonts w:hint="default"/>
                      <w:szCs w:val="21"/>
                      <w:lang w:val="en-US" w:eastAsia="zh-CN"/>
                    </w:rPr>
                  </w:pPr>
                  <w:r>
                    <w:rPr>
                      <w:rFonts w:hint="eastAsia"/>
                      <w:szCs w:val="21"/>
                      <w:lang w:val="en-US" w:eastAsia="zh-CN"/>
                    </w:rPr>
                    <w:t>61.1</w:t>
                  </w:r>
                </w:p>
              </w:tc>
              <w:tc>
                <w:tcPr>
                  <w:tcW w:w="410" w:type="pct"/>
                  <w:vMerge w:val="continue"/>
                  <w:vAlign w:val="center"/>
                </w:tcPr>
                <w:p w14:paraId="502F5D0E">
                  <w:pPr>
                    <w:jc w:val="center"/>
                    <w:rPr>
                      <w:rFonts w:hint="eastAsia"/>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DC13233">
                  <w:pPr>
                    <w:jc w:val="center"/>
                    <w:rPr>
                      <w:rFonts w:hint="eastAsia"/>
                      <w:szCs w:val="21"/>
                      <w:lang w:val="en-US" w:eastAsia="zh-CN"/>
                    </w:rPr>
                  </w:pPr>
                </w:p>
              </w:tc>
              <w:tc>
                <w:tcPr>
                  <w:tcW w:w="215" w:type="pct"/>
                  <w:vMerge w:val="continue"/>
                  <w:vAlign w:val="center"/>
                </w:tcPr>
                <w:p w14:paraId="70EDC5C2">
                  <w:pPr>
                    <w:jc w:val="center"/>
                    <w:rPr>
                      <w:rFonts w:hint="eastAsia"/>
                      <w:szCs w:val="21"/>
                      <w:lang w:val="en-US" w:eastAsia="zh-CN"/>
                    </w:rPr>
                  </w:pPr>
                </w:p>
              </w:tc>
              <w:tc>
                <w:tcPr>
                  <w:tcW w:w="331" w:type="pct"/>
                  <w:vMerge w:val="continue"/>
                  <w:shd w:val="clear" w:color="auto" w:fill="auto"/>
                  <w:vAlign w:val="center"/>
                </w:tcPr>
                <w:p w14:paraId="04AF4E53">
                  <w:pPr>
                    <w:jc w:val="center"/>
                    <w:rPr>
                      <w:rFonts w:hint="eastAsia"/>
                      <w:szCs w:val="21"/>
                      <w:lang w:val="en-US" w:eastAsia="zh-CN"/>
                    </w:rPr>
                  </w:pPr>
                </w:p>
              </w:tc>
              <w:tc>
                <w:tcPr>
                  <w:tcW w:w="225" w:type="pct"/>
                  <w:vMerge w:val="continue"/>
                  <w:shd w:val="clear" w:color="auto" w:fill="auto"/>
                  <w:vAlign w:val="center"/>
                </w:tcPr>
                <w:p w14:paraId="76CB0B33">
                  <w:pPr>
                    <w:jc w:val="center"/>
                    <w:rPr>
                      <w:rFonts w:hint="eastAsia"/>
                      <w:szCs w:val="21"/>
                      <w:lang w:val="en-US" w:eastAsia="zh-CN"/>
                    </w:rPr>
                  </w:pPr>
                </w:p>
              </w:tc>
              <w:tc>
                <w:tcPr>
                  <w:tcW w:w="308" w:type="pct"/>
                  <w:vMerge w:val="continue"/>
                  <w:vAlign w:val="center"/>
                </w:tcPr>
                <w:p w14:paraId="28372FC5">
                  <w:pPr>
                    <w:jc w:val="center"/>
                    <w:rPr>
                      <w:rFonts w:hint="eastAsia"/>
                      <w:szCs w:val="21"/>
                      <w:lang w:val="en-US" w:eastAsia="zh-CN"/>
                    </w:rPr>
                  </w:pPr>
                </w:p>
              </w:tc>
              <w:tc>
                <w:tcPr>
                  <w:tcW w:w="357" w:type="pct"/>
                  <w:vMerge w:val="continue"/>
                  <w:vAlign w:val="center"/>
                </w:tcPr>
                <w:p w14:paraId="7A6EDD92">
                  <w:pPr>
                    <w:jc w:val="center"/>
                    <w:rPr>
                      <w:rFonts w:hint="eastAsia"/>
                      <w:szCs w:val="21"/>
                      <w:lang w:val="en-US" w:eastAsia="zh-CN"/>
                    </w:rPr>
                  </w:pPr>
                </w:p>
              </w:tc>
              <w:tc>
                <w:tcPr>
                  <w:tcW w:w="295" w:type="pct"/>
                  <w:vMerge w:val="continue"/>
                  <w:vAlign w:val="center"/>
                </w:tcPr>
                <w:p w14:paraId="54768F0D">
                  <w:pPr>
                    <w:jc w:val="center"/>
                    <w:rPr>
                      <w:rFonts w:hint="eastAsia"/>
                      <w:szCs w:val="21"/>
                      <w:lang w:val="en-US" w:eastAsia="zh-CN"/>
                    </w:rPr>
                  </w:pPr>
                </w:p>
              </w:tc>
              <w:tc>
                <w:tcPr>
                  <w:tcW w:w="344" w:type="pct"/>
                  <w:vMerge w:val="continue"/>
                  <w:vAlign w:val="center"/>
                </w:tcPr>
                <w:p w14:paraId="36DE7048">
                  <w:pPr>
                    <w:jc w:val="center"/>
                    <w:rPr>
                      <w:rFonts w:hint="eastAsia"/>
                      <w:szCs w:val="21"/>
                      <w:lang w:val="en-US" w:eastAsia="zh-CN"/>
                    </w:rPr>
                  </w:pPr>
                </w:p>
              </w:tc>
              <w:tc>
                <w:tcPr>
                  <w:tcW w:w="217" w:type="pct"/>
                  <w:vMerge w:val="continue"/>
                  <w:vAlign w:val="center"/>
                </w:tcPr>
                <w:p w14:paraId="40076A50">
                  <w:pPr>
                    <w:jc w:val="center"/>
                    <w:rPr>
                      <w:rFonts w:hint="eastAsia"/>
                      <w:szCs w:val="21"/>
                      <w:lang w:val="en-US" w:eastAsia="zh-CN"/>
                    </w:rPr>
                  </w:pPr>
                </w:p>
              </w:tc>
              <w:tc>
                <w:tcPr>
                  <w:tcW w:w="302" w:type="pct"/>
                  <w:shd w:val="clear" w:color="auto" w:fill="auto"/>
                  <w:vAlign w:val="center"/>
                </w:tcPr>
                <w:p w14:paraId="145B410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77" w:type="pct"/>
                  <w:shd w:val="clear" w:color="auto" w:fill="auto"/>
                  <w:vAlign w:val="center"/>
                </w:tcPr>
                <w:p w14:paraId="000054B1">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386" w:type="pct"/>
                  <w:vAlign w:val="center"/>
                </w:tcPr>
                <w:p w14:paraId="186D919F">
                  <w:pPr>
                    <w:jc w:val="center"/>
                    <w:rPr>
                      <w:rFonts w:hint="default"/>
                      <w:szCs w:val="21"/>
                      <w:lang w:val="en-US" w:eastAsia="zh-CN"/>
                    </w:rPr>
                  </w:pPr>
                  <w:r>
                    <w:rPr>
                      <w:rFonts w:hint="eastAsia"/>
                      <w:szCs w:val="21"/>
                      <w:lang w:val="en-US" w:eastAsia="zh-CN"/>
                    </w:rPr>
                    <w:t>70.8</w:t>
                  </w:r>
                </w:p>
              </w:tc>
              <w:tc>
                <w:tcPr>
                  <w:tcW w:w="348" w:type="pct"/>
                  <w:vMerge w:val="continue"/>
                  <w:vAlign w:val="center"/>
                </w:tcPr>
                <w:p w14:paraId="3E1AD8C9">
                  <w:pPr>
                    <w:jc w:val="center"/>
                    <w:rPr>
                      <w:rFonts w:hint="eastAsia"/>
                      <w:szCs w:val="21"/>
                      <w:lang w:val="en-US" w:eastAsia="zh-CN"/>
                    </w:rPr>
                  </w:pPr>
                </w:p>
              </w:tc>
              <w:tc>
                <w:tcPr>
                  <w:tcW w:w="422" w:type="pct"/>
                  <w:vMerge w:val="continue"/>
                  <w:vAlign w:val="center"/>
                </w:tcPr>
                <w:p w14:paraId="784D3569">
                  <w:pPr>
                    <w:jc w:val="center"/>
                    <w:rPr>
                      <w:rFonts w:hint="eastAsia"/>
                      <w:szCs w:val="21"/>
                      <w:lang w:val="en-US" w:eastAsia="zh-CN"/>
                    </w:rPr>
                  </w:pPr>
                </w:p>
              </w:tc>
              <w:tc>
                <w:tcPr>
                  <w:tcW w:w="377" w:type="pct"/>
                  <w:vAlign w:val="center"/>
                </w:tcPr>
                <w:p w14:paraId="7CD958CE">
                  <w:pPr>
                    <w:jc w:val="center"/>
                    <w:rPr>
                      <w:rFonts w:hint="default"/>
                      <w:szCs w:val="21"/>
                      <w:lang w:val="en-US" w:eastAsia="zh-CN"/>
                    </w:rPr>
                  </w:pPr>
                  <w:r>
                    <w:rPr>
                      <w:rFonts w:hint="eastAsia"/>
                      <w:szCs w:val="21"/>
                      <w:lang w:val="en-US" w:eastAsia="zh-CN"/>
                    </w:rPr>
                    <w:t>55.8</w:t>
                  </w:r>
                </w:p>
              </w:tc>
              <w:tc>
                <w:tcPr>
                  <w:tcW w:w="410" w:type="pct"/>
                  <w:vMerge w:val="continue"/>
                  <w:vAlign w:val="center"/>
                </w:tcPr>
                <w:p w14:paraId="120F8E0E">
                  <w:pPr>
                    <w:jc w:val="center"/>
                    <w:rPr>
                      <w:rFonts w:hint="eastAsia"/>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E393A54">
                  <w:pPr>
                    <w:jc w:val="center"/>
                    <w:rPr>
                      <w:rFonts w:hint="eastAsia"/>
                      <w:szCs w:val="21"/>
                      <w:lang w:val="en-US" w:eastAsia="zh-CN"/>
                    </w:rPr>
                  </w:pPr>
                </w:p>
              </w:tc>
              <w:tc>
                <w:tcPr>
                  <w:tcW w:w="215" w:type="pct"/>
                  <w:vMerge w:val="continue"/>
                  <w:vAlign w:val="center"/>
                </w:tcPr>
                <w:p w14:paraId="10DDB833">
                  <w:pPr>
                    <w:jc w:val="center"/>
                    <w:rPr>
                      <w:rFonts w:hint="eastAsia"/>
                      <w:szCs w:val="21"/>
                      <w:lang w:val="en-US" w:eastAsia="zh-CN"/>
                    </w:rPr>
                  </w:pPr>
                </w:p>
              </w:tc>
              <w:tc>
                <w:tcPr>
                  <w:tcW w:w="331" w:type="pct"/>
                  <w:vMerge w:val="continue"/>
                  <w:shd w:val="clear" w:color="auto" w:fill="auto"/>
                  <w:vAlign w:val="center"/>
                </w:tcPr>
                <w:p w14:paraId="1E7E56CF">
                  <w:pPr>
                    <w:jc w:val="center"/>
                    <w:rPr>
                      <w:rFonts w:hint="eastAsia"/>
                      <w:szCs w:val="21"/>
                      <w:lang w:val="en-US" w:eastAsia="zh-CN"/>
                    </w:rPr>
                  </w:pPr>
                </w:p>
              </w:tc>
              <w:tc>
                <w:tcPr>
                  <w:tcW w:w="225" w:type="pct"/>
                  <w:vMerge w:val="continue"/>
                  <w:shd w:val="clear" w:color="auto" w:fill="auto"/>
                  <w:vAlign w:val="center"/>
                </w:tcPr>
                <w:p w14:paraId="3E503B02">
                  <w:pPr>
                    <w:jc w:val="center"/>
                    <w:rPr>
                      <w:rFonts w:hint="eastAsia"/>
                      <w:szCs w:val="21"/>
                      <w:lang w:val="en-US" w:eastAsia="zh-CN"/>
                    </w:rPr>
                  </w:pPr>
                </w:p>
              </w:tc>
              <w:tc>
                <w:tcPr>
                  <w:tcW w:w="308" w:type="pct"/>
                  <w:vMerge w:val="continue"/>
                  <w:vAlign w:val="center"/>
                </w:tcPr>
                <w:p w14:paraId="77F39276">
                  <w:pPr>
                    <w:jc w:val="center"/>
                    <w:rPr>
                      <w:rFonts w:hint="eastAsia"/>
                      <w:szCs w:val="21"/>
                      <w:lang w:val="en-US" w:eastAsia="zh-CN"/>
                    </w:rPr>
                  </w:pPr>
                </w:p>
              </w:tc>
              <w:tc>
                <w:tcPr>
                  <w:tcW w:w="357" w:type="pct"/>
                  <w:vMerge w:val="continue"/>
                  <w:vAlign w:val="center"/>
                </w:tcPr>
                <w:p w14:paraId="010F0520">
                  <w:pPr>
                    <w:jc w:val="center"/>
                    <w:rPr>
                      <w:rFonts w:hint="eastAsia"/>
                      <w:szCs w:val="21"/>
                      <w:lang w:val="en-US" w:eastAsia="zh-CN"/>
                    </w:rPr>
                  </w:pPr>
                </w:p>
              </w:tc>
              <w:tc>
                <w:tcPr>
                  <w:tcW w:w="295" w:type="pct"/>
                  <w:vMerge w:val="continue"/>
                  <w:vAlign w:val="center"/>
                </w:tcPr>
                <w:p w14:paraId="42C128FB">
                  <w:pPr>
                    <w:jc w:val="center"/>
                    <w:rPr>
                      <w:rFonts w:hint="eastAsia"/>
                      <w:szCs w:val="21"/>
                      <w:lang w:val="en-US" w:eastAsia="zh-CN"/>
                    </w:rPr>
                  </w:pPr>
                </w:p>
              </w:tc>
              <w:tc>
                <w:tcPr>
                  <w:tcW w:w="344" w:type="pct"/>
                  <w:vMerge w:val="continue"/>
                  <w:vAlign w:val="center"/>
                </w:tcPr>
                <w:p w14:paraId="54C11346">
                  <w:pPr>
                    <w:jc w:val="center"/>
                    <w:rPr>
                      <w:rFonts w:hint="eastAsia"/>
                      <w:szCs w:val="21"/>
                      <w:lang w:val="en-US" w:eastAsia="zh-CN"/>
                    </w:rPr>
                  </w:pPr>
                </w:p>
              </w:tc>
              <w:tc>
                <w:tcPr>
                  <w:tcW w:w="217" w:type="pct"/>
                  <w:vMerge w:val="continue"/>
                  <w:vAlign w:val="center"/>
                </w:tcPr>
                <w:p w14:paraId="05D955CB">
                  <w:pPr>
                    <w:jc w:val="center"/>
                    <w:rPr>
                      <w:rFonts w:hint="eastAsia"/>
                      <w:szCs w:val="21"/>
                      <w:lang w:val="en-US" w:eastAsia="zh-CN"/>
                    </w:rPr>
                  </w:pPr>
                </w:p>
              </w:tc>
              <w:tc>
                <w:tcPr>
                  <w:tcW w:w="302" w:type="pct"/>
                  <w:shd w:val="clear" w:color="auto" w:fill="auto"/>
                  <w:vAlign w:val="center"/>
                </w:tcPr>
                <w:p w14:paraId="756C174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77" w:type="pct"/>
                  <w:shd w:val="clear" w:color="auto" w:fill="auto"/>
                  <w:vAlign w:val="center"/>
                </w:tcPr>
                <w:p w14:paraId="2CBB999A">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386" w:type="pct"/>
                  <w:vAlign w:val="center"/>
                </w:tcPr>
                <w:p w14:paraId="42F8D8D6">
                  <w:pPr>
                    <w:jc w:val="center"/>
                    <w:rPr>
                      <w:rFonts w:hint="default"/>
                      <w:szCs w:val="21"/>
                      <w:lang w:val="en-US" w:eastAsia="zh-CN"/>
                    </w:rPr>
                  </w:pPr>
                  <w:r>
                    <w:rPr>
                      <w:rFonts w:hint="eastAsia"/>
                      <w:szCs w:val="21"/>
                      <w:lang w:val="en-US" w:eastAsia="zh-CN"/>
                    </w:rPr>
                    <w:t>71.4</w:t>
                  </w:r>
                </w:p>
              </w:tc>
              <w:tc>
                <w:tcPr>
                  <w:tcW w:w="348" w:type="pct"/>
                  <w:vMerge w:val="continue"/>
                  <w:vAlign w:val="center"/>
                </w:tcPr>
                <w:p w14:paraId="1F218D4B">
                  <w:pPr>
                    <w:jc w:val="center"/>
                    <w:rPr>
                      <w:rFonts w:hint="eastAsia"/>
                      <w:szCs w:val="21"/>
                      <w:lang w:val="en-US" w:eastAsia="zh-CN"/>
                    </w:rPr>
                  </w:pPr>
                </w:p>
              </w:tc>
              <w:tc>
                <w:tcPr>
                  <w:tcW w:w="422" w:type="pct"/>
                  <w:vMerge w:val="continue"/>
                  <w:vAlign w:val="center"/>
                </w:tcPr>
                <w:p w14:paraId="7A5B7B04">
                  <w:pPr>
                    <w:jc w:val="center"/>
                    <w:rPr>
                      <w:rFonts w:hint="eastAsia"/>
                      <w:szCs w:val="21"/>
                      <w:lang w:val="en-US" w:eastAsia="zh-CN"/>
                    </w:rPr>
                  </w:pPr>
                </w:p>
              </w:tc>
              <w:tc>
                <w:tcPr>
                  <w:tcW w:w="377" w:type="pct"/>
                  <w:vAlign w:val="center"/>
                </w:tcPr>
                <w:p w14:paraId="3B1F8E44">
                  <w:pPr>
                    <w:jc w:val="center"/>
                    <w:rPr>
                      <w:rFonts w:hint="default"/>
                      <w:szCs w:val="21"/>
                      <w:lang w:val="en-US" w:eastAsia="zh-CN"/>
                    </w:rPr>
                  </w:pPr>
                  <w:r>
                    <w:rPr>
                      <w:rFonts w:hint="eastAsia"/>
                      <w:szCs w:val="21"/>
                      <w:lang w:val="en-US" w:eastAsia="zh-CN"/>
                    </w:rPr>
                    <w:t>55.4</w:t>
                  </w:r>
                </w:p>
              </w:tc>
              <w:tc>
                <w:tcPr>
                  <w:tcW w:w="410" w:type="pct"/>
                  <w:vMerge w:val="continue"/>
                  <w:vAlign w:val="center"/>
                </w:tcPr>
                <w:p w14:paraId="675D058C">
                  <w:pPr>
                    <w:jc w:val="center"/>
                    <w:rPr>
                      <w:rFonts w:hint="eastAsia"/>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3</w:t>
                  </w:r>
                </w:p>
              </w:tc>
              <w:tc>
                <w:tcPr>
                  <w:tcW w:w="215"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厂房楼顶</w:t>
                  </w:r>
                </w:p>
              </w:tc>
              <w:tc>
                <w:tcPr>
                  <w:tcW w:w="331"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225"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08"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357"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95" w:type="pct"/>
                  <w:vMerge w:val="restart"/>
                  <w:vAlign w:val="center"/>
                </w:tcPr>
                <w:p w14:paraId="798B316A">
                  <w:pPr>
                    <w:jc w:val="center"/>
                    <w:rPr>
                      <w:rFonts w:hint="eastAsia" w:eastAsia="宋体"/>
                      <w:color w:val="auto"/>
                      <w:szCs w:val="21"/>
                      <w:lang w:val="en-US" w:eastAsia="zh-CN"/>
                    </w:rPr>
                  </w:pPr>
                  <w:r>
                    <w:rPr>
                      <w:rFonts w:hint="eastAsia"/>
                      <w:color w:val="auto"/>
                      <w:szCs w:val="21"/>
                      <w:lang w:val="en-US" w:eastAsia="zh-CN"/>
                    </w:rPr>
                    <w:t>2</w:t>
                  </w:r>
                </w:p>
              </w:tc>
              <w:tc>
                <w:tcPr>
                  <w:tcW w:w="344" w:type="pct"/>
                  <w:vMerge w:val="restart"/>
                  <w:vAlign w:val="center"/>
                </w:tcPr>
                <w:p w14:paraId="5C04B6E0">
                  <w:pPr>
                    <w:jc w:val="center"/>
                    <w:rPr>
                      <w:rFonts w:hint="eastAsia" w:eastAsia="宋体"/>
                      <w:color w:val="auto"/>
                      <w:szCs w:val="21"/>
                      <w:lang w:val="en-US" w:eastAsia="zh-CN"/>
                    </w:rPr>
                  </w:pPr>
                  <w:r>
                    <w:rPr>
                      <w:rFonts w:hint="eastAsia"/>
                      <w:color w:val="auto"/>
                      <w:szCs w:val="21"/>
                      <w:lang w:val="en-US" w:eastAsia="zh-CN"/>
                    </w:rPr>
                    <w:t>4</w:t>
                  </w:r>
                </w:p>
              </w:tc>
              <w:tc>
                <w:tcPr>
                  <w:tcW w:w="217"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21</w:t>
                  </w:r>
                </w:p>
              </w:tc>
              <w:tc>
                <w:tcPr>
                  <w:tcW w:w="302"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77"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86"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348"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24h/d</w:t>
                  </w:r>
                </w:p>
              </w:tc>
              <w:tc>
                <w:tcPr>
                  <w:tcW w:w="422"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377"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410"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42958CD5">
                  <w:pPr>
                    <w:jc w:val="center"/>
                    <w:rPr>
                      <w:color w:val="auto"/>
                    </w:rPr>
                  </w:pPr>
                </w:p>
              </w:tc>
              <w:tc>
                <w:tcPr>
                  <w:tcW w:w="215" w:type="pct"/>
                  <w:vMerge w:val="continue"/>
                  <w:vAlign w:val="center"/>
                </w:tcPr>
                <w:p w14:paraId="275B4D7C">
                  <w:pPr>
                    <w:jc w:val="center"/>
                    <w:rPr>
                      <w:color w:val="auto"/>
                    </w:rPr>
                  </w:pPr>
                </w:p>
              </w:tc>
              <w:tc>
                <w:tcPr>
                  <w:tcW w:w="331" w:type="pct"/>
                  <w:vMerge w:val="continue"/>
                  <w:vAlign w:val="center"/>
                </w:tcPr>
                <w:p w14:paraId="65B05271">
                  <w:pPr>
                    <w:jc w:val="center"/>
                    <w:rPr>
                      <w:color w:val="auto"/>
                    </w:rPr>
                  </w:pPr>
                </w:p>
              </w:tc>
              <w:tc>
                <w:tcPr>
                  <w:tcW w:w="225" w:type="pct"/>
                  <w:vMerge w:val="continue"/>
                  <w:shd w:val="clear" w:color="auto" w:fill="auto"/>
                  <w:vAlign w:val="center"/>
                </w:tcPr>
                <w:p w14:paraId="3970EB57">
                  <w:pPr>
                    <w:jc w:val="center"/>
                    <w:rPr>
                      <w:color w:val="auto"/>
                    </w:rPr>
                  </w:pPr>
                </w:p>
              </w:tc>
              <w:tc>
                <w:tcPr>
                  <w:tcW w:w="308" w:type="pct"/>
                  <w:vMerge w:val="continue"/>
                  <w:vAlign w:val="center"/>
                </w:tcPr>
                <w:p w14:paraId="04D091D8">
                  <w:pPr>
                    <w:jc w:val="center"/>
                    <w:rPr>
                      <w:color w:val="auto"/>
                    </w:rPr>
                  </w:pPr>
                </w:p>
              </w:tc>
              <w:tc>
                <w:tcPr>
                  <w:tcW w:w="357" w:type="pct"/>
                  <w:vMerge w:val="continue"/>
                  <w:vAlign w:val="center"/>
                </w:tcPr>
                <w:p w14:paraId="1D1AE173">
                  <w:pPr>
                    <w:jc w:val="center"/>
                    <w:rPr>
                      <w:color w:val="auto"/>
                    </w:rPr>
                  </w:pPr>
                </w:p>
              </w:tc>
              <w:tc>
                <w:tcPr>
                  <w:tcW w:w="295" w:type="pct"/>
                  <w:vMerge w:val="continue"/>
                  <w:vAlign w:val="center"/>
                </w:tcPr>
                <w:p w14:paraId="5269E961">
                  <w:pPr>
                    <w:jc w:val="center"/>
                    <w:rPr>
                      <w:color w:val="auto"/>
                    </w:rPr>
                  </w:pPr>
                </w:p>
              </w:tc>
              <w:tc>
                <w:tcPr>
                  <w:tcW w:w="344" w:type="pct"/>
                  <w:vMerge w:val="continue"/>
                  <w:vAlign w:val="center"/>
                </w:tcPr>
                <w:p w14:paraId="32D2378E">
                  <w:pPr>
                    <w:jc w:val="center"/>
                    <w:rPr>
                      <w:color w:val="auto"/>
                    </w:rPr>
                  </w:pPr>
                </w:p>
              </w:tc>
              <w:tc>
                <w:tcPr>
                  <w:tcW w:w="217" w:type="pct"/>
                  <w:vMerge w:val="continue"/>
                  <w:vAlign w:val="center"/>
                </w:tcPr>
                <w:p w14:paraId="2920ACF3">
                  <w:pPr>
                    <w:jc w:val="center"/>
                    <w:rPr>
                      <w:color w:val="auto"/>
                    </w:rPr>
                  </w:pPr>
                </w:p>
              </w:tc>
              <w:tc>
                <w:tcPr>
                  <w:tcW w:w="302"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77"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86"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602971D4">
                  <w:pPr>
                    <w:jc w:val="center"/>
                    <w:rPr>
                      <w:rFonts w:hint="eastAsia"/>
                      <w:color w:val="auto"/>
                      <w:szCs w:val="21"/>
                      <w:lang w:val="en-US" w:eastAsia="zh-CN"/>
                    </w:rPr>
                  </w:pPr>
                </w:p>
              </w:tc>
              <w:tc>
                <w:tcPr>
                  <w:tcW w:w="422" w:type="pct"/>
                  <w:vMerge w:val="continue"/>
                  <w:vAlign w:val="center"/>
                </w:tcPr>
                <w:p w14:paraId="5C6130D9">
                  <w:pPr>
                    <w:jc w:val="center"/>
                    <w:rPr>
                      <w:rFonts w:hint="eastAsia"/>
                      <w:color w:val="auto"/>
                      <w:szCs w:val="21"/>
                      <w:lang w:val="en-US" w:eastAsia="zh-CN"/>
                    </w:rPr>
                  </w:pPr>
                </w:p>
              </w:tc>
              <w:tc>
                <w:tcPr>
                  <w:tcW w:w="377"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410"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3E557AF5">
                  <w:pPr>
                    <w:jc w:val="center"/>
                    <w:rPr>
                      <w:rFonts w:hint="eastAsia"/>
                      <w:color w:val="auto"/>
                      <w:szCs w:val="21"/>
                      <w:lang w:val="en-US" w:eastAsia="zh-CN"/>
                    </w:rPr>
                  </w:pPr>
                </w:p>
              </w:tc>
              <w:tc>
                <w:tcPr>
                  <w:tcW w:w="215" w:type="pct"/>
                  <w:vMerge w:val="continue"/>
                  <w:vAlign w:val="center"/>
                </w:tcPr>
                <w:p w14:paraId="39B81BB3">
                  <w:pPr>
                    <w:jc w:val="center"/>
                    <w:rPr>
                      <w:rFonts w:hint="eastAsia"/>
                      <w:color w:val="auto"/>
                      <w:szCs w:val="21"/>
                      <w:lang w:val="en-US" w:eastAsia="zh-CN"/>
                    </w:rPr>
                  </w:pPr>
                </w:p>
              </w:tc>
              <w:tc>
                <w:tcPr>
                  <w:tcW w:w="331" w:type="pct"/>
                  <w:vMerge w:val="continue"/>
                  <w:vAlign w:val="center"/>
                </w:tcPr>
                <w:p w14:paraId="3F2DCB5D">
                  <w:pPr>
                    <w:jc w:val="center"/>
                    <w:rPr>
                      <w:rFonts w:hint="eastAsia"/>
                      <w:color w:val="auto"/>
                      <w:szCs w:val="21"/>
                      <w:lang w:val="en-US" w:eastAsia="zh-CN"/>
                    </w:rPr>
                  </w:pPr>
                </w:p>
              </w:tc>
              <w:tc>
                <w:tcPr>
                  <w:tcW w:w="225" w:type="pct"/>
                  <w:vMerge w:val="continue"/>
                  <w:shd w:val="clear" w:color="auto" w:fill="auto"/>
                  <w:vAlign w:val="center"/>
                </w:tcPr>
                <w:p w14:paraId="61DF4D10">
                  <w:pPr>
                    <w:jc w:val="center"/>
                    <w:rPr>
                      <w:rFonts w:hint="eastAsia"/>
                      <w:color w:val="auto"/>
                      <w:szCs w:val="21"/>
                      <w:lang w:val="en-US" w:eastAsia="zh-CN"/>
                    </w:rPr>
                  </w:pPr>
                </w:p>
              </w:tc>
              <w:tc>
                <w:tcPr>
                  <w:tcW w:w="308" w:type="pct"/>
                  <w:vMerge w:val="continue"/>
                  <w:vAlign w:val="center"/>
                </w:tcPr>
                <w:p w14:paraId="0642A964">
                  <w:pPr>
                    <w:jc w:val="center"/>
                    <w:rPr>
                      <w:rFonts w:hint="eastAsia"/>
                      <w:color w:val="auto"/>
                      <w:szCs w:val="21"/>
                      <w:lang w:val="en-US" w:eastAsia="zh-CN"/>
                    </w:rPr>
                  </w:pPr>
                </w:p>
              </w:tc>
              <w:tc>
                <w:tcPr>
                  <w:tcW w:w="357" w:type="pct"/>
                  <w:vMerge w:val="continue"/>
                  <w:vAlign w:val="center"/>
                </w:tcPr>
                <w:p w14:paraId="077B6BE8">
                  <w:pPr>
                    <w:jc w:val="center"/>
                    <w:rPr>
                      <w:rFonts w:hint="eastAsia"/>
                      <w:color w:val="auto"/>
                      <w:szCs w:val="21"/>
                      <w:lang w:val="en-US" w:eastAsia="zh-CN"/>
                    </w:rPr>
                  </w:pPr>
                </w:p>
              </w:tc>
              <w:tc>
                <w:tcPr>
                  <w:tcW w:w="295" w:type="pct"/>
                  <w:vMerge w:val="continue"/>
                  <w:vAlign w:val="center"/>
                </w:tcPr>
                <w:p w14:paraId="37745E3C">
                  <w:pPr>
                    <w:jc w:val="center"/>
                    <w:rPr>
                      <w:rFonts w:hint="eastAsia"/>
                      <w:color w:val="auto"/>
                      <w:szCs w:val="21"/>
                      <w:lang w:val="en-US" w:eastAsia="zh-CN"/>
                    </w:rPr>
                  </w:pPr>
                </w:p>
              </w:tc>
              <w:tc>
                <w:tcPr>
                  <w:tcW w:w="344" w:type="pct"/>
                  <w:vMerge w:val="continue"/>
                  <w:vAlign w:val="center"/>
                </w:tcPr>
                <w:p w14:paraId="53B0324C">
                  <w:pPr>
                    <w:jc w:val="center"/>
                    <w:rPr>
                      <w:rFonts w:hint="eastAsia"/>
                      <w:color w:val="auto"/>
                      <w:szCs w:val="21"/>
                      <w:lang w:val="en-US" w:eastAsia="zh-CN"/>
                    </w:rPr>
                  </w:pPr>
                </w:p>
              </w:tc>
              <w:tc>
                <w:tcPr>
                  <w:tcW w:w="217" w:type="pct"/>
                  <w:vMerge w:val="continue"/>
                  <w:vAlign w:val="center"/>
                </w:tcPr>
                <w:p w14:paraId="4DD8D670">
                  <w:pPr>
                    <w:jc w:val="center"/>
                    <w:rPr>
                      <w:rFonts w:hint="eastAsia"/>
                      <w:color w:val="auto"/>
                      <w:szCs w:val="21"/>
                      <w:lang w:val="en-US" w:eastAsia="zh-CN"/>
                    </w:rPr>
                  </w:pPr>
                </w:p>
              </w:tc>
              <w:tc>
                <w:tcPr>
                  <w:tcW w:w="302"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77"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86"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4471E2FF">
                  <w:pPr>
                    <w:jc w:val="center"/>
                    <w:rPr>
                      <w:rFonts w:hint="eastAsia"/>
                      <w:color w:val="auto"/>
                      <w:szCs w:val="21"/>
                      <w:lang w:val="en-US" w:eastAsia="zh-CN"/>
                    </w:rPr>
                  </w:pPr>
                </w:p>
              </w:tc>
              <w:tc>
                <w:tcPr>
                  <w:tcW w:w="422" w:type="pct"/>
                  <w:vMerge w:val="continue"/>
                  <w:vAlign w:val="center"/>
                </w:tcPr>
                <w:p w14:paraId="1A862696">
                  <w:pPr>
                    <w:jc w:val="center"/>
                    <w:rPr>
                      <w:rFonts w:hint="eastAsia"/>
                      <w:color w:val="auto"/>
                      <w:szCs w:val="21"/>
                      <w:lang w:val="en-US" w:eastAsia="zh-CN"/>
                    </w:rPr>
                  </w:pPr>
                </w:p>
              </w:tc>
              <w:tc>
                <w:tcPr>
                  <w:tcW w:w="377"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410"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68AE5B0B">
                  <w:pPr>
                    <w:jc w:val="center"/>
                    <w:rPr>
                      <w:rFonts w:hint="eastAsia"/>
                      <w:color w:val="auto"/>
                      <w:szCs w:val="21"/>
                      <w:lang w:val="en-US" w:eastAsia="zh-CN"/>
                    </w:rPr>
                  </w:pPr>
                </w:p>
              </w:tc>
              <w:tc>
                <w:tcPr>
                  <w:tcW w:w="215" w:type="pct"/>
                  <w:vMerge w:val="continue"/>
                  <w:vAlign w:val="center"/>
                </w:tcPr>
                <w:p w14:paraId="4583F70F">
                  <w:pPr>
                    <w:jc w:val="center"/>
                    <w:rPr>
                      <w:rFonts w:hint="eastAsia"/>
                      <w:color w:val="auto"/>
                      <w:szCs w:val="21"/>
                      <w:lang w:val="en-US" w:eastAsia="zh-CN"/>
                    </w:rPr>
                  </w:pPr>
                </w:p>
              </w:tc>
              <w:tc>
                <w:tcPr>
                  <w:tcW w:w="331" w:type="pct"/>
                  <w:vMerge w:val="continue"/>
                  <w:vAlign w:val="center"/>
                </w:tcPr>
                <w:p w14:paraId="56372C3A">
                  <w:pPr>
                    <w:jc w:val="center"/>
                    <w:rPr>
                      <w:rFonts w:hint="eastAsia"/>
                      <w:color w:val="auto"/>
                      <w:szCs w:val="21"/>
                      <w:lang w:val="en-US" w:eastAsia="zh-CN"/>
                    </w:rPr>
                  </w:pPr>
                </w:p>
              </w:tc>
              <w:tc>
                <w:tcPr>
                  <w:tcW w:w="225" w:type="pct"/>
                  <w:vMerge w:val="continue"/>
                  <w:shd w:val="clear" w:color="auto" w:fill="auto"/>
                  <w:vAlign w:val="center"/>
                </w:tcPr>
                <w:p w14:paraId="198E7188">
                  <w:pPr>
                    <w:jc w:val="center"/>
                    <w:rPr>
                      <w:rFonts w:hint="eastAsia"/>
                      <w:color w:val="auto"/>
                      <w:szCs w:val="21"/>
                      <w:lang w:val="en-US" w:eastAsia="zh-CN"/>
                    </w:rPr>
                  </w:pPr>
                </w:p>
              </w:tc>
              <w:tc>
                <w:tcPr>
                  <w:tcW w:w="308" w:type="pct"/>
                  <w:vMerge w:val="continue"/>
                  <w:vAlign w:val="center"/>
                </w:tcPr>
                <w:p w14:paraId="63A21675">
                  <w:pPr>
                    <w:jc w:val="center"/>
                    <w:rPr>
                      <w:rFonts w:hint="eastAsia"/>
                      <w:color w:val="auto"/>
                      <w:szCs w:val="21"/>
                      <w:lang w:val="en-US" w:eastAsia="zh-CN"/>
                    </w:rPr>
                  </w:pPr>
                </w:p>
              </w:tc>
              <w:tc>
                <w:tcPr>
                  <w:tcW w:w="357" w:type="pct"/>
                  <w:vMerge w:val="continue"/>
                  <w:vAlign w:val="center"/>
                </w:tcPr>
                <w:p w14:paraId="56FB0A4A">
                  <w:pPr>
                    <w:jc w:val="center"/>
                    <w:rPr>
                      <w:rFonts w:hint="eastAsia"/>
                      <w:color w:val="auto"/>
                      <w:szCs w:val="21"/>
                      <w:lang w:val="en-US" w:eastAsia="zh-CN"/>
                    </w:rPr>
                  </w:pPr>
                </w:p>
              </w:tc>
              <w:tc>
                <w:tcPr>
                  <w:tcW w:w="295" w:type="pct"/>
                  <w:vMerge w:val="continue"/>
                  <w:vAlign w:val="center"/>
                </w:tcPr>
                <w:p w14:paraId="2CBCE560">
                  <w:pPr>
                    <w:jc w:val="center"/>
                    <w:rPr>
                      <w:rFonts w:hint="eastAsia"/>
                      <w:color w:val="auto"/>
                      <w:szCs w:val="21"/>
                      <w:lang w:val="en-US" w:eastAsia="zh-CN"/>
                    </w:rPr>
                  </w:pPr>
                </w:p>
              </w:tc>
              <w:tc>
                <w:tcPr>
                  <w:tcW w:w="344" w:type="pct"/>
                  <w:vMerge w:val="continue"/>
                  <w:vAlign w:val="center"/>
                </w:tcPr>
                <w:p w14:paraId="5A50DBCE">
                  <w:pPr>
                    <w:jc w:val="center"/>
                    <w:rPr>
                      <w:rFonts w:hint="eastAsia"/>
                      <w:color w:val="auto"/>
                      <w:szCs w:val="21"/>
                      <w:lang w:val="en-US" w:eastAsia="zh-CN"/>
                    </w:rPr>
                  </w:pPr>
                </w:p>
              </w:tc>
              <w:tc>
                <w:tcPr>
                  <w:tcW w:w="217" w:type="pct"/>
                  <w:vMerge w:val="continue"/>
                  <w:vAlign w:val="center"/>
                </w:tcPr>
                <w:p w14:paraId="1B1FDCE5">
                  <w:pPr>
                    <w:jc w:val="center"/>
                    <w:rPr>
                      <w:rFonts w:hint="eastAsia"/>
                      <w:color w:val="auto"/>
                      <w:szCs w:val="21"/>
                      <w:lang w:val="en-US" w:eastAsia="zh-CN"/>
                    </w:rPr>
                  </w:pPr>
                </w:p>
              </w:tc>
              <w:tc>
                <w:tcPr>
                  <w:tcW w:w="302"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77"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86"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348" w:type="pct"/>
                  <w:vMerge w:val="continue"/>
                  <w:vAlign w:val="center"/>
                </w:tcPr>
                <w:p w14:paraId="01F711B9">
                  <w:pPr>
                    <w:jc w:val="center"/>
                    <w:rPr>
                      <w:rFonts w:hint="eastAsia"/>
                      <w:color w:val="auto"/>
                      <w:szCs w:val="21"/>
                      <w:lang w:val="en-US" w:eastAsia="zh-CN"/>
                    </w:rPr>
                  </w:pPr>
                </w:p>
              </w:tc>
              <w:tc>
                <w:tcPr>
                  <w:tcW w:w="422" w:type="pct"/>
                  <w:vMerge w:val="continue"/>
                  <w:vAlign w:val="center"/>
                </w:tcPr>
                <w:p w14:paraId="3D1FBB23">
                  <w:pPr>
                    <w:jc w:val="center"/>
                    <w:rPr>
                      <w:rFonts w:hint="eastAsia"/>
                      <w:color w:val="auto"/>
                      <w:szCs w:val="21"/>
                      <w:lang w:val="en-US" w:eastAsia="zh-CN"/>
                    </w:rPr>
                  </w:pPr>
                </w:p>
              </w:tc>
              <w:tc>
                <w:tcPr>
                  <w:tcW w:w="377"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410" w:type="pct"/>
                  <w:vMerge w:val="continue"/>
                  <w:vAlign w:val="center"/>
                </w:tcPr>
                <w:p w14:paraId="5D259290">
                  <w:pPr>
                    <w:jc w:val="center"/>
                    <w:rPr>
                      <w:rFonts w:hint="eastAsia"/>
                      <w:color w:val="auto"/>
                      <w:szCs w:val="21"/>
                      <w:lang w:val="en-US" w:eastAsia="zh-CN"/>
                    </w:rPr>
                  </w:pPr>
                </w:p>
              </w:tc>
            </w:tr>
            <w:tr w14:paraId="0C0E5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106A68AA">
                  <w:pPr>
                    <w:jc w:val="center"/>
                    <w:rPr>
                      <w:rFonts w:hint="eastAsia"/>
                      <w:color w:val="auto"/>
                      <w:szCs w:val="21"/>
                      <w:lang w:val="en-US" w:eastAsia="zh-CN"/>
                    </w:rPr>
                  </w:pPr>
                </w:p>
              </w:tc>
              <w:tc>
                <w:tcPr>
                  <w:tcW w:w="215" w:type="pct"/>
                  <w:vMerge w:val="continue"/>
                  <w:vAlign w:val="center"/>
                </w:tcPr>
                <w:p w14:paraId="14D57DC9">
                  <w:pPr>
                    <w:jc w:val="center"/>
                    <w:rPr>
                      <w:rFonts w:hint="eastAsia"/>
                      <w:color w:val="auto"/>
                      <w:szCs w:val="21"/>
                      <w:lang w:val="en-US" w:eastAsia="zh-CN"/>
                    </w:rPr>
                  </w:pPr>
                </w:p>
              </w:tc>
              <w:tc>
                <w:tcPr>
                  <w:tcW w:w="331" w:type="pct"/>
                  <w:vMerge w:val="restart"/>
                  <w:shd w:val="clear" w:color="auto" w:fill="auto"/>
                  <w:vAlign w:val="center"/>
                </w:tcPr>
                <w:p w14:paraId="7F30C51B">
                  <w:pPr>
                    <w:jc w:val="center"/>
                    <w:rPr>
                      <w:rFonts w:hint="eastAsia"/>
                      <w:color w:val="auto"/>
                      <w:szCs w:val="21"/>
                      <w:lang w:val="en-US" w:eastAsia="zh-CN"/>
                    </w:rPr>
                  </w:pPr>
                  <w:r>
                    <w:rPr>
                      <w:rFonts w:hint="eastAsia" w:ascii="Times New Roman" w:hAnsi="Times New Roman" w:cs="Times New Roman"/>
                      <w:color w:val="auto"/>
                      <w:kern w:val="2"/>
                      <w:sz w:val="21"/>
                      <w:szCs w:val="21"/>
                      <w:lang w:val="en-US" w:eastAsia="zh-CN" w:bidi="ar-SA"/>
                    </w:rPr>
                    <w:t>风机</w:t>
                  </w:r>
                </w:p>
              </w:tc>
              <w:tc>
                <w:tcPr>
                  <w:tcW w:w="225" w:type="pct"/>
                  <w:vMerge w:val="restart"/>
                  <w:shd w:val="clear" w:color="auto" w:fill="auto"/>
                  <w:vAlign w:val="center"/>
                </w:tcPr>
                <w:p w14:paraId="0E3EABC7">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1</w:t>
                  </w:r>
                </w:p>
              </w:tc>
              <w:tc>
                <w:tcPr>
                  <w:tcW w:w="308" w:type="pct"/>
                  <w:vMerge w:val="restart"/>
                  <w:shd w:val="clear" w:color="auto" w:fill="auto"/>
                  <w:vAlign w:val="center"/>
                </w:tcPr>
                <w:p w14:paraId="7331EC0D">
                  <w:pPr>
                    <w:jc w:val="center"/>
                    <w:rPr>
                      <w:rFonts w:hint="eastAsia"/>
                      <w:color w:val="auto"/>
                      <w:szCs w:val="21"/>
                      <w:lang w:val="en-US" w:eastAsia="zh-CN"/>
                    </w:rPr>
                  </w:pPr>
                  <w:r>
                    <w:rPr>
                      <w:rFonts w:hint="eastAsia" w:ascii="Times New Roman" w:hAnsi="Times New Roman" w:cs="Times New Roman"/>
                      <w:color w:val="auto"/>
                      <w:szCs w:val="21"/>
                      <w:lang w:val="en-US" w:eastAsia="zh-CN"/>
                    </w:rPr>
                    <w:t>85</w:t>
                  </w:r>
                  <w:r>
                    <w:rPr>
                      <w:rFonts w:hint="eastAsia" w:ascii="Times New Roman" w:hAnsi="Times New Roman" w:eastAsia="宋体" w:cs="Times New Roman"/>
                      <w:color w:val="auto"/>
                      <w:szCs w:val="21"/>
                      <w:lang w:val="en-US" w:eastAsia="zh-CN"/>
                    </w:rPr>
                    <w:t>-</w:t>
                  </w:r>
                  <w:r>
                    <w:rPr>
                      <w:rFonts w:hint="eastAsia" w:ascii="Times New Roman" w:hAnsi="Times New Roman" w:cs="Times New Roman"/>
                      <w:color w:val="auto"/>
                      <w:szCs w:val="21"/>
                      <w:lang w:val="en-US" w:eastAsia="zh-CN"/>
                    </w:rPr>
                    <w:t>90</w:t>
                  </w:r>
                </w:p>
              </w:tc>
              <w:tc>
                <w:tcPr>
                  <w:tcW w:w="357" w:type="pct"/>
                  <w:vMerge w:val="restart"/>
                  <w:shd w:val="clear" w:color="auto" w:fill="auto"/>
                  <w:vAlign w:val="center"/>
                </w:tcPr>
                <w:p w14:paraId="61D5CB24">
                  <w:pPr>
                    <w:jc w:val="center"/>
                    <w:rPr>
                      <w:rFonts w:hint="eastAsia"/>
                      <w:color w:val="auto"/>
                      <w:szCs w:val="21"/>
                      <w:lang w:val="en-US" w:eastAsia="zh-CN"/>
                    </w:rPr>
                  </w:pPr>
                  <w:r>
                    <w:rPr>
                      <w:rFonts w:hint="eastAsia"/>
                      <w:color w:val="auto"/>
                      <w:szCs w:val="21"/>
                      <w:lang w:val="en-US" w:eastAsia="zh-CN"/>
                    </w:rPr>
                    <w:t>减振垫</w:t>
                  </w:r>
                </w:p>
              </w:tc>
              <w:tc>
                <w:tcPr>
                  <w:tcW w:w="295" w:type="pct"/>
                  <w:vMerge w:val="restart"/>
                  <w:shd w:val="clear" w:color="auto" w:fill="auto"/>
                  <w:vAlign w:val="center"/>
                </w:tcPr>
                <w:p w14:paraId="6CA75152">
                  <w:pPr>
                    <w:jc w:val="center"/>
                    <w:rPr>
                      <w:rFonts w:hint="default"/>
                      <w:color w:val="auto"/>
                      <w:szCs w:val="21"/>
                      <w:lang w:val="en-US" w:eastAsia="zh-CN"/>
                    </w:rPr>
                  </w:pPr>
                  <w:r>
                    <w:rPr>
                      <w:rFonts w:hint="eastAsia"/>
                      <w:color w:val="auto"/>
                      <w:szCs w:val="21"/>
                      <w:lang w:val="en-US" w:eastAsia="zh-CN"/>
                    </w:rPr>
                    <w:t>4</w:t>
                  </w:r>
                </w:p>
              </w:tc>
              <w:tc>
                <w:tcPr>
                  <w:tcW w:w="344" w:type="pct"/>
                  <w:vMerge w:val="restart"/>
                  <w:shd w:val="clear" w:color="auto" w:fill="auto"/>
                  <w:vAlign w:val="center"/>
                </w:tcPr>
                <w:p w14:paraId="065FE826">
                  <w:pPr>
                    <w:jc w:val="center"/>
                    <w:rPr>
                      <w:rFonts w:hint="eastAsia"/>
                      <w:color w:val="auto"/>
                      <w:szCs w:val="21"/>
                      <w:lang w:val="en-US" w:eastAsia="zh-CN"/>
                    </w:rPr>
                  </w:pPr>
                  <w:r>
                    <w:rPr>
                      <w:rFonts w:hint="eastAsia" w:cs="Times New Roman"/>
                      <w:color w:val="auto"/>
                      <w:kern w:val="2"/>
                      <w:sz w:val="21"/>
                      <w:szCs w:val="21"/>
                      <w:lang w:val="en-US" w:eastAsia="zh-CN" w:bidi="ar-SA"/>
                    </w:rPr>
                    <w:t>5</w:t>
                  </w:r>
                </w:p>
              </w:tc>
              <w:tc>
                <w:tcPr>
                  <w:tcW w:w="217" w:type="pct"/>
                  <w:vMerge w:val="restart"/>
                  <w:shd w:val="clear" w:color="auto" w:fill="auto"/>
                  <w:vAlign w:val="center"/>
                </w:tcPr>
                <w:p w14:paraId="1B4AD870">
                  <w:pPr>
                    <w:jc w:val="center"/>
                    <w:rPr>
                      <w:rFonts w:hint="eastAsia"/>
                      <w:color w:val="auto"/>
                      <w:szCs w:val="21"/>
                      <w:lang w:val="en-US" w:eastAsia="zh-CN"/>
                    </w:rPr>
                  </w:pPr>
                  <w:r>
                    <w:rPr>
                      <w:rFonts w:hint="eastAsia" w:cs="Times New Roman"/>
                      <w:color w:val="auto"/>
                      <w:kern w:val="2"/>
                      <w:sz w:val="21"/>
                      <w:szCs w:val="21"/>
                      <w:lang w:val="en-US" w:eastAsia="zh-CN" w:bidi="ar-SA"/>
                    </w:rPr>
                    <w:t>21</w:t>
                  </w:r>
                </w:p>
              </w:tc>
              <w:tc>
                <w:tcPr>
                  <w:tcW w:w="302" w:type="pct"/>
                  <w:shd w:val="clear" w:color="auto" w:fill="auto"/>
                  <w:vAlign w:val="center"/>
                </w:tcPr>
                <w:p w14:paraId="439F9FB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77" w:type="pct"/>
                  <w:shd w:val="clear" w:color="auto" w:fill="auto"/>
                  <w:vAlign w:val="center"/>
                </w:tcPr>
                <w:p w14:paraId="2DD3C11F">
                  <w:pPr>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r>
                    <w:rPr>
                      <w:rFonts w:hint="eastAsia"/>
                      <w:color w:val="auto"/>
                      <w:szCs w:val="21"/>
                      <w:lang w:val="en-US" w:eastAsia="zh-CN"/>
                    </w:rPr>
                    <w:t>5</w:t>
                  </w:r>
                </w:p>
              </w:tc>
              <w:tc>
                <w:tcPr>
                  <w:tcW w:w="386" w:type="pct"/>
                  <w:shd w:val="clear" w:color="auto" w:fill="auto"/>
                  <w:vAlign w:val="center"/>
                </w:tcPr>
                <w:p w14:paraId="22D59AC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restart"/>
                  <w:shd w:val="clear" w:color="auto" w:fill="auto"/>
                  <w:vAlign w:val="center"/>
                </w:tcPr>
                <w:p w14:paraId="3D47042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24h/d</w:t>
                  </w:r>
                </w:p>
                <w:p w14:paraId="34A55C98">
                  <w:pPr>
                    <w:jc w:val="center"/>
                    <w:rPr>
                      <w:rFonts w:hint="eastAsia"/>
                      <w:color w:val="auto"/>
                      <w:szCs w:val="21"/>
                      <w:lang w:val="en-US" w:eastAsia="zh-CN"/>
                    </w:rPr>
                  </w:pPr>
                </w:p>
              </w:tc>
              <w:tc>
                <w:tcPr>
                  <w:tcW w:w="422" w:type="pct"/>
                  <w:vMerge w:val="restart"/>
                  <w:shd w:val="clear" w:color="auto" w:fill="auto"/>
                  <w:vAlign w:val="center"/>
                </w:tcPr>
                <w:p w14:paraId="0E1EE66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p w14:paraId="049FA714">
                  <w:pPr>
                    <w:jc w:val="center"/>
                    <w:rPr>
                      <w:rFonts w:hint="eastAsia"/>
                      <w:color w:val="auto"/>
                      <w:szCs w:val="21"/>
                      <w:lang w:val="en-US" w:eastAsia="zh-CN"/>
                    </w:rPr>
                  </w:pPr>
                </w:p>
              </w:tc>
              <w:tc>
                <w:tcPr>
                  <w:tcW w:w="377" w:type="pct"/>
                  <w:shd w:val="clear" w:color="auto" w:fill="auto"/>
                  <w:vAlign w:val="center"/>
                </w:tcPr>
                <w:p w14:paraId="4C34409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52.2</w:t>
                  </w:r>
                </w:p>
              </w:tc>
              <w:tc>
                <w:tcPr>
                  <w:tcW w:w="410" w:type="pct"/>
                  <w:vMerge w:val="restart"/>
                  <w:vAlign w:val="center"/>
                </w:tcPr>
                <w:p w14:paraId="246D3C2B">
                  <w:pPr>
                    <w:jc w:val="center"/>
                    <w:rPr>
                      <w:rFonts w:hint="eastAsia"/>
                      <w:color w:val="auto"/>
                      <w:szCs w:val="21"/>
                      <w:lang w:val="en-US" w:eastAsia="zh-CN"/>
                    </w:rPr>
                  </w:pPr>
                </w:p>
              </w:tc>
            </w:tr>
            <w:tr w14:paraId="71316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6EC2C8C3">
                  <w:pPr>
                    <w:jc w:val="center"/>
                  </w:pPr>
                </w:p>
              </w:tc>
              <w:tc>
                <w:tcPr>
                  <w:tcW w:w="215" w:type="pct"/>
                  <w:vMerge w:val="continue"/>
                  <w:vAlign w:val="center"/>
                </w:tcPr>
                <w:p w14:paraId="6C8E17EC">
                  <w:pPr>
                    <w:jc w:val="center"/>
                  </w:pPr>
                </w:p>
              </w:tc>
              <w:tc>
                <w:tcPr>
                  <w:tcW w:w="331" w:type="pct"/>
                  <w:vMerge w:val="continue"/>
                  <w:vAlign w:val="center"/>
                </w:tcPr>
                <w:p w14:paraId="5247C416">
                  <w:pPr>
                    <w:jc w:val="center"/>
                  </w:pPr>
                </w:p>
              </w:tc>
              <w:tc>
                <w:tcPr>
                  <w:tcW w:w="225" w:type="pct"/>
                  <w:vMerge w:val="continue"/>
                  <w:shd w:val="clear" w:color="auto" w:fill="auto"/>
                  <w:vAlign w:val="center"/>
                </w:tcPr>
                <w:p w14:paraId="50E96F44">
                  <w:pPr>
                    <w:jc w:val="center"/>
                  </w:pPr>
                </w:p>
              </w:tc>
              <w:tc>
                <w:tcPr>
                  <w:tcW w:w="308" w:type="pct"/>
                  <w:vMerge w:val="continue"/>
                  <w:vAlign w:val="center"/>
                </w:tcPr>
                <w:p w14:paraId="7D3D5B3F">
                  <w:pPr>
                    <w:jc w:val="center"/>
                  </w:pPr>
                </w:p>
              </w:tc>
              <w:tc>
                <w:tcPr>
                  <w:tcW w:w="357" w:type="pct"/>
                  <w:vMerge w:val="continue"/>
                  <w:vAlign w:val="center"/>
                </w:tcPr>
                <w:p w14:paraId="6B55A98A">
                  <w:pPr>
                    <w:jc w:val="center"/>
                  </w:pPr>
                </w:p>
              </w:tc>
              <w:tc>
                <w:tcPr>
                  <w:tcW w:w="295" w:type="pct"/>
                  <w:vMerge w:val="continue"/>
                  <w:vAlign w:val="center"/>
                </w:tcPr>
                <w:p w14:paraId="4BBDE070">
                  <w:pPr>
                    <w:jc w:val="center"/>
                  </w:pPr>
                </w:p>
              </w:tc>
              <w:tc>
                <w:tcPr>
                  <w:tcW w:w="344" w:type="pct"/>
                  <w:vMerge w:val="continue"/>
                  <w:vAlign w:val="center"/>
                </w:tcPr>
                <w:p w14:paraId="7DAB9FB1">
                  <w:pPr>
                    <w:jc w:val="center"/>
                  </w:pPr>
                </w:p>
              </w:tc>
              <w:tc>
                <w:tcPr>
                  <w:tcW w:w="217" w:type="pct"/>
                  <w:vMerge w:val="continue"/>
                  <w:vAlign w:val="center"/>
                </w:tcPr>
                <w:p w14:paraId="7DE05F9E">
                  <w:pPr>
                    <w:jc w:val="center"/>
                  </w:pPr>
                </w:p>
              </w:tc>
              <w:tc>
                <w:tcPr>
                  <w:tcW w:w="302" w:type="pct"/>
                  <w:shd w:val="clear" w:color="auto" w:fill="auto"/>
                  <w:vAlign w:val="center"/>
                </w:tcPr>
                <w:p w14:paraId="102095C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77" w:type="pct"/>
                  <w:shd w:val="clear" w:color="auto" w:fill="auto"/>
                  <w:vAlign w:val="center"/>
                </w:tcPr>
                <w:p w14:paraId="291B9AC0">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86" w:type="pct"/>
                  <w:shd w:val="clear" w:color="auto" w:fill="auto"/>
                  <w:vAlign w:val="center"/>
                </w:tcPr>
                <w:p w14:paraId="10B9054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08EE7675">
                  <w:pPr>
                    <w:jc w:val="center"/>
                    <w:rPr>
                      <w:rFonts w:hint="eastAsia"/>
                      <w:color w:val="auto"/>
                      <w:szCs w:val="21"/>
                      <w:lang w:val="en-US" w:eastAsia="zh-CN"/>
                    </w:rPr>
                  </w:pPr>
                </w:p>
              </w:tc>
              <w:tc>
                <w:tcPr>
                  <w:tcW w:w="422" w:type="pct"/>
                  <w:vMerge w:val="continue"/>
                  <w:vAlign w:val="center"/>
                </w:tcPr>
                <w:p w14:paraId="560FF61E">
                  <w:pPr>
                    <w:jc w:val="center"/>
                    <w:rPr>
                      <w:rFonts w:hint="eastAsia"/>
                      <w:color w:val="auto"/>
                      <w:szCs w:val="21"/>
                      <w:lang w:val="en-US" w:eastAsia="zh-CN"/>
                    </w:rPr>
                  </w:pPr>
                </w:p>
              </w:tc>
              <w:tc>
                <w:tcPr>
                  <w:tcW w:w="377" w:type="pct"/>
                  <w:shd w:val="clear" w:color="auto" w:fill="auto"/>
                  <w:vAlign w:val="center"/>
                </w:tcPr>
                <w:p w14:paraId="4AF4DF4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53.5</w:t>
                  </w:r>
                </w:p>
              </w:tc>
              <w:tc>
                <w:tcPr>
                  <w:tcW w:w="410" w:type="pct"/>
                  <w:vMerge w:val="continue"/>
                  <w:vAlign w:val="center"/>
                </w:tcPr>
                <w:p w14:paraId="438D2221">
                  <w:pPr>
                    <w:jc w:val="center"/>
                    <w:rPr>
                      <w:rFonts w:hint="eastAsia"/>
                      <w:color w:val="auto"/>
                      <w:szCs w:val="21"/>
                      <w:lang w:val="en-US" w:eastAsia="zh-CN"/>
                    </w:rPr>
                  </w:pPr>
                </w:p>
              </w:tc>
            </w:tr>
            <w:tr w14:paraId="4FD3D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72D2BF8A">
                  <w:pPr>
                    <w:jc w:val="center"/>
                    <w:rPr>
                      <w:rFonts w:hint="eastAsia"/>
                      <w:color w:val="auto"/>
                      <w:szCs w:val="21"/>
                      <w:lang w:val="en-US" w:eastAsia="zh-CN"/>
                    </w:rPr>
                  </w:pPr>
                </w:p>
              </w:tc>
              <w:tc>
                <w:tcPr>
                  <w:tcW w:w="215" w:type="pct"/>
                  <w:vMerge w:val="continue"/>
                  <w:vAlign w:val="center"/>
                </w:tcPr>
                <w:p w14:paraId="6A3E5CDD">
                  <w:pPr>
                    <w:jc w:val="center"/>
                    <w:rPr>
                      <w:rFonts w:hint="eastAsia"/>
                      <w:color w:val="auto"/>
                      <w:szCs w:val="21"/>
                      <w:lang w:val="en-US" w:eastAsia="zh-CN"/>
                    </w:rPr>
                  </w:pPr>
                </w:p>
              </w:tc>
              <w:tc>
                <w:tcPr>
                  <w:tcW w:w="331" w:type="pct"/>
                  <w:vMerge w:val="continue"/>
                  <w:vAlign w:val="center"/>
                </w:tcPr>
                <w:p w14:paraId="58405704">
                  <w:pPr>
                    <w:jc w:val="center"/>
                    <w:rPr>
                      <w:rFonts w:hint="eastAsia"/>
                      <w:color w:val="auto"/>
                      <w:szCs w:val="21"/>
                      <w:lang w:val="en-US" w:eastAsia="zh-CN"/>
                    </w:rPr>
                  </w:pPr>
                </w:p>
              </w:tc>
              <w:tc>
                <w:tcPr>
                  <w:tcW w:w="225" w:type="pct"/>
                  <w:vMerge w:val="continue"/>
                  <w:shd w:val="clear" w:color="auto" w:fill="auto"/>
                  <w:vAlign w:val="center"/>
                </w:tcPr>
                <w:p w14:paraId="20B2CDB6">
                  <w:pPr>
                    <w:jc w:val="center"/>
                    <w:rPr>
                      <w:rFonts w:hint="eastAsia"/>
                      <w:color w:val="auto"/>
                      <w:szCs w:val="21"/>
                      <w:lang w:val="en-US" w:eastAsia="zh-CN"/>
                    </w:rPr>
                  </w:pPr>
                </w:p>
              </w:tc>
              <w:tc>
                <w:tcPr>
                  <w:tcW w:w="308" w:type="pct"/>
                  <w:vMerge w:val="continue"/>
                  <w:vAlign w:val="center"/>
                </w:tcPr>
                <w:p w14:paraId="2610CDE6">
                  <w:pPr>
                    <w:jc w:val="center"/>
                    <w:rPr>
                      <w:rFonts w:hint="eastAsia"/>
                      <w:color w:val="auto"/>
                      <w:szCs w:val="21"/>
                      <w:lang w:val="en-US" w:eastAsia="zh-CN"/>
                    </w:rPr>
                  </w:pPr>
                </w:p>
              </w:tc>
              <w:tc>
                <w:tcPr>
                  <w:tcW w:w="357" w:type="pct"/>
                  <w:vMerge w:val="continue"/>
                  <w:vAlign w:val="center"/>
                </w:tcPr>
                <w:p w14:paraId="720AE31E">
                  <w:pPr>
                    <w:jc w:val="center"/>
                    <w:rPr>
                      <w:rFonts w:hint="eastAsia"/>
                      <w:color w:val="auto"/>
                      <w:szCs w:val="21"/>
                      <w:lang w:val="en-US" w:eastAsia="zh-CN"/>
                    </w:rPr>
                  </w:pPr>
                </w:p>
              </w:tc>
              <w:tc>
                <w:tcPr>
                  <w:tcW w:w="295" w:type="pct"/>
                  <w:vMerge w:val="continue"/>
                  <w:vAlign w:val="center"/>
                </w:tcPr>
                <w:p w14:paraId="5C1C42D0">
                  <w:pPr>
                    <w:jc w:val="center"/>
                    <w:rPr>
                      <w:rFonts w:hint="eastAsia"/>
                      <w:color w:val="auto"/>
                      <w:szCs w:val="21"/>
                      <w:lang w:val="en-US" w:eastAsia="zh-CN"/>
                    </w:rPr>
                  </w:pPr>
                </w:p>
              </w:tc>
              <w:tc>
                <w:tcPr>
                  <w:tcW w:w="344" w:type="pct"/>
                  <w:vMerge w:val="continue"/>
                  <w:vAlign w:val="center"/>
                </w:tcPr>
                <w:p w14:paraId="3341010F">
                  <w:pPr>
                    <w:jc w:val="center"/>
                    <w:rPr>
                      <w:rFonts w:hint="eastAsia"/>
                      <w:color w:val="auto"/>
                      <w:szCs w:val="21"/>
                      <w:lang w:val="en-US" w:eastAsia="zh-CN"/>
                    </w:rPr>
                  </w:pPr>
                </w:p>
              </w:tc>
              <w:tc>
                <w:tcPr>
                  <w:tcW w:w="217" w:type="pct"/>
                  <w:vMerge w:val="continue"/>
                  <w:vAlign w:val="center"/>
                </w:tcPr>
                <w:p w14:paraId="68499E82">
                  <w:pPr>
                    <w:jc w:val="center"/>
                    <w:rPr>
                      <w:rFonts w:hint="eastAsia"/>
                      <w:color w:val="auto"/>
                      <w:szCs w:val="21"/>
                      <w:lang w:val="en-US" w:eastAsia="zh-CN"/>
                    </w:rPr>
                  </w:pPr>
                </w:p>
              </w:tc>
              <w:tc>
                <w:tcPr>
                  <w:tcW w:w="302" w:type="pct"/>
                  <w:shd w:val="clear" w:color="auto" w:fill="auto"/>
                  <w:vAlign w:val="center"/>
                </w:tcPr>
                <w:p w14:paraId="17FB4FF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77" w:type="pct"/>
                  <w:shd w:val="clear" w:color="auto" w:fill="auto"/>
                  <w:vAlign w:val="center"/>
                </w:tcPr>
                <w:p w14:paraId="47423152">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86" w:type="pct"/>
                  <w:shd w:val="clear" w:color="auto" w:fill="auto"/>
                  <w:vAlign w:val="center"/>
                </w:tcPr>
                <w:p w14:paraId="4078842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2954CDD9">
                  <w:pPr>
                    <w:jc w:val="center"/>
                    <w:rPr>
                      <w:rFonts w:hint="eastAsia"/>
                      <w:color w:val="auto"/>
                      <w:szCs w:val="21"/>
                      <w:lang w:val="en-US" w:eastAsia="zh-CN"/>
                    </w:rPr>
                  </w:pPr>
                </w:p>
              </w:tc>
              <w:tc>
                <w:tcPr>
                  <w:tcW w:w="422" w:type="pct"/>
                  <w:vMerge w:val="continue"/>
                  <w:vAlign w:val="center"/>
                </w:tcPr>
                <w:p w14:paraId="73124DBE">
                  <w:pPr>
                    <w:jc w:val="center"/>
                    <w:rPr>
                      <w:rFonts w:hint="eastAsia"/>
                      <w:color w:val="auto"/>
                      <w:szCs w:val="21"/>
                      <w:lang w:val="en-US" w:eastAsia="zh-CN"/>
                    </w:rPr>
                  </w:pPr>
                </w:p>
              </w:tc>
              <w:tc>
                <w:tcPr>
                  <w:tcW w:w="377" w:type="pct"/>
                  <w:shd w:val="clear" w:color="auto" w:fill="auto"/>
                  <w:vAlign w:val="center"/>
                </w:tcPr>
                <w:p w14:paraId="577EE57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50.1</w:t>
                  </w:r>
                </w:p>
              </w:tc>
              <w:tc>
                <w:tcPr>
                  <w:tcW w:w="410" w:type="pct"/>
                  <w:vMerge w:val="continue"/>
                  <w:vAlign w:val="center"/>
                </w:tcPr>
                <w:p w14:paraId="345B2E97">
                  <w:pPr>
                    <w:jc w:val="center"/>
                    <w:rPr>
                      <w:rFonts w:hint="eastAsia"/>
                      <w:color w:val="auto"/>
                      <w:szCs w:val="21"/>
                      <w:lang w:val="en-US" w:eastAsia="zh-CN"/>
                    </w:rPr>
                  </w:pPr>
                </w:p>
              </w:tc>
            </w:tr>
            <w:tr w14:paraId="42DF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5AA2D66">
                  <w:pPr>
                    <w:jc w:val="center"/>
                    <w:rPr>
                      <w:rFonts w:hint="eastAsia"/>
                      <w:color w:val="auto"/>
                      <w:szCs w:val="21"/>
                      <w:lang w:val="en-US" w:eastAsia="zh-CN"/>
                    </w:rPr>
                  </w:pPr>
                </w:p>
              </w:tc>
              <w:tc>
                <w:tcPr>
                  <w:tcW w:w="215" w:type="pct"/>
                  <w:vMerge w:val="continue"/>
                  <w:vAlign w:val="center"/>
                </w:tcPr>
                <w:p w14:paraId="2E4DE4A6">
                  <w:pPr>
                    <w:jc w:val="center"/>
                    <w:rPr>
                      <w:rFonts w:hint="eastAsia"/>
                      <w:color w:val="auto"/>
                      <w:szCs w:val="21"/>
                      <w:lang w:val="en-US" w:eastAsia="zh-CN"/>
                    </w:rPr>
                  </w:pPr>
                </w:p>
              </w:tc>
              <w:tc>
                <w:tcPr>
                  <w:tcW w:w="331" w:type="pct"/>
                  <w:vMerge w:val="continue"/>
                  <w:vAlign w:val="center"/>
                </w:tcPr>
                <w:p w14:paraId="10D9F8A5">
                  <w:pPr>
                    <w:jc w:val="center"/>
                    <w:rPr>
                      <w:rFonts w:hint="eastAsia"/>
                      <w:color w:val="auto"/>
                      <w:szCs w:val="21"/>
                      <w:lang w:val="en-US" w:eastAsia="zh-CN"/>
                    </w:rPr>
                  </w:pPr>
                </w:p>
              </w:tc>
              <w:tc>
                <w:tcPr>
                  <w:tcW w:w="225" w:type="pct"/>
                  <w:vMerge w:val="continue"/>
                  <w:shd w:val="clear" w:color="auto" w:fill="auto"/>
                  <w:vAlign w:val="center"/>
                </w:tcPr>
                <w:p w14:paraId="1C985FD5">
                  <w:pPr>
                    <w:jc w:val="center"/>
                    <w:rPr>
                      <w:rFonts w:hint="eastAsia"/>
                      <w:color w:val="auto"/>
                      <w:szCs w:val="21"/>
                      <w:lang w:val="en-US" w:eastAsia="zh-CN"/>
                    </w:rPr>
                  </w:pPr>
                </w:p>
              </w:tc>
              <w:tc>
                <w:tcPr>
                  <w:tcW w:w="308" w:type="pct"/>
                  <w:vMerge w:val="continue"/>
                  <w:vAlign w:val="center"/>
                </w:tcPr>
                <w:p w14:paraId="61241C47">
                  <w:pPr>
                    <w:jc w:val="center"/>
                    <w:rPr>
                      <w:rFonts w:hint="eastAsia"/>
                      <w:color w:val="auto"/>
                      <w:szCs w:val="21"/>
                      <w:lang w:val="en-US" w:eastAsia="zh-CN"/>
                    </w:rPr>
                  </w:pPr>
                </w:p>
              </w:tc>
              <w:tc>
                <w:tcPr>
                  <w:tcW w:w="357" w:type="pct"/>
                  <w:vMerge w:val="continue"/>
                  <w:vAlign w:val="center"/>
                </w:tcPr>
                <w:p w14:paraId="6EF3FCE9">
                  <w:pPr>
                    <w:jc w:val="center"/>
                    <w:rPr>
                      <w:rFonts w:hint="eastAsia"/>
                      <w:color w:val="auto"/>
                      <w:szCs w:val="21"/>
                      <w:lang w:val="en-US" w:eastAsia="zh-CN"/>
                    </w:rPr>
                  </w:pPr>
                </w:p>
              </w:tc>
              <w:tc>
                <w:tcPr>
                  <w:tcW w:w="295" w:type="pct"/>
                  <w:vMerge w:val="continue"/>
                  <w:vAlign w:val="center"/>
                </w:tcPr>
                <w:p w14:paraId="07A389D5">
                  <w:pPr>
                    <w:jc w:val="center"/>
                    <w:rPr>
                      <w:rFonts w:hint="eastAsia"/>
                      <w:color w:val="auto"/>
                      <w:szCs w:val="21"/>
                      <w:lang w:val="en-US" w:eastAsia="zh-CN"/>
                    </w:rPr>
                  </w:pPr>
                </w:p>
              </w:tc>
              <w:tc>
                <w:tcPr>
                  <w:tcW w:w="344" w:type="pct"/>
                  <w:vMerge w:val="continue"/>
                  <w:vAlign w:val="center"/>
                </w:tcPr>
                <w:p w14:paraId="7BF43C00">
                  <w:pPr>
                    <w:jc w:val="center"/>
                    <w:rPr>
                      <w:rFonts w:hint="eastAsia"/>
                      <w:color w:val="auto"/>
                      <w:szCs w:val="21"/>
                      <w:lang w:val="en-US" w:eastAsia="zh-CN"/>
                    </w:rPr>
                  </w:pPr>
                </w:p>
              </w:tc>
              <w:tc>
                <w:tcPr>
                  <w:tcW w:w="217" w:type="pct"/>
                  <w:vMerge w:val="continue"/>
                  <w:vAlign w:val="center"/>
                </w:tcPr>
                <w:p w14:paraId="3E1B95E5">
                  <w:pPr>
                    <w:jc w:val="center"/>
                    <w:rPr>
                      <w:rFonts w:hint="eastAsia"/>
                      <w:color w:val="auto"/>
                      <w:szCs w:val="21"/>
                      <w:lang w:val="en-US" w:eastAsia="zh-CN"/>
                    </w:rPr>
                  </w:pPr>
                </w:p>
              </w:tc>
              <w:tc>
                <w:tcPr>
                  <w:tcW w:w="302" w:type="pct"/>
                  <w:shd w:val="clear" w:color="auto" w:fill="auto"/>
                  <w:vAlign w:val="center"/>
                </w:tcPr>
                <w:p w14:paraId="3079076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77" w:type="pct"/>
                  <w:shd w:val="clear" w:color="auto" w:fill="auto"/>
                  <w:vAlign w:val="center"/>
                </w:tcPr>
                <w:p w14:paraId="6A42AD16">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86" w:type="pct"/>
                  <w:shd w:val="clear" w:color="auto" w:fill="auto"/>
                  <w:vAlign w:val="center"/>
                </w:tcPr>
                <w:p w14:paraId="24B9713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48" w:type="pct"/>
                  <w:vMerge w:val="continue"/>
                  <w:vAlign w:val="center"/>
                </w:tcPr>
                <w:p w14:paraId="131A11D2">
                  <w:pPr>
                    <w:jc w:val="center"/>
                    <w:rPr>
                      <w:rFonts w:hint="eastAsia"/>
                      <w:color w:val="auto"/>
                      <w:szCs w:val="21"/>
                      <w:lang w:val="en-US" w:eastAsia="zh-CN"/>
                    </w:rPr>
                  </w:pPr>
                </w:p>
              </w:tc>
              <w:tc>
                <w:tcPr>
                  <w:tcW w:w="422" w:type="pct"/>
                  <w:vMerge w:val="continue"/>
                  <w:vAlign w:val="center"/>
                </w:tcPr>
                <w:p w14:paraId="708C9B56">
                  <w:pPr>
                    <w:jc w:val="center"/>
                    <w:rPr>
                      <w:rFonts w:hint="eastAsia"/>
                      <w:color w:val="auto"/>
                      <w:szCs w:val="21"/>
                      <w:lang w:val="en-US" w:eastAsia="zh-CN"/>
                    </w:rPr>
                  </w:pPr>
                </w:p>
              </w:tc>
              <w:tc>
                <w:tcPr>
                  <w:tcW w:w="377" w:type="pct"/>
                  <w:shd w:val="clear" w:color="auto" w:fill="auto"/>
                  <w:vAlign w:val="center"/>
                </w:tcPr>
                <w:p w14:paraId="7DEF0EF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49.2</w:t>
                  </w:r>
                </w:p>
              </w:tc>
              <w:tc>
                <w:tcPr>
                  <w:tcW w:w="410" w:type="pct"/>
                  <w:vMerge w:val="continue"/>
                  <w:vAlign w:val="center"/>
                </w:tcPr>
                <w:p w14:paraId="5BF039C7">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16" w:name="_Toc10899"/>
            <w:r>
              <w:rPr>
                <w:rFonts w:hint="default"/>
                <w:b/>
                <w:color w:val="262626"/>
                <w:kern w:val="0"/>
                <w:sz w:val="24"/>
                <w:lang w:val="en-US" w:eastAsia="zh-CN"/>
              </w:rPr>
              <w:t>4.3.2声环境影响分析</w:t>
            </w:r>
            <w:bookmarkEnd w:id="116"/>
          </w:p>
          <w:p w14:paraId="39B0BA89">
            <w:pPr>
              <w:pStyle w:val="34"/>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4"/>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4"/>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r:link="rId22"/>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008EE169">
            <w:pPr>
              <w:pStyle w:val="34"/>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4"/>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4"/>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4"/>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4"/>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4"/>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4"/>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4"/>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4"/>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4"/>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3" r:link="rId24"/>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4"/>
              <w:spacing w:line="360" w:lineRule="auto"/>
              <w:ind w:firstLine="480"/>
              <w:rPr>
                <w:rFonts w:cs="Times New Roman"/>
                <w:color w:val="auto"/>
                <w:sz w:val="24"/>
                <w:szCs w:val="24"/>
                <w:highlight w:val="none"/>
              </w:rPr>
            </w:pPr>
            <w:r>
              <w:rPr>
                <w:rFonts w:cs="Times New Roman"/>
                <w:color w:val="auto"/>
                <w:sz w:val="24"/>
                <w:szCs w:val="24"/>
                <w:highlight w:val="none"/>
              </w:rPr>
              <w:t>预测点的A声级LA(r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r:link="rId26"/>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4"/>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4"/>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4"/>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4"/>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58"/>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r:link="rId28"/>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9" r:link="rId30"/>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4"/>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58"/>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1" r:link="rId32"/>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4"/>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4"/>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4"/>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4"/>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3" r:link="rId34"/>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0ACB57DA">
            <w:pPr>
              <w:pStyle w:val="34"/>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68A8A5C">
            <w:pPr>
              <w:pStyle w:val="34"/>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r:link="rId36"/>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4"/>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4"/>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7" r:link="rId38"/>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4"/>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4"/>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4"/>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58"/>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9" r:link="rId40"/>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4"/>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4"/>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4"/>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4"/>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5EDE2D62">
            <w:pPr>
              <w:pStyle w:val="34"/>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44410B1F">
            <w:pPr>
              <w:pStyle w:val="34"/>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4"/>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58"/>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41" r:link="rId42"/>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4"/>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4"/>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4"/>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4"/>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项目主要噪声设备大多设置于各建构筑物内，设备噪声经减震、隔声后，可削减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4"/>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CFCCC3C">
            <w:pPr>
              <w:spacing w:line="360" w:lineRule="auto"/>
              <w:ind w:firstLine="480" w:firstLineChars="200"/>
              <w:jc w:val="left"/>
              <w:rPr>
                <w:b/>
                <w:bCs/>
                <w:sz w:val="24"/>
              </w:rPr>
            </w:pP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6"/>
              <w:gridCol w:w="1692"/>
              <w:gridCol w:w="1343"/>
              <w:gridCol w:w="932"/>
              <w:gridCol w:w="934"/>
              <w:gridCol w:w="1111"/>
              <w:gridCol w:w="1075"/>
              <w:gridCol w:w="921"/>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restart"/>
                  <w:noWrap w:val="0"/>
                  <w:vAlign w:val="center"/>
                </w:tcPr>
                <w:p w14:paraId="2BF80DD3">
                  <w:pPr>
                    <w:pStyle w:val="59"/>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52EA5E3D">
                  <w:pPr>
                    <w:pStyle w:val="59"/>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2532DAE5">
                  <w:pPr>
                    <w:pStyle w:val="59"/>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085" w:type="pct"/>
                  <w:gridSpan w:val="2"/>
                  <w:noWrap w:val="0"/>
                  <w:vAlign w:val="center"/>
                </w:tcPr>
                <w:p w14:paraId="459BAEBC">
                  <w:pPr>
                    <w:pStyle w:val="59"/>
                    <w:spacing w:before="24" w:after="24" w:line="340" w:lineRule="exact"/>
                    <w:rPr>
                      <w:rFonts w:ascii="Times New Roman"/>
                      <w:color w:val="auto"/>
                      <w:kern w:val="2"/>
                      <w:szCs w:val="21"/>
                    </w:rPr>
                  </w:pPr>
                  <w:r>
                    <w:rPr>
                      <w:rFonts w:ascii="Times New Roman"/>
                      <w:color w:val="auto"/>
                      <w:kern w:val="2"/>
                      <w:szCs w:val="21"/>
                    </w:rPr>
                    <w:t>影响贡献值</w:t>
                  </w:r>
                </w:p>
              </w:tc>
              <w:tc>
                <w:tcPr>
                  <w:tcW w:w="1271" w:type="pct"/>
                  <w:gridSpan w:val="2"/>
                  <w:noWrap w:val="0"/>
                  <w:vAlign w:val="center"/>
                </w:tcPr>
                <w:p w14:paraId="15D6B174">
                  <w:pPr>
                    <w:pStyle w:val="59"/>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59238018">
                  <w:pPr>
                    <w:pStyle w:val="59"/>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continue"/>
                  <w:noWrap w:val="0"/>
                  <w:vAlign w:val="center"/>
                </w:tcPr>
                <w:p w14:paraId="6EECAC55">
                  <w:pPr>
                    <w:pStyle w:val="59"/>
                    <w:spacing w:before="24" w:after="24" w:line="340" w:lineRule="exact"/>
                    <w:rPr>
                      <w:rFonts w:ascii="Times New Roman"/>
                      <w:color w:val="auto"/>
                      <w:kern w:val="2"/>
                      <w:szCs w:val="21"/>
                    </w:rPr>
                  </w:pPr>
                </w:p>
              </w:tc>
              <w:tc>
                <w:tcPr>
                  <w:tcW w:w="984" w:type="pct"/>
                  <w:vMerge w:val="continue"/>
                  <w:noWrap w:val="0"/>
                  <w:vAlign w:val="center"/>
                </w:tcPr>
                <w:p w14:paraId="40F48562">
                  <w:pPr>
                    <w:pStyle w:val="59"/>
                    <w:spacing w:before="24" w:after="24" w:line="340" w:lineRule="exact"/>
                    <w:rPr>
                      <w:rFonts w:ascii="Times New Roman"/>
                      <w:color w:val="auto"/>
                      <w:kern w:val="2"/>
                      <w:szCs w:val="21"/>
                    </w:rPr>
                  </w:pPr>
                </w:p>
              </w:tc>
              <w:tc>
                <w:tcPr>
                  <w:tcW w:w="781" w:type="pct"/>
                  <w:vMerge w:val="continue"/>
                  <w:noWrap w:val="0"/>
                  <w:vAlign w:val="center"/>
                </w:tcPr>
                <w:p w14:paraId="5011BF58">
                  <w:pPr>
                    <w:pStyle w:val="59"/>
                    <w:spacing w:before="24" w:after="24" w:line="340" w:lineRule="exact"/>
                    <w:rPr>
                      <w:rFonts w:hint="eastAsia" w:ascii="Times New Roman"/>
                      <w:color w:val="auto"/>
                      <w:kern w:val="2"/>
                      <w:szCs w:val="21"/>
                    </w:rPr>
                  </w:pPr>
                </w:p>
              </w:tc>
              <w:tc>
                <w:tcPr>
                  <w:tcW w:w="542" w:type="pct"/>
                  <w:noWrap w:val="0"/>
                  <w:vAlign w:val="center"/>
                </w:tcPr>
                <w:p w14:paraId="11CB53ED">
                  <w:pPr>
                    <w:pStyle w:val="59"/>
                    <w:spacing w:before="24" w:after="24" w:line="340" w:lineRule="exact"/>
                    <w:rPr>
                      <w:rFonts w:hint="eastAsia" w:ascii="Times New Roman"/>
                      <w:color w:val="auto"/>
                      <w:kern w:val="2"/>
                      <w:szCs w:val="21"/>
                    </w:rPr>
                  </w:pPr>
                  <w:r>
                    <w:rPr>
                      <w:rFonts w:hint="eastAsia" w:ascii="Times New Roman"/>
                      <w:color w:val="auto"/>
                      <w:kern w:val="2"/>
                      <w:szCs w:val="21"/>
                    </w:rPr>
                    <w:t>昼间</w:t>
                  </w:r>
                </w:p>
              </w:tc>
              <w:tc>
                <w:tcPr>
                  <w:tcW w:w="542" w:type="pct"/>
                  <w:noWrap w:val="0"/>
                  <w:vAlign w:val="center"/>
                </w:tcPr>
                <w:p w14:paraId="38815712">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646" w:type="pct"/>
                  <w:noWrap w:val="0"/>
                  <w:vAlign w:val="center"/>
                </w:tcPr>
                <w:p w14:paraId="0731CE93">
                  <w:pPr>
                    <w:pStyle w:val="59"/>
                    <w:spacing w:before="24" w:after="24" w:line="340" w:lineRule="exact"/>
                    <w:rPr>
                      <w:rFonts w:hint="eastAsia" w:ascii="Times New Roman"/>
                      <w:color w:val="auto"/>
                      <w:kern w:val="2"/>
                      <w:szCs w:val="21"/>
                    </w:rPr>
                  </w:pPr>
                  <w:r>
                    <w:rPr>
                      <w:rFonts w:ascii="Times New Roman"/>
                      <w:color w:val="auto"/>
                      <w:kern w:val="2"/>
                      <w:szCs w:val="21"/>
                    </w:rPr>
                    <w:t>昼间</w:t>
                  </w:r>
                </w:p>
              </w:tc>
              <w:tc>
                <w:tcPr>
                  <w:tcW w:w="625" w:type="pct"/>
                  <w:noWrap w:val="0"/>
                  <w:vAlign w:val="center"/>
                </w:tcPr>
                <w:p w14:paraId="581B0B18">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35" w:type="pct"/>
                  <w:vMerge w:val="continue"/>
                  <w:noWrap w:val="0"/>
                  <w:vAlign w:val="center"/>
                </w:tcPr>
                <w:p w14:paraId="0E00C132">
                  <w:pPr>
                    <w:pStyle w:val="59"/>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3E9C3A4">
                  <w:pPr>
                    <w:pStyle w:val="59"/>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542" w:type="pct"/>
                  <w:noWrap w:val="0"/>
                  <w:vAlign w:val="center"/>
                </w:tcPr>
                <w:p w14:paraId="6B70783A">
                  <w:pPr>
                    <w:spacing w:line="340" w:lineRule="exact"/>
                    <w:jc w:val="center"/>
                    <w:rPr>
                      <w:rFonts w:hint="default" w:eastAsia="宋体"/>
                      <w:color w:val="auto"/>
                      <w:szCs w:val="21"/>
                      <w:lang w:val="en-US" w:eastAsia="zh-CN"/>
                    </w:rPr>
                  </w:pPr>
                  <w:r>
                    <w:rPr>
                      <w:rFonts w:hint="eastAsia"/>
                      <w:color w:val="auto"/>
                      <w:szCs w:val="21"/>
                      <w:lang w:val="en-US" w:eastAsia="zh-CN"/>
                    </w:rPr>
                    <w:t>45.2</w:t>
                  </w:r>
                </w:p>
              </w:tc>
              <w:tc>
                <w:tcPr>
                  <w:tcW w:w="542" w:type="pct"/>
                  <w:shd w:val="clear" w:color="auto" w:fill="auto"/>
                  <w:noWrap w:val="0"/>
                  <w:vAlign w:val="center"/>
                </w:tcPr>
                <w:p w14:paraId="1C55ABA6">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40.2</w:t>
                  </w:r>
                </w:p>
              </w:tc>
              <w:tc>
                <w:tcPr>
                  <w:tcW w:w="646" w:type="pct"/>
                  <w:vMerge w:val="restart"/>
                  <w:noWrap w:val="0"/>
                  <w:vAlign w:val="center"/>
                </w:tcPr>
                <w:p w14:paraId="122B5F99">
                  <w:pPr>
                    <w:widowControl/>
                    <w:spacing w:line="340" w:lineRule="exact"/>
                    <w:jc w:val="center"/>
                    <w:rPr>
                      <w:color w:val="auto"/>
                      <w:szCs w:val="21"/>
                    </w:rPr>
                  </w:pPr>
                  <w:r>
                    <w:rPr>
                      <w:color w:val="auto"/>
                      <w:szCs w:val="21"/>
                    </w:rPr>
                    <w:t>65</w:t>
                  </w:r>
                </w:p>
              </w:tc>
              <w:tc>
                <w:tcPr>
                  <w:tcW w:w="625"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55</w:t>
                  </w:r>
                </w:p>
              </w:tc>
              <w:tc>
                <w:tcPr>
                  <w:tcW w:w="535"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5E33555">
                  <w:pPr>
                    <w:pStyle w:val="59"/>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B29D21F">
                  <w:pPr>
                    <w:adjustRightInd w:val="0"/>
                    <w:spacing w:line="340" w:lineRule="exact"/>
                    <w:jc w:val="center"/>
                    <w:rPr>
                      <w:rFonts w:hint="eastAsia"/>
                      <w:snapToGrid w:val="0"/>
                      <w:color w:val="auto"/>
                      <w:szCs w:val="21"/>
                    </w:rPr>
                  </w:pPr>
                </w:p>
              </w:tc>
              <w:tc>
                <w:tcPr>
                  <w:tcW w:w="542" w:type="pct"/>
                  <w:noWrap w:val="0"/>
                  <w:vAlign w:val="center"/>
                </w:tcPr>
                <w:p w14:paraId="62F22E9B">
                  <w:pPr>
                    <w:spacing w:line="340" w:lineRule="exact"/>
                    <w:jc w:val="center"/>
                    <w:rPr>
                      <w:rFonts w:hint="default" w:eastAsia="宋体"/>
                      <w:color w:val="auto"/>
                      <w:szCs w:val="21"/>
                      <w:lang w:val="en-US" w:eastAsia="zh-CN"/>
                    </w:rPr>
                  </w:pPr>
                  <w:r>
                    <w:rPr>
                      <w:rFonts w:hint="eastAsia"/>
                      <w:color w:val="auto"/>
                      <w:szCs w:val="21"/>
                      <w:lang w:val="en-US" w:eastAsia="zh-CN"/>
                    </w:rPr>
                    <w:t>48.1</w:t>
                  </w:r>
                </w:p>
              </w:tc>
              <w:tc>
                <w:tcPr>
                  <w:tcW w:w="542" w:type="pct"/>
                  <w:shd w:val="clear" w:color="auto" w:fill="auto"/>
                  <w:noWrap w:val="0"/>
                  <w:vAlign w:val="center"/>
                </w:tcPr>
                <w:p w14:paraId="57F4A9A7">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42.5</w:t>
                  </w:r>
                </w:p>
              </w:tc>
              <w:tc>
                <w:tcPr>
                  <w:tcW w:w="646" w:type="pct"/>
                  <w:vMerge w:val="continue"/>
                  <w:noWrap w:val="0"/>
                  <w:vAlign w:val="center"/>
                </w:tcPr>
                <w:p w14:paraId="0E1AF972">
                  <w:pPr>
                    <w:widowControl/>
                    <w:spacing w:line="340" w:lineRule="exact"/>
                    <w:jc w:val="center"/>
                    <w:rPr>
                      <w:rFonts w:hint="eastAsia"/>
                      <w:color w:val="auto"/>
                      <w:szCs w:val="21"/>
                    </w:rPr>
                  </w:pPr>
                </w:p>
              </w:tc>
              <w:tc>
                <w:tcPr>
                  <w:tcW w:w="625" w:type="pct"/>
                  <w:vMerge w:val="continue"/>
                  <w:noWrap w:val="0"/>
                  <w:vAlign w:val="center"/>
                </w:tcPr>
                <w:p w14:paraId="340B8B83">
                  <w:pPr>
                    <w:widowControl/>
                    <w:spacing w:line="340" w:lineRule="exact"/>
                    <w:jc w:val="center"/>
                    <w:rPr>
                      <w:rFonts w:hint="eastAsia"/>
                      <w:color w:val="auto"/>
                      <w:szCs w:val="21"/>
                    </w:rPr>
                  </w:pPr>
                </w:p>
              </w:tc>
              <w:tc>
                <w:tcPr>
                  <w:tcW w:w="535"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3B16C0A6">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695F1688">
                  <w:pPr>
                    <w:adjustRightInd w:val="0"/>
                    <w:spacing w:line="340" w:lineRule="exact"/>
                    <w:jc w:val="center"/>
                    <w:rPr>
                      <w:rFonts w:hint="eastAsia"/>
                      <w:snapToGrid w:val="0"/>
                      <w:color w:val="auto"/>
                      <w:szCs w:val="21"/>
                    </w:rPr>
                  </w:pPr>
                </w:p>
              </w:tc>
              <w:tc>
                <w:tcPr>
                  <w:tcW w:w="542" w:type="pct"/>
                  <w:noWrap w:val="0"/>
                  <w:vAlign w:val="center"/>
                </w:tcPr>
                <w:p w14:paraId="2ABBBC73">
                  <w:pPr>
                    <w:spacing w:line="340" w:lineRule="exact"/>
                    <w:jc w:val="center"/>
                    <w:rPr>
                      <w:rFonts w:hint="default" w:eastAsia="宋体"/>
                      <w:color w:val="auto"/>
                      <w:szCs w:val="21"/>
                      <w:lang w:val="en-US" w:eastAsia="zh-CN"/>
                    </w:rPr>
                  </w:pPr>
                  <w:r>
                    <w:rPr>
                      <w:rFonts w:hint="eastAsia"/>
                      <w:color w:val="auto"/>
                      <w:szCs w:val="21"/>
                      <w:lang w:val="en-US" w:eastAsia="zh-CN"/>
                    </w:rPr>
                    <w:t>60.2</w:t>
                  </w:r>
                </w:p>
              </w:tc>
              <w:tc>
                <w:tcPr>
                  <w:tcW w:w="542" w:type="pct"/>
                  <w:shd w:val="clear" w:color="auto" w:fill="auto"/>
                  <w:noWrap w:val="0"/>
                  <w:vAlign w:val="center"/>
                </w:tcPr>
                <w:p w14:paraId="2C5AAA9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52.5</w:t>
                  </w:r>
                </w:p>
              </w:tc>
              <w:tc>
                <w:tcPr>
                  <w:tcW w:w="646" w:type="pct"/>
                  <w:vMerge w:val="continue"/>
                  <w:noWrap w:val="0"/>
                  <w:vAlign w:val="center"/>
                </w:tcPr>
                <w:p w14:paraId="6280AF54">
                  <w:pPr>
                    <w:widowControl/>
                    <w:spacing w:line="340" w:lineRule="exact"/>
                    <w:jc w:val="center"/>
                    <w:rPr>
                      <w:rFonts w:hint="eastAsia"/>
                      <w:color w:val="auto"/>
                      <w:szCs w:val="21"/>
                    </w:rPr>
                  </w:pPr>
                </w:p>
              </w:tc>
              <w:tc>
                <w:tcPr>
                  <w:tcW w:w="625" w:type="pct"/>
                  <w:vMerge w:val="continue"/>
                  <w:noWrap w:val="0"/>
                  <w:vAlign w:val="center"/>
                </w:tcPr>
                <w:p w14:paraId="1FCB45C8">
                  <w:pPr>
                    <w:widowControl/>
                    <w:spacing w:line="340" w:lineRule="exact"/>
                    <w:jc w:val="center"/>
                    <w:rPr>
                      <w:rFonts w:hint="eastAsia"/>
                      <w:color w:val="auto"/>
                      <w:szCs w:val="21"/>
                    </w:rPr>
                  </w:pPr>
                </w:p>
              </w:tc>
              <w:tc>
                <w:tcPr>
                  <w:tcW w:w="535"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5629297">
                  <w:pPr>
                    <w:pStyle w:val="59"/>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0BD1125A">
                  <w:pPr>
                    <w:spacing w:line="340" w:lineRule="exact"/>
                    <w:jc w:val="center"/>
                    <w:rPr>
                      <w:rFonts w:hint="eastAsia"/>
                      <w:color w:val="auto"/>
                      <w:szCs w:val="21"/>
                    </w:rPr>
                  </w:pPr>
                </w:p>
              </w:tc>
              <w:tc>
                <w:tcPr>
                  <w:tcW w:w="542" w:type="pct"/>
                  <w:noWrap w:val="0"/>
                  <w:vAlign w:val="center"/>
                </w:tcPr>
                <w:p w14:paraId="48EB4EE4">
                  <w:pPr>
                    <w:spacing w:line="340" w:lineRule="exact"/>
                    <w:jc w:val="center"/>
                    <w:rPr>
                      <w:rFonts w:hint="default" w:eastAsia="宋体"/>
                      <w:color w:val="auto"/>
                      <w:szCs w:val="21"/>
                      <w:lang w:val="en-US" w:eastAsia="zh-CN"/>
                    </w:rPr>
                  </w:pPr>
                  <w:r>
                    <w:rPr>
                      <w:rFonts w:hint="eastAsia"/>
                      <w:color w:val="auto"/>
                      <w:szCs w:val="21"/>
                      <w:lang w:val="en-US" w:eastAsia="zh-CN"/>
                    </w:rPr>
                    <w:t>61.5</w:t>
                  </w:r>
                </w:p>
              </w:tc>
              <w:tc>
                <w:tcPr>
                  <w:tcW w:w="542" w:type="pct"/>
                  <w:shd w:val="clear" w:color="auto" w:fill="auto"/>
                  <w:noWrap w:val="0"/>
                  <w:vAlign w:val="center"/>
                </w:tcPr>
                <w:p w14:paraId="6C16F02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53.4</w:t>
                  </w:r>
                </w:p>
              </w:tc>
              <w:tc>
                <w:tcPr>
                  <w:tcW w:w="646" w:type="pct"/>
                  <w:vMerge w:val="continue"/>
                  <w:noWrap w:val="0"/>
                  <w:vAlign w:val="center"/>
                </w:tcPr>
                <w:p w14:paraId="07467076">
                  <w:pPr>
                    <w:widowControl/>
                    <w:spacing w:line="340" w:lineRule="exact"/>
                    <w:jc w:val="center"/>
                    <w:rPr>
                      <w:color w:val="auto"/>
                      <w:szCs w:val="21"/>
                    </w:rPr>
                  </w:pPr>
                </w:p>
              </w:tc>
              <w:tc>
                <w:tcPr>
                  <w:tcW w:w="625" w:type="pct"/>
                  <w:vMerge w:val="continue"/>
                  <w:noWrap w:val="0"/>
                  <w:vAlign w:val="center"/>
                </w:tcPr>
                <w:p w14:paraId="536EACBF">
                  <w:pPr>
                    <w:widowControl/>
                    <w:spacing w:line="340" w:lineRule="exact"/>
                    <w:jc w:val="center"/>
                    <w:rPr>
                      <w:color w:val="auto"/>
                      <w:szCs w:val="21"/>
                    </w:rPr>
                  </w:pPr>
                </w:p>
              </w:tc>
              <w:tc>
                <w:tcPr>
                  <w:tcW w:w="535" w:type="pct"/>
                  <w:vMerge w:val="continue"/>
                  <w:noWrap w:val="0"/>
                  <w:vAlign w:val="center"/>
                </w:tcPr>
                <w:p w14:paraId="1A91FB3A">
                  <w:pPr>
                    <w:widowControl/>
                    <w:spacing w:line="340" w:lineRule="exact"/>
                    <w:jc w:val="center"/>
                    <w:rPr>
                      <w:color w:val="auto"/>
                      <w:szCs w:val="21"/>
                    </w:rPr>
                  </w:pPr>
                </w:p>
              </w:tc>
            </w:tr>
          </w:tbl>
          <w:p w14:paraId="00C69F16">
            <w:pPr>
              <w:pStyle w:val="56"/>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w:t>
            </w:r>
            <w:r>
              <w:rPr>
                <w:rFonts w:hint="eastAsia" w:ascii="Times New Roman" w:hAnsi="Times New Roman"/>
                <w:bCs w:val="0"/>
                <w:szCs w:val="24"/>
                <w:lang w:val="en-US" w:eastAsia="zh-CN"/>
              </w:rPr>
              <w:t>本项目夜间仅生产汽车塑料制品，</w:t>
            </w:r>
            <w:r>
              <w:rPr>
                <w:rFonts w:ascii="Times New Roman" w:hAnsi="Times New Roman"/>
                <w:bCs w:val="0"/>
                <w:szCs w:val="24"/>
                <w:lang w:val="zh-CN"/>
              </w:rPr>
              <w:t>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4EF09AFB">
            <w:pPr>
              <w:pStyle w:val="48"/>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1F372741">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17" w:name="_Toc31999"/>
            <w:bookmarkStart w:id="118" w:name="_Toc8846"/>
            <w:r>
              <w:rPr>
                <w:rFonts w:hint="default"/>
                <w:b/>
                <w:color w:val="262626"/>
                <w:kern w:val="0"/>
                <w:sz w:val="24"/>
                <w:lang w:val="en-US" w:eastAsia="zh-CN"/>
              </w:rPr>
              <w:t>4.3.3</w:t>
            </w:r>
            <w:r>
              <w:rPr>
                <w:rFonts w:hint="default"/>
                <w:b/>
                <w:color w:val="262626"/>
                <w:kern w:val="0"/>
                <w:sz w:val="24"/>
                <w:lang w:val="zh-CN" w:eastAsia="zh-CN"/>
              </w:rPr>
              <w:t>噪声污染控制措施</w:t>
            </w:r>
            <w:bookmarkEnd w:id="117"/>
            <w:bookmarkEnd w:id="118"/>
          </w:p>
          <w:p w14:paraId="4C948660">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将高噪声设备设置专门设备隔间，对冷却塔、引风机采用设置隔声罩、</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19" w:name="_Toc8658"/>
            <w:r>
              <w:rPr>
                <w:rFonts w:hint="eastAsia" w:ascii="Times New Roman" w:hAnsi="Times New Roman" w:eastAsia="宋体" w:cs="Times New Roman"/>
                <w:color w:val="auto"/>
                <w:sz w:val="28"/>
                <w:szCs w:val="28"/>
                <w:u w:val="none"/>
                <w:lang w:val="en-US" w:eastAsia="zh-CN"/>
              </w:rPr>
              <w:t>4.4固体废物环境影响分析和污染防治措施</w:t>
            </w:r>
            <w:bookmarkEnd w:id="119"/>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20" w:name="_Toc21337"/>
            <w:r>
              <w:rPr>
                <w:rFonts w:hint="default"/>
                <w:b/>
                <w:color w:val="262626"/>
                <w:kern w:val="0"/>
                <w:sz w:val="24"/>
                <w:lang w:val="zh-CN" w:eastAsia="zh-CN"/>
              </w:rPr>
              <w:t>4.4.1 固体废物</w:t>
            </w:r>
            <w:r>
              <w:rPr>
                <w:rFonts w:hint="eastAsia"/>
                <w:b/>
                <w:color w:val="262626"/>
                <w:kern w:val="0"/>
                <w:sz w:val="24"/>
                <w:lang w:val="en-US" w:eastAsia="zh-CN"/>
              </w:rPr>
              <w:t>污染源</w:t>
            </w:r>
            <w:r>
              <w:rPr>
                <w:rFonts w:hint="default"/>
                <w:b/>
                <w:color w:val="262626"/>
                <w:kern w:val="0"/>
                <w:sz w:val="24"/>
                <w:lang w:val="zh-CN" w:eastAsia="zh-CN"/>
              </w:rPr>
              <w:t>分析</w:t>
            </w:r>
            <w:bookmarkEnd w:id="120"/>
          </w:p>
          <w:p w14:paraId="1CD97209">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9BEC9F4">
            <w:pPr>
              <w:spacing w:line="360" w:lineRule="auto"/>
              <w:ind w:firstLine="480"/>
              <w:rPr>
                <w:color w:val="000000"/>
                <w:sz w:val="24"/>
                <w:lang w:val="zh-CN"/>
              </w:rPr>
            </w:pPr>
            <w:r>
              <w:rPr>
                <w:rFonts w:hint="eastAsia"/>
                <w:color w:val="000000"/>
                <w:sz w:val="24"/>
              </w:rPr>
              <w:t xml:space="preserve">根据我国生活垃圾排放系数，不住厂职工生活垃圾排放系数取 </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30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4.5</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3734E33D">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43080DD6">
            <w:pPr>
              <w:spacing w:line="360" w:lineRule="auto"/>
              <w:ind w:firstLine="480"/>
              <w:rPr>
                <w:rFonts w:hint="default" w:eastAsia="宋体"/>
                <w:color w:val="000000"/>
                <w:sz w:val="24"/>
                <w:lang w:val="en-US" w:eastAsia="zh-CN"/>
              </w:rPr>
            </w:pPr>
            <w:r>
              <w:rPr>
                <w:rFonts w:hint="eastAsia"/>
                <w:color w:val="000000"/>
                <w:sz w:val="24"/>
              </w:rPr>
              <w:t>①</w:t>
            </w:r>
            <w:r>
              <w:rPr>
                <w:rFonts w:hint="eastAsia"/>
                <w:color w:val="000000"/>
                <w:sz w:val="24"/>
                <w:lang w:val="en-US" w:eastAsia="zh-CN"/>
              </w:rPr>
              <w:t>塑料</w:t>
            </w:r>
            <w:r>
              <w:rPr>
                <w:rFonts w:hint="eastAsia"/>
                <w:color w:val="000000"/>
                <w:sz w:val="24"/>
              </w:rPr>
              <w:t>边角料</w:t>
            </w:r>
            <w:r>
              <w:rPr>
                <w:rFonts w:hint="eastAsia"/>
                <w:color w:val="000000"/>
                <w:sz w:val="24"/>
                <w:lang w:val="en-US" w:eastAsia="zh-CN"/>
              </w:rPr>
              <w:t>及不合格产品</w:t>
            </w:r>
          </w:p>
          <w:p w14:paraId="7B7E5F4F">
            <w:pPr>
              <w:spacing w:line="360" w:lineRule="auto"/>
              <w:ind w:firstLine="480"/>
              <w:rPr>
                <w:rFonts w:hint="eastAsia"/>
                <w:color w:val="000000" w:themeColor="text1"/>
                <w:sz w:val="24"/>
                <w14:textFill>
                  <w14:solidFill>
                    <w14:schemeClr w14:val="tx1"/>
                  </w14:solidFill>
                </w14:textFill>
              </w:rPr>
            </w:pPr>
            <w:r>
              <w:rPr>
                <w:rFonts w:hint="eastAsia"/>
                <w:color w:val="000000"/>
                <w:sz w:val="24"/>
              </w:rPr>
              <w:t>项目在</w:t>
            </w:r>
            <w:r>
              <w:rPr>
                <w:rFonts w:hint="eastAsia"/>
                <w:color w:val="000000"/>
                <w:sz w:val="24"/>
                <w:lang w:val="en-US" w:eastAsia="zh-CN"/>
              </w:rPr>
              <w:t>汽车塑料制品生产</w:t>
            </w:r>
            <w:r>
              <w:rPr>
                <w:rFonts w:hint="eastAsia"/>
                <w:color w:val="000000"/>
                <w:sz w:val="24"/>
              </w:rPr>
              <w:t>过</w:t>
            </w:r>
            <w:r>
              <w:rPr>
                <w:rFonts w:hint="eastAsia"/>
                <w:color w:val="000000"/>
                <w:sz w:val="24"/>
                <w:lang w:eastAsia="zh-CN"/>
              </w:rPr>
              <w:t>程中</w:t>
            </w:r>
            <w:r>
              <w:rPr>
                <w:rFonts w:hint="eastAsia"/>
                <w:color w:val="000000"/>
                <w:sz w:val="24"/>
              </w:rPr>
              <w:t>会产生少许边角料</w:t>
            </w:r>
            <w:r>
              <w:rPr>
                <w:rFonts w:hint="eastAsia"/>
                <w:color w:val="000000"/>
                <w:sz w:val="24"/>
                <w:lang w:val="en-US" w:eastAsia="zh-CN"/>
              </w:rPr>
              <w:t>及不合格产品</w:t>
            </w:r>
            <w:r>
              <w:rPr>
                <w:rFonts w:hint="eastAsia"/>
                <w:color w:val="000000"/>
                <w:sz w:val="24"/>
              </w:rPr>
              <w:t>，</w:t>
            </w:r>
            <w:r>
              <w:rPr>
                <w:color w:val="000000"/>
                <w:sz w:val="24"/>
              </w:rPr>
              <w:t>参考《排放源统计调查产排</w:t>
            </w:r>
            <w:r>
              <w:rPr>
                <w:color w:val="000000" w:themeColor="text1"/>
                <w:sz w:val="24"/>
                <w14:textFill>
                  <w14:solidFill>
                    <w14:schemeClr w14:val="tx1"/>
                  </w14:solidFill>
                </w14:textFill>
              </w:rPr>
              <w:t>污核算方法和系数手册》中《292塑料制品行业系数手册》，一般工业固废产生量为2.5</w:t>
            </w:r>
            <w:r>
              <w:rPr>
                <w:rFonts w:hint="eastAsia"/>
                <w:color w:val="000000" w:themeColor="text1"/>
                <w:sz w:val="24"/>
                <w:lang w:val="en-US" w:eastAsia="zh-CN"/>
                <w14:textFill>
                  <w14:solidFill>
                    <w14:schemeClr w14:val="tx1"/>
                  </w14:solidFill>
                </w14:textFill>
              </w:rPr>
              <w:t>kg</w:t>
            </w:r>
            <w:r>
              <w:rPr>
                <w:color w:val="000000" w:themeColor="text1"/>
                <w:sz w:val="24"/>
                <w14:textFill>
                  <w14:solidFill>
                    <w14:schemeClr w14:val="tx1"/>
                  </w14:solidFill>
                </w14:textFill>
              </w:rPr>
              <w:t>/t-产品，</w:t>
            </w:r>
            <w:r>
              <w:rPr>
                <w:rFonts w:hint="eastAsia"/>
                <w:color w:val="000000" w:themeColor="text1"/>
                <w:sz w:val="24"/>
                <w14:textFill>
                  <w14:solidFill>
                    <w14:schemeClr w14:val="tx1"/>
                  </w14:solidFill>
                </w14:textFill>
              </w:rPr>
              <w:t>则边角料</w:t>
            </w:r>
            <w:r>
              <w:rPr>
                <w:rFonts w:hint="eastAsia"/>
                <w:color w:val="000000" w:themeColor="text1"/>
                <w:sz w:val="24"/>
                <w:lang w:val="en-US" w:eastAsia="zh-CN"/>
                <w14:textFill>
                  <w14:solidFill>
                    <w14:schemeClr w14:val="tx1"/>
                  </w14:solidFill>
                </w14:textFill>
              </w:rPr>
              <w:t>及次品的</w:t>
            </w:r>
            <w:r>
              <w:rPr>
                <w:rFonts w:hint="eastAsia"/>
                <w:color w:val="000000" w:themeColor="text1"/>
                <w:sz w:val="24"/>
                <w14:textFill>
                  <w14:solidFill>
                    <w14:schemeClr w14:val="tx1"/>
                  </w14:solidFill>
                </w14:textFill>
              </w:rPr>
              <w:t>产生量为</w:t>
            </w:r>
            <w:r>
              <w:rPr>
                <w:rFonts w:hint="eastAsia"/>
                <w:color w:val="000000" w:themeColor="text1"/>
                <w:sz w:val="24"/>
                <w:lang w:val="en-US" w:eastAsia="zh-CN"/>
                <w14:textFill>
                  <w14:solidFill>
                    <w14:schemeClr w14:val="tx1"/>
                  </w14:solidFill>
                </w14:textFill>
              </w:rPr>
              <w:t>0.996</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，该部分固废</w:t>
            </w:r>
            <w:r>
              <w:rPr>
                <w:rFonts w:hint="eastAsia"/>
                <w:color w:val="000000" w:themeColor="text1"/>
                <w:sz w:val="24"/>
                <w:lang w:val="en-US" w:eastAsia="zh-CN"/>
                <w14:textFill>
                  <w14:solidFill>
                    <w14:schemeClr w14:val="tx1"/>
                  </w14:solidFill>
                </w14:textFill>
              </w:rPr>
              <w:t>收集后经破碎后外售其他企业综合利用</w:t>
            </w:r>
            <w:r>
              <w:rPr>
                <w:rFonts w:hint="eastAsia"/>
                <w:color w:val="000000" w:themeColor="text1"/>
                <w:sz w:val="24"/>
                <w14:textFill>
                  <w14:solidFill>
                    <w14:schemeClr w14:val="tx1"/>
                  </w14:solidFill>
                </w14:textFill>
              </w:rPr>
              <w:t>。对照《固体废物分类与代码目录》（公告2024年第4号），属于SW17，废物代码为900-003-S17。</w:t>
            </w:r>
          </w:p>
          <w:p w14:paraId="22021A2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②废包装材料</w:t>
            </w:r>
          </w:p>
          <w:p w14:paraId="2B456FB8">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EVA</w:t>
            </w:r>
            <w:r>
              <w:rPr>
                <w:rFonts w:hint="eastAsia"/>
                <w:color w:val="000000" w:themeColor="text1"/>
                <w:sz w:val="24"/>
                <w14:textFill>
                  <w14:solidFill>
                    <w14:schemeClr w14:val="tx1"/>
                  </w14:solidFill>
                </w14:textFill>
              </w:rPr>
              <w:t>颗粒使用后会有废包装袋，项目使用颗粒为</w:t>
            </w:r>
            <w:r>
              <w:rPr>
                <w:color w:val="000000" w:themeColor="text1"/>
                <w:sz w:val="24"/>
                <w14:textFill>
                  <w14:solidFill>
                    <w14:schemeClr w14:val="tx1"/>
                  </w14:solidFill>
                </w14:textFill>
              </w:rPr>
              <w:t>25kg/</w:t>
            </w:r>
            <w:r>
              <w:rPr>
                <w:rFonts w:hint="eastAsia"/>
                <w:color w:val="000000" w:themeColor="text1"/>
                <w:sz w:val="24"/>
                <w14:textFill>
                  <w14:solidFill>
                    <w14:schemeClr w14:val="tx1"/>
                  </w14:solidFill>
                </w14:textFill>
              </w:rPr>
              <w:t>袋，包装袋重约</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g/</w:t>
            </w:r>
            <w:r>
              <w:rPr>
                <w:rFonts w:hint="eastAsia"/>
                <w:color w:val="000000" w:themeColor="text1"/>
                <w:sz w:val="24"/>
                <w14:textFill>
                  <w14:solidFill>
                    <w14:schemeClr w14:val="tx1"/>
                  </w14:solidFill>
                </w14:textFill>
              </w:rPr>
              <w:t>个，则共计产生废包装袋</w:t>
            </w:r>
            <w:r>
              <w:rPr>
                <w:rFonts w:hint="eastAsia"/>
                <w:color w:val="000000" w:themeColor="text1"/>
                <w:sz w:val="24"/>
                <w:lang w:val="en-US" w:eastAsia="zh-CN"/>
                <w14:textFill>
                  <w14:solidFill>
                    <w14:schemeClr w14:val="tx1"/>
                  </w14:solidFill>
                </w14:textFill>
              </w:rPr>
              <w:t>0.24</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，该部分固废收集后暂存一般固废</w:t>
            </w:r>
            <w:r>
              <w:rPr>
                <w:rFonts w:hint="eastAsia"/>
                <w:color w:val="000000" w:themeColor="text1"/>
                <w:sz w:val="24"/>
                <w:lang w:val="en-US" w:eastAsia="zh-CN"/>
                <w14:textFill>
                  <w14:solidFill>
                    <w14:schemeClr w14:val="tx1"/>
                  </w14:solidFill>
                </w14:textFill>
              </w:rPr>
              <w:t>区</w:t>
            </w:r>
            <w:r>
              <w:rPr>
                <w:rFonts w:hint="eastAsia"/>
                <w:color w:val="000000" w:themeColor="text1"/>
                <w:sz w:val="24"/>
                <w14:textFill>
                  <w14:solidFill>
                    <w14:schemeClr w14:val="tx1"/>
                  </w14:solidFill>
                </w14:textFill>
              </w:rPr>
              <w:t>，外售综合利用。对照《固体废物分类与代码目录》（公告2024年第4号），属于SW17，废物代码为900-00</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-S17。</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（3）危险废物</w:t>
            </w:r>
            <w:bookmarkEnd w:id="109"/>
            <w:bookmarkEnd w:id="110"/>
            <w:bookmarkEnd w:id="111"/>
          </w:p>
          <w:p w14:paraId="1A0BE328">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14:textFill>
                  <w14:solidFill>
                    <w14:schemeClr w14:val="tx1"/>
                  </w14:solidFill>
                </w14:textFill>
              </w:rPr>
            </w:pPr>
            <w:r>
              <w:rPr>
                <w:rFonts w:hint="eastAsia" w:ascii="Times New Roman" w:hAnsi="Times New Roman" w:eastAsia="宋体" w:cs="Times New Roman"/>
                <w:strike w:val="0"/>
                <w:dstrike w:val="0"/>
                <w:color w:val="000000" w:themeColor="text1"/>
                <w:sz w:val="24"/>
                <w14:textFill>
                  <w14:solidFill>
                    <w14:schemeClr w14:val="tx1"/>
                  </w14:solidFill>
                </w14:textFill>
              </w:rPr>
              <w:t>①</w:t>
            </w:r>
            <w:r>
              <w:rPr>
                <w:rFonts w:hint="default" w:ascii="Times New Roman" w:hAnsi="Times New Roman" w:eastAsia="宋体" w:cs="Times New Roman"/>
                <w:strike w:val="0"/>
                <w:dstrike w:val="0"/>
                <w:color w:val="000000" w:themeColor="text1"/>
                <w:sz w:val="24"/>
                <w14:textFill>
                  <w14:solidFill>
                    <w14:schemeClr w14:val="tx1"/>
                  </w14:solidFill>
                </w14:textFill>
              </w:rPr>
              <w:t>废活性炭</w:t>
            </w:r>
          </w:p>
          <w:p w14:paraId="32A249D2">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根据中国建筑出版社</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1997</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出版的《简明通风设计手册》第十章中关于活性吸附处理治理废气的方法中提供的数据：每1.0kg活性炭吸附</w:t>
            </w:r>
            <w:r>
              <w:rPr>
                <w:rFonts w:hint="eastAsia" w:cs="Times New Roman"/>
                <w:strike w:val="0"/>
                <w:dstrike w:val="0"/>
                <w:color w:val="000000" w:themeColor="text1"/>
                <w:sz w:val="24"/>
                <w:lang w:val="en-US" w:eastAsia="zh-CN"/>
                <w14:textFill>
                  <w14:solidFill>
                    <w14:schemeClr w14:val="tx1"/>
                  </w14:solidFill>
                </w14:textFill>
              </w:rPr>
              <w:t>生产</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废气的平衡量为0.43～0.61kg，本项目按1t活性炭吸附</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0.3</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t有机废气计算，</w:t>
            </w:r>
            <w:r>
              <w:rPr>
                <w:rFonts w:hint="default" w:ascii="Times New Roman" w:hAnsi="Times New Roman" w:eastAsia="宋体" w:cs="Times New Roman"/>
                <w:strike w:val="0"/>
                <w:dstrike w:val="0"/>
                <w:color w:val="000000" w:themeColor="text1"/>
                <w:sz w:val="24"/>
                <w:lang w:val="zh-CN" w:eastAsia="zh-CN"/>
                <w14:textFill>
                  <w14:solidFill>
                    <w14:schemeClr w14:val="tx1"/>
                  </w14:solidFill>
                </w14:textFill>
              </w:rPr>
              <w:t>根据前文产排污分</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析可知，项目有组织</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6454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，本项目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废气采用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活性炭吸附装置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净化处理，则预计项目年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6454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t/a÷0.3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6454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2.7967</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活性炭的填充量为0.</w:t>
            </w:r>
            <w:r>
              <w:rPr>
                <w:rFonts w:hint="eastAsia" w:cs="Times New Roman"/>
                <w:bCs/>
                <w:color w:val="000000" w:themeColor="text1"/>
                <w:sz w:val="24"/>
                <w:highlight w:val="none"/>
                <w:lang w:val="en-US" w:eastAsia="zh-CN"/>
                <w14:textFill>
                  <w14:solidFill>
                    <w14:schemeClr w14:val="tx1"/>
                  </w14:solidFill>
                </w14:textFill>
              </w:rPr>
              <w:t>6991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，项目计划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每三</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个月更换一次活性炭吸附填料，确保项目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废气达标排放</w:t>
            </w:r>
            <w:r>
              <w:rPr>
                <w:rFonts w:hint="eastAsia" w:ascii="Times New Roman" w:hAnsi="Times New Roman" w:eastAsia="宋体" w:cs="Times New Roman"/>
                <w:bCs/>
                <w:color w:val="000000" w:themeColor="text1"/>
                <w:sz w:val="24"/>
                <w:highlight w:val="none"/>
                <w:lang w:val="zh-CN"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根据《国家危险废物名录》</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，废活性炭属于危险废物，废物类别为HW49其他废物，废物代码900-039-49</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妥善收集后</w:t>
            </w:r>
            <w:r>
              <w:rPr>
                <w:rFonts w:hint="eastAsia" w:ascii="Times New Roman" w:hAnsi="Times New Roman" w:eastAsia="宋体" w:cs="Times New Roman"/>
                <w:bCs/>
                <w:color w:val="000000" w:themeColor="text1"/>
                <w:sz w:val="24"/>
                <w:highlight w:val="none"/>
                <w14:textFill>
                  <w14:solidFill>
                    <w14:schemeClr w14:val="tx1"/>
                  </w14:solidFill>
                </w14:textFill>
              </w:rPr>
              <w:t>暂存于危险废物</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pP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②废机油</w:t>
            </w:r>
          </w:p>
          <w:p w14:paraId="498697D2">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本项目在设备检修维护过程会产生少量废机油，参考同类企业，废机油产生量为</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。废润滑油属于《国家危险废物名录》（</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年版）中的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类危废（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900-217-08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废矿物油与含矿物油废物：</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车辆、轮船及其它机械维修过程中产生的废发动机油、制动器油、自动变速器油、齿轮油等废润滑油”。废机油统一收集后暂存于危险废物贮存库，后交由有资质单位进行处置。</w:t>
            </w:r>
          </w:p>
          <w:p w14:paraId="352422B1">
            <w:pPr>
              <w:keepNext w:val="0"/>
              <w:pageBreakBefore w:val="0"/>
              <w:kinsoku/>
              <w:wordWrap/>
              <w:overflowPunct/>
              <w:topLinePunct w:val="0"/>
              <w:bidi w:val="0"/>
              <w:adjustRightInd w:val="0"/>
              <w:snapToGrid w:val="0"/>
              <w:spacing w:line="360" w:lineRule="auto"/>
              <w:ind w:firstLine="480" w:firstLineChars="200"/>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综上分析，项目运营期各类固体废物产生及处置情况详见表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eastAsia" w:eastAsia="宋体"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ascii="Times New Roman" w:hAnsi="Times New Roman" w:eastAsia="宋体" w:cs="Times New Roman"/>
                <w:bCs/>
                <w:color w:val="000000" w:themeColor="text1"/>
                <w:sz w:val="24"/>
                <w:highlight w:val="none"/>
                <w14:textFill>
                  <w14:solidFill>
                    <w14:schemeClr w14:val="tx1"/>
                  </w14:solidFill>
                </w14:textFill>
              </w:rPr>
              <w:t>。</w:t>
            </w:r>
          </w:p>
          <w:p w14:paraId="57B5714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项目</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固废产生及处置</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情况汇总表</w:t>
            </w:r>
          </w:p>
          <w:tbl>
            <w:tblPr>
              <w:tblStyle w:val="22"/>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529"/>
              <w:gridCol w:w="911"/>
              <w:gridCol w:w="868"/>
              <w:gridCol w:w="857"/>
              <w:gridCol w:w="718"/>
              <w:gridCol w:w="804"/>
              <w:gridCol w:w="385"/>
              <w:gridCol w:w="697"/>
              <w:gridCol w:w="707"/>
              <w:gridCol w:w="1693"/>
            </w:tblGrid>
            <w:tr w14:paraId="7CB8F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72" w:hRule="atLeast"/>
              </w:trPr>
              <w:tc>
                <w:tcPr>
                  <w:tcW w:w="242" w:type="pct"/>
                  <w:tcBorders>
                    <w:tl2br w:val="nil"/>
                    <w:tr2bl w:val="nil"/>
                  </w:tcBorders>
                  <w:noWrap w:val="0"/>
                  <w:vAlign w:val="center"/>
                </w:tcPr>
                <w:p w14:paraId="6D11DC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308" w:type="pct"/>
                  <w:tcBorders>
                    <w:tl2br w:val="nil"/>
                    <w:tr2bl w:val="nil"/>
                  </w:tcBorders>
                  <w:noWrap w:val="0"/>
                  <w:vAlign w:val="center"/>
                </w:tcPr>
                <w:p w14:paraId="0E3A77A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p>
              </w:tc>
              <w:tc>
                <w:tcPr>
                  <w:tcW w:w="530" w:type="pct"/>
                  <w:tcBorders>
                    <w:tl2br w:val="nil"/>
                    <w:tr2bl w:val="nil"/>
                  </w:tcBorders>
                  <w:noWrap w:val="0"/>
                  <w:vAlign w:val="center"/>
                </w:tcPr>
                <w:p w14:paraId="413762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固废名称</w:t>
                  </w:r>
                </w:p>
              </w:tc>
              <w:tc>
                <w:tcPr>
                  <w:tcW w:w="505" w:type="pct"/>
                  <w:tcBorders>
                    <w:tl2br w:val="nil"/>
                    <w:tr2bl w:val="nil"/>
                  </w:tcBorders>
                  <w:noWrap w:val="0"/>
                  <w:vAlign w:val="center"/>
                </w:tcPr>
                <w:p w14:paraId="1827C08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499" w:type="pct"/>
                  <w:tcBorders>
                    <w:tl2br w:val="nil"/>
                    <w:tr2bl w:val="nil"/>
                  </w:tcBorders>
                  <w:noWrap w:val="0"/>
                  <w:vAlign w:val="center"/>
                </w:tcPr>
                <w:p w14:paraId="782EDD4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废物代码</w:t>
                  </w:r>
                </w:p>
              </w:tc>
              <w:tc>
                <w:tcPr>
                  <w:tcW w:w="418" w:type="pct"/>
                  <w:tcBorders>
                    <w:tl2br w:val="nil"/>
                    <w:tr2bl w:val="nil"/>
                  </w:tcBorders>
                  <w:noWrap w:val="0"/>
                  <w:vAlign w:val="center"/>
                </w:tcPr>
                <w:p w14:paraId="4591C45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产生量t/a</w:t>
                  </w:r>
                </w:p>
              </w:tc>
              <w:tc>
                <w:tcPr>
                  <w:tcW w:w="468" w:type="pct"/>
                  <w:tcBorders>
                    <w:tl2br w:val="nil"/>
                    <w:tr2bl w:val="nil"/>
                  </w:tcBorders>
                  <w:noWrap w:val="0"/>
                  <w:vAlign w:val="center"/>
                </w:tcPr>
                <w:p w14:paraId="39551D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产生环节</w:t>
                  </w:r>
                </w:p>
              </w:tc>
              <w:tc>
                <w:tcPr>
                  <w:tcW w:w="224" w:type="pct"/>
                  <w:tcBorders>
                    <w:tl2br w:val="nil"/>
                    <w:tr2bl w:val="nil"/>
                  </w:tcBorders>
                  <w:noWrap w:val="0"/>
                  <w:vAlign w:val="center"/>
                </w:tcPr>
                <w:p w14:paraId="772D9E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形态</w:t>
                  </w:r>
                </w:p>
              </w:tc>
              <w:tc>
                <w:tcPr>
                  <w:tcW w:w="405" w:type="pct"/>
                  <w:tcBorders>
                    <w:tl2br w:val="nil"/>
                    <w:tr2bl w:val="nil"/>
                  </w:tcBorders>
                  <w:noWrap w:val="0"/>
                  <w:vAlign w:val="center"/>
                </w:tcPr>
                <w:p w14:paraId="681713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主要成分</w:t>
                  </w:r>
                </w:p>
              </w:tc>
              <w:tc>
                <w:tcPr>
                  <w:tcW w:w="411" w:type="pct"/>
                  <w:tcBorders>
                    <w:tl2br w:val="nil"/>
                    <w:tr2bl w:val="nil"/>
                  </w:tcBorders>
                  <w:noWrap w:val="0"/>
                  <w:vAlign w:val="center"/>
                </w:tcPr>
                <w:p w14:paraId="53E142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有害成分</w:t>
                  </w:r>
                </w:p>
              </w:tc>
              <w:tc>
                <w:tcPr>
                  <w:tcW w:w="986" w:type="pct"/>
                  <w:tcBorders>
                    <w:tl2br w:val="nil"/>
                    <w:tr2bl w:val="nil"/>
                  </w:tcBorders>
                  <w:noWrap w:val="0"/>
                  <w:vAlign w:val="center"/>
                </w:tcPr>
                <w:p w14:paraId="546174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处置方式</w:t>
                  </w:r>
                </w:p>
              </w:tc>
            </w:tr>
            <w:tr w14:paraId="3DE2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242" w:type="pct"/>
                  <w:tcBorders>
                    <w:tl2br w:val="nil"/>
                    <w:tr2bl w:val="nil"/>
                  </w:tcBorders>
                  <w:shd w:val="clear" w:color="auto" w:fill="auto"/>
                  <w:noWrap w:val="0"/>
                  <w:vAlign w:val="center"/>
                </w:tcPr>
                <w:p w14:paraId="201950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08" w:type="pct"/>
                  <w:tcBorders>
                    <w:tl2br w:val="nil"/>
                    <w:tr2bl w:val="nil"/>
                  </w:tcBorders>
                  <w:shd w:val="clear" w:color="auto" w:fill="auto"/>
                  <w:noWrap w:val="0"/>
                  <w:vAlign w:val="center"/>
                </w:tcPr>
                <w:p w14:paraId="01D32F6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530" w:type="pct"/>
                  <w:tcBorders>
                    <w:tl2br w:val="nil"/>
                    <w:tr2bl w:val="nil"/>
                  </w:tcBorders>
                  <w:shd w:val="clear" w:color="auto" w:fill="auto"/>
                  <w:noWrap w:val="0"/>
                  <w:vAlign w:val="center"/>
                </w:tcPr>
                <w:p w14:paraId="01EFA3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办公、生活等</w:t>
                  </w:r>
                </w:p>
              </w:tc>
              <w:tc>
                <w:tcPr>
                  <w:tcW w:w="505" w:type="pct"/>
                  <w:tcBorders>
                    <w:tl2br w:val="nil"/>
                    <w:tr2bl w:val="nil"/>
                  </w:tcBorders>
                  <w:shd w:val="clear" w:color="auto" w:fill="auto"/>
                  <w:noWrap w:val="0"/>
                  <w:vAlign w:val="center"/>
                </w:tcPr>
                <w:p w14:paraId="2F6031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SW64其他垃圾</w:t>
                  </w:r>
                </w:p>
              </w:tc>
              <w:tc>
                <w:tcPr>
                  <w:tcW w:w="499" w:type="pct"/>
                  <w:tcBorders>
                    <w:tl2br w:val="nil"/>
                    <w:tr2bl w:val="nil"/>
                  </w:tcBorders>
                  <w:shd w:val="clear" w:color="auto" w:fill="auto"/>
                  <w:noWrap w:val="0"/>
                  <w:vAlign w:val="center"/>
                </w:tcPr>
                <w:p w14:paraId="0BD9CA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900-099-S64</w:t>
                  </w:r>
                </w:p>
              </w:tc>
              <w:tc>
                <w:tcPr>
                  <w:tcW w:w="418" w:type="pct"/>
                  <w:tcBorders>
                    <w:tl2br w:val="nil"/>
                    <w:tr2bl w:val="nil"/>
                  </w:tcBorders>
                  <w:shd w:val="clear" w:color="auto" w:fill="auto"/>
                  <w:noWrap w:val="0"/>
                  <w:vAlign w:val="center"/>
                </w:tcPr>
                <w:p w14:paraId="5500BB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468" w:type="pct"/>
                  <w:tcBorders>
                    <w:tl2br w:val="nil"/>
                    <w:tr2bl w:val="nil"/>
                  </w:tcBorders>
                  <w:shd w:val="clear" w:color="auto" w:fill="auto"/>
                  <w:noWrap w:val="0"/>
                  <w:vAlign w:val="center"/>
                </w:tcPr>
                <w:p w14:paraId="25E530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职工日常生活</w:t>
                  </w:r>
                </w:p>
              </w:tc>
              <w:tc>
                <w:tcPr>
                  <w:tcW w:w="224" w:type="pct"/>
                  <w:tcBorders>
                    <w:tl2br w:val="nil"/>
                    <w:tr2bl w:val="nil"/>
                  </w:tcBorders>
                  <w:shd w:val="clear" w:color="auto" w:fill="auto"/>
                  <w:noWrap w:val="0"/>
                  <w:vAlign w:val="center"/>
                </w:tcPr>
                <w:p w14:paraId="658DE75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5" w:type="pct"/>
                  <w:tcBorders>
                    <w:tl2br w:val="nil"/>
                    <w:tr2bl w:val="nil"/>
                  </w:tcBorders>
                  <w:shd w:val="clear" w:color="auto" w:fill="auto"/>
                  <w:noWrap w:val="0"/>
                  <w:vAlign w:val="center"/>
                </w:tcPr>
                <w:p w14:paraId="65BA9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1" w:type="pct"/>
                  <w:tcBorders>
                    <w:tl2br w:val="nil"/>
                    <w:tr2bl w:val="nil"/>
                  </w:tcBorders>
                  <w:shd w:val="clear" w:color="auto" w:fill="auto"/>
                  <w:noWrap w:val="0"/>
                  <w:vAlign w:val="center"/>
                </w:tcPr>
                <w:p w14:paraId="600628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86" w:type="pct"/>
                  <w:tcBorders>
                    <w:tl2br w:val="nil"/>
                    <w:tr2bl w:val="nil"/>
                  </w:tcBorders>
                  <w:shd w:val="clear" w:color="auto" w:fill="auto"/>
                  <w:noWrap w:val="0"/>
                  <w:vAlign w:val="center"/>
                </w:tcPr>
                <w:p w14:paraId="43AECF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收集后交由环卫部门统一清运处置</w:t>
                  </w:r>
                </w:p>
              </w:tc>
            </w:tr>
            <w:tr w14:paraId="60D3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42" w:type="pct"/>
                  <w:vMerge w:val="restart"/>
                  <w:tcBorders>
                    <w:tl2br w:val="nil"/>
                    <w:tr2bl w:val="nil"/>
                  </w:tcBorders>
                  <w:noWrap w:val="0"/>
                  <w:vAlign w:val="center"/>
                </w:tcPr>
                <w:p w14:paraId="51298C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08" w:type="pct"/>
                  <w:vMerge w:val="restart"/>
                  <w:tcBorders>
                    <w:tl2br w:val="nil"/>
                    <w:tr2bl w:val="nil"/>
                  </w:tcBorders>
                  <w:noWrap w:val="0"/>
                  <w:vAlign w:val="center"/>
                </w:tcPr>
                <w:p w14:paraId="3C4008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一般工业固废</w:t>
                  </w:r>
                </w:p>
              </w:tc>
              <w:tc>
                <w:tcPr>
                  <w:tcW w:w="530" w:type="pct"/>
                  <w:tcBorders>
                    <w:tl2br w:val="nil"/>
                    <w:tr2bl w:val="nil"/>
                  </w:tcBorders>
                  <w:noWrap w:val="0"/>
                  <w:vAlign w:val="center"/>
                </w:tcPr>
                <w:p w14:paraId="640C16A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塑料</w:t>
                  </w:r>
                  <w:r>
                    <w:rPr>
                      <w:rFonts w:hint="default" w:ascii="Times New Roman" w:hAnsi="Times New Roman" w:eastAsia="宋体" w:cs="Times New Roman"/>
                      <w:color w:val="000000" w:themeColor="text1"/>
                      <w:sz w:val="21"/>
                      <w:szCs w:val="21"/>
                      <w14:textFill>
                        <w14:solidFill>
                          <w14:schemeClr w14:val="tx1"/>
                        </w14:solidFill>
                      </w14:textFill>
                    </w:rPr>
                    <w:t>边角料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不合格产品</w:t>
                  </w:r>
                </w:p>
              </w:tc>
              <w:tc>
                <w:tcPr>
                  <w:tcW w:w="505" w:type="pct"/>
                  <w:tcBorders>
                    <w:tl2br w:val="nil"/>
                    <w:tr2bl w:val="nil"/>
                  </w:tcBorders>
                  <w:noWrap w:val="0"/>
                  <w:vAlign w:val="center"/>
                </w:tcPr>
                <w:p w14:paraId="5353DB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499" w:type="pct"/>
                  <w:tcBorders>
                    <w:tl2br w:val="nil"/>
                    <w:tr2bl w:val="nil"/>
                  </w:tcBorders>
                  <w:noWrap w:val="0"/>
                  <w:vAlign w:val="center"/>
                </w:tcPr>
                <w:p w14:paraId="16A67B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900-003-S17</w:t>
                  </w:r>
                </w:p>
              </w:tc>
              <w:tc>
                <w:tcPr>
                  <w:tcW w:w="418" w:type="pct"/>
                  <w:tcBorders>
                    <w:tl2br w:val="nil"/>
                    <w:tr2bl w:val="nil"/>
                  </w:tcBorders>
                  <w:noWrap w:val="0"/>
                  <w:vAlign w:val="center"/>
                </w:tcPr>
                <w:p w14:paraId="16BD10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0.996</w:t>
                  </w:r>
                </w:p>
              </w:tc>
              <w:tc>
                <w:tcPr>
                  <w:tcW w:w="468" w:type="pct"/>
                  <w:tcBorders>
                    <w:tl2br w:val="nil"/>
                    <w:tr2bl w:val="nil"/>
                  </w:tcBorders>
                  <w:noWrap w:val="0"/>
                  <w:vAlign w:val="center"/>
                </w:tcPr>
                <w:p w14:paraId="47F46CC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检验、修剪</w:t>
                  </w:r>
                </w:p>
              </w:tc>
              <w:tc>
                <w:tcPr>
                  <w:tcW w:w="224" w:type="pct"/>
                  <w:tcBorders>
                    <w:tl2br w:val="nil"/>
                    <w:tr2bl w:val="nil"/>
                  </w:tcBorders>
                  <w:noWrap w:val="0"/>
                  <w:vAlign w:val="center"/>
                </w:tcPr>
                <w:p w14:paraId="6A302E4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405" w:type="pct"/>
                  <w:tcBorders>
                    <w:tl2br w:val="nil"/>
                    <w:tr2bl w:val="nil"/>
                  </w:tcBorders>
                  <w:noWrap w:val="0"/>
                  <w:vAlign w:val="center"/>
                </w:tcPr>
                <w:p w14:paraId="5BD786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废塑料</w:t>
                  </w:r>
                </w:p>
              </w:tc>
              <w:tc>
                <w:tcPr>
                  <w:tcW w:w="411" w:type="pct"/>
                  <w:tcBorders>
                    <w:tl2br w:val="nil"/>
                    <w:tr2bl w:val="nil"/>
                  </w:tcBorders>
                  <w:noWrap w:val="0"/>
                  <w:vAlign w:val="center"/>
                </w:tcPr>
                <w:p w14:paraId="459FE9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986" w:type="pct"/>
                  <w:tcBorders>
                    <w:tl2br w:val="nil"/>
                    <w:tr2bl w:val="nil"/>
                  </w:tcBorders>
                  <w:noWrap w:val="0"/>
                  <w:vAlign w:val="center"/>
                </w:tcPr>
                <w:p w14:paraId="73B7DE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破碎处理</w:t>
                  </w:r>
                  <w:r>
                    <w:rPr>
                      <w:rFonts w:hint="eastAsia" w:cs="Times New Roman"/>
                      <w:color w:val="000000" w:themeColor="text1"/>
                      <w:sz w:val="21"/>
                      <w:szCs w:val="21"/>
                      <w:highlight w:val="none"/>
                      <w:lang w:val="en-US" w:eastAsia="zh-CN"/>
                      <w14:textFill>
                        <w14:solidFill>
                          <w14:schemeClr w14:val="tx1"/>
                        </w14:solidFill>
                      </w14:textFill>
                    </w:rPr>
                    <w:t>后外售其他企业综合利用</w:t>
                  </w:r>
                </w:p>
              </w:tc>
            </w:tr>
            <w:tr w14:paraId="2397F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242" w:type="pct"/>
                  <w:vMerge w:val="continue"/>
                  <w:tcBorders>
                    <w:tl2br w:val="nil"/>
                    <w:tr2bl w:val="nil"/>
                  </w:tcBorders>
                  <w:noWrap w:val="0"/>
                  <w:vAlign w:val="center"/>
                </w:tcPr>
                <w:p w14:paraId="2659EE9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0614911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30" w:type="pct"/>
                  <w:tcBorders>
                    <w:tl2br w:val="nil"/>
                    <w:tr2bl w:val="nil"/>
                  </w:tcBorders>
                  <w:noWrap w:val="0"/>
                  <w:vAlign w:val="center"/>
                </w:tcPr>
                <w:p w14:paraId="49DE04F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废包装纸箱、包装袋</w:t>
                  </w:r>
                </w:p>
              </w:tc>
              <w:tc>
                <w:tcPr>
                  <w:tcW w:w="505" w:type="pct"/>
                  <w:tcBorders>
                    <w:tl2br w:val="nil"/>
                    <w:tr2bl w:val="nil"/>
                  </w:tcBorders>
                  <w:noWrap w:val="0"/>
                  <w:vAlign w:val="center"/>
                </w:tcPr>
                <w:p w14:paraId="54492F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499" w:type="pct"/>
                  <w:tcBorders>
                    <w:tl2br w:val="nil"/>
                    <w:tr2bl w:val="nil"/>
                  </w:tcBorders>
                  <w:noWrap w:val="0"/>
                  <w:vAlign w:val="center"/>
                </w:tcPr>
                <w:p w14:paraId="3E1283C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900-003-S17</w:t>
                  </w:r>
                </w:p>
              </w:tc>
              <w:tc>
                <w:tcPr>
                  <w:tcW w:w="418" w:type="pct"/>
                  <w:tcBorders>
                    <w:tl2br w:val="nil"/>
                    <w:tr2bl w:val="nil"/>
                  </w:tcBorders>
                  <w:noWrap w:val="0"/>
                  <w:vAlign w:val="center"/>
                </w:tcPr>
                <w:p w14:paraId="2572CCC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r>
                    <w:rPr>
                      <w:rFonts w:hint="eastAsia" w:cs="Times New Roman"/>
                      <w:color w:val="000000" w:themeColor="text1"/>
                      <w:kern w:val="2"/>
                      <w:sz w:val="21"/>
                      <w:szCs w:val="21"/>
                      <w:highlight w:val="none"/>
                      <w:lang w:val="en-US" w:eastAsia="zh-CN" w:bidi="ar-SA"/>
                      <w14:textFill>
                        <w14:solidFill>
                          <w14:schemeClr w14:val="tx1"/>
                        </w14:solidFill>
                      </w14:textFill>
                    </w:rPr>
                    <w:t>24</w:t>
                  </w:r>
                </w:p>
              </w:tc>
              <w:tc>
                <w:tcPr>
                  <w:tcW w:w="468" w:type="pct"/>
                  <w:tcBorders>
                    <w:tl2br w:val="nil"/>
                    <w:tr2bl w:val="nil"/>
                  </w:tcBorders>
                  <w:noWrap w:val="0"/>
                  <w:vAlign w:val="center"/>
                </w:tcPr>
                <w:p w14:paraId="4C1451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配料、包装</w:t>
                  </w:r>
                </w:p>
              </w:tc>
              <w:tc>
                <w:tcPr>
                  <w:tcW w:w="224" w:type="pct"/>
                  <w:tcBorders>
                    <w:tl2br w:val="nil"/>
                    <w:tr2bl w:val="nil"/>
                  </w:tcBorders>
                  <w:noWrap w:val="0"/>
                  <w:vAlign w:val="center"/>
                </w:tcPr>
                <w:p w14:paraId="19819C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405" w:type="pct"/>
                  <w:tcBorders>
                    <w:tl2br w:val="nil"/>
                    <w:tr2bl w:val="nil"/>
                  </w:tcBorders>
                  <w:noWrap w:val="0"/>
                  <w:vAlign w:val="center"/>
                </w:tcPr>
                <w:p w14:paraId="5693F7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纸箱、塑料</w:t>
                  </w:r>
                </w:p>
              </w:tc>
              <w:tc>
                <w:tcPr>
                  <w:tcW w:w="411" w:type="pct"/>
                  <w:tcBorders>
                    <w:tl2br w:val="nil"/>
                    <w:tr2bl w:val="nil"/>
                  </w:tcBorders>
                  <w:noWrap w:val="0"/>
                  <w:vAlign w:val="center"/>
                </w:tcPr>
                <w:p w14:paraId="52F7FBA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986" w:type="pct"/>
                  <w:tcBorders>
                    <w:tl2br w:val="nil"/>
                    <w:tr2bl w:val="nil"/>
                  </w:tcBorders>
                  <w:noWrap w:val="0"/>
                  <w:vAlign w:val="center"/>
                </w:tcPr>
                <w:p w14:paraId="332427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经妥善分类收集后暂存于一般工业固废暂存间内，定期出售给回收企业综合利用</w:t>
                  </w:r>
                </w:p>
              </w:tc>
            </w:tr>
            <w:tr w14:paraId="338B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242" w:type="pct"/>
                  <w:vMerge w:val="restart"/>
                  <w:tcBorders>
                    <w:tl2br w:val="nil"/>
                    <w:tr2bl w:val="nil"/>
                  </w:tcBorders>
                  <w:noWrap w:val="0"/>
                  <w:vAlign w:val="center"/>
                </w:tcPr>
                <w:p w14:paraId="69B7C7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8" w:type="pct"/>
                  <w:vMerge w:val="restart"/>
                  <w:tcBorders>
                    <w:tl2br w:val="nil"/>
                    <w:tr2bl w:val="nil"/>
                  </w:tcBorders>
                  <w:noWrap w:val="0"/>
                  <w:vAlign w:val="center"/>
                </w:tcPr>
                <w:p w14:paraId="7AF7341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530" w:type="pct"/>
                  <w:tcBorders>
                    <w:tl2br w:val="nil"/>
                    <w:tr2bl w:val="nil"/>
                  </w:tcBorders>
                  <w:noWrap w:val="0"/>
                  <w:vAlign w:val="center"/>
                </w:tcPr>
                <w:p w14:paraId="23E0DF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505" w:type="pct"/>
                  <w:tcBorders>
                    <w:tl2br w:val="nil"/>
                    <w:tr2bl w:val="nil"/>
                  </w:tcBorders>
                  <w:noWrap w:val="0"/>
                  <w:vAlign w:val="center"/>
                </w:tcPr>
                <w:p w14:paraId="430818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499" w:type="pct"/>
                  <w:tcBorders>
                    <w:tl2br w:val="nil"/>
                    <w:tr2bl w:val="nil"/>
                  </w:tcBorders>
                  <w:noWrap w:val="0"/>
                  <w:vAlign w:val="center"/>
                </w:tcPr>
                <w:p w14:paraId="58F15A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18" w:type="pct"/>
                  <w:tcBorders>
                    <w:tl2br w:val="nil"/>
                    <w:tr2bl w:val="nil"/>
                  </w:tcBorders>
                  <w:noWrap w:val="0"/>
                  <w:vAlign w:val="center"/>
                </w:tcPr>
                <w:p w14:paraId="5668D0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2.7967</w:t>
                  </w:r>
                </w:p>
              </w:tc>
              <w:tc>
                <w:tcPr>
                  <w:tcW w:w="468" w:type="pct"/>
                  <w:tcBorders>
                    <w:tl2br w:val="nil"/>
                    <w:tr2bl w:val="nil"/>
                  </w:tcBorders>
                  <w:noWrap w:val="0"/>
                  <w:vAlign w:val="center"/>
                </w:tcPr>
                <w:p w14:paraId="2355F7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24" w:type="pct"/>
                  <w:tcBorders>
                    <w:tl2br w:val="nil"/>
                    <w:tr2bl w:val="nil"/>
                  </w:tcBorders>
                  <w:noWrap w:val="0"/>
                  <w:vAlign w:val="center"/>
                </w:tcPr>
                <w:p w14:paraId="716BF1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05" w:type="pct"/>
                  <w:tcBorders>
                    <w:tl2br w:val="nil"/>
                    <w:tr2bl w:val="nil"/>
                  </w:tcBorders>
                  <w:noWrap w:val="0"/>
                  <w:vAlign w:val="center"/>
                </w:tcPr>
                <w:p w14:paraId="605BFDE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411" w:type="pct"/>
                  <w:tcBorders>
                    <w:tl2br w:val="nil"/>
                    <w:tr2bl w:val="nil"/>
                  </w:tcBorders>
                  <w:noWrap w:val="0"/>
                  <w:vAlign w:val="center"/>
                </w:tcPr>
                <w:p w14:paraId="320D46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986" w:type="pct"/>
                  <w:vMerge w:val="restart"/>
                  <w:tcBorders>
                    <w:tl2br w:val="nil"/>
                    <w:tr2bl w:val="nil"/>
                  </w:tcBorders>
                  <w:noWrap w:val="0"/>
                  <w:vAlign w:val="center"/>
                </w:tcPr>
                <w:p w14:paraId="1D7A78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76D1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242" w:type="pct"/>
                  <w:vMerge w:val="continue"/>
                  <w:tcBorders>
                    <w:tl2br w:val="nil"/>
                    <w:tr2bl w:val="nil"/>
                  </w:tcBorders>
                  <w:noWrap w:val="0"/>
                  <w:vAlign w:val="center"/>
                </w:tcPr>
                <w:p w14:paraId="45A392D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354366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0" w:type="pct"/>
                  <w:tcBorders>
                    <w:tl2br w:val="nil"/>
                    <w:tr2bl w:val="nil"/>
                  </w:tcBorders>
                  <w:noWrap w:val="0"/>
                  <w:vAlign w:val="center"/>
                </w:tcPr>
                <w:p w14:paraId="5678B1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505" w:type="pct"/>
                  <w:tcBorders>
                    <w:tl2br w:val="nil"/>
                    <w:tr2bl w:val="nil"/>
                  </w:tcBorders>
                  <w:noWrap w:val="0"/>
                  <w:vAlign w:val="center"/>
                </w:tcPr>
                <w:p w14:paraId="05BA37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499" w:type="pct"/>
                  <w:tcBorders>
                    <w:tl2br w:val="nil"/>
                    <w:tr2bl w:val="nil"/>
                  </w:tcBorders>
                  <w:noWrap w:val="0"/>
                  <w:vAlign w:val="center"/>
                </w:tcPr>
                <w:p w14:paraId="1873F8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7068C7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tcBorders>
                    <w:tl2br w:val="nil"/>
                    <w:tr2bl w:val="nil"/>
                  </w:tcBorders>
                  <w:noWrap w:val="0"/>
                  <w:vAlign w:val="center"/>
                </w:tcPr>
                <w:p w14:paraId="65BDBA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468" w:type="pct"/>
                  <w:tcBorders>
                    <w:tl2br w:val="nil"/>
                    <w:tr2bl w:val="nil"/>
                  </w:tcBorders>
                  <w:noWrap w:val="0"/>
                  <w:vAlign w:val="center"/>
                </w:tcPr>
                <w:p w14:paraId="74FE7B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24" w:type="pct"/>
                  <w:tcBorders>
                    <w:tl2br w:val="nil"/>
                    <w:tr2bl w:val="nil"/>
                  </w:tcBorders>
                  <w:noWrap w:val="0"/>
                  <w:vAlign w:val="center"/>
                </w:tcPr>
                <w:p w14:paraId="270E859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405" w:type="pct"/>
                  <w:tcBorders>
                    <w:tl2br w:val="nil"/>
                    <w:tr2bl w:val="nil"/>
                  </w:tcBorders>
                  <w:noWrap w:val="0"/>
                  <w:vAlign w:val="center"/>
                </w:tcPr>
                <w:p w14:paraId="1E4479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411" w:type="pct"/>
                  <w:tcBorders>
                    <w:tl2br w:val="nil"/>
                    <w:tr2bl w:val="nil"/>
                  </w:tcBorders>
                  <w:noWrap w:val="0"/>
                  <w:vAlign w:val="center"/>
                </w:tcPr>
                <w:p w14:paraId="69E807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986" w:type="pct"/>
                  <w:vMerge w:val="continue"/>
                  <w:tcBorders>
                    <w:tl2br w:val="nil"/>
                    <w:tr2bl w:val="nil"/>
                  </w:tcBorders>
                  <w:noWrap w:val="0"/>
                  <w:vAlign w:val="center"/>
                </w:tcPr>
                <w:p w14:paraId="61F93D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9631D03">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 xml:space="preserve">表4.4-2 </w:t>
            </w:r>
            <w:r>
              <w:rPr>
                <w:rFonts w:hint="default" w:ascii="Times New Roman" w:hAnsi="Times New Roman" w:eastAsia="宋体" w:cs="Times New Roman"/>
                <w:b/>
                <w:bCs/>
                <w:color w:val="auto"/>
                <w:sz w:val="24"/>
                <w:highlight w:val="none"/>
                <w:lang w:val="en-US" w:eastAsia="zh-CN"/>
              </w:rPr>
              <w:t>危险废物暂存间基本情况</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967"/>
              <w:gridCol w:w="1297"/>
              <w:gridCol w:w="1379"/>
              <w:gridCol w:w="1003"/>
              <w:gridCol w:w="856"/>
              <w:gridCol w:w="987"/>
              <w:gridCol w:w="805"/>
              <w:gridCol w:w="826"/>
            </w:tblGrid>
            <w:tr w14:paraId="77FC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5" w:type="pct"/>
                  <w:noWrap w:val="0"/>
                  <w:vAlign w:val="center"/>
                </w:tcPr>
                <w:p w14:paraId="6ABE97B1">
                  <w:pPr>
                    <w:pStyle w:val="32"/>
                    <w:rPr>
                      <w:kern w:val="0"/>
                      <w:szCs w:val="21"/>
                    </w:rPr>
                  </w:pPr>
                  <w:r>
                    <w:rPr>
                      <w:rFonts w:hint="eastAsia"/>
                      <w:kern w:val="0"/>
                      <w:szCs w:val="21"/>
                    </w:rPr>
                    <w:t>序</w:t>
                  </w:r>
                  <w:r>
                    <w:rPr>
                      <w:kern w:val="0"/>
                      <w:szCs w:val="21"/>
                    </w:rPr>
                    <w:t>号</w:t>
                  </w:r>
                </w:p>
              </w:tc>
              <w:tc>
                <w:tcPr>
                  <w:tcW w:w="562" w:type="pct"/>
                  <w:noWrap w:val="0"/>
                  <w:vAlign w:val="center"/>
                </w:tcPr>
                <w:p w14:paraId="49B4147D">
                  <w:pPr>
                    <w:pStyle w:val="32"/>
                    <w:rPr>
                      <w:kern w:val="0"/>
                      <w:szCs w:val="21"/>
                    </w:rPr>
                  </w:pPr>
                  <w:r>
                    <w:rPr>
                      <w:kern w:val="0"/>
                      <w:szCs w:val="21"/>
                    </w:rPr>
                    <w:t>危险废</w:t>
                  </w:r>
                </w:p>
                <w:p w14:paraId="479011FE">
                  <w:pPr>
                    <w:pStyle w:val="32"/>
                    <w:rPr>
                      <w:kern w:val="0"/>
                      <w:szCs w:val="21"/>
                    </w:rPr>
                  </w:pPr>
                  <w:r>
                    <w:rPr>
                      <w:kern w:val="0"/>
                      <w:szCs w:val="21"/>
                    </w:rPr>
                    <w:t>物名称</w:t>
                  </w:r>
                </w:p>
              </w:tc>
              <w:tc>
                <w:tcPr>
                  <w:tcW w:w="754" w:type="pct"/>
                  <w:noWrap w:val="0"/>
                  <w:vAlign w:val="center"/>
                </w:tcPr>
                <w:p w14:paraId="0E230372">
                  <w:pPr>
                    <w:pStyle w:val="32"/>
                    <w:rPr>
                      <w:kern w:val="0"/>
                      <w:szCs w:val="21"/>
                    </w:rPr>
                  </w:pPr>
                  <w:r>
                    <w:rPr>
                      <w:kern w:val="0"/>
                      <w:szCs w:val="21"/>
                    </w:rPr>
                    <w:t>危险废物</w:t>
                  </w:r>
                </w:p>
                <w:p w14:paraId="52678819">
                  <w:pPr>
                    <w:pStyle w:val="32"/>
                    <w:rPr>
                      <w:kern w:val="0"/>
                      <w:szCs w:val="21"/>
                    </w:rPr>
                  </w:pPr>
                  <w:r>
                    <w:rPr>
                      <w:kern w:val="0"/>
                      <w:szCs w:val="21"/>
                    </w:rPr>
                    <w:t>类别</w:t>
                  </w:r>
                </w:p>
              </w:tc>
              <w:tc>
                <w:tcPr>
                  <w:tcW w:w="802" w:type="pct"/>
                  <w:noWrap w:val="0"/>
                  <w:vAlign w:val="center"/>
                </w:tcPr>
                <w:p w14:paraId="11019A44">
                  <w:pPr>
                    <w:pStyle w:val="32"/>
                    <w:rPr>
                      <w:kern w:val="0"/>
                      <w:szCs w:val="21"/>
                    </w:rPr>
                  </w:pPr>
                  <w:r>
                    <w:rPr>
                      <w:kern w:val="0"/>
                      <w:szCs w:val="21"/>
                    </w:rPr>
                    <w:t>危险废物代码</w:t>
                  </w:r>
                </w:p>
              </w:tc>
              <w:tc>
                <w:tcPr>
                  <w:tcW w:w="583" w:type="pct"/>
                  <w:noWrap w:val="0"/>
                  <w:vAlign w:val="center"/>
                </w:tcPr>
                <w:p w14:paraId="3896B892">
                  <w:pPr>
                    <w:pStyle w:val="32"/>
                    <w:rPr>
                      <w:kern w:val="0"/>
                      <w:szCs w:val="21"/>
                    </w:rPr>
                  </w:pPr>
                  <w:r>
                    <w:rPr>
                      <w:kern w:val="0"/>
                      <w:szCs w:val="21"/>
                    </w:rPr>
                    <w:t>位置</w:t>
                  </w:r>
                </w:p>
              </w:tc>
              <w:tc>
                <w:tcPr>
                  <w:tcW w:w="498" w:type="pct"/>
                  <w:noWrap w:val="0"/>
                  <w:vAlign w:val="center"/>
                </w:tcPr>
                <w:p w14:paraId="5A54E2E6">
                  <w:pPr>
                    <w:pStyle w:val="32"/>
                    <w:rPr>
                      <w:kern w:val="0"/>
                      <w:szCs w:val="21"/>
                    </w:rPr>
                  </w:pPr>
                  <w:r>
                    <w:rPr>
                      <w:kern w:val="0"/>
                      <w:szCs w:val="21"/>
                    </w:rPr>
                    <w:t>占地面积</w:t>
                  </w:r>
                </w:p>
              </w:tc>
              <w:tc>
                <w:tcPr>
                  <w:tcW w:w="574" w:type="pct"/>
                  <w:noWrap w:val="0"/>
                  <w:vAlign w:val="center"/>
                </w:tcPr>
                <w:p w14:paraId="18F34BA4">
                  <w:pPr>
                    <w:pStyle w:val="32"/>
                    <w:rPr>
                      <w:kern w:val="0"/>
                      <w:szCs w:val="21"/>
                    </w:rPr>
                  </w:pPr>
                  <w:r>
                    <w:rPr>
                      <w:kern w:val="0"/>
                      <w:szCs w:val="21"/>
                    </w:rPr>
                    <w:t>贮存方式</w:t>
                  </w:r>
                </w:p>
              </w:tc>
              <w:tc>
                <w:tcPr>
                  <w:tcW w:w="468" w:type="pct"/>
                  <w:noWrap w:val="0"/>
                  <w:vAlign w:val="center"/>
                </w:tcPr>
                <w:p w14:paraId="131F978F">
                  <w:pPr>
                    <w:pStyle w:val="32"/>
                    <w:rPr>
                      <w:kern w:val="0"/>
                      <w:szCs w:val="21"/>
                    </w:rPr>
                  </w:pPr>
                  <w:r>
                    <w:rPr>
                      <w:kern w:val="0"/>
                      <w:szCs w:val="21"/>
                    </w:rPr>
                    <w:t>贮存</w:t>
                  </w:r>
                </w:p>
                <w:p w14:paraId="345B4CF6">
                  <w:pPr>
                    <w:pStyle w:val="32"/>
                    <w:rPr>
                      <w:kern w:val="0"/>
                      <w:szCs w:val="21"/>
                    </w:rPr>
                  </w:pPr>
                  <w:r>
                    <w:rPr>
                      <w:kern w:val="0"/>
                      <w:szCs w:val="21"/>
                    </w:rPr>
                    <w:t>能力（t）</w:t>
                  </w:r>
                </w:p>
              </w:tc>
              <w:tc>
                <w:tcPr>
                  <w:tcW w:w="480" w:type="pct"/>
                  <w:noWrap w:val="0"/>
                  <w:vAlign w:val="center"/>
                </w:tcPr>
                <w:p w14:paraId="28EB7614">
                  <w:pPr>
                    <w:pStyle w:val="32"/>
                    <w:rPr>
                      <w:kern w:val="0"/>
                      <w:szCs w:val="21"/>
                    </w:rPr>
                  </w:pPr>
                  <w:r>
                    <w:rPr>
                      <w:kern w:val="0"/>
                      <w:szCs w:val="21"/>
                    </w:rPr>
                    <w:t>贮存</w:t>
                  </w:r>
                </w:p>
                <w:p w14:paraId="5C7038B0">
                  <w:pPr>
                    <w:pStyle w:val="32"/>
                    <w:rPr>
                      <w:kern w:val="0"/>
                      <w:szCs w:val="21"/>
                    </w:rPr>
                  </w:pPr>
                  <w:r>
                    <w:rPr>
                      <w:kern w:val="0"/>
                      <w:szCs w:val="21"/>
                    </w:rPr>
                    <w:t>周期</w:t>
                  </w:r>
                </w:p>
              </w:tc>
            </w:tr>
            <w:tr w14:paraId="1D0BF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5" w:type="pct"/>
                  <w:noWrap w:val="0"/>
                  <w:vAlign w:val="center"/>
                </w:tcPr>
                <w:p w14:paraId="0273D53F">
                  <w:pPr>
                    <w:pStyle w:val="61"/>
                    <w:ind w:left="420" w:hanging="420"/>
                    <w:rPr>
                      <w:rFonts w:hint="eastAsia"/>
                      <w:sz w:val="21"/>
                      <w:szCs w:val="21"/>
                    </w:rPr>
                  </w:pPr>
                  <w:r>
                    <w:rPr>
                      <w:rFonts w:hint="eastAsia"/>
                      <w:sz w:val="21"/>
                      <w:szCs w:val="21"/>
                    </w:rPr>
                    <w:t>1</w:t>
                  </w:r>
                </w:p>
              </w:tc>
              <w:tc>
                <w:tcPr>
                  <w:tcW w:w="562" w:type="pct"/>
                  <w:noWrap w:val="0"/>
                  <w:vAlign w:val="center"/>
                </w:tcPr>
                <w:p w14:paraId="52758648">
                  <w:pPr>
                    <w:kinsoku w:val="0"/>
                    <w:overflowPunct w:val="0"/>
                    <w:autoSpaceDE w:val="0"/>
                    <w:autoSpaceDN w:val="0"/>
                    <w:adjustRightInd w:val="0"/>
                    <w:jc w:val="center"/>
                    <w:rPr>
                      <w:kern w:val="0"/>
                      <w:szCs w:val="21"/>
                    </w:rPr>
                  </w:pPr>
                  <w:r>
                    <w:rPr>
                      <w:kern w:val="0"/>
                      <w:szCs w:val="21"/>
                    </w:rPr>
                    <w:t>废活性炭</w:t>
                  </w:r>
                </w:p>
              </w:tc>
              <w:tc>
                <w:tcPr>
                  <w:tcW w:w="754" w:type="pct"/>
                  <w:noWrap w:val="0"/>
                  <w:vAlign w:val="center"/>
                </w:tcPr>
                <w:p w14:paraId="42FF42FA">
                  <w:pPr>
                    <w:kinsoku w:val="0"/>
                    <w:overflowPunct w:val="0"/>
                    <w:autoSpaceDE w:val="0"/>
                    <w:autoSpaceDN w:val="0"/>
                    <w:adjustRightInd w:val="0"/>
                    <w:jc w:val="center"/>
                    <w:rPr>
                      <w:kern w:val="0"/>
                      <w:szCs w:val="21"/>
                    </w:rPr>
                  </w:pPr>
                  <w:r>
                    <w:rPr>
                      <w:rFonts w:hint="eastAsia"/>
                      <w:kern w:val="0"/>
                      <w:szCs w:val="21"/>
                    </w:rPr>
                    <w:t>HW49</w:t>
                  </w:r>
                </w:p>
              </w:tc>
              <w:tc>
                <w:tcPr>
                  <w:tcW w:w="802" w:type="pct"/>
                  <w:noWrap w:val="0"/>
                  <w:vAlign w:val="center"/>
                </w:tcPr>
                <w:p w14:paraId="5D7CF421">
                  <w:pPr>
                    <w:pStyle w:val="32"/>
                    <w:rPr>
                      <w:rFonts w:hint="eastAsia"/>
                      <w:kern w:val="0"/>
                      <w:szCs w:val="21"/>
                    </w:rPr>
                  </w:pPr>
                  <w:r>
                    <w:rPr>
                      <w:kern w:val="0"/>
                      <w:szCs w:val="21"/>
                    </w:rPr>
                    <w:t>900-039-49</w:t>
                  </w:r>
                </w:p>
              </w:tc>
              <w:tc>
                <w:tcPr>
                  <w:tcW w:w="583" w:type="pct"/>
                  <w:noWrap w:val="0"/>
                  <w:vAlign w:val="center"/>
                </w:tcPr>
                <w:p w14:paraId="032B6B1F">
                  <w:pPr>
                    <w:pStyle w:val="32"/>
                    <w:rPr>
                      <w:rFonts w:hint="default" w:eastAsia="宋体"/>
                      <w:kern w:val="0"/>
                      <w:szCs w:val="21"/>
                      <w:lang w:val="en-US" w:eastAsia="zh-CN"/>
                    </w:rPr>
                  </w:pPr>
                  <w:r>
                    <w:rPr>
                      <w:rFonts w:hint="eastAsia"/>
                      <w:kern w:val="0"/>
                      <w:szCs w:val="21"/>
                      <w:lang w:val="en-US" w:eastAsia="zh-CN"/>
                    </w:rPr>
                    <w:t>车间内西南侧</w:t>
                  </w:r>
                </w:p>
              </w:tc>
              <w:tc>
                <w:tcPr>
                  <w:tcW w:w="498" w:type="pct"/>
                  <w:noWrap w:val="0"/>
                  <w:vAlign w:val="center"/>
                </w:tcPr>
                <w:p w14:paraId="7916044D">
                  <w:pPr>
                    <w:pStyle w:val="61"/>
                    <w:ind w:left="420" w:hanging="420"/>
                    <w:rPr>
                      <w:rFonts w:hint="eastAsia"/>
                      <w:sz w:val="21"/>
                      <w:szCs w:val="21"/>
                    </w:rPr>
                  </w:pPr>
                  <w:r>
                    <w:rPr>
                      <w:rFonts w:hint="eastAsia"/>
                      <w:sz w:val="21"/>
                      <w:szCs w:val="21"/>
                    </w:rPr>
                    <w:t>5</w:t>
                  </w:r>
                  <w:r>
                    <w:rPr>
                      <w:sz w:val="21"/>
                      <w:szCs w:val="21"/>
                    </w:rPr>
                    <w:t>m</w:t>
                  </w:r>
                  <w:r>
                    <w:rPr>
                      <w:sz w:val="21"/>
                      <w:szCs w:val="21"/>
                      <w:vertAlign w:val="superscript"/>
                    </w:rPr>
                    <w:t>2</w:t>
                  </w:r>
                </w:p>
              </w:tc>
              <w:tc>
                <w:tcPr>
                  <w:tcW w:w="574" w:type="pct"/>
                  <w:noWrap w:val="0"/>
                  <w:vAlign w:val="center"/>
                </w:tcPr>
                <w:p w14:paraId="27DF2BE4">
                  <w:pPr>
                    <w:pStyle w:val="61"/>
                    <w:ind w:left="420" w:hanging="420"/>
                    <w:rPr>
                      <w:sz w:val="21"/>
                      <w:szCs w:val="21"/>
                    </w:rPr>
                  </w:pPr>
                  <w:r>
                    <w:rPr>
                      <w:rFonts w:hint="eastAsia"/>
                      <w:sz w:val="21"/>
                      <w:szCs w:val="21"/>
                    </w:rPr>
                    <w:t>袋</w:t>
                  </w:r>
                  <w:r>
                    <w:rPr>
                      <w:sz w:val="21"/>
                      <w:szCs w:val="21"/>
                    </w:rPr>
                    <w:t>装</w:t>
                  </w:r>
                </w:p>
              </w:tc>
              <w:tc>
                <w:tcPr>
                  <w:tcW w:w="468" w:type="pct"/>
                  <w:noWrap w:val="0"/>
                  <w:vAlign w:val="center"/>
                </w:tcPr>
                <w:p w14:paraId="712948A2">
                  <w:pPr>
                    <w:pStyle w:val="61"/>
                    <w:ind w:left="420" w:hanging="420"/>
                    <w:rPr>
                      <w:sz w:val="21"/>
                      <w:szCs w:val="21"/>
                    </w:rPr>
                  </w:pPr>
                  <w:r>
                    <w:rPr>
                      <w:rFonts w:hint="eastAsia"/>
                      <w:sz w:val="21"/>
                      <w:szCs w:val="21"/>
                      <w:lang w:val="en-US" w:eastAsia="zh-CN"/>
                    </w:rPr>
                    <w:t>4</w:t>
                  </w:r>
                  <w:r>
                    <w:rPr>
                      <w:rFonts w:hint="eastAsia"/>
                      <w:sz w:val="21"/>
                      <w:szCs w:val="21"/>
                    </w:rPr>
                    <w:t>t</w:t>
                  </w:r>
                </w:p>
              </w:tc>
              <w:tc>
                <w:tcPr>
                  <w:tcW w:w="480" w:type="pct"/>
                  <w:noWrap w:val="0"/>
                  <w:vAlign w:val="center"/>
                </w:tcPr>
                <w:p w14:paraId="5226028C">
                  <w:pPr>
                    <w:pStyle w:val="61"/>
                    <w:ind w:left="420" w:hanging="420"/>
                    <w:rPr>
                      <w:sz w:val="21"/>
                      <w:szCs w:val="21"/>
                    </w:rPr>
                  </w:pPr>
                  <w:r>
                    <w:rPr>
                      <w:rFonts w:hint="eastAsia"/>
                      <w:sz w:val="21"/>
                      <w:szCs w:val="21"/>
                    </w:rPr>
                    <w:t>1</w:t>
                  </w:r>
                  <w:r>
                    <w:rPr>
                      <w:sz w:val="21"/>
                      <w:szCs w:val="21"/>
                    </w:rPr>
                    <w:t>年</w:t>
                  </w:r>
                </w:p>
              </w:tc>
            </w:tr>
            <w:tr w14:paraId="56B64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5" w:type="pct"/>
                  <w:noWrap w:val="0"/>
                  <w:vAlign w:val="center"/>
                </w:tcPr>
                <w:p w14:paraId="54696176">
                  <w:pPr>
                    <w:pStyle w:val="61"/>
                    <w:ind w:left="420" w:hanging="420"/>
                    <w:rPr>
                      <w:rFonts w:hint="eastAsia" w:eastAsia="宋体"/>
                      <w:sz w:val="21"/>
                      <w:szCs w:val="21"/>
                      <w:lang w:val="en-US" w:eastAsia="zh-CN"/>
                    </w:rPr>
                  </w:pPr>
                  <w:r>
                    <w:rPr>
                      <w:rFonts w:hint="eastAsia"/>
                      <w:sz w:val="21"/>
                      <w:szCs w:val="21"/>
                      <w:lang w:val="en-US" w:eastAsia="zh-CN"/>
                    </w:rPr>
                    <w:t>2</w:t>
                  </w:r>
                </w:p>
              </w:tc>
              <w:tc>
                <w:tcPr>
                  <w:tcW w:w="562" w:type="pct"/>
                  <w:noWrap w:val="0"/>
                  <w:vAlign w:val="center"/>
                </w:tcPr>
                <w:p w14:paraId="743EF855">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废机油</w:t>
                  </w:r>
                </w:p>
              </w:tc>
              <w:tc>
                <w:tcPr>
                  <w:tcW w:w="754" w:type="pct"/>
                  <w:noWrap w:val="0"/>
                  <w:vAlign w:val="center"/>
                </w:tcPr>
                <w:p w14:paraId="78293780">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HW08</w:t>
                  </w:r>
                </w:p>
              </w:tc>
              <w:tc>
                <w:tcPr>
                  <w:tcW w:w="802" w:type="pct"/>
                  <w:noWrap w:val="0"/>
                  <w:vAlign w:val="center"/>
                </w:tcPr>
                <w:p w14:paraId="66A22B80">
                  <w:pPr>
                    <w:pStyle w:val="32"/>
                    <w:rPr>
                      <w:rFonts w:hint="default" w:eastAsia="宋体"/>
                      <w:kern w:val="0"/>
                      <w:szCs w:val="21"/>
                      <w:lang w:val="en-US" w:eastAsia="zh-CN"/>
                    </w:rPr>
                  </w:pPr>
                  <w:r>
                    <w:rPr>
                      <w:rFonts w:hint="eastAsia"/>
                      <w:kern w:val="0"/>
                      <w:szCs w:val="21"/>
                      <w:lang w:val="en-US" w:eastAsia="zh-CN"/>
                    </w:rPr>
                    <w:t>900-217-08</w:t>
                  </w:r>
                </w:p>
              </w:tc>
              <w:tc>
                <w:tcPr>
                  <w:tcW w:w="583" w:type="pct"/>
                  <w:noWrap w:val="0"/>
                  <w:vAlign w:val="center"/>
                </w:tcPr>
                <w:p w14:paraId="4A83C1C5">
                  <w:pPr>
                    <w:pStyle w:val="32"/>
                    <w:rPr>
                      <w:rFonts w:hint="eastAsia"/>
                      <w:kern w:val="0"/>
                      <w:szCs w:val="21"/>
                      <w:lang w:val="en-US" w:eastAsia="zh-CN"/>
                    </w:rPr>
                  </w:pPr>
                  <w:r>
                    <w:rPr>
                      <w:rFonts w:hint="eastAsia"/>
                      <w:kern w:val="0"/>
                      <w:szCs w:val="21"/>
                      <w:lang w:val="en-US" w:eastAsia="zh-CN"/>
                    </w:rPr>
                    <w:t>车间内西南侧</w:t>
                  </w:r>
                </w:p>
              </w:tc>
              <w:tc>
                <w:tcPr>
                  <w:tcW w:w="498" w:type="pct"/>
                  <w:noWrap w:val="0"/>
                  <w:vAlign w:val="center"/>
                </w:tcPr>
                <w:p w14:paraId="5555A30E">
                  <w:pPr>
                    <w:pStyle w:val="61"/>
                    <w:ind w:left="420" w:hanging="420"/>
                    <w:rPr>
                      <w:rFonts w:hint="eastAsia" w:eastAsia="宋体"/>
                      <w:sz w:val="21"/>
                      <w:szCs w:val="21"/>
                      <w:lang w:val="en-US" w:eastAsia="zh-CN"/>
                    </w:rPr>
                  </w:pPr>
                  <w:r>
                    <w:rPr>
                      <w:rFonts w:hint="eastAsia"/>
                      <w:sz w:val="21"/>
                      <w:szCs w:val="21"/>
                      <w:lang w:val="en-US" w:eastAsia="zh-CN"/>
                    </w:rPr>
                    <w:t>5</w:t>
                  </w:r>
                  <w:r>
                    <w:rPr>
                      <w:sz w:val="21"/>
                      <w:szCs w:val="21"/>
                    </w:rPr>
                    <w:t>m</w:t>
                  </w:r>
                  <w:r>
                    <w:rPr>
                      <w:sz w:val="21"/>
                      <w:szCs w:val="21"/>
                      <w:vertAlign w:val="superscript"/>
                    </w:rPr>
                    <w:t>2</w:t>
                  </w:r>
                </w:p>
              </w:tc>
              <w:tc>
                <w:tcPr>
                  <w:tcW w:w="574" w:type="pct"/>
                  <w:noWrap w:val="0"/>
                  <w:vAlign w:val="center"/>
                </w:tcPr>
                <w:p w14:paraId="0790DD2E">
                  <w:pPr>
                    <w:pStyle w:val="61"/>
                    <w:ind w:left="420" w:hanging="420"/>
                    <w:rPr>
                      <w:rFonts w:hint="default" w:eastAsia="宋体"/>
                      <w:sz w:val="21"/>
                      <w:szCs w:val="21"/>
                      <w:lang w:val="en-US" w:eastAsia="zh-CN"/>
                    </w:rPr>
                  </w:pPr>
                  <w:r>
                    <w:rPr>
                      <w:rFonts w:hint="eastAsia"/>
                      <w:sz w:val="21"/>
                      <w:szCs w:val="21"/>
                      <w:lang w:val="en-US" w:eastAsia="zh-CN"/>
                    </w:rPr>
                    <w:t>桶装</w:t>
                  </w:r>
                </w:p>
              </w:tc>
              <w:tc>
                <w:tcPr>
                  <w:tcW w:w="468" w:type="pct"/>
                  <w:noWrap w:val="0"/>
                  <w:vAlign w:val="center"/>
                </w:tcPr>
                <w:p w14:paraId="2808E85A">
                  <w:pPr>
                    <w:pStyle w:val="61"/>
                    <w:ind w:left="420" w:hanging="420"/>
                    <w:rPr>
                      <w:rFonts w:hint="default"/>
                      <w:sz w:val="21"/>
                      <w:szCs w:val="21"/>
                      <w:lang w:val="en-US" w:eastAsia="zh-CN"/>
                    </w:rPr>
                  </w:pPr>
                  <w:r>
                    <w:rPr>
                      <w:rFonts w:hint="eastAsia"/>
                      <w:sz w:val="21"/>
                      <w:szCs w:val="21"/>
                      <w:lang w:val="en-US" w:eastAsia="zh-CN"/>
                    </w:rPr>
                    <w:t>0.25t</w:t>
                  </w:r>
                </w:p>
              </w:tc>
              <w:tc>
                <w:tcPr>
                  <w:tcW w:w="480" w:type="pct"/>
                  <w:noWrap w:val="0"/>
                  <w:vAlign w:val="center"/>
                </w:tcPr>
                <w:p w14:paraId="00A9FA16">
                  <w:pPr>
                    <w:pStyle w:val="61"/>
                    <w:ind w:left="420" w:hanging="420"/>
                    <w:rPr>
                      <w:rFonts w:hint="default" w:eastAsia="宋体"/>
                      <w:sz w:val="21"/>
                      <w:szCs w:val="21"/>
                      <w:lang w:val="en-US" w:eastAsia="zh-CN"/>
                    </w:rPr>
                  </w:pPr>
                  <w:r>
                    <w:rPr>
                      <w:rFonts w:hint="eastAsia"/>
                      <w:sz w:val="21"/>
                      <w:szCs w:val="21"/>
                      <w:lang w:val="en-US" w:eastAsia="zh-CN"/>
                    </w:rPr>
                    <w:t>1年</w:t>
                  </w:r>
                </w:p>
              </w:tc>
            </w:tr>
          </w:tbl>
          <w:p w14:paraId="5C1E7F5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21" w:name="_Toc16892"/>
            <w:r>
              <w:rPr>
                <w:rFonts w:hint="eastAsia"/>
                <w:b/>
                <w:color w:val="262626"/>
                <w:kern w:val="0"/>
                <w:sz w:val="24"/>
                <w:lang w:val="zh-CN" w:eastAsia="zh-CN"/>
              </w:rPr>
              <w:t>4.4.2固废管理要求</w:t>
            </w:r>
            <w:bookmarkEnd w:id="121"/>
          </w:p>
          <w:p w14:paraId="5521F4DC">
            <w:pPr>
              <w:spacing w:line="360" w:lineRule="auto"/>
              <w:ind w:firstLine="480" w:firstLineChars="200"/>
              <w:rPr>
                <w:color w:val="262626"/>
                <w:sz w:val="24"/>
              </w:rPr>
            </w:pPr>
            <w:r>
              <w:rPr>
                <w:rFonts w:hint="eastAsia"/>
                <w:color w:val="262626"/>
                <w:sz w:val="24"/>
              </w:rPr>
              <w:t>本项目在生产过程中产生的</w:t>
            </w:r>
            <w:r>
              <w:rPr>
                <w:rFonts w:hint="eastAsia"/>
                <w:color w:val="262626"/>
                <w:sz w:val="24"/>
                <w:lang w:val="en-US" w:eastAsia="zh-CN"/>
              </w:rPr>
              <w:t>塑料</w:t>
            </w:r>
            <w:r>
              <w:rPr>
                <w:rFonts w:hint="eastAsia"/>
                <w:color w:val="262626"/>
                <w:sz w:val="24"/>
              </w:rPr>
              <w:t>边角料</w:t>
            </w:r>
            <w:r>
              <w:rPr>
                <w:rFonts w:hint="eastAsia"/>
                <w:color w:val="262626"/>
                <w:sz w:val="24"/>
                <w:lang w:val="en-US" w:eastAsia="zh-CN"/>
              </w:rPr>
              <w:t>及次品</w:t>
            </w:r>
            <w:r>
              <w:rPr>
                <w:rFonts w:hint="eastAsia"/>
                <w:color w:val="262626"/>
                <w:sz w:val="24"/>
              </w:rPr>
              <w:t>、废包装材料</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A448CB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2" w:name="_Toc30940"/>
            <w:r>
              <w:rPr>
                <w:rFonts w:hint="eastAsia"/>
                <w:b/>
                <w:color w:val="262626"/>
                <w:kern w:val="0"/>
                <w:sz w:val="24"/>
                <w:lang w:val="zh-CN" w:eastAsia="zh-CN"/>
              </w:rPr>
              <w:t>4.4.3危险废物管理要求</w:t>
            </w:r>
            <w:bookmarkEnd w:id="122"/>
          </w:p>
          <w:p w14:paraId="6DE10EC9">
            <w:pPr>
              <w:pStyle w:val="34"/>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3B40509C">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611B6FCC">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744E8A17">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19EABA98">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66230DB1">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6473118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46255CAC">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EDBD6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F32974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3F4275E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79B8B8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1BD9CDA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08B5A87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6499C99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2D52A35">
            <w:pPr>
              <w:pStyle w:val="62"/>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6CEB878A">
            <w:pPr>
              <w:pStyle w:val="62"/>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710F58F4">
            <w:pPr>
              <w:pStyle w:val="62"/>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48C82FD8">
            <w:pPr>
              <w:pStyle w:val="62"/>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6A5AA413">
            <w:pPr>
              <w:pStyle w:val="62"/>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7D216089">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3D68225E">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危险废物运输和转移过程需注意：</w:t>
            </w:r>
          </w:p>
          <w:p w14:paraId="37CAFF02">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4CC957EE">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691AD1B0">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44EB5D10">
            <w:pPr>
              <w:pStyle w:val="62"/>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65C15DA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23" w:name="_Toc26263"/>
            <w:r>
              <w:rPr>
                <w:rFonts w:hint="eastAsia" w:ascii="Times New Roman" w:hAnsi="Times New Roman" w:eastAsia="宋体" w:cs="Times New Roman"/>
                <w:color w:val="auto"/>
                <w:sz w:val="28"/>
                <w:szCs w:val="28"/>
                <w:u w:val="none"/>
                <w:lang w:val="en-US" w:eastAsia="zh-CN"/>
              </w:rPr>
              <w:t>4.5地下水、土壤环境影响和保护措施</w:t>
            </w:r>
            <w:bookmarkEnd w:id="123"/>
          </w:p>
          <w:p w14:paraId="4CFC4F2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4" w:name="_Toc22084"/>
            <w:r>
              <w:rPr>
                <w:rFonts w:hint="eastAsia"/>
                <w:b/>
                <w:color w:val="262626"/>
                <w:kern w:val="0"/>
                <w:sz w:val="24"/>
                <w:lang w:val="zh-CN" w:eastAsia="zh-CN"/>
              </w:rPr>
              <w:t>4.5.1 地下水、土壤环境影响分析</w:t>
            </w:r>
            <w:bookmarkEnd w:id="124"/>
          </w:p>
          <w:p w14:paraId="44352099">
            <w:pPr>
              <w:pStyle w:val="56"/>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ascii="Times New Roman" w:hAnsi="Times New Roman"/>
                <w:bCs w:val="0"/>
                <w:color w:val="262626"/>
                <w:szCs w:val="24"/>
              </w:rPr>
              <w:t>危废暂存间场地、污水管网系统堵塞、管道破裂破损情况下等污水下渗对地下水造成的污染</w:t>
            </w:r>
            <w:r>
              <w:rPr>
                <w:rFonts w:hint="eastAsia" w:ascii="Times New Roman" w:hAnsi="Times New Roman"/>
                <w:bCs w:val="0"/>
                <w:color w:val="262626"/>
                <w:szCs w:val="24"/>
              </w:rPr>
              <w:t>。</w:t>
            </w:r>
          </w:p>
          <w:p w14:paraId="1D878498">
            <w:pPr>
              <w:pStyle w:val="56"/>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27F7EE3C">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25" w:name="_Toc19666"/>
            <w:r>
              <w:rPr>
                <w:rFonts w:hint="eastAsia"/>
                <w:b/>
                <w:color w:val="262626"/>
                <w:kern w:val="0"/>
                <w:sz w:val="24"/>
                <w:lang w:val="zh-CN" w:eastAsia="zh-CN"/>
              </w:rPr>
              <w:t>4.5.2 地下水、土壤环境防控措施</w:t>
            </w:r>
            <w:bookmarkEnd w:id="125"/>
          </w:p>
          <w:p w14:paraId="1A0C7112">
            <w:pPr>
              <w:pStyle w:val="56"/>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8A447C3">
            <w:pPr>
              <w:pStyle w:val="56"/>
              <w:spacing w:line="360" w:lineRule="auto"/>
              <w:ind w:firstLine="480"/>
              <w:rPr>
                <w:color w:val="262626"/>
              </w:rPr>
            </w:pPr>
            <w:bookmarkStart w:id="126" w:name="_Toc12701"/>
            <w:bookmarkStart w:id="127" w:name="_Toc9711"/>
            <w:bookmarkStart w:id="128" w:name="_Toc3195"/>
            <w:bookmarkStart w:id="129" w:name="_Toc19130"/>
            <w:bookmarkStart w:id="130" w:name="_Toc15205"/>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26"/>
          <w:bookmarkEnd w:id="127"/>
          <w:bookmarkEnd w:id="128"/>
          <w:bookmarkEnd w:id="129"/>
          <w:bookmarkEnd w:id="130"/>
          <w:p w14:paraId="4087ADEA">
            <w:pPr>
              <w:pStyle w:val="56"/>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w:t>
            </w:r>
            <w:r>
              <w:rPr>
                <w:rFonts w:hint="eastAsia"/>
                <w:szCs w:val="24"/>
                <w:lang w:eastAsia="zh-CN"/>
              </w:rPr>
              <w:t>生态环境部</w:t>
            </w:r>
            <w:r>
              <w:rPr>
                <w:rFonts w:ascii="Times New Roman" w:hAnsi="Times New Roman"/>
                <w:szCs w:val="24"/>
              </w:rPr>
              <w:t>门应与市政部门密切配合，强化监测与管理工作</w:t>
            </w:r>
            <w:r>
              <w:rPr>
                <w:rFonts w:hint="eastAsia" w:ascii="Times New Roman" w:hAnsi="Times New Roman"/>
                <w:szCs w:val="24"/>
              </w:rPr>
              <w:t>；</w:t>
            </w:r>
          </w:p>
          <w:p w14:paraId="2173EA2A">
            <w:pPr>
              <w:pStyle w:val="56"/>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1B63EF67">
            <w:pPr>
              <w:pStyle w:val="10"/>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68E979B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3"/>
                <w:rFonts w:ascii="Times New Roman" w:hAnsi="Times New Roman"/>
                <w:b/>
                <w:bCs/>
                <w:color w:val="262626"/>
                <w:kern w:val="0"/>
                <w:sz w:val="28"/>
                <w:szCs w:val="28"/>
              </w:rPr>
            </w:pPr>
            <w:bookmarkStart w:id="131" w:name="_Toc2007"/>
            <w:r>
              <w:rPr>
                <w:rStyle w:val="63"/>
                <w:rFonts w:ascii="Times New Roman" w:hAnsi="Times New Roman"/>
                <w:b/>
                <w:bCs/>
                <w:color w:val="262626"/>
                <w:kern w:val="0"/>
                <w:sz w:val="28"/>
                <w:szCs w:val="28"/>
              </w:rPr>
              <w:t>4.</w:t>
            </w:r>
            <w:r>
              <w:rPr>
                <w:rStyle w:val="63"/>
                <w:rFonts w:hint="eastAsia" w:ascii="Times New Roman" w:hAnsi="Times New Roman"/>
                <w:b/>
                <w:bCs/>
                <w:color w:val="262626"/>
                <w:kern w:val="0"/>
                <w:sz w:val="28"/>
                <w:szCs w:val="28"/>
              </w:rPr>
              <w:t>6</w:t>
            </w:r>
            <w:r>
              <w:rPr>
                <w:rStyle w:val="63"/>
                <w:rFonts w:ascii="Times New Roman" w:hAnsi="Times New Roman"/>
                <w:b/>
                <w:bCs/>
                <w:color w:val="262626"/>
                <w:kern w:val="0"/>
                <w:sz w:val="28"/>
                <w:szCs w:val="28"/>
              </w:rPr>
              <w:t>环境风险分析</w:t>
            </w:r>
            <w:bookmarkEnd w:id="131"/>
          </w:p>
          <w:p w14:paraId="6D259EE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32" w:name="_Toc27752"/>
            <w:r>
              <w:rPr>
                <w:rFonts w:hint="eastAsia"/>
                <w:b/>
                <w:color w:val="262626"/>
                <w:kern w:val="0"/>
                <w:sz w:val="24"/>
                <w:lang w:val="en-US" w:eastAsia="zh-CN"/>
              </w:rPr>
              <w:t>4.6.1</w:t>
            </w:r>
            <w:r>
              <w:rPr>
                <w:rFonts w:hint="default"/>
                <w:b/>
                <w:color w:val="262626"/>
                <w:kern w:val="0"/>
                <w:sz w:val="24"/>
                <w:lang w:val="en-US" w:eastAsia="zh-CN"/>
              </w:rPr>
              <w:t>项目危险物质调查</w:t>
            </w:r>
            <w:bookmarkEnd w:id="132"/>
          </w:p>
          <w:p w14:paraId="1504224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危险物质</w:t>
            </w:r>
          </w:p>
          <w:p w14:paraId="6EB2CF94">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color w:val="auto"/>
                <w:sz w:val="24"/>
              </w:rPr>
              <w:t>根据对各原料成分性质分析，对照《建设项目环境风险评价技术导则》</w:t>
            </w:r>
            <w:r>
              <w:rPr>
                <w:rFonts w:hint="eastAsia"/>
                <w:color w:val="auto"/>
                <w:sz w:val="24"/>
                <w:lang w:eastAsia="zh-CN"/>
              </w:rPr>
              <w:t>（</w:t>
            </w:r>
            <w:r>
              <w:rPr>
                <w:color w:val="auto"/>
                <w:sz w:val="24"/>
              </w:rPr>
              <w:t>HJ 169-2018</w:t>
            </w:r>
            <w:r>
              <w:rPr>
                <w:rFonts w:hint="eastAsia"/>
                <w:color w:val="auto"/>
                <w:sz w:val="24"/>
                <w:lang w:eastAsia="zh-CN"/>
              </w:rPr>
              <w:t>）</w:t>
            </w:r>
            <w:r>
              <w:rPr>
                <w:color w:val="auto"/>
                <w:sz w:val="24"/>
              </w:rPr>
              <w:t>附录B</w:t>
            </w:r>
            <w:r>
              <w:rPr>
                <w:rFonts w:hint="eastAsia"/>
                <w:color w:val="auto"/>
                <w:sz w:val="24"/>
              </w:rPr>
              <w:t>及《企业突发环境事件风险分级方法》</w:t>
            </w:r>
            <w:r>
              <w:rPr>
                <w:rFonts w:hint="eastAsia"/>
                <w:color w:val="auto"/>
                <w:sz w:val="24"/>
                <w:lang w:eastAsia="zh-CN"/>
              </w:rPr>
              <w:t>（</w:t>
            </w:r>
            <w:r>
              <w:rPr>
                <w:rFonts w:hint="eastAsia"/>
                <w:color w:val="auto"/>
                <w:sz w:val="24"/>
              </w:rPr>
              <w:t>HJ941-2018</w:t>
            </w:r>
            <w:r>
              <w:rPr>
                <w:rFonts w:hint="eastAsia"/>
                <w:color w:val="auto"/>
                <w:sz w:val="24"/>
                <w:lang w:eastAsia="zh-CN"/>
              </w:rPr>
              <w:t>）</w:t>
            </w:r>
            <w:r>
              <w:rPr>
                <w:rFonts w:hint="eastAsia"/>
                <w:color w:val="auto"/>
                <w:sz w:val="24"/>
              </w:rPr>
              <w:t>附录A可知</w:t>
            </w:r>
            <w:r>
              <w:rPr>
                <w:color w:val="auto"/>
                <w:sz w:val="24"/>
              </w:rPr>
              <w:t>，</w:t>
            </w:r>
            <w:r>
              <w:rPr>
                <w:rFonts w:hint="eastAsia"/>
                <w:color w:val="auto"/>
                <w:sz w:val="24"/>
              </w:rPr>
              <w:t>项目使用的原辅材料均不属于危险物质；但项目产生的</w:t>
            </w:r>
            <w:r>
              <w:rPr>
                <w:rFonts w:hint="eastAsia"/>
                <w:color w:val="auto"/>
                <w:sz w:val="24"/>
                <w:lang w:val="en-US" w:eastAsia="zh-CN"/>
              </w:rPr>
              <w:t>危险废物</w:t>
            </w:r>
            <w:r>
              <w:rPr>
                <w:rFonts w:hint="eastAsia"/>
                <w:color w:val="auto"/>
                <w:sz w:val="24"/>
              </w:rPr>
              <w:t>属于环境风险物质</w:t>
            </w:r>
            <w:r>
              <w:rPr>
                <w:rFonts w:hint="eastAsia"/>
                <w:color w:val="auto"/>
                <w:sz w:val="24"/>
                <w:lang w:eastAsia="zh-CN"/>
              </w:rPr>
              <w:t>，</w:t>
            </w:r>
            <w:r>
              <w:rPr>
                <w:rFonts w:hint="eastAsia"/>
                <w:color w:val="auto"/>
                <w:sz w:val="24"/>
                <w:lang w:val="en-US" w:eastAsia="zh-CN"/>
              </w:rPr>
              <w:t>详见表4.6-1。</w:t>
            </w:r>
          </w:p>
          <w:p w14:paraId="68048486">
            <w:pPr>
              <w:rPr>
                <w:rFonts w:hint="default"/>
              </w:rPr>
            </w:pPr>
          </w:p>
          <w:p w14:paraId="342AEB4B">
            <w:pPr>
              <w:rPr>
                <w:rFonts w:hint="default"/>
              </w:rPr>
            </w:pPr>
          </w:p>
          <w:p w14:paraId="758C6F73">
            <w:pPr>
              <w:rPr>
                <w:rFonts w:hint="default"/>
              </w:rPr>
            </w:pPr>
          </w:p>
          <w:p w14:paraId="1BE07BC1">
            <w:pPr>
              <w:rPr>
                <w:rFonts w:hint="default"/>
              </w:rPr>
            </w:pPr>
          </w:p>
          <w:p w14:paraId="2FBB0CAC">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default" w:ascii="Times New Roman" w:hAnsi="Times New Roman" w:eastAsia="宋体" w:cs="Times New Roman"/>
                <w:b/>
                <w:bCs/>
                <w:color w:val="auto"/>
                <w:sz w:val="24"/>
                <w:lang w:eastAsia="zh-CN"/>
              </w:rPr>
              <w:t>危险废物数量</w:t>
            </w:r>
            <w:r>
              <w:rPr>
                <w:rFonts w:hint="default" w:ascii="Times New Roman" w:hAnsi="Times New Roman" w:eastAsia="宋体" w:cs="Times New Roman"/>
                <w:b/>
                <w:bCs/>
                <w:color w:val="auto"/>
                <w:sz w:val="24"/>
              </w:rPr>
              <w:t>、有害因素分布表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0"/>
              <w:gridCol w:w="1074"/>
              <w:gridCol w:w="1399"/>
              <w:gridCol w:w="1510"/>
              <w:gridCol w:w="1038"/>
              <w:gridCol w:w="839"/>
              <w:gridCol w:w="931"/>
            </w:tblGrid>
            <w:tr w14:paraId="20466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77E23BA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90" w:type="pct"/>
                  <w:tcBorders>
                    <w:tl2br w:val="nil"/>
                    <w:tr2bl w:val="nil"/>
                  </w:tcBorders>
                  <w:noWrap w:val="0"/>
                  <w:vAlign w:val="center"/>
                </w:tcPr>
                <w:p w14:paraId="79A9113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33AF9C8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814" w:type="pct"/>
                  <w:tcBorders>
                    <w:tl2br w:val="nil"/>
                    <w:tr2bl w:val="nil"/>
                  </w:tcBorders>
                  <w:noWrap w:val="0"/>
                  <w:vAlign w:val="center"/>
                </w:tcPr>
                <w:p w14:paraId="5735C9B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79" w:type="pct"/>
                  <w:tcBorders>
                    <w:tl2br w:val="nil"/>
                    <w:tr2bl w:val="nil"/>
                  </w:tcBorders>
                  <w:noWrap w:val="0"/>
                  <w:vAlign w:val="center"/>
                </w:tcPr>
                <w:p w14:paraId="2533A2E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04" w:type="pct"/>
                  <w:tcBorders>
                    <w:tl2br w:val="nil"/>
                    <w:tr2bl w:val="nil"/>
                  </w:tcBorders>
                  <w:noWrap w:val="0"/>
                  <w:vAlign w:val="center"/>
                </w:tcPr>
                <w:p w14:paraId="3708ADF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488" w:type="pct"/>
                  <w:tcBorders>
                    <w:tl2br w:val="nil"/>
                    <w:tr2bl w:val="nil"/>
                  </w:tcBorders>
                  <w:noWrap w:val="0"/>
                  <w:vAlign w:val="center"/>
                </w:tcPr>
                <w:p w14:paraId="240E93E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38" w:type="pct"/>
                  <w:tcBorders>
                    <w:tl2br w:val="nil"/>
                    <w:tr2bl w:val="nil"/>
                  </w:tcBorders>
                  <w:noWrap w:val="0"/>
                  <w:vAlign w:val="center"/>
                </w:tcPr>
                <w:p w14:paraId="31F5164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31EC7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2909500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390" w:type="pct"/>
                  <w:tcBorders>
                    <w:tl2br w:val="nil"/>
                    <w:tr2bl w:val="nil"/>
                  </w:tcBorders>
                  <w:noWrap w:val="0"/>
                  <w:vAlign w:val="center"/>
                </w:tcPr>
                <w:p w14:paraId="31BDE6D2">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noWrap w:val="0"/>
                  <w:vAlign w:val="center"/>
                </w:tcPr>
                <w:p w14:paraId="1E5C433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2.7967</w:t>
                  </w:r>
                </w:p>
              </w:tc>
              <w:tc>
                <w:tcPr>
                  <w:tcW w:w="814" w:type="pct"/>
                  <w:tcBorders>
                    <w:tl2br w:val="nil"/>
                    <w:tr2bl w:val="nil"/>
                  </w:tcBorders>
                  <w:noWrap w:val="0"/>
                  <w:vAlign w:val="center"/>
                </w:tcPr>
                <w:p w14:paraId="76C92C2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79" w:type="pct"/>
                  <w:tcBorders>
                    <w:tl2br w:val="nil"/>
                    <w:tr2bl w:val="nil"/>
                  </w:tcBorders>
                  <w:noWrap w:val="0"/>
                  <w:vAlign w:val="center"/>
                </w:tcPr>
                <w:p w14:paraId="5BB6DBEA">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604" w:type="pct"/>
                  <w:tcBorders>
                    <w:tl2br w:val="nil"/>
                    <w:tr2bl w:val="nil"/>
                  </w:tcBorders>
                  <w:noWrap w:val="0"/>
                  <w:vAlign w:val="center"/>
                </w:tcPr>
                <w:p w14:paraId="641DB43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88" w:type="pct"/>
                  <w:tcBorders>
                    <w:tl2br w:val="nil"/>
                    <w:tr2bl w:val="nil"/>
                  </w:tcBorders>
                  <w:noWrap w:val="0"/>
                  <w:vAlign w:val="center"/>
                </w:tcPr>
                <w:p w14:paraId="4A299ED7">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38" w:type="pct"/>
                  <w:vMerge w:val="restart"/>
                  <w:tcBorders>
                    <w:tl2br w:val="nil"/>
                    <w:tr2bl w:val="nil"/>
                  </w:tcBorders>
                  <w:noWrap w:val="0"/>
                  <w:vAlign w:val="center"/>
                </w:tcPr>
                <w:p w14:paraId="57D4403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eastAsia="宋体"/>
                      <w:color w:val="auto"/>
                      <w:sz w:val="21"/>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危废暂存间</w:t>
                  </w:r>
                </w:p>
              </w:tc>
            </w:tr>
            <w:tr w14:paraId="7BDAC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tl2br w:val="nil"/>
                    <w:tr2bl w:val="nil"/>
                  </w:tcBorders>
                  <w:noWrap w:val="0"/>
                  <w:vAlign w:val="center"/>
                </w:tcPr>
                <w:p w14:paraId="60FAFA9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90" w:type="pct"/>
                  <w:tcBorders>
                    <w:tl2br w:val="nil"/>
                    <w:tr2bl w:val="nil"/>
                  </w:tcBorders>
                  <w:noWrap w:val="0"/>
                  <w:vAlign w:val="center"/>
                </w:tcPr>
                <w:p w14:paraId="15B8CF8B">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noWrap w:val="0"/>
                  <w:vAlign w:val="center"/>
                </w:tcPr>
                <w:p w14:paraId="00ED970F">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w:t>
                  </w:r>
                  <w:r>
                    <w:rPr>
                      <w:rFonts w:hint="eastAsia" w:eastAsia="宋体" w:cs="Times New Roman"/>
                      <w:b w:val="0"/>
                      <w:bCs/>
                      <w:color w:val="auto"/>
                      <w:sz w:val="21"/>
                      <w:szCs w:val="21"/>
                      <w:highlight w:val="none"/>
                      <w:vertAlign w:val="baseline"/>
                      <w:lang w:val="en-US" w:eastAsia="zh-CN"/>
                    </w:rPr>
                    <w:t>2</w:t>
                  </w:r>
                </w:p>
              </w:tc>
              <w:tc>
                <w:tcPr>
                  <w:tcW w:w="814" w:type="pct"/>
                  <w:tcBorders>
                    <w:tl2br w:val="nil"/>
                    <w:tr2bl w:val="nil"/>
                  </w:tcBorders>
                  <w:noWrap w:val="0"/>
                  <w:vAlign w:val="center"/>
                </w:tcPr>
                <w:p w14:paraId="318257D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0.25</w:t>
                  </w:r>
                </w:p>
              </w:tc>
              <w:tc>
                <w:tcPr>
                  <w:tcW w:w="879" w:type="pct"/>
                  <w:tcBorders>
                    <w:tl2br w:val="nil"/>
                    <w:tr2bl w:val="nil"/>
                  </w:tcBorders>
                  <w:noWrap w:val="0"/>
                  <w:vAlign w:val="center"/>
                </w:tcPr>
                <w:p w14:paraId="73B5244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604" w:type="pct"/>
                  <w:tcBorders>
                    <w:tl2br w:val="nil"/>
                    <w:tr2bl w:val="nil"/>
                  </w:tcBorders>
                  <w:noWrap w:val="0"/>
                  <w:vAlign w:val="center"/>
                </w:tcPr>
                <w:p w14:paraId="57134D19">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488" w:type="pct"/>
                  <w:tcBorders>
                    <w:tl2br w:val="nil"/>
                    <w:tr2bl w:val="nil"/>
                  </w:tcBorders>
                  <w:noWrap w:val="0"/>
                  <w:vAlign w:val="center"/>
                </w:tcPr>
                <w:p w14:paraId="1CCE7AC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38" w:type="pct"/>
                  <w:vMerge w:val="continue"/>
                  <w:tcBorders>
                    <w:tl2br w:val="nil"/>
                    <w:tr2bl w:val="nil"/>
                  </w:tcBorders>
                  <w:noWrap w:val="0"/>
                  <w:vAlign w:val="center"/>
                </w:tcPr>
                <w:p w14:paraId="30DBACF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167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000" w:type="pct"/>
                  <w:gridSpan w:val="8"/>
                  <w:tcBorders>
                    <w:tl2br w:val="nil"/>
                    <w:tr2bl w:val="nil"/>
                  </w:tcBorders>
                  <w:noWrap w:val="0"/>
                  <w:vAlign w:val="center"/>
                </w:tcPr>
                <w:p w14:paraId="7B7A7EA4">
                  <w:pPr>
                    <w:pStyle w:val="41"/>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23A5F68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根据表4.6-1计算可知，项目环境风险物质数量与临界量比值Q=0.0801＜1，根据《建设项目环境风险评价技术导则》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76B6DD7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33" w:name="_Toc26828"/>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33"/>
          </w:p>
          <w:p w14:paraId="70747B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04142AB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93"/>
              <w:gridCol w:w="3376"/>
              <w:gridCol w:w="2194"/>
            </w:tblGrid>
            <w:tr w14:paraId="22FBC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14A9050">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34" w:name="_Toc215736207"/>
                  <w:r>
                    <w:rPr>
                      <w:rFonts w:hint="default" w:ascii="Times New Roman" w:hAnsi="Times New Roman" w:cs="Times New Roman"/>
                      <w:color w:val="auto"/>
                      <w:sz w:val="21"/>
                      <w:szCs w:val="21"/>
                      <w:highlight w:val="none"/>
                      <w:u w:val="none"/>
                    </w:rPr>
                    <w:t>潜在事故</w:t>
                  </w:r>
                </w:p>
                <w:p w14:paraId="52F9146B">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55B8CC3F">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5A6CA3CF">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04C874C6">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0DB27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0B9F54A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31CDD5DE">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43D143F4">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3A65E447">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381A841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29C67C9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787E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03DEC63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1CE18118">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61F4C270">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3D54637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03DD744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0638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637B58B3">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0A3A5C31">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1C966F95">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2CC6564A">
                  <w:pPr>
                    <w:pStyle w:val="61"/>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0D0E1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0FA729FD">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4E5D1133">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38435B4C">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5D4C6236">
                  <w:pPr>
                    <w:pStyle w:val="41"/>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A0F0FA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35" w:name="_Toc29837"/>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35"/>
          </w:p>
          <w:p w14:paraId="56F26E75">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4E7FF260">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291755F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0CBCDE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42571E2C">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56E5041F">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4BA6388E">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6E113530">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1167B16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3C3A98D9">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70DA3EB5">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049698E5">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0A47C3E9">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6651925F">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41524D65">
            <w:pPr>
              <w:pStyle w:val="67"/>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1DEBECA3">
            <w:pPr>
              <w:pStyle w:val="67"/>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34"/>
          </w:p>
          <w:p w14:paraId="55EF2BB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36" w:name="_Toc4336"/>
            <w:r>
              <w:rPr>
                <w:rFonts w:hint="eastAsia" w:ascii="Times New Roman" w:hAnsi="Times New Roman" w:eastAsia="宋体" w:cs="Times New Roman"/>
                <w:color w:val="auto"/>
                <w:sz w:val="28"/>
                <w:szCs w:val="28"/>
                <w:u w:val="none"/>
                <w:lang w:val="en-US" w:eastAsia="zh-CN"/>
              </w:rPr>
              <w:t>4.7自行监测计划</w:t>
            </w:r>
            <w:bookmarkEnd w:id="136"/>
          </w:p>
          <w:p w14:paraId="76268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本评价根据《排污单位自行监测技术指南 总则》（HJ819-2017）、《排污许可证申请与核发技术规范 橡胶和塑料制品工业》（HJ1122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2020）的要求，提出项目运营期自行监测计划，具体详见表4.</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-1。</w:t>
            </w:r>
          </w:p>
          <w:p w14:paraId="14264BA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 本项目自行监测计划</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20"/>
              <w:gridCol w:w="3280"/>
              <w:gridCol w:w="1772"/>
              <w:gridCol w:w="1110"/>
              <w:gridCol w:w="1077"/>
            </w:tblGrid>
            <w:tr w14:paraId="398E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87" w:type="pct"/>
                  <w:gridSpan w:val="2"/>
                  <w:tcBorders>
                    <w:tl2br w:val="nil"/>
                    <w:tr2bl w:val="nil"/>
                  </w:tcBorders>
                  <w:noWrap w:val="0"/>
                  <w:vAlign w:val="center"/>
                </w:tcPr>
                <w:p w14:paraId="575AE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908" w:type="pct"/>
                  <w:tcBorders>
                    <w:tl2br w:val="nil"/>
                    <w:tr2bl w:val="nil"/>
                  </w:tcBorders>
                  <w:noWrap w:val="0"/>
                  <w:vAlign w:val="center"/>
                </w:tcPr>
                <w:p w14:paraId="7E2EF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031" w:type="pct"/>
                  <w:tcBorders>
                    <w:tl2br w:val="nil"/>
                    <w:tr2bl w:val="nil"/>
                  </w:tcBorders>
                  <w:noWrap w:val="0"/>
                  <w:vAlign w:val="center"/>
                </w:tcPr>
                <w:p w14:paraId="4E871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6" w:type="pct"/>
                  <w:tcBorders>
                    <w:tl2br w:val="nil"/>
                    <w:tr2bl w:val="nil"/>
                  </w:tcBorders>
                  <w:noWrap w:val="0"/>
                  <w:vAlign w:val="center"/>
                </w:tcPr>
                <w:p w14:paraId="3816F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5" w:type="pct"/>
                  <w:tcBorders>
                    <w:tl2br w:val="nil"/>
                    <w:tr2bl w:val="nil"/>
                  </w:tcBorders>
                  <w:noWrap w:val="0"/>
                  <w:vAlign w:val="center"/>
                </w:tcPr>
                <w:p w14:paraId="689A7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7391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restart"/>
                  <w:tcBorders>
                    <w:tl2br w:val="nil"/>
                    <w:tr2bl w:val="nil"/>
                  </w:tcBorders>
                  <w:noWrap w:val="0"/>
                  <w:vAlign w:val="center"/>
                </w:tcPr>
                <w:p w14:paraId="1F13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77" w:type="pct"/>
                  <w:vMerge w:val="restart"/>
                  <w:tcBorders>
                    <w:tl2br w:val="nil"/>
                    <w:tr2bl w:val="nil"/>
                  </w:tcBorders>
                  <w:noWrap w:val="0"/>
                  <w:vAlign w:val="center"/>
                </w:tcPr>
                <w:p w14:paraId="24EB0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908" w:type="pct"/>
                  <w:tcBorders>
                    <w:tl2br w:val="nil"/>
                    <w:tr2bl w:val="nil"/>
                  </w:tcBorders>
                  <w:noWrap w:val="0"/>
                  <w:vAlign w:val="center"/>
                </w:tcPr>
                <w:p w14:paraId="0FC41B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173E8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6" w:type="pct"/>
                  <w:tcBorders>
                    <w:tl2br w:val="nil"/>
                    <w:tr2bl w:val="nil"/>
                  </w:tcBorders>
                  <w:noWrap w:val="0"/>
                  <w:vAlign w:val="center"/>
                </w:tcPr>
                <w:p w14:paraId="3EBBD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restart"/>
                  <w:tcBorders>
                    <w:tl2br w:val="nil"/>
                    <w:tr2bl w:val="nil"/>
                  </w:tcBorders>
                  <w:noWrap w:val="0"/>
                  <w:vAlign w:val="center"/>
                </w:tcPr>
                <w:p w14:paraId="02A073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BA03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B60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ECD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vMerge w:val="continue"/>
                  <w:tcBorders>
                    <w:tl2br w:val="nil"/>
                    <w:tr2bl w:val="nil"/>
                  </w:tcBorders>
                  <w:noWrap w:val="0"/>
                  <w:vAlign w:val="center"/>
                </w:tcPr>
                <w:p w14:paraId="5F507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8" w:type="pct"/>
                  <w:tcBorders>
                    <w:tl2br w:val="nil"/>
                    <w:tr2bl w:val="nil"/>
                  </w:tcBorders>
                  <w:noWrap w:val="0"/>
                  <w:vAlign w:val="center"/>
                </w:tcPr>
                <w:p w14:paraId="4815B6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个监控点</w:t>
                  </w:r>
                </w:p>
              </w:tc>
              <w:tc>
                <w:tcPr>
                  <w:tcW w:w="1031" w:type="pct"/>
                  <w:tcBorders>
                    <w:tl2br w:val="nil"/>
                    <w:tr2bl w:val="nil"/>
                  </w:tcBorders>
                  <w:noWrap w:val="0"/>
                  <w:vAlign w:val="center"/>
                </w:tcPr>
                <w:p w14:paraId="3350E8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r>
                    <w:rPr>
                      <w:rFonts w:hint="eastAsia" w:cs="Times New Roman"/>
                      <w:color w:val="auto"/>
                      <w:kern w:val="0"/>
                      <w:sz w:val="21"/>
                      <w:szCs w:val="21"/>
                      <w:lang w:val="en-US" w:eastAsia="zh-CN" w:bidi="ar"/>
                    </w:rPr>
                    <w:t>、甲苯、</w:t>
                  </w:r>
                  <w:r>
                    <w:rPr>
                      <w:rFonts w:hint="default" w:ascii="Times New Roman" w:hAnsi="Times New Roman" w:eastAsia="宋体" w:cs="Times New Roman"/>
                      <w:color w:val="auto"/>
                      <w:kern w:val="0"/>
                      <w:sz w:val="21"/>
                      <w:szCs w:val="21"/>
                      <w:lang w:val="en-US" w:eastAsia="zh-CN" w:bidi="ar"/>
                    </w:rPr>
                    <w:t>颗粒物、臭气浓度</w:t>
                  </w:r>
                </w:p>
              </w:tc>
              <w:tc>
                <w:tcPr>
                  <w:tcW w:w="646" w:type="pct"/>
                  <w:tcBorders>
                    <w:tl2br w:val="nil"/>
                    <w:tr2bl w:val="nil"/>
                  </w:tcBorders>
                  <w:noWrap w:val="0"/>
                  <w:vAlign w:val="center"/>
                </w:tcPr>
                <w:p w14:paraId="00D72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5" w:type="pct"/>
                  <w:vMerge w:val="continue"/>
                  <w:tcBorders>
                    <w:tl2br w:val="nil"/>
                    <w:tr2bl w:val="nil"/>
                  </w:tcBorders>
                  <w:noWrap w:val="0"/>
                  <w:vAlign w:val="center"/>
                </w:tcPr>
                <w:p w14:paraId="66DD1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FCA8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2F83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tcBorders>
                    <w:tl2br w:val="nil"/>
                    <w:tr2bl w:val="nil"/>
                  </w:tcBorders>
                  <w:noWrap w:val="0"/>
                  <w:vAlign w:val="center"/>
                </w:tcPr>
                <w:p w14:paraId="3D9F6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908" w:type="pct"/>
                  <w:tcBorders>
                    <w:tl2br w:val="nil"/>
                    <w:tr2bl w:val="nil"/>
                  </w:tcBorders>
                  <w:noWrap w:val="0"/>
                  <w:vAlign w:val="center"/>
                </w:tcPr>
                <w:p w14:paraId="1C00D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排气筒DA001</w:t>
                  </w:r>
                </w:p>
              </w:tc>
              <w:tc>
                <w:tcPr>
                  <w:tcW w:w="1031" w:type="pct"/>
                  <w:tcBorders>
                    <w:tl2br w:val="nil"/>
                    <w:tr2bl w:val="nil"/>
                  </w:tcBorders>
                  <w:noWrap w:val="0"/>
                  <w:vAlign w:val="center"/>
                </w:tcPr>
                <w:p w14:paraId="726E9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r>
                    <w:rPr>
                      <w:rFonts w:hint="eastAsia" w:cs="Times New Roman"/>
                      <w:b w:val="0"/>
                      <w:bCs/>
                      <w:color w:val="auto"/>
                      <w:sz w:val="21"/>
                      <w:szCs w:val="21"/>
                      <w:vertAlign w:val="baseline"/>
                      <w:lang w:val="en-US" w:eastAsia="zh-CN"/>
                    </w:rPr>
                    <w:t>颗粒物、苯乙烯、丙烯腈、</w:t>
                  </w:r>
                  <w:r>
                    <w:rPr>
                      <w:rFonts w:hint="default" w:ascii="Times New Roman" w:hAnsi="Times New Roman" w:eastAsia="宋体" w:cs="Times New Roman"/>
                      <w:b w:val="0"/>
                      <w:bCs/>
                      <w:color w:val="auto"/>
                      <w:sz w:val="21"/>
                      <w:szCs w:val="21"/>
                      <w:vertAlign w:val="baseline"/>
                      <w:lang w:val="en-US" w:eastAsia="zh-CN"/>
                    </w:rPr>
                    <w:t>臭气浓度</w:t>
                  </w:r>
                </w:p>
              </w:tc>
              <w:tc>
                <w:tcPr>
                  <w:tcW w:w="646" w:type="pct"/>
                  <w:tcBorders>
                    <w:tl2br w:val="nil"/>
                    <w:tr2bl w:val="nil"/>
                  </w:tcBorders>
                  <w:noWrap w:val="0"/>
                  <w:vAlign w:val="center"/>
                </w:tcPr>
                <w:p w14:paraId="3DAA2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5" w:type="pct"/>
                  <w:vMerge w:val="continue"/>
                  <w:tcBorders>
                    <w:tl2br w:val="nil"/>
                    <w:tr2bl w:val="nil"/>
                  </w:tcBorders>
                  <w:noWrap w:val="0"/>
                  <w:vAlign w:val="center"/>
                </w:tcPr>
                <w:p w14:paraId="50214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BDB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0F511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212" w:type="pct"/>
                  <w:gridSpan w:val="4"/>
                  <w:tcBorders>
                    <w:tl2br w:val="nil"/>
                    <w:tr2bl w:val="nil"/>
                  </w:tcBorders>
                  <w:noWrap w:val="0"/>
                  <w:vAlign w:val="center"/>
                </w:tcPr>
                <w:p w14:paraId="1B374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总则》（HJ819-2017）、《排污许可证申请与核发技术规范 橡胶和塑料制品工业》（HJ1122—2020），间接排放的生活污水单独排放口无自行监测要求。因此，本评价不对生活污水提出自行监测要求。</w:t>
                  </w:r>
                </w:p>
              </w:tc>
            </w:tr>
            <w:tr w14:paraId="14E55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7A7F0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08" w:type="pct"/>
                  <w:tcBorders>
                    <w:tl2br w:val="nil"/>
                    <w:tr2bl w:val="nil"/>
                  </w:tcBorders>
                  <w:noWrap w:val="0"/>
                  <w:vAlign w:val="center"/>
                </w:tcPr>
                <w:p w14:paraId="2EF55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031" w:type="pct"/>
                  <w:tcBorders>
                    <w:tl2br w:val="nil"/>
                    <w:tr2bl w:val="nil"/>
                  </w:tcBorders>
                  <w:noWrap w:val="0"/>
                  <w:vAlign w:val="center"/>
                </w:tcPr>
                <w:p w14:paraId="54BF9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6" w:type="pct"/>
                  <w:tcBorders>
                    <w:tl2br w:val="nil"/>
                    <w:tr2bl w:val="nil"/>
                  </w:tcBorders>
                  <w:noWrap w:val="0"/>
                  <w:vAlign w:val="center"/>
                </w:tcPr>
                <w:p w14:paraId="5DEE2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5" w:type="pct"/>
                  <w:tcBorders>
                    <w:tl2br w:val="nil"/>
                    <w:tr2bl w:val="nil"/>
                  </w:tcBorders>
                  <w:noWrap w:val="0"/>
                  <w:vAlign w:val="center"/>
                </w:tcPr>
                <w:p w14:paraId="149792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bl>
          <w:p w14:paraId="219126E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37" w:name="_Toc7744"/>
            <w:bookmarkStart w:id="138" w:name="_Toc12062"/>
            <w:bookmarkStart w:id="139" w:name="_Toc11633"/>
            <w:bookmarkStart w:id="140" w:name="_Toc25365"/>
            <w:bookmarkStart w:id="141" w:name="_Toc26125"/>
            <w:bookmarkStart w:id="142" w:name="_Toc30083"/>
            <w:r>
              <w:rPr>
                <w:rFonts w:hint="eastAsia" w:ascii="Times New Roman" w:hAnsi="Times New Roman" w:eastAsia="宋体" w:cs="Times New Roman"/>
                <w:color w:val="auto"/>
                <w:sz w:val="28"/>
                <w:szCs w:val="28"/>
                <w:u w:val="none"/>
                <w:lang w:val="en-US" w:eastAsia="zh-CN"/>
              </w:rPr>
              <w:t>4.8环保投资估算</w:t>
            </w:r>
            <w:bookmarkEnd w:id="137"/>
            <w:bookmarkEnd w:id="138"/>
            <w:bookmarkEnd w:id="139"/>
            <w:bookmarkEnd w:id="140"/>
            <w:bookmarkEnd w:id="141"/>
            <w:bookmarkEnd w:id="142"/>
          </w:p>
          <w:p w14:paraId="79369063">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692E0ED7">
            <w:pPr>
              <w:pStyle w:val="68"/>
              <w:bidi w:val="0"/>
              <w:rPr>
                <w:rFonts w:hint="default"/>
                <w:color w:val="000000"/>
                <w:lang w:val="en-US" w:eastAsia="zh-CN"/>
              </w:rPr>
            </w:pPr>
            <w:r>
              <w:rPr>
                <w:rFonts w:hint="eastAsia"/>
                <w:color w:val="000000"/>
                <w:lang w:val="en-US" w:eastAsia="zh-CN"/>
              </w:rPr>
              <w:t>表4.9-1环保投资估算</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06"/>
              <w:gridCol w:w="5516"/>
              <w:gridCol w:w="1473"/>
            </w:tblGrid>
            <w:tr w14:paraId="6BB29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81669CF">
                  <w:pPr>
                    <w:pStyle w:val="51"/>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0568A64A">
                  <w:pPr>
                    <w:pStyle w:val="51"/>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732ADA07">
                  <w:pPr>
                    <w:pStyle w:val="51"/>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2940D05D">
                  <w:pPr>
                    <w:pStyle w:val="51"/>
                    <w:bidi w:val="0"/>
                    <w:rPr>
                      <w:rFonts w:hint="default"/>
                      <w:color w:val="000000"/>
                      <w:lang w:val="en-US" w:eastAsia="zh-CN"/>
                    </w:rPr>
                  </w:pPr>
                  <w:r>
                    <w:rPr>
                      <w:rFonts w:hint="eastAsia"/>
                      <w:color w:val="000000"/>
                      <w:lang w:val="en-US" w:eastAsia="zh-CN"/>
                    </w:rPr>
                    <w:t>投资</w:t>
                  </w:r>
                </w:p>
              </w:tc>
            </w:tr>
            <w:tr w14:paraId="5151C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12E8EE6B">
                  <w:pPr>
                    <w:pStyle w:val="51"/>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198D69F6">
                  <w:pPr>
                    <w:pStyle w:val="51"/>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534AC97F">
                  <w:pPr>
                    <w:pStyle w:val="51"/>
                    <w:bidi w:val="0"/>
                    <w:rPr>
                      <w:rFonts w:hint="default"/>
                      <w:color w:val="auto"/>
                      <w:lang w:val="en-US" w:eastAsia="zh-CN"/>
                    </w:rPr>
                  </w:pPr>
                  <w:r>
                    <w:rPr>
                      <w:rFonts w:hint="eastAsia" w:ascii="Times New Roman" w:hAnsi="Times New Roman" w:cs="Times New Roman"/>
                      <w:bCs/>
                      <w:color w:val="auto"/>
                      <w:sz w:val="21"/>
                      <w:szCs w:val="21"/>
                      <w:lang w:val="en-US" w:eastAsia="zh-CN"/>
                    </w:rPr>
                    <w:t>冷却水循环使用不外排，生活污水</w:t>
                  </w:r>
                  <w:r>
                    <w:rPr>
                      <w:rFonts w:hint="default" w:ascii="Times New Roman" w:hAnsi="Times New Roman" w:eastAsia="宋体" w:cs="Times New Roman"/>
                      <w:bCs/>
                      <w:color w:val="auto"/>
                      <w:sz w:val="21"/>
                      <w:szCs w:val="21"/>
                    </w:rPr>
                    <w:t>经化粪池预处理后接入市政污水管网排入福清市融元污水处理厂集中处理</w:t>
                  </w:r>
                </w:p>
              </w:tc>
              <w:tc>
                <w:tcPr>
                  <w:tcW w:w="857" w:type="pct"/>
                  <w:tcBorders>
                    <w:tl2br w:val="nil"/>
                    <w:tr2bl w:val="nil"/>
                  </w:tcBorders>
                  <w:noWrap w:val="0"/>
                  <w:vAlign w:val="center"/>
                </w:tcPr>
                <w:p w14:paraId="513598BA">
                  <w:pPr>
                    <w:pStyle w:val="51"/>
                    <w:bidi w:val="0"/>
                    <w:rPr>
                      <w:rFonts w:hint="default"/>
                      <w:color w:val="000000"/>
                      <w:lang w:val="en-US" w:eastAsia="zh-CN"/>
                    </w:rPr>
                  </w:pPr>
                  <w:r>
                    <w:rPr>
                      <w:rFonts w:hint="eastAsia"/>
                      <w:color w:val="000000"/>
                      <w:lang w:val="en-US" w:eastAsia="zh-CN"/>
                    </w:rPr>
                    <w:t>冷却塔投资4万元；化粪池依托现有，0万元</w:t>
                  </w:r>
                </w:p>
              </w:tc>
            </w:tr>
            <w:tr w14:paraId="7E8A5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6" w:type="pct"/>
                  <w:tcBorders>
                    <w:tl2br w:val="nil"/>
                    <w:tr2bl w:val="nil"/>
                  </w:tcBorders>
                  <w:noWrap w:val="0"/>
                  <w:vAlign w:val="center"/>
                </w:tcPr>
                <w:p w14:paraId="47CF09B6">
                  <w:pPr>
                    <w:pStyle w:val="51"/>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4386A28B">
                  <w:pPr>
                    <w:pStyle w:val="51"/>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C47F076">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项目</w:t>
                  </w:r>
                  <w:r>
                    <w:rPr>
                      <w:rFonts w:hint="eastAsia" w:cs="Times New Roman"/>
                      <w:color w:val="auto"/>
                      <w:sz w:val="21"/>
                      <w:szCs w:val="21"/>
                      <w:highlight w:val="none"/>
                      <w:vertAlign w:val="baseline"/>
                      <w:lang w:val="en-US" w:eastAsia="zh-CN"/>
                    </w:rPr>
                    <w:t>注塑、脱模产生的生产</w:t>
                  </w:r>
                  <w:r>
                    <w:rPr>
                      <w:rFonts w:hint="eastAsia" w:ascii="Times New Roman" w:hAnsi="Times New Roman" w:eastAsia="宋体" w:cs="Times New Roman"/>
                      <w:color w:val="auto"/>
                      <w:sz w:val="21"/>
                      <w:szCs w:val="21"/>
                      <w:highlight w:val="none"/>
                      <w:vertAlign w:val="baseline"/>
                      <w:lang w:val="en-US" w:eastAsia="zh-CN"/>
                    </w:rPr>
                    <w:t>废气通过集气罩收集后由一套“活性炭吸附装置”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r>
                    <w:rPr>
                      <w:rFonts w:hint="eastAsia" w:cs="Times New Roman"/>
                      <w:color w:val="auto"/>
                      <w:sz w:val="21"/>
                      <w:szCs w:val="21"/>
                      <w:highlight w:val="none"/>
                      <w:vertAlign w:val="baseline"/>
                      <w:lang w:val="en-US" w:eastAsia="zh-CN"/>
                    </w:rPr>
                    <w:t>。不合格产品破碎粉尘经布袋处理器处理后与生产废气合并由1根15m高排气筒（DA001）排放。</w:t>
                  </w:r>
                </w:p>
              </w:tc>
              <w:tc>
                <w:tcPr>
                  <w:tcW w:w="857" w:type="pct"/>
                  <w:tcBorders>
                    <w:tl2br w:val="nil"/>
                    <w:tr2bl w:val="nil"/>
                  </w:tcBorders>
                  <w:noWrap w:val="0"/>
                  <w:vAlign w:val="center"/>
                </w:tcPr>
                <w:p w14:paraId="49D6D728">
                  <w:pPr>
                    <w:pStyle w:val="51"/>
                    <w:bidi w:val="0"/>
                    <w:rPr>
                      <w:rFonts w:hint="default"/>
                      <w:color w:val="000000"/>
                      <w:lang w:val="en-US" w:eastAsia="zh-CN"/>
                    </w:rPr>
                  </w:pPr>
                  <w:r>
                    <w:rPr>
                      <w:rFonts w:hint="eastAsia"/>
                      <w:color w:val="000000"/>
                      <w:lang w:val="en-US" w:eastAsia="zh-CN"/>
                    </w:rPr>
                    <w:t>8万元</w:t>
                  </w:r>
                </w:p>
              </w:tc>
            </w:tr>
            <w:tr w14:paraId="4AB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4A880A5C">
                  <w:pPr>
                    <w:pStyle w:val="51"/>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CDCF599">
                  <w:pPr>
                    <w:pStyle w:val="51"/>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40A1F659">
                  <w:pPr>
                    <w:pStyle w:val="51"/>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2472EE8F">
                  <w:pPr>
                    <w:pStyle w:val="51"/>
                    <w:bidi w:val="0"/>
                    <w:rPr>
                      <w:rFonts w:hint="default"/>
                      <w:color w:val="000000"/>
                      <w:lang w:val="en-US" w:eastAsia="zh-CN"/>
                    </w:rPr>
                  </w:pPr>
                  <w:r>
                    <w:rPr>
                      <w:rFonts w:hint="eastAsia"/>
                      <w:color w:val="000000"/>
                      <w:lang w:val="en-US" w:eastAsia="zh-CN"/>
                    </w:rPr>
                    <w:t>2万元</w:t>
                  </w:r>
                </w:p>
              </w:tc>
            </w:tr>
            <w:tr w14:paraId="68F8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2EFFFD52">
                  <w:pPr>
                    <w:pStyle w:val="51"/>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3A32BC4B">
                  <w:pPr>
                    <w:pStyle w:val="51"/>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40BB6C85">
                  <w:pPr>
                    <w:pStyle w:val="51"/>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5D2DC293">
                  <w:pPr>
                    <w:pStyle w:val="51"/>
                    <w:bidi w:val="0"/>
                    <w:rPr>
                      <w:rFonts w:hint="default"/>
                      <w:color w:val="000000"/>
                      <w:lang w:val="en-US" w:eastAsia="zh-CN"/>
                    </w:rPr>
                  </w:pPr>
                  <w:r>
                    <w:rPr>
                      <w:rFonts w:hint="eastAsia"/>
                      <w:color w:val="000000"/>
                      <w:lang w:val="en-US" w:eastAsia="zh-CN"/>
                    </w:rPr>
                    <w:t>1万元</w:t>
                  </w:r>
                </w:p>
              </w:tc>
            </w:tr>
            <w:tr w14:paraId="6D44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2D131CB0">
                  <w:pPr>
                    <w:pStyle w:val="51"/>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6A442A08">
                  <w:pPr>
                    <w:pStyle w:val="51"/>
                    <w:bidi w:val="0"/>
                    <w:rPr>
                      <w:rFonts w:hint="default"/>
                      <w:color w:val="000000"/>
                      <w:lang w:val="en-US" w:eastAsia="zh-CN"/>
                    </w:rPr>
                  </w:pPr>
                  <w:r>
                    <w:rPr>
                      <w:rFonts w:hint="eastAsia"/>
                      <w:color w:val="000000"/>
                      <w:lang w:val="en-US" w:eastAsia="zh-CN"/>
                    </w:rPr>
                    <w:t>15万元</w:t>
                  </w:r>
                </w:p>
              </w:tc>
            </w:tr>
          </w:tbl>
          <w:p w14:paraId="5C46BAB4">
            <w:pPr>
              <w:pStyle w:val="3"/>
              <w:rPr>
                <w:rFonts w:hint="default"/>
                <w:lang w:val="en-US" w:eastAsia="zh-CN"/>
              </w:rPr>
            </w:pPr>
          </w:p>
        </w:tc>
      </w:tr>
    </w:tbl>
    <w:p w14:paraId="04038DAC">
      <w:pPr>
        <w:pStyle w:val="72"/>
        <w:rPr>
          <w:color w:val="auto"/>
          <w:highlight w:val="none"/>
        </w:rPr>
      </w:pPr>
      <w:bookmarkStart w:id="143" w:name="_Toc27194"/>
      <w:bookmarkStart w:id="144" w:name="_Toc25037"/>
      <w:bookmarkStart w:id="145" w:name="_Toc12951"/>
      <w:bookmarkStart w:id="146" w:name="_Toc28426"/>
      <w:bookmarkStart w:id="147" w:name="_Toc28805"/>
      <w:bookmarkStart w:id="148" w:name="_Toc1654"/>
      <w:bookmarkStart w:id="149" w:name="_Toc31345"/>
      <w:bookmarkStart w:id="150" w:name="_Toc9430"/>
      <w:r>
        <w:rPr>
          <w:color w:val="auto"/>
          <w:highlight w:val="none"/>
        </w:rPr>
        <w:t>五、</w:t>
      </w:r>
      <w:bookmarkStart w:id="151" w:name="_Hlk54167917"/>
      <w:r>
        <w:rPr>
          <w:color w:val="auto"/>
          <w:highlight w:val="none"/>
        </w:rPr>
        <w:t>环境保护措施监督检查清单</w:t>
      </w:r>
      <w:bookmarkEnd w:id="143"/>
      <w:bookmarkEnd w:id="144"/>
      <w:bookmarkEnd w:id="145"/>
      <w:bookmarkEnd w:id="146"/>
      <w:bookmarkEnd w:id="147"/>
      <w:bookmarkEnd w:id="148"/>
      <w:bookmarkEnd w:id="149"/>
      <w:bookmarkEnd w:id="150"/>
      <w:bookmarkEnd w:id="151"/>
    </w:p>
    <w:tbl>
      <w:tblPr>
        <w:tblStyle w:val="22"/>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6"/>
        <w:gridCol w:w="332"/>
        <w:gridCol w:w="1325"/>
        <w:gridCol w:w="1075"/>
        <w:gridCol w:w="2288"/>
        <w:gridCol w:w="3732"/>
      </w:tblGrid>
      <w:tr w14:paraId="17803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68" w:type="dxa"/>
            <w:gridSpan w:val="2"/>
            <w:tcBorders>
              <w:tl2br w:val="single" w:color="auto" w:sz="4" w:space="0"/>
            </w:tcBorders>
            <w:noWrap w:val="0"/>
            <w:vAlign w:val="top"/>
          </w:tcPr>
          <w:p w14:paraId="0757F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7D811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7113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325" w:type="dxa"/>
            <w:noWrap w:val="0"/>
            <w:vAlign w:val="center"/>
          </w:tcPr>
          <w:p w14:paraId="7C3D6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075" w:type="dxa"/>
            <w:noWrap w:val="0"/>
            <w:vAlign w:val="center"/>
          </w:tcPr>
          <w:p w14:paraId="02F91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288" w:type="dxa"/>
            <w:noWrap w:val="0"/>
            <w:vAlign w:val="center"/>
          </w:tcPr>
          <w:p w14:paraId="061BB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732" w:type="dxa"/>
            <w:noWrap w:val="0"/>
            <w:vAlign w:val="center"/>
          </w:tcPr>
          <w:p w14:paraId="1DC58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52C1E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868" w:type="dxa"/>
            <w:gridSpan w:val="2"/>
            <w:vMerge w:val="restart"/>
            <w:noWrap w:val="0"/>
            <w:vAlign w:val="center"/>
          </w:tcPr>
          <w:p w14:paraId="5D01D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w:t>
            </w:r>
          </w:p>
          <w:p w14:paraId="7867A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25" w:type="dxa"/>
            <w:vMerge w:val="restart"/>
            <w:noWrap w:val="0"/>
            <w:vAlign w:val="center"/>
          </w:tcPr>
          <w:p w14:paraId="3350E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排气筒（DA001）</w:t>
            </w:r>
            <w:r>
              <w:rPr>
                <w:rFonts w:hint="eastAsia" w:cs="Times New Roman"/>
                <w:color w:val="auto"/>
                <w:kern w:val="2"/>
                <w:sz w:val="21"/>
                <w:szCs w:val="21"/>
                <w:highlight w:val="none"/>
                <w:lang w:val="en-US" w:eastAsia="zh-CN" w:bidi="ar-SA"/>
              </w:rPr>
              <w:t>（注塑、脱模、破碎）</w:t>
            </w:r>
          </w:p>
        </w:tc>
        <w:tc>
          <w:tcPr>
            <w:tcW w:w="1075" w:type="dxa"/>
            <w:noWrap w:val="0"/>
            <w:vAlign w:val="center"/>
          </w:tcPr>
          <w:p w14:paraId="0B5B2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非甲烷总烃、</w:t>
            </w:r>
            <w:r>
              <w:rPr>
                <w:rFonts w:hint="eastAsia" w:cs="Times New Roman"/>
                <w:color w:val="auto"/>
                <w:spacing w:val="0"/>
                <w:kern w:val="21"/>
                <w:sz w:val="21"/>
                <w:szCs w:val="21"/>
                <w:highlight w:val="none"/>
                <w:lang w:val="en-US" w:eastAsia="zh-CN"/>
              </w:rPr>
              <w:t>苯乙烯、丙烯腈、1,3-丁二烯、甲苯、乙苯、</w:t>
            </w:r>
            <w:r>
              <w:rPr>
                <w:rFonts w:hint="default" w:ascii="Times New Roman" w:hAnsi="Times New Roman" w:eastAsia="宋体" w:cs="Times New Roman"/>
                <w:color w:val="auto"/>
                <w:spacing w:val="0"/>
                <w:kern w:val="21"/>
                <w:sz w:val="21"/>
                <w:szCs w:val="21"/>
                <w:highlight w:val="none"/>
                <w:lang w:val="en-US" w:eastAsia="zh-CN"/>
              </w:rPr>
              <w:t>臭气</w:t>
            </w:r>
          </w:p>
        </w:tc>
        <w:tc>
          <w:tcPr>
            <w:tcW w:w="2288" w:type="dxa"/>
            <w:noWrap w:val="0"/>
            <w:vAlign w:val="center"/>
          </w:tcPr>
          <w:p w14:paraId="54C76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注塑、脱模废气经</w:t>
            </w: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w:t>
            </w:r>
            <w:r>
              <w:rPr>
                <w:rFonts w:hint="eastAsia" w:eastAsia="宋体" w:cs="Times New Roman"/>
                <w:color w:val="auto"/>
                <w:sz w:val="21"/>
                <w:szCs w:val="21"/>
                <w:highlight w:val="none"/>
                <w:lang w:val="en-US" w:eastAsia="zh-CN"/>
              </w:rPr>
              <w:t>（TA001）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732" w:type="dxa"/>
            <w:noWrap w:val="0"/>
            <w:vAlign w:val="center"/>
          </w:tcPr>
          <w:p w14:paraId="2A9C0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w:t>
            </w:r>
            <w:r>
              <w:rPr>
                <w:rFonts w:hint="eastAsia" w:cs="Times New Roman"/>
                <w:color w:val="auto"/>
                <w:spacing w:val="0"/>
                <w:kern w:val="21"/>
                <w:sz w:val="21"/>
                <w:szCs w:val="21"/>
                <w:highlight w:val="none"/>
                <w:lang w:val="en-US" w:eastAsia="zh-CN"/>
              </w:rPr>
              <w:t>苯乙烯、丙烯腈、1,3-丁二烯、甲苯、乙苯</w:t>
            </w:r>
            <w:r>
              <w:rPr>
                <w:rFonts w:hint="eastAsia" w:ascii="Times New Roman" w:hAnsi="Times New Roman" w:eastAsia="宋体" w:cs="Times New Roman"/>
                <w:color w:val="auto"/>
                <w:spacing w:val="0"/>
                <w:sz w:val="21"/>
                <w:szCs w:val="21"/>
                <w:highlight w:val="none"/>
                <w:lang w:val="en-US" w:eastAsia="zh-CN"/>
              </w:rPr>
              <w:t>有组织排放执行</w:t>
            </w:r>
            <w:r>
              <w:rPr>
                <w:rFonts w:hint="eastAsia" w:ascii="Times New Roman" w:hAnsi="Times New Roman" w:eastAsia="宋体" w:cs="Times New Roman"/>
                <w:color w:val="auto"/>
                <w:kern w:val="18"/>
                <w:highlight w:val="none"/>
                <w:lang w:val="en-US" w:eastAsia="zh-CN"/>
              </w:rPr>
              <w:t>《合成树脂工业污染物排放标准》（GB31572-2015）中表</w:t>
            </w:r>
            <w:r>
              <w:rPr>
                <w:rFonts w:hint="eastAsia" w:eastAsia="宋体" w:cs="Times New Roman"/>
                <w:color w:val="auto"/>
                <w:kern w:val="18"/>
                <w:highlight w:val="none"/>
                <w:lang w:val="en-US" w:eastAsia="zh-CN"/>
              </w:rPr>
              <w:t>5</w:t>
            </w:r>
            <w:r>
              <w:rPr>
                <w:rFonts w:hint="eastAsia" w:cs="Times New Roman"/>
                <w:color w:val="auto"/>
                <w:kern w:val="18"/>
                <w:highlight w:val="none"/>
                <w:lang w:val="en-US" w:eastAsia="zh-CN"/>
              </w:rPr>
              <w:t>及修改清单</w:t>
            </w:r>
            <w:r>
              <w:rPr>
                <w:rFonts w:hint="eastAsia" w:ascii="Times New Roman" w:hAnsi="Times New Roman" w:eastAsia="宋体" w:cs="Times New Roman"/>
                <w:color w:val="auto"/>
                <w:kern w:val="18"/>
                <w:highlight w:val="none"/>
                <w:lang w:val="en-US" w:eastAsia="zh-CN"/>
              </w:rPr>
              <w:t>大气污染物排放限值；臭气浓度有组织排放执行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即非甲烷总烃</w:t>
            </w:r>
            <w:r>
              <w:rPr>
                <w:rFonts w:hint="eastAsia" w:cs="Times New Roman"/>
                <w:color w:val="auto"/>
                <w:szCs w:val="21"/>
                <w:highlight w:val="none"/>
                <w:lang w:eastAsia="zh-CN"/>
              </w:rPr>
              <w:t>≤</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苯乙烯</w:t>
            </w:r>
            <w:r>
              <w:rPr>
                <w:rFonts w:hint="eastAsia" w:cs="Times New Roman"/>
                <w:color w:val="auto"/>
                <w:szCs w:val="21"/>
                <w:highlight w:val="none"/>
                <w:lang w:eastAsia="zh-CN"/>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丙烯腈</w:t>
            </w:r>
            <w:r>
              <w:rPr>
                <w:rFonts w:hint="eastAsia" w:cs="Times New Roman"/>
                <w:color w:val="auto"/>
                <w:szCs w:val="21"/>
                <w:highlight w:val="none"/>
                <w:lang w:eastAsia="zh-CN"/>
              </w:rPr>
              <w:t>≤</w:t>
            </w:r>
            <w:r>
              <w:rPr>
                <w:rFonts w:hint="eastAsia" w:cs="Times New Roman"/>
                <w:color w:val="auto"/>
                <w:szCs w:val="21"/>
                <w:highlight w:val="none"/>
                <w:lang w:val="en-US" w:eastAsia="zh-CN"/>
              </w:rPr>
              <w:t>0.5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1,3-丁二烯</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甲苯</w:t>
            </w:r>
            <w:r>
              <w:rPr>
                <w:rFonts w:hint="eastAsia" w:cs="Times New Roman"/>
                <w:color w:val="auto"/>
                <w:szCs w:val="21"/>
                <w:highlight w:val="none"/>
                <w:lang w:eastAsia="zh-CN"/>
              </w:rPr>
              <w:t>≤</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eastAsia="zh-CN"/>
              </w:rPr>
              <w:t>乙苯</w:t>
            </w:r>
            <w:r>
              <w:rPr>
                <w:rFonts w:hint="eastAsia" w:cs="Times New Roman"/>
                <w:color w:val="auto"/>
                <w:szCs w:val="21"/>
                <w:highlight w:val="none"/>
                <w:lang w:eastAsia="zh-CN"/>
              </w:rPr>
              <w:t>≤</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2000（无量纲））</w:t>
            </w:r>
          </w:p>
        </w:tc>
      </w:tr>
      <w:tr w14:paraId="213A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68" w:type="dxa"/>
            <w:gridSpan w:val="2"/>
            <w:vMerge w:val="continue"/>
            <w:noWrap w:val="0"/>
            <w:vAlign w:val="center"/>
          </w:tcPr>
          <w:p w14:paraId="4AF35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5" w:type="dxa"/>
            <w:vMerge w:val="continue"/>
            <w:noWrap w:val="0"/>
            <w:vAlign w:val="center"/>
          </w:tcPr>
          <w:p w14:paraId="706E8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1075" w:type="dxa"/>
            <w:noWrap w:val="0"/>
            <w:vAlign w:val="center"/>
          </w:tcPr>
          <w:p w14:paraId="0E460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288" w:type="dxa"/>
            <w:noWrap w:val="0"/>
            <w:vAlign w:val="center"/>
          </w:tcPr>
          <w:p w14:paraId="49DC0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破碎粉尘经</w:t>
            </w: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布袋除尘器（TA002）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732" w:type="dxa"/>
            <w:noWrap w:val="0"/>
            <w:vAlign w:val="center"/>
          </w:tcPr>
          <w:p w14:paraId="43197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kern w:val="18"/>
                <w:highlight w:val="none"/>
                <w:lang w:val="en-US" w:eastAsia="zh-CN"/>
              </w:rPr>
              <w:t>《合成树脂工业污染物排放标准》（GB31572-2015）中表</w:t>
            </w:r>
            <w:r>
              <w:rPr>
                <w:rFonts w:hint="eastAsia" w:eastAsia="宋体" w:cs="Times New Roman"/>
                <w:color w:val="auto"/>
                <w:kern w:val="18"/>
                <w:highlight w:val="none"/>
                <w:lang w:val="en-US" w:eastAsia="zh-CN"/>
              </w:rPr>
              <w:t>5</w:t>
            </w:r>
            <w:r>
              <w:rPr>
                <w:rFonts w:hint="eastAsia" w:cs="Times New Roman"/>
                <w:color w:val="auto"/>
                <w:kern w:val="18"/>
                <w:highlight w:val="none"/>
                <w:lang w:val="en-US" w:eastAsia="zh-CN"/>
              </w:rPr>
              <w:t>及修改清单</w:t>
            </w:r>
            <w:r>
              <w:rPr>
                <w:rFonts w:hint="eastAsia" w:ascii="Times New Roman" w:hAnsi="Times New Roman" w:eastAsia="宋体" w:cs="Times New Roman"/>
                <w:color w:val="auto"/>
                <w:kern w:val="18"/>
                <w:highlight w:val="none"/>
                <w:lang w:val="en-US" w:eastAsia="zh-CN"/>
              </w:rPr>
              <w:t>大气污染物排放限值；</w:t>
            </w:r>
            <w:r>
              <w:rPr>
                <w:rFonts w:hint="eastAsia" w:cs="Times New Roman"/>
                <w:color w:val="auto"/>
                <w:kern w:val="18"/>
                <w:highlight w:val="none"/>
                <w:lang w:val="en-US" w:eastAsia="zh-CN"/>
              </w:rPr>
              <w:t>（即颗粒物≤20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kern w:val="18"/>
                <w:highlight w:val="none"/>
                <w:lang w:val="en-US" w:eastAsia="zh-CN"/>
              </w:rPr>
              <w:t>）</w:t>
            </w:r>
          </w:p>
        </w:tc>
      </w:tr>
      <w:tr w14:paraId="14EE7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868" w:type="dxa"/>
            <w:gridSpan w:val="2"/>
            <w:vMerge w:val="continue"/>
            <w:noWrap w:val="0"/>
            <w:vAlign w:val="center"/>
          </w:tcPr>
          <w:p w14:paraId="7954F3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5" w:type="dxa"/>
            <w:noWrap w:val="0"/>
            <w:vAlign w:val="center"/>
          </w:tcPr>
          <w:p w14:paraId="0D6FA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1075" w:type="dxa"/>
            <w:noWrap w:val="0"/>
            <w:vAlign w:val="center"/>
          </w:tcPr>
          <w:p w14:paraId="03106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288" w:type="dxa"/>
            <w:vMerge w:val="restart"/>
            <w:noWrap w:val="0"/>
            <w:vAlign w:val="center"/>
          </w:tcPr>
          <w:p w14:paraId="24765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732" w:type="dxa"/>
            <w:tcBorders>
              <w:bottom w:val="single" w:color="000000" w:sz="4" w:space="0"/>
            </w:tcBorders>
            <w:noWrap w:val="0"/>
            <w:vAlign w:val="center"/>
          </w:tcPr>
          <w:p w14:paraId="27EB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GB37822-2019</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shd w:val="clear" w:color="auto" w:fill="FFFFFF"/>
                <w:lang w:eastAsia="zh-CN"/>
              </w:rPr>
              <w:t>中附录A表A.1</w:t>
            </w:r>
            <w:r>
              <w:rPr>
                <w:rFonts w:hint="eastAsia" w:cs="Times New Roman"/>
                <w:color w:val="auto"/>
                <w:sz w:val="21"/>
                <w:szCs w:val="21"/>
                <w:shd w:val="clear" w:color="auto" w:fill="FFFFFF"/>
                <w:lang w:val="en-US" w:eastAsia="zh-CN"/>
              </w:rPr>
              <w:t>特别排放</w:t>
            </w:r>
            <w:r>
              <w:rPr>
                <w:rFonts w:hint="default" w:ascii="Times New Roman" w:hAnsi="Times New Roman" w:cs="Times New Roman"/>
                <w:color w:val="auto"/>
                <w:sz w:val="21"/>
                <w:szCs w:val="21"/>
                <w:shd w:val="clear" w:color="auto" w:fill="FFFFFF"/>
                <w:lang w:eastAsia="zh-CN"/>
              </w:rPr>
              <w:t>标准限值</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即非甲烷总烃无组织排放</w:t>
            </w:r>
            <w:r>
              <w:rPr>
                <w:rFonts w:hint="default" w:ascii="Times New Roman" w:hAnsi="Times New Roman" w:eastAsia="宋体" w:cs="Times New Roman"/>
                <w:color w:val="auto"/>
                <w:sz w:val="21"/>
                <w:szCs w:val="21"/>
                <w:shd w:val="clear" w:color="auto" w:fill="FFFFFF"/>
                <w:lang w:eastAsia="zh-CN"/>
              </w:rPr>
              <w:t>监控点处</w:t>
            </w:r>
            <w:r>
              <w:rPr>
                <w:rFonts w:hint="default" w:ascii="Times New Roman" w:hAnsi="Times New Roman" w:eastAsia="宋体" w:cs="Times New Roman"/>
                <w:color w:val="auto"/>
                <w:sz w:val="21"/>
                <w:szCs w:val="21"/>
                <w:shd w:val="clear" w:color="auto" w:fill="FFFFFF"/>
                <w:lang w:val="en-US" w:eastAsia="zh-CN"/>
              </w:rPr>
              <w:t>1h平均浓度值</w:t>
            </w:r>
            <w:r>
              <w:rPr>
                <w:rFonts w:hint="eastAsia" w:ascii="Times New Roman" w:hAnsi="Times New Roman" w:eastAsia="宋体" w:cs="Times New Roman"/>
                <w:color w:val="auto"/>
                <w:sz w:val="21"/>
                <w:szCs w:val="21"/>
                <w:shd w:val="clear" w:color="auto" w:fill="FFFFFF"/>
                <w:lang w:val="en-US" w:eastAsia="zh-CN"/>
              </w:rPr>
              <w:t>≤</w:t>
            </w:r>
            <w:r>
              <w:rPr>
                <w:rFonts w:hint="eastAsia" w:eastAsia="宋体" w:cs="Times New Roman"/>
                <w:color w:val="auto"/>
                <w:sz w:val="21"/>
                <w:szCs w:val="21"/>
                <w:shd w:val="clear" w:color="auto" w:fill="FFFFFF"/>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008CB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868" w:type="dxa"/>
            <w:gridSpan w:val="2"/>
            <w:vMerge w:val="continue"/>
            <w:noWrap w:val="0"/>
            <w:vAlign w:val="center"/>
          </w:tcPr>
          <w:p w14:paraId="16709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5" w:type="dxa"/>
            <w:noWrap w:val="0"/>
            <w:vAlign w:val="center"/>
          </w:tcPr>
          <w:p w14:paraId="2C936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1075" w:type="dxa"/>
            <w:noWrap w:val="0"/>
            <w:vAlign w:val="center"/>
          </w:tcPr>
          <w:p w14:paraId="709DD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非甲烷总烃、颗粒物、</w:t>
            </w:r>
            <w:r>
              <w:rPr>
                <w:rFonts w:hint="eastAsia" w:cs="Times New Roman"/>
                <w:color w:val="auto"/>
                <w:sz w:val="21"/>
                <w:szCs w:val="21"/>
                <w:highlight w:val="none"/>
                <w:lang w:val="en-US" w:eastAsia="zh-CN"/>
              </w:rPr>
              <w:t>甲苯、</w:t>
            </w:r>
            <w:r>
              <w:rPr>
                <w:rFonts w:hint="default" w:ascii="Times New Roman" w:hAnsi="Times New Roman" w:eastAsia="宋体" w:cs="Times New Roman"/>
                <w:color w:val="auto"/>
                <w:sz w:val="21"/>
                <w:szCs w:val="21"/>
                <w:highlight w:val="none"/>
                <w:lang w:val="en-US" w:eastAsia="zh-CN"/>
              </w:rPr>
              <w:t>臭气浓度</w:t>
            </w:r>
          </w:p>
        </w:tc>
        <w:tc>
          <w:tcPr>
            <w:tcW w:w="2288" w:type="dxa"/>
            <w:vMerge w:val="continue"/>
            <w:noWrap w:val="0"/>
            <w:vAlign w:val="center"/>
          </w:tcPr>
          <w:p w14:paraId="0B5E0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732" w:type="dxa"/>
            <w:noWrap w:val="0"/>
            <w:vAlign w:val="center"/>
          </w:tcPr>
          <w:p w14:paraId="13FB3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、甲苯、颗粒物</w:t>
            </w:r>
            <w:r>
              <w:rPr>
                <w:rFonts w:hint="eastAsia" w:ascii="Times New Roman" w:hAnsi="Times New Roman" w:eastAsia="宋体" w:cs="Times New Roman"/>
                <w:color w:val="auto"/>
                <w:spacing w:val="0"/>
                <w:sz w:val="21"/>
                <w:szCs w:val="21"/>
                <w:highlight w:val="none"/>
                <w:lang w:val="en-US" w:eastAsia="zh-CN"/>
              </w:rPr>
              <w:t>执行《合成树脂工业污染物排放标准》（GB31572-2015）中表9企业边界大气污染物浓度限值</w:t>
            </w:r>
            <w:r>
              <w:rPr>
                <w:rFonts w:hint="eastAsia" w:ascii="Times New Roman" w:hAnsi="Times New Roman" w:eastAsia="宋体" w:cs="Times New Roman"/>
                <w:color w:val="auto"/>
                <w:kern w:val="18"/>
                <w:lang w:val="en-US" w:eastAsia="zh-CN"/>
              </w:rPr>
              <w:t>；臭气浓度厂界执行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标准限值</w:t>
            </w:r>
            <w:r>
              <w:rPr>
                <w:rFonts w:hint="eastAsia" w:ascii="Times New Roman" w:hAnsi="Times New Roman" w:eastAsia="宋体" w:cs="Times New Roman"/>
                <w:color w:val="auto"/>
                <w:kern w:val="18"/>
                <w:lang w:val="en-US" w:eastAsia="zh-CN"/>
              </w:rPr>
              <w:t>，</w:t>
            </w:r>
            <w:r>
              <w:rPr>
                <w:rFonts w:hint="eastAsia" w:ascii="Times New Roman" w:hAnsi="Times New Roman" w:eastAsia="宋体" w:cs="Times New Roman"/>
                <w:color w:val="auto"/>
                <w:kern w:val="2"/>
                <w:sz w:val="21"/>
                <w:szCs w:val="21"/>
                <w:lang w:val="en-US" w:eastAsia="zh-CN" w:bidi="ar-SA"/>
              </w:rPr>
              <w:t>即非甲烷总烃≤</w:t>
            </w: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甲苯</w:t>
            </w:r>
            <w:r>
              <w:rPr>
                <w:rFonts w:hint="eastAsia" w:cs="Times New Roman"/>
                <w:color w:val="auto"/>
                <w:szCs w:val="21"/>
                <w:highlight w:val="none"/>
                <w:lang w:eastAsia="zh-CN"/>
              </w:rPr>
              <w:t>≤</w:t>
            </w:r>
            <w:r>
              <w:rPr>
                <w:rFonts w:hint="eastAsia" w:cs="Times New Roman"/>
                <w:color w:val="auto"/>
                <w:szCs w:val="21"/>
                <w:highlight w:val="none"/>
                <w:lang w:val="en-US" w:eastAsia="zh-CN"/>
              </w:rPr>
              <w:t>0.8</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颗粒物</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20（无量纲）</w:t>
            </w:r>
          </w:p>
        </w:tc>
      </w:tr>
      <w:tr w14:paraId="7B3E2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68" w:type="dxa"/>
            <w:gridSpan w:val="2"/>
            <w:vMerge w:val="restart"/>
            <w:noWrap w:val="0"/>
            <w:vAlign w:val="center"/>
          </w:tcPr>
          <w:p w14:paraId="7CB1F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0286D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25" w:type="dxa"/>
            <w:noWrap w:val="0"/>
            <w:vAlign w:val="center"/>
          </w:tcPr>
          <w:p w14:paraId="34931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间接冷却水</w:t>
            </w:r>
          </w:p>
          <w:p w14:paraId="144A8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（循环使用不外排）</w:t>
            </w:r>
          </w:p>
        </w:tc>
        <w:tc>
          <w:tcPr>
            <w:tcW w:w="1075" w:type="dxa"/>
            <w:noWrap w:val="0"/>
            <w:vAlign w:val="center"/>
          </w:tcPr>
          <w:p w14:paraId="44B5B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288" w:type="dxa"/>
            <w:noWrap w:val="0"/>
            <w:vAlign w:val="center"/>
          </w:tcPr>
          <w:p w14:paraId="0F2BD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sz w:val="21"/>
                <w:szCs w:val="21"/>
                <w:highlight w:val="none"/>
                <w:lang w:val="en-US" w:eastAsia="zh-CN"/>
              </w:rPr>
            </w:pPr>
            <w:r>
              <w:rPr>
                <w:rFonts w:hint="eastAsia" w:cs="Times New Roman"/>
                <w:bCs/>
                <w:color w:val="000000"/>
                <w:sz w:val="21"/>
                <w:szCs w:val="21"/>
                <w:highlight w:val="none"/>
                <w:lang w:val="en-US" w:eastAsia="zh-CN"/>
              </w:rPr>
              <w:t>冷却塔冷却后循环使用不外排</w:t>
            </w:r>
          </w:p>
        </w:tc>
        <w:tc>
          <w:tcPr>
            <w:tcW w:w="3732" w:type="dxa"/>
            <w:noWrap w:val="0"/>
            <w:vAlign w:val="center"/>
          </w:tcPr>
          <w:p w14:paraId="32DB0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w:t>
            </w:r>
          </w:p>
        </w:tc>
      </w:tr>
      <w:tr w14:paraId="6C9D9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68" w:type="dxa"/>
            <w:gridSpan w:val="2"/>
            <w:vMerge w:val="continue"/>
            <w:noWrap w:val="0"/>
            <w:vAlign w:val="center"/>
          </w:tcPr>
          <w:p w14:paraId="6F498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25" w:type="dxa"/>
            <w:noWrap w:val="0"/>
            <w:vAlign w:val="center"/>
          </w:tcPr>
          <w:p w14:paraId="3552F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污水（DW001）</w:t>
            </w:r>
          </w:p>
        </w:tc>
        <w:tc>
          <w:tcPr>
            <w:tcW w:w="1075" w:type="dxa"/>
            <w:noWrap w:val="0"/>
            <w:vAlign w:val="center"/>
          </w:tcPr>
          <w:p w14:paraId="2116E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288" w:type="dxa"/>
            <w:noWrap w:val="0"/>
            <w:vAlign w:val="center"/>
          </w:tcPr>
          <w:p w14:paraId="664FF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rPr>
              <w:t>生活污水</w:t>
            </w:r>
            <w:r>
              <w:rPr>
                <w:rFonts w:hint="default" w:ascii="Times New Roman" w:hAnsi="Times New Roman" w:eastAsia="宋体" w:cs="Times New Roman"/>
                <w:bCs/>
                <w:color w:val="000000"/>
                <w:sz w:val="21"/>
                <w:szCs w:val="21"/>
                <w:highlight w:val="none"/>
              </w:rPr>
              <w:t>经化粪池预处理后接入市政污水管网排入</w:t>
            </w:r>
            <w:r>
              <w:rPr>
                <w:rFonts w:hint="default" w:ascii="Times New Roman" w:hAnsi="Times New Roman" w:eastAsia="宋体" w:cs="Times New Roman"/>
                <w:bCs/>
                <w:color w:val="auto"/>
                <w:sz w:val="21"/>
                <w:szCs w:val="21"/>
                <w:highlight w:val="none"/>
              </w:rPr>
              <w:t>福清市融元污水处理厂集中</w:t>
            </w:r>
            <w:r>
              <w:rPr>
                <w:rFonts w:hint="default" w:ascii="Times New Roman" w:hAnsi="Times New Roman" w:eastAsia="宋体" w:cs="Times New Roman"/>
                <w:bCs/>
                <w:color w:val="000000"/>
                <w:sz w:val="21"/>
                <w:szCs w:val="21"/>
                <w:highlight w:val="none"/>
              </w:rPr>
              <w:t>处理</w:t>
            </w:r>
          </w:p>
        </w:tc>
        <w:tc>
          <w:tcPr>
            <w:tcW w:w="3732" w:type="dxa"/>
            <w:noWrap w:val="0"/>
            <w:vAlign w:val="center"/>
          </w:tcPr>
          <w:p w14:paraId="6A64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6FE05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gridSpan w:val="2"/>
            <w:noWrap w:val="0"/>
            <w:vAlign w:val="center"/>
          </w:tcPr>
          <w:p w14:paraId="62F7C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325" w:type="dxa"/>
            <w:noWrap w:val="0"/>
            <w:vAlign w:val="center"/>
          </w:tcPr>
          <w:p w14:paraId="3AA47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1075" w:type="dxa"/>
            <w:noWrap w:val="0"/>
            <w:vAlign w:val="center"/>
          </w:tcPr>
          <w:p w14:paraId="1709F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288" w:type="dxa"/>
            <w:noWrap w:val="0"/>
            <w:vAlign w:val="center"/>
          </w:tcPr>
          <w:p w14:paraId="34119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732" w:type="dxa"/>
            <w:noWrap w:val="0"/>
            <w:vAlign w:val="center"/>
          </w:tcPr>
          <w:p w14:paraId="67CA2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GB" w:eastAsia="zh-CN" w:bidi="ar-SA"/>
              </w:rPr>
              <w:t>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w:t>
            </w:r>
            <w:r>
              <w:rPr>
                <w:rFonts w:hint="eastAsia"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31EA9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dxa"/>
            <w:gridSpan w:val="2"/>
            <w:noWrap w:val="0"/>
            <w:vAlign w:val="center"/>
          </w:tcPr>
          <w:p w14:paraId="3A65E9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570E91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325" w:type="dxa"/>
            <w:noWrap w:val="0"/>
            <w:vAlign w:val="center"/>
          </w:tcPr>
          <w:p w14:paraId="7263AA8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075" w:type="dxa"/>
            <w:noWrap w:val="0"/>
            <w:vAlign w:val="center"/>
          </w:tcPr>
          <w:p w14:paraId="74BF89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288" w:type="dxa"/>
            <w:noWrap w:val="0"/>
            <w:vAlign w:val="center"/>
          </w:tcPr>
          <w:p w14:paraId="18E784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732" w:type="dxa"/>
            <w:noWrap w:val="0"/>
            <w:vAlign w:val="center"/>
          </w:tcPr>
          <w:p w14:paraId="779AA9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33DB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868" w:type="dxa"/>
            <w:gridSpan w:val="2"/>
            <w:noWrap w:val="0"/>
            <w:vAlign w:val="center"/>
          </w:tcPr>
          <w:p w14:paraId="23416E6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495211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420" w:type="dxa"/>
            <w:gridSpan w:val="4"/>
            <w:noWrap w:val="0"/>
            <w:vAlign w:val="center"/>
          </w:tcPr>
          <w:p w14:paraId="1A79C674">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ascii="Times New Roman" w:hAnsi="Times New Roman" w:eastAsia="宋体" w:cs="Times New Roman"/>
                <w:sz w:val="24"/>
                <w:szCs w:val="24"/>
                <w:highlight w:val="none"/>
                <w:lang w:val="en-US" w:eastAsia="zh-CN"/>
              </w:rPr>
              <w:t>塑料边角料、不合格产品、包装袋。</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4077BC52">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ascii="Times New Roman" w:hAnsi="Times New Roman" w:eastAsia="宋体" w:cs="Times New Roman"/>
                <w:sz w:val="24"/>
                <w:szCs w:val="24"/>
                <w:highlight w:val="none"/>
                <w:lang w:val="en-US" w:eastAsia="zh-CN"/>
              </w:rPr>
              <w:t>废活性炭、废机油。</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BB7A7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DE1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1" w:hRule="atLeast"/>
          <w:jc w:val="center"/>
        </w:trPr>
        <w:tc>
          <w:tcPr>
            <w:tcW w:w="868" w:type="dxa"/>
            <w:gridSpan w:val="2"/>
            <w:noWrap w:val="0"/>
            <w:vAlign w:val="center"/>
          </w:tcPr>
          <w:p w14:paraId="4F467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420" w:type="dxa"/>
            <w:gridSpan w:val="4"/>
            <w:noWrap w:val="0"/>
            <w:vAlign w:val="center"/>
          </w:tcPr>
          <w:p w14:paraId="114FCB6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2F2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868" w:type="dxa"/>
            <w:gridSpan w:val="2"/>
            <w:noWrap w:val="0"/>
            <w:vAlign w:val="center"/>
          </w:tcPr>
          <w:p w14:paraId="177BB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420" w:type="dxa"/>
            <w:gridSpan w:val="4"/>
            <w:noWrap w:val="0"/>
            <w:vAlign w:val="center"/>
          </w:tcPr>
          <w:p w14:paraId="1BD18C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6CA89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868" w:type="dxa"/>
            <w:gridSpan w:val="2"/>
            <w:noWrap w:val="0"/>
            <w:vAlign w:val="center"/>
          </w:tcPr>
          <w:p w14:paraId="61E88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420" w:type="dxa"/>
            <w:gridSpan w:val="4"/>
            <w:noWrap w:val="0"/>
            <w:vAlign w:val="center"/>
          </w:tcPr>
          <w:p w14:paraId="638902A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6743C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noWrap w:val="0"/>
            <w:vAlign w:val="center"/>
          </w:tcPr>
          <w:p w14:paraId="6A3F25F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641B868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52" w:type="dxa"/>
            <w:gridSpan w:val="5"/>
            <w:noWrap w:val="0"/>
            <w:vAlign w:val="center"/>
          </w:tcPr>
          <w:p w14:paraId="5EE9FE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28878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5676825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2"/>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43"/>
              <w:gridCol w:w="1398"/>
              <w:gridCol w:w="1399"/>
              <w:gridCol w:w="1399"/>
              <w:gridCol w:w="1448"/>
              <w:gridCol w:w="1346"/>
            </w:tblGrid>
            <w:tr w14:paraId="4770A8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E348D62">
                  <w:pPr>
                    <w:pStyle w:val="61"/>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152" w:name="_Toc24814499"/>
                  <w:r>
                    <w:rPr>
                      <w:color w:val="auto"/>
                      <w:sz w:val="21"/>
                      <w:highlight w:val="none"/>
                      <w:lang w:val="en-GB"/>
                    </w:rPr>
                    <w:t xml:space="preserve">  排放部位</w:t>
                  </w:r>
                </w:p>
                <w:p w14:paraId="6AFD8358">
                  <w:pPr>
                    <w:pStyle w:val="61"/>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43972F1">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2B6E1A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3C6A32A">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5FF70AC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04D73619">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21B704E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A052F2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647B15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43"/>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44"/>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45"/>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6"/>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59264;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AN27Fu&#10;Fg0AABENAAAVAAAAZHJzL21lZGlhL2ltYWdlMS5qcGVnAREN7vL/2P/gABBKRklGAAEBAQBgAGAA&#10;AP/bAEMAAwICAwICAwMDAwQDAwQFCAUFBAQFCgcHBggMCgwMCwoLCw0OEhANDhEOCwsQFhARExQV&#10;FRUMDxcYFhQYEhQVFP/bAEMBAwQEBQQFCQUFCRQNCw0UFBQUFBQUFBQUFBQUFBQUFBQUFBQUFBQU&#10;FBQUFBQUFBQUFBQUFBQUFBQUFBQUFBQUFP/AABEIAGQ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mwQAAGRycy9tZWRpYS9pbWFnZTEuanBl&#10;Z1BLAQIUABQAAAAIAIdO4kDDo8PBEAcAAAsHAAAUAAAAAAAAAAEAIAAAAMlOAABkcnMvbWVkaWEv&#10;aW1hZ2UyLnBuZ1BLAQIUABQAAAAIAIdO4kCpgAFr7gkAAOkJAAAUAAAAAAAAAAEAIAAAAKlEAABk&#10;cnMvbWVkaWEvaW1hZ2UzLnBuZ1BLAQIUABQAAAAIAIdO4kAbwOyCkzIAAI4yAAAUAAAAAAAAAAEA&#10;IAAAAOQR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44"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45"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6" o:title=""/>
                              <o:lock v:ext="edit" aspectratio="f"/>
                            </v:shape>
                          </v:group>
                        </w:pict>
                      </mc:Fallback>
                    </mc:AlternateContent>
                  </w:r>
                </w:p>
                <w:p w14:paraId="3A953D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9E765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F9F767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72FE851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1A1884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963D3E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68301F1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6EC4BC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98F4B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D3E72FD">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43BBBF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7"/>
                                <a:stretch>
                                  <a:fillRect/>
                                </a:stretch>
                              </pic:blipFill>
                              <pic:spPr>
                                <a:xfrm>
                                  <a:off x="0" y="0"/>
                                  <a:ext cx="660400" cy="600710"/>
                                </a:xfrm>
                                <a:prstGeom prst="rect">
                                  <a:avLst/>
                                </a:prstGeom>
                                <a:noFill/>
                                <a:ln>
                                  <a:noFill/>
                                </a:ln>
                              </pic:spPr>
                            </pic:pic>
                          </a:graphicData>
                        </a:graphic>
                      </wp:inline>
                    </w:drawing>
                  </w:r>
                </w:p>
              </w:tc>
            </w:tr>
            <w:tr w14:paraId="145A4D2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F1CDCE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C59054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5A25307">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533895B">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DFDD337">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50A42015">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4DA3F8C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6BF2417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3F892C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91D17A">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1DADCAC">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562B1262">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45BC9F9E">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661629F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570AC585">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E6E73D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D21128C">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FE1243">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3E9B059F">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AC3E7E8">
                  <w:pPr>
                    <w:pStyle w:val="61"/>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1EED67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45C35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排污许可</w:t>
            </w:r>
            <w:r>
              <w:rPr>
                <w:rFonts w:hint="eastAsia" w:eastAsia="宋体" w:cs="Times New Roman"/>
                <w:b/>
                <w:bCs/>
                <w:color w:val="auto"/>
                <w:kern w:val="2"/>
                <w:sz w:val="24"/>
                <w:szCs w:val="24"/>
                <w:highlight w:val="none"/>
                <w:lang w:val="en-US" w:eastAsia="zh-CN" w:bidi="ar-SA"/>
              </w:rPr>
              <w:t>登记</w:t>
            </w:r>
            <w:r>
              <w:rPr>
                <w:rFonts w:hint="default" w:ascii="Times New Roman" w:hAnsi="Times New Roman" w:eastAsia="宋体" w:cs="Times New Roman"/>
                <w:b/>
                <w:bCs/>
                <w:color w:val="auto"/>
                <w:kern w:val="2"/>
                <w:sz w:val="24"/>
                <w:szCs w:val="24"/>
                <w:highlight w:val="none"/>
                <w:lang w:val="en-US" w:eastAsia="zh-CN" w:bidi="ar-SA"/>
              </w:rPr>
              <w:t>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eastAsia="宋体" w:cs="Times New Roman"/>
                <w:b/>
                <w:bCs/>
                <w:color w:val="auto"/>
                <w:kern w:val="2"/>
                <w:sz w:val="24"/>
                <w:szCs w:val="24"/>
                <w:highlight w:val="none"/>
                <w:lang w:val="en-US" w:eastAsia="zh-CN" w:bidi="ar-SA"/>
              </w:rPr>
              <w:t>登记填</w:t>
            </w:r>
            <w:r>
              <w:rPr>
                <w:rFonts w:hint="eastAsia" w:ascii="Times New Roman" w:hAnsi="Times New Roman" w:eastAsia="宋体" w:cs="Times New Roman"/>
                <w:b/>
                <w:bCs/>
                <w:color w:val="auto"/>
                <w:kern w:val="2"/>
                <w:sz w:val="24"/>
                <w:szCs w:val="24"/>
                <w:highlight w:val="none"/>
                <w:lang w:val="en-US" w:eastAsia="zh-CN" w:bidi="ar-SA"/>
              </w:rPr>
              <w:t>报</w:t>
            </w:r>
            <w:r>
              <w:rPr>
                <w:rFonts w:hint="default" w:ascii="Times New Roman" w:hAnsi="Times New Roman" w:eastAsia="宋体" w:cs="Times New Roman"/>
                <w:color w:val="auto"/>
                <w:kern w:val="2"/>
                <w:sz w:val="24"/>
                <w:szCs w:val="24"/>
                <w:highlight w:val="none"/>
                <w:lang w:val="en-US" w:eastAsia="zh-CN" w:bidi="ar-SA"/>
              </w:rPr>
              <w:t>。</w:t>
            </w:r>
          </w:p>
          <w:p w14:paraId="3C050ED6">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980"/>
              <w:gridCol w:w="1069"/>
              <w:gridCol w:w="4056"/>
              <w:gridCol w:w="924"/>
            </w:tblGrid>
            <w:tr w14:paraId="2917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89" w:type="pct"/>
                  <w:vAlign w:val="center"/>
                </w:tcPr>
                <w:p w14:paraId="6CA5C367">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序号</w:t>
                  </w:r>
                </w:p>
              </w:tc>
              <w:tc>
                <w:tcPr>
                  <w:tcW w:w="1161" w:type="pct"/>
                  <w:vAlign w:val="center"/>
                </w:tcPr>
                <w:p w14:paraId="3F9610A5">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行业类别</w:t>
                  </w:r>
                </w:p>
              </w:tc>
              <w:tc>
                <w:tcPr>
                  <w:tcW w:w="627" w:type="pct"/>
                  <w:vAlign w:val="center"/>
                </w:tcPr>
                <w:p w14:paraId="14CD4430">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重点管理</w:t>
                  </w:r>
                </w:p>
              </w:tc>
              <w:tc>
                <w:tcPr>
                  <w:tcW w:w="2379" w:type="pct"/>
                  <w:vAlign w:val="center"/>
                </w:tcPr>
                <w:p w14:paraId="61393B3C">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简化管理</w:t>
                  </w:r>
                </w:p>
              </w:tc>
              <w:tc>
                <w:tcPr>
                  <w:tcW w:w="542" w:type="pct"/>
                  <w:shd w:val="clear" w:color="auto" w:fill="A4A4A4" w:themeFill="background1" w:themeFillShade="A5"/>
                  <w:vAlign w:val="center"/>
                </w:tcPr>
                <w:p w14:paraId="05291B07">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登记管理</w:t>
                  </w:r>
                </w:p>
              </w:tc>
            </w:tr>
            <w:tr w14:paraId="1DB3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4A4A4" w:themeFill="background1" w:themeFillShade="A5"/>
                  <w:vAlign w:val="center"/>
                </w:tcPr>
                <w:p w14:paraId="3D22FF23">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二十四、橡胶和塑料制品业 29</w:t>
                  </w:r>
                </w:p>
              </w:tc>
            </w:tr>
            <w:tr w14:paraId="3FD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6EA3BD85">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62</w:t>
                  </w:r>
                </w:p>
              </w:tc>
              <w:tc>
                <w:tcPr>
                  <w:tcW w:w="1161" w:type="pct"/>
                  <w:vAlign w:val="center"/>
                </w:tcPr>
                <w:p w14:paraId="29203A5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塑料制品业 292</w:t>
                  </w:r>
                </w:p>
                <w:p w14:paraId="2F5EB123">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627" w:type="pct"/>
                  <w:vAlign w:val="center"/>
                </w:tcPr>
                <w:p w14:paraId="6F0C6E16">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塑料人造革、合成革制造 2925</w:t>
                  </w:r>
                </w:p>
                <w:p w14:paraId="6099A9D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2379" w:type="pct"/>
                  <w:vAlign w:val="center"/>
                </w:tcPr>
                <w:p w14:paraId="3941681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年产1万吨及以上的泡沫塑料制造 2924，年产1万吨及以上涉及改性的塑料薄膜制造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542" w:type="pct"/>
                  <w:shd w:val="clear" w:color="auto" w:fill="A4A4A4" w:themeFill="background1" w:themeFillShade="A5"/>
                  <w:vAlign w:val="center"/>
                </w:tcPr>
                <w:p w14:paraId="78EA2152">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其他</w:t>
                  </w:r>
                </w:p>
              </w:tc>
            </w:tr>
            <w:tr w14:paraId="2032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4A4A4" w:themeFill="background1" w:themeFillShade="A5"/>
                  <w:vAlign w:val="center"/>
                </w:tcPr>
                <w:p w14:paraId="6B181563">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宋体" w:hAnsi="宋体" w:eastAsia="宋体" w:cs="宋体"/>
                      <w:b/>
                      <w:bCs/>
                      <w:color w:val="000000"/>
                      <w:kern w:val="0"/>
                      <w:sz w:val="20"/>
                      <w:szCs w:val="20"/>
                      <w:lang w:val="en-US" w:eastAsia="zh-CN" w:bidi="ar"/>
                    </w:rPr>
                    <w:t>三十一、汽车制造业 36</w:t>
                  </w:r>
                </w:p>
              </w:tc>
            </w:tr>
            <w:tr w14:paraId="0E48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65ED399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85</w:t>
                  </w:r>
                </w:p>
              </w:tc>
              <w:tc>
                <w:tcPr>
                  <w:tcW w:w="1161" w:type="pct"/>
                  <w:vAlign w:val="center"/>
                </w:tcPr>
                <w:p w14:paraId="77C14C6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汽车整车制造 361，汽车用发动机制造 362，改装汽车制造 363，低速汽车制造 364，电车制造 365，汽车车身、挂车制造 366，</w:t>
                  </w:r>
                  <w:r>
                    <w:rPr>
                      <w:rFonts w:hint="eastAsia" w:ascii="Times New Roman" w:hAnsi="Times New Roman" w:eastAsia="宋体" w:cs="Times New Roman"/>
                      <w:b/>
                      <w:bCs/>
                      <w:color w:val="000000"/>
                      <w:kern w:val="0"/>
                      <w:sz w:val="21"/>
                      <w:szCs w:val="21"/>
                      <w:lang w:val="en-US" w:eastAsia="zh-CN" w:bidi="ar"/>
                    </w:rPr>
                    <w:t>汽车零部件及配件制造 367</w:t>
                  </w:r>
                </w:p>
              </w:tc>
              <w:tc>
                <w:tcPr>
                  <w:tcW w:w="627" w:type="pct"/>
                  <w:vAlign w:val="center"/>
                </w:tcPr>
                <w:p w14:paraId="6793FCF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纳入重点排污单位名录的</w:t>
                  </w:r>
                </w:p>
                <w:p w14:paraId="5338600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p>
              </w:tc>
              <w:tc>
                <w:tcPr>
                  <w:tcW w:w="2379" w:type="pct"/>
                  <w:vAlign w:val="center"/>
                </w:tcPr>
                <w:p w14:paraId="5C4698A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除重点管理以外的汽车整车制造 361，除重点管理以外的年使用10吨及以上溶剂型涂料或者胶粘剂（含稀释剂、固化剂、清洗溶剂）的汽车用发动机制造 362、改装汽车制造 </w:t>
                  </w:r>
                </w:p>
                <w:p w14:paraId="13D1A1F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363、低速汽车制造 364、电车制造 365、汽车车身、挂车制造 366、汽车零部件及配件制造 367</w:t>
                  </w:r>
                </w:p>
              </w:tc>
              <w:tc>
                <w:tcPr>
                  <w:tcW w:w="542" w:type="pct"/>
                  <w:shd w:val="clear" w:color="auto" w:fill="A4A4A4" w:themeFill="background1" w:themeFillShade="A5"/>
                  <w:vAlign w:val="center"/>
                </w:tcPr>
                <w:p w14:paraId="37193D5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其他</w:t>
                  </w:r>
                </w:p>
              </w:tc>
            </w:tr>
          </w:tbl>
          <w:p w14:paraId="5F2426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152"/>
            <w:bookmarkStart w:id="153"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153"/>
          </w:p>
          <w:p w14:paraId="6596A1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5A0DF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093D4BAD">
      <w:r>
        <w:br w:type="page"/>
      </w:r>
    </w:p>
    <w:p w14:paraId="79D59C06">
      <w:pPr>
        <w:pStyle w:val="19"/>
        <w:jc w:val="center"/>
        <w:outlineLvl w:val="0"/>
        <w:rPr>
          <w:rFonts w:ascii="Times New Roman" w:hAnsi="Times New Roman" w:eastAsia="黑体"/>
          <w:snapToGrid w:val="0"/>
          <w:sz w:val="30"/>
          <w:szCs w:val="30"/>
        </w:rPr>
      </w:pPr>
      <w:bookmarkStart w:id="154" w:name="_Toc4252"/>
      <w:bookmarkStart w:id="155" w:name="_Toc17280"/>
      <w:r>
        <w:rPr>
          <w:rFonts w:ascii="Times New Roman" w:hAnsi="Times New Roman" w:eastAsia="黑体"/>
          <w:snapToGrid w:val="0"/>
          <w:sz w:val="30"/>
          <w:szCs w:val="30"/>
        </w:rPr>
        <w:t>六、结论</w:t>
      </w:r>
      <w:bookmarkEnd w:id="154"/>
      <w:bookmarkEnd w:id="155"/>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22E93CC">
            <w:pPr>
              <w:spacing w:line="360" w:lineRule="auto"/>
              <w:jc w:val="both"/>
              <w:rPr>
                <w:b/>
                <w:bCs/>
                <w:sz w:val="28"/>
                <w:szCs w:val="28"/>
              </w:rPr>
            </w:pPr>
            <w:r>
              <w:rPr>
                <w:b/>
                <w:bCs/>
                <w:sz w:val="28"/>
                <w:szCs w:val="28"/>
              </w:rPr>
              <w:t>6.1 总结论</w:t>
            </w:r>
          </w:p>
          <w:p w14:paraId="3BE2A5A2">
            <w:pPr>
              <w:spacing w:line="360" w:lineRule="auto"/>
              <w:ind w:firstLine="480" w:firstLineChars="200"/>
              <w:jc w:val="both"/>
              <w:rPr>
                <w:rFonts w:ascii="Times New Roman" w:hAnsi="Times New Roman"/>
                <w:sz w:val="24"/>
                <w:szCs w:val="24"/>
              </w:rPr>
            </w:pPr>
            <w:r>
              <w:rPr>
                <w:rFonts w:hint="eastAsia"/>
                <w:sz w:val="24"/>
              </w:rPr>
              <w:t>本项目</w:t>
            </w:r>
            <w:r>
              <w:rPr>
                <w:rFonts w:hint="eastAsia"/>
                <w:sz w:val="24"/>
                <w:lang w:val="en-US" w:eastAsia="zh-CN"/>
              </w:rPr>
              <w:t>位</w:t>
            </w:r>
            <w:r>
              <w:rPr>
                <w:rFonts w:hint="eastAsia"/>
                <w:color w:val="auto"/>
                <w:sz w:val="24"/>
                <w:lang w:val="en-US" w:eastAsia="zh-CN"/>
              </w:rPr>
              <w:t>于</w:t>
            </w:r>
            <w:r>
              <w:rPr>
                <w:rFonts w:hint="default" w:ascii="Times New Roman" w:hAnsi="Times New Roman" w:eastAsia="宋体" w:cs="Times New Roman"/>
                <w:color w:val="auto"/>
                <w:sz w:val="24"/>
                <w:szCs w:val="24"/>
                <w:highlight w:val="none"/>
              </w:rPr>
              <w:t>福清融侨经济技术开发区（均和云谷·福清科技港</w:t>
            </w:r>
            <w:r>
              <w:rPr>
                <w:rFonts w:hint="default" w:ascii="Times New Roman" w:hAnsi="Times New Roman" w:eastAsia="宋体" w:cs="Times New Roman"/>
                <w:color w:val="auto"/>
                <w:sz w:val="24"/>
                <w:szCs w:val="24"/>
                <w:highlight w:val="none"/>
                <w:lang w:val="en-US" w:eastAsia="zh-CN"/>
              </w:rPr>
              <w:t>31#厂房</w:t>
            </w:r>
            <w:r>
              <w:rPr>
                <w:rFonts w:hint="default" w:ascii="Times New Roman" w:hAnsi="Times New Roman" w:eastAsia="宋体" w:cs="Times New Roman"/>
                <w:color w:val="auto"/>
                <w:sz w:val="24"/>
                <w:szCs w:val="24"/>
                <w:highlight w:val="none"/>
                <w:lang w:eastAsia="zh-CN"/>
              </w:rPr>
              <w:t>）</w:t>
            </w:r>
            <w:r>
              <w:rPr>
                <w:rFonts w:hint="eastAsia"/>
                <w:color w:val="auto"/>
                <w:sz w:val="24"/>
                <w:lang w:val="en-US" w:eastAsia="zh-CN"/>
              </w:rPr>
              <w:t>，</w:t>
            </w:r>
            <w:r>
              <w:rPr>
                <w:rFonts w:hint="eastAsia"/>
                <w:sz w:val="24"/>
                <w:lang w:val="en-US" w:eastAsia="zh-CN"/>
              </w:rPr>
              <w:t>项目主要从事汽车塑料零部件制造，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7A25D849">
            <w:pPr>
              <w:spacing w:line="360" w:lineRule="auto"/>
              <w:ind w:firstLine="480" w:firstLineChars="200"/>
              <w:jc w:val="both"/>
              <w:rPr>
                <w:rFonts w:ascii="Times New Roman" w:hAnsi="Times New Roman" w:eastAsia="宋体" w:cs="Times New Roman"/>
                <w:sz w:val="24"/>
              </w:rPr>
            </w:pPr>
            <w:r>
              <w:rPr>
                <w:sz w:val="24"/>
              </w:rPr>
              <w:t>综上所述，在认真执行建设项目</w:t>
            </w:r>
            <w:r>
              <w:rPr>
                <w:rFonts w:hint="eastAsia"/>
                <w:sz w:val="24"/>
                <w:lang w:eastAsia="zh-CN"/>
              </w:rPr>
              <w:t>“</w:t>
            </w:r>
            <w:r>
              <w:rPr>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sz w:val="24"/>
              </w:rPr>
              <w:t>境</w:t>
            </w:r>
            <w:r>
              <w:rPr>
                <w:rFonts w:hint="eastAsia" w:ascii="Times New Roman" w:hAnsi="Times New Roman" w:eastAsia="宋体" w:cs="Times New Roman"/>
                <w:sz w:val="24"/>
                <w:lang w:val="en-US" w:eastAsia="zh-CN"/>
              </w:rPr>
              <w:t>影响</w:t>
            </w:r>
            <w:r>
              <w:rPr>
                <w:rFonts w:ascii="Times New Roman" w:hAnsi="Times New Roman" w:eastAsia="宋体" w:cs="Times New Roman"/>
                <w:sz w:val="24"/>
              </w:rPr>
              <w:t>角度分析，该项目的建设是可行的。</w:t>
            </w:r>
          </w:p>
          <w:p w14:paraId="7BA7EB56">
            <w:pPr>
              <w:spacing w:line="360" w:lineRule="auto"/>
              <w:ind w:firstLine="482" w:firstLineChars="200"/>
              <w:jc w:val="both"/>
              <w:rPr>
                <w:b/>
                <w:bCs/>
                <w:sz w:val="24"/>
              </w:rPr>
            </w:pPr>
          </w:p>
          <w:p w14:paraId="3087E337">
            <w:pPr>
              <w:spacing w:line="360" w:lineRule="auto"/>
              <w:ind w:firstLine="482" w:firstLineChars="200"/>
              <w:jc w:val="both"/>
              <w:rPr>
                <w:rFonts w:hint="default" w:eastAsia="宋体"/>
                <w:b/>
                <w:bCs/>
                <w:sz w:val="24"/>
                <w:lang w:val="en-US" w:eastAsia="zh-CN"/>
              </w:rPr>
            </w:pPr>
          </w:p>
          <w:p w14:paraId="546E2087">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default" w:eastAsia="宋体"/>
                <w:b w:val="0"/>
                <w:bCs w:val="0"/>
                <w:sz w:val="24"/>
                <w:highlight w:val="none"/>
                <w:lang w:val="en-US" w:eastAsia="zh-CN"/>
              </w:rPr>
            </w:pPr>
            <w:r>
              <w:rPr>
                <w:rFonts w:hint="eastAsia"/>
                <w:b w:val="0"/>
                <w:bCs w:val="0"/>
                <w:sz w:val="24"/>
                <w:highlight w:val="none"/>
                <w:lang w:val="en-US" w:eastAsia="zh-CN"/>
              </w:rPr>
              <w:t xml:space="preserve">                            福州朴诚至信环保科技有限公司</w:t>
            </w:r>
          </w:p>
          <w:p w14:paraId="4765C44D">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center"/>
              <w:textAlignment w:val="auto"/>
              <w:rPr>
                <w:rFonts w:hint="default" w:eastAsia="宋体"/>
                <w:b w:val="0"/>
                <w:bCs w:val="0"/>
                <w:sz w:val="24"/>
                <w:highlight w:val="none"/>
                <w:lang w:val="en-US" w:eastAsia="zh-CN"/>
              </w:rPr>
            </w:pPr>
            <w:r>
              <w:rPr>
                <w:rFonts w:hint="eastAsia"/>
                <w:b w:val="0"/>
                <w:bCs w:val="0"/>
                <w:sz w:val="24"/>
                <w:highlight w:val="none"/>
                <w:lang w:val="en-US" w:eastAsia="zh-CN"/>
              </w:rPr>
              <w:t xml:space="preserve">                           </w:t>
            </w:r>
            <w:r>
              <w:rPr>
                <w:b w:val="0"/>
                <w:bCs w:val="0"/>
                <w:sz w:val="24"/>
                <w:highlight w:val="none"/>
              </w:rPr>
              <w:t>202</w:t>
            </w:r>
            <w:r>
              <w:rPr>
                <w:rFonts w:hint="eastAsia"/>
                <w:b w:val="0"/>
                <w:bCs w:val="0"/>
                <w:sz w:val="24"/>
                <w:highlight w:val="none"/>
                <w:lang w:val="en-US" w:eastAsia="zh-CN"/>
              </w:rPr>
              <w:t>5</w:t>
            </w:r>
            <w:r>
              <w:rPr>
                <w:b w:val="0"/>
                <w:bCs w:val="0"/>
                <w:sz w:val="24"/>
                <w:highlight w:val="none"/>
              </w:rPr>
              <w:t>年</w:t>
            </w:r>
            <w:r>
              <w:rPr>
                <w:rFonts w:hint="eastAsia"/>
                <w:b w:val="0"/>
                <w:bCs w:val="0"/>
                <w:sz w:val="24"/>
                <w:highlight w:val="none"/>
                <w:lang w:val="en-US" w:eastAsia="zh-CN"/>
              </w:rPr>
              <w:t>10</w:t>
            </w:r>
            <w:r>
              <w:rPr>
                <w:b w:val="0"/>
                <w:bCs w:val="0"/>
                <w:sz w:val="24"/>
                <w:highlight w:val="none"/>
              </w:rPr>
              <w:t>月</w:t>
            </w:r>
          </w:p>
          <w:p w14:paraId="1327D66E">
            <w:pPr>
              <w:spacing w:line="360" w:lineRule="auto"/>
              <w:jc w:val="both"/>
              <w:rPr>
                <w:sz w:val="24"/>
              </w:rPr>
            </w:pPr>
          </w:p>
        </w:tc>
      </w:tr>
    </w:tbl>
    <w:p w14:paraId="72C549A9">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03C36563">
      <w:pPr>
        <w:pStyle w:val="19"/>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156" w:name="_Toc7093"/>
      <w:bookmarkStart w:id="157" w:name="_Toc1015"/>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156"/>
      <w:bookmarkEnd w:id="157"/>
    </w:p>
    <w:p w14:paraId="4F63F605">
      <w:pPr>
        <w:pStyle w:val="19"/>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158" w:name="_Toc96"/>
      <w:bookmarkStart w:id="159" w:name="_Toc17929"/>
      <w:bookmarkStart w:id="160" w:name="_Toc13012"/>
      <w:r>
        <w:rPr>
          <w:rFonts w:ascii="Times New Roman" w:hAnsi="Times New Roman" w:eastAsia="方正小标宋_GBK"/>
          <w:snapToGrid w:val="0"/>
          <w:color w:val="auto"/>
          <w:sz w:val="38"/>
          <w:szCs w:val="38"/>
        </w:rPr>
        <w:t>建设项目污染物排放量汇总表</w:t>
      </w:r>
      <w:bookmarkEnd w:id="158"/>
      <w:bookmarkEnd w:id="159"/>
      <w:bookmarkEnd w:id="160"/>
    </w:p>
    <w:tbl>
      <w:tblPr>
        <w:tblStyle w:val="22"/>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145"/>
        <w:gridCol w:w="1332"/>
        <w:gridCol w:w="1276"/>
        <w:gridCol w:w="1701"/>
        <w:gridCol w:w="1559"/>
        <w:gridCol w:w="1761"/>
        <w:gridCol w:w="1959"/>
        <w:gridCol w:w="1122"/>
      </w:tblGrid>
      <w:tr w14:paraId="591A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tcBorders>
              <w:tl2br w:val="single" w:color="auto" w:sz="4" w:space="0"/>
            </w:tcBorders>
            <w:noWrap w:val="0"/>
            <w:tcMar>
              <w:left w:w="28" w:type="dxa"/>
              <w:right w:w="28" w:type="dxa"/>
            </w:tcMar>
            <w:vAlign w:val="center"/>
          </w:tcPr>
          <w:p w14:paraId="7EE2A71E">
            <w:pPr>
              <w:pStyle w:val="74"/>
              <w:bidi w:val="0"/>
              <w:jc w:val="right"/>
              <w:rPr>
                <w:color w:val="auto"/>
              </w:rPr>
            </w:pPr>
            <w:r>
              <w:rPr>
                <w:color w:val="auto"/>
              </w:rPr>
              <w:t>项目</w:t>
            </w:r>
          </w:p>
          <w:p w14:paraId="4F4375E2">
            <w:pPr>
              <w:pStyle w:val="74"/>
              <w:bidi w:val="0"/>
              <w:jc w:val="left"/>
              <w:rPr>
                <w:color w:val="auto"/>
              </w:rPr>
            </w:pPr>
            <w:r>
              <w:rPr>
                <w:color w:val="auto"/>
              </w:rPr>
              <w:t>分类</w:t>
            </w:r>
          </w:p>
        </w:tc>
        <w:tc>
          <w:tcPr>
            <w:tcW w:w="2145" w:type="dxa"/>
            <w:noWrap w:val="0"/>
            <w:tcMar>
              <w:left w:w="28" w:type="dxa"/>
              <w:right w:w="28" w:type="dxa"/>
            </w:tcMar>
            <w:vAlign w:val="center"/>
          </w:tcPr>
          <w:p w14:paraId="33A94768">
            <w:pPr>
              <w:pStyle w:val="74"/>
              <w:bidi w:val="0"/>
              <w:rPr>
                <w:color w:val="auto"/>
              </w:rPr>
            </w:pPr>
            <w:r>
              <w:rPr>
                <w:color w:val="auto"/>
              </w:rPr>
              <w:t>污染物名称</w:t>
            </w:r>
          </w:p>
        </w:tc>
        <w:tc>
          <w:tcPr>
            <w:tcW w:w="1332" w:type="dxa"/>
            <w:noWrap w:val="0"/>
            <w:tcMar>
              <w:left w:w="28" w:type="dxa"/>
              <w:right w:w="28" w:type="dxa"/>
            </w:tcMar>
            <w:vAlign w:val="center"/>
          </w:tcPr>
          <w:p w14:paraId="699274D9">
            <w:pPr>
              <w:pStyle w:val="74"/>
              <w:bidi w:val="0"/>
              <w:rPr>
                <w:color w:val="auto"/>
              </w:rPr>
            </w:pPr>
            <w:r>
              <w:rPr>
                <w:color w:val="auto"/>
              </w:rPr>
              <w:t>现有工程</w:t>
            </w:r>
          </w:p>
          <w:p w14:paraId="744AD8E6">
            <w:pPr>
              <w:pStyle w:val="74"/>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276" w:type="dxa"/>
            <w:noWrap w:val="0"/>
            <w:tcMar>
              <w:left w:w="28" w:type="dxa"/>
              <w:right w:w="28" w:type="dxa"/>
            </w:tcMar>
            <w:vAlign w:val="center"/>
          </w:tcPr>
          <w:p w14:paraId="32C19947">
            <w:pPr>
              <w:pStyle w:val="74"/>
              <w:bidi w:val="0"/>
              <w:rPr>
                <w:color w:val="auto"/>
              </w:rPr>
            </w:pPr>
            <w:r>
              <w:rPr>
                <w:color w:val="auto"/>
              </w:rPr>
              <w:t>现有工程</w:t>
            </w:r>
          </w:p>
          <w:p w14:paraId="3F624E35">
            <w:pPr>
              <w:pStyle w:val="74"/>
              <w:bidi w:val="0"/>
              <w:rPr>
                <w:color w:val="auto"/>
              </w:rPr>
            </w:pPr>
            <w:r>
              <w:rPr>
                <w:color w:val="auto"/>
              </w:rPr>
              <w:t>许可排放量</w:t>
            </w:r>
          </w:p>
          <w:p w14:paraId="52AC24BD">
            <w:pPr>
              <w:pStyle w:val="74"/>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701" w:type="dxa"/>
            <w:noWrap w:val="0"/>
            <w:tcMar>
              <w:left w:w="28" w:type="dxa"/>
              <w:right w:w="28" w:type="dxa"/>
            </w:tcMar>
            <w:vAlign w:val="center"/>
          </w:tcPr>
          <w:p w14:paraId="74B38EE3">
            <w:pPr>
              <w:pStyle w:val="74"/>
              <w:bidi w:val="0"/>
              <w:rPr>
                <w:color w:val="auto"/>
              </w:rPr>
            </w:pPr>
            <w:r>
              <w:rPr>
                <w:color w:val="auto"/>
              </w:rPr>
              <w:t>在建工程</w:t>
            </w:r>
          </w:p>
          <w:p w14:paraId="7A583D09">
            <w:pPr>
              <w:pStyle w:val="74"/>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59" w:type="dxa"/>
            <w:noWrap w:val="0"/>
            <w:tcMar>
              <w:left w:w="28" w:type="dxa"/>
              <w:right w:w="28" w:type="dxa"/>
            </w:tcMar>
            <w:vAlign w:val="center"/>
          </w:tcPr>
          <w:p w14:paraId="785CA085">
            <w:pPr>
              <w:pStyle w:val="74"/>
              <w:bidi w:val="0"/>
              <w:rPr>
                <w:color w:val="auto"/>
              </w:rPr>
            </w:pPr>
            <w:r>
              <w:rPr>
                <w:color w:val="auto"/>
              </w:rPr>
              <w:t>本项目</w:t>
            </w:r>
          </w:p>
          <w:p w14:paraId="435541D9">
            <w:pPr>
              <w:pStyle w:val="74"/>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761" w:type="dxa"/>
            <w:noWrap w:val="0"/>
            <w:tcMar>
              <w:left w:w="28" w:type="dxa"/>
              <w:right w:w="28" w:type="dxa"/>
            </w:tcMar>
            <w:vAlign w:val="center"/>
          </w:tcPr>
          <w:p w14:paraId="6E518270">
            <w:pPr>
              <w:pStyle w:val="74"/>
              <w:bidi w:val="0"/>
              <w:rPr>
                <w:color w:val="auto"/>
              </w:rPr>
            </w:pPr>
            <w:r>
              <w:rPr>
                <w:color w:val="auto"/>
              </w:rPr>
              <w:t>以新带老削减量</w:t>
            </w:r>
          </w:p>
          <w:p w14:paraId="3C1DD6B0">
            <w:pPr>
              <w:pStyle w:val="74"/>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959" w:type="dxa"/>
            <w:noWrap w:val="0"/>
            <w:tcMar>
              <w:left w:w="28" w:type="dxa"/>
              <w:right w:w="28" w:type="dxa"/>
            </w:tcMar>
            <w:vAlign w:val="center"/>
          </w:tcPr>
          <w:p w14:paraId="39F4EAB2">
            <w:pPr>
              <w:pStyle w:val="74"/>
              <w:bidi w:val="0"/>
              <w:rPr>
                <w:color w:val="auto"/>
              </w:rPr>
            </w:pPr>
            <w:r>
              <w:rPr>
                <w:color w:val="auto"/>
              </w:rPr>
              <w:t>本项目建成后</w:t>
            </w:r>
          </w:p>
          <w:p w14:paraId="065AE30C">
            <w:pPr>
              <w:pStyle w:val="74"/>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1122" w:type="dxa"/>
            <w:noWrap w:val="0"/>
            <w:tcMar>
              <w:left w:w="28" w:type="dxa"/>
              <w:right w:w="28" w:type="dxa"/>
            </w:tcMar>
            <w:vAlign w:val="center"/>
          </w:tcPr>
          <w:p w14:paraId="79B06125">
            <w:pPr>
              <w:pStyle w:val="74"/>
              <w:bidi w:val="0"/>
              <w:rPr>
                <w:color w:val="auto"/>
              </w:rPr>
            </w:pPr>
            <w:r>
              <w:rPr>
                <w:color w:val="auto"/>
              </w:rPr>
              <w:t>变化量</w:t>
            </w:r>
          </w:p>
          <w:p w14:paraId="570FF7B2">
            <w:pPr>
              <w:pStyle w:val="74"/>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49316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6F2F14AF">
            <w:pPr>
              <w:pStyle w:val="74"/>
              <w:bidi w:val="0"/>
              <w:rPr>
                <w:rFonts w:hint="eastAsia"/>
                <w:color w:val="auto"/>
                <w:lang w:val="en-US" w:eastAsia="zh-CN"/>
              </w:rPr>
            </w:pPr>
            <w:r>
              <w:rPr>
                <w:rFonts w:hint="eastAsia"/>
                <w:color w:val="auto"/>
                <w:lang w:val="en-US" w:eastAsia="zh-CN"/>
              </w:rPr>
              <w:t>废气</w:t>
            </w:r>
          </w:p>
        </w:tc>
        <w:tc>
          <w:tcPr>
            <w:tcW w:w="2145" w:type="dxa"/>
            <w:noWrap w:val="0"/>
            <w:vAlign w:val="center"/>
          </w:tcPr>
          <w:p w14:paraId="5156E3D0">
            <w:pPr>
              <w:pStyle w:val="74"/>
              <w:bidi w:val="0"/>
              <w:rPr>
                <w:rFonts w:hint="eastAsia" w:eastAsia="宋体"/>
                <w:color w:val="auto"/>
                <w:highlight w:val="none"/>
                <w:lang w:eastAsia="zh-CN"/>
              </w:rPr>
            </w:pPr>
            <w:r>
              <w:rPr>
                <w:rFonts w:hint="eastAsia"/>
                <w:color w:val="auto"/>
                <w:highlight w:val="none"/>
                <w:lang w:val="en-US" w:eastAsia="zh-CN"/>
              </w:rPr>
              <w:t>非甲烷总烃</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332" w:type="dxa"/>
            <w:noWrap w:val="0"/>
            <w:vAlign w:val="center"/>
          </w:tcPr>
          <w:p w14:paraId="529AF884">
            <w:pPr>
              <w:pStyle w:val="74"/>
              <w:bidi w:val="0"/>
              <w:rPr>
                <w:rFonts w:hint="default"/>
                <w:color w:val="auto"/>
                <w:highlight w:val="none"/>
                <w:lang w:val="en-US" w:eastAsia="zh-CN"/>
              </w:rPr>
            </w:pPr>
            <w:r>
              <w:rPr>
                <w:rFonts w:hint="eastAsia"/>
                <w:color w:val="auto"/>
                <w:highlight w:val="none"/>
                <w:lang w:val="en-US" w:eastAsia="zh-CN"/>
              </w:rPr>
              <w:t>/</w:t>
            </w:r>
          </w:p>
        </w:tc>
        <w:tc>
          <w:tcPr>
            <w:tcW w:w="1276" w:type="dxa"/>
            <w:noWrap w:val="0"/>
            <w:vAlign w:val="center"/>
          </w:tcPr>
          <w:p w14:paraId="154382E3">
            <w:pPr>
              <w:pStyle w:val="74"/>
              <w:bidi w:val="0"/>
              <w:rPr>
                <w:rFonts w:hint="default"/>
                <w:color w:val="auto"/>
                <w:highlight w:val="none"/>
                <w:lang w:val="en-US" w:eastAsia="zh-CN"/>
              </w:rPr>
            </w:pPr>
            <w:r>
              <w:rPr>
                <w:rFonts w:hint="eastAsia"/>
                <w:color w:val="auto"/>
                <w:highlight w:val="none"/>
                <w:lang w:val="en-US" w:eastAsia="zh-CN"/>
              </w:rPr>
              <w:t>/</w:t>
            </w:r>
          </w:p>
        </w:tc>
        <w:tc>
          <w:tcPr>
            <w:tcW w:w="1701" w:type="dxa"/>
            <w:noWrap w:val="0"/>
            <w:vAlign w:val="center"/>
          </w:tcPr>
          <w:p w14:paraId="44EBE297">
            <w:pPr>
              <w:pStyle w:val="74"/>
              <w:bidi w:val="0"/>
              <w:rPr>
                <w:rFonts w:hint="eastAsia"/>
                <w:color w:val="auto"/>
                <w:highlight w:val="none"/>
                <w:lang w:eastAsia="zh-CN"/>
              </w:rPr>
            </w:pPr>
            <w:r>
              <w:rPr>
                <w:rFonts w:hint="eastAsia"/>
                <w:color w:val="auto"/>
                <w:highlight w:val="none"/>
                <w:lang w:val="en-US" w:eastAsia="zh-CN"/>
              </w:rPr>
              <w:t>/</w:t>
            </w:r>
          </w:p>
        </w:tc>
        <w:tc>
          <w:tcPr>
            <w:tcW w:w="1559" w:type="dxa"/>
            <w:shd w:val="clear" w:color="auto" w:fill="auto"/>
            <w:noWrap w:val="0"/>
            <w:vAlign w:val="center"/>
          </w:tcPr>
          <w:p w14:paraId="2ADB97EF">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0.4303</w:t>
            </w:r>
          </w:p>
        </w:tc>
        <w:tc>
          <w:tcPr>
            <w:tcW w:w="1761" w:type="dxa"/>
            <w:noWrap w:val="0"/>
            <w:vAlign w:val="center"/>
          </w:tcPr>
          <w:p w14:paraId="6E42D6DC">
            <w:pPr>
              <w:pStyle w:val="74"/>
              <w:bidi w:val="0"/>
              <w:rPr>
                <w:rFonts w:hint="eastAsia"/>
                <w:color w:val="auto"/>
                <w:highlight w:val="none"/>
              </w:rPr>
            </w:pPr>
            <w:r>
              <w:rPr>
                <w:rFonts w:hint="eastAsia"/>
                <w:color w:val="auto"/>
                <w:highlight w:val="none"/>
                <w:lang w:val="en-US" w:eastAsia="zh-CN"/>
              </w:rPr>
              <w:t>/</w:t>
            </w:r>
          </w:p>
        </w:tc>
        <w:tc>
          <w:tcPr>
            <w:tcW w:w="1959" w:type="dxa"/>
            <w:shd w:val="clear" w:color="auto" w:fill="auto"/>
            <w:noWrap w:val="0"/>
            <w:vAlign w:val="center"/>
          </w:tcPr>
          <w:p w14:paraId="0E307F21">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0.4343</w:t>
            </w:r>
          </w:p>
        </w:tc>
        <w:tc>
          <w:tcPr>
            <w:tcW w:w="1122" w:type="dxa"/>
            <w:shd w:val="clear" w:color="auto" w:fill="auto"/>
            <w:noWrap w:val="0"/>
            <w:vAlign w:val="center"/>
          </w:tcPr>
          <w:p w14:paraId="0CF7DCE8">
            <w:pPr>
              <w:pStyle w:val="74"/>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+0.4303</w:t>
            </w:r>
          </w:p>
        </w:tc>
      </w:tr>
      <w:tr w14:paraId="60CB9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72E8E8DF">
            <w:pPr>
              <w:pStyle w:val="74"/>
              <w:bidi w:val="0"/>
              <w:rPr>
                <w:rFonts w:hint="eastAsia"/>
                <w:color w:val="auto"/>
                <w:lang w:val="en-US" w:eastAsia="zh-CN"/>
              </w:rPr>
            </w:pPr>
          </w:p>
        </w:tc>
        <w:tc>
          <w:tcPr>
            <w:tcW w:w="2145" w:type="dxa"/>
            <w:noWrap w:val="0"/>
            <w:vAlign w:val="center"/>
          </w:tcPr>
          <w:p w14:paraId="159C0504">
            <w:pPr>
              <w:pStyle w:val="74"/>
              <w:bidi w:val="0"/>
              <w:rPr>
                <w:rFonts w:hint="default"/>
                <w:color w:val="auto"/>
                <w:highlight w:val="none"/>
                <w:lang w:val="en-US" w:eastAsia="zh-CN"/>
              </w:rPr>
            </w:pPr>
            <w:r>
              <w:rPr>
                <w:rFonts w:hint="eastAsia"/>
                <w:color w:val="auto"/>
                <w:highlight w:val="none"/>
                <w:lang w:val="en-US" w:eastAsia="zh-CN"/>
              </w:rPr>
              <w:t>苯乙烯（t/a）</w:t>
            </w:r>
          </w:p>
        </w:tc>
        <w:tc>
          <w:tcPr>
            <w:tcW w:w="1332" w:type="dxa"/>
            <w:noWrap w:val="0"/>
            <w:vAlign w:val="center"/>
          </w:tcPr>
          <w:p w14:paraId="14E09F2C">
            <w:pPr>
              <w:pStyle w:val="74"/>
              <w:bidi w:val="0"/>
              <w:rPr>
                <w:rFonts w:hint="default"/>
                <w:color w:val="auto"/>
                <w:highlight w:val="none"/>
                <w:lang w:val="en-US" w:eastAsia="zh-CN"/>
              </w:rPr>
            </w:pPr>
            <w:r>
              <w:rPr>
                <w:rFonts w:hint="eastAsia"/>
                <w:color w:val="auto"/>
                <w:highlight w:val="none"/>
                <w:lang w:val="en-US" w:eastAsia="zh-CN"/>
              </w:rPr>
              <w:t>/</w:t>
            </w:r>
          </w:p>
        </w:tc>
        <w:tc>
          <w:tcPr>
            <w:tcW w:w="1276" w:type="dxa"/>
            <w:noWrap w:val="0"/>
            <w:vAlign w:val="center"/>
          </w:tcPr>
          <w:p w14:paraId="2EBC985A">
            <w:pPr>
              <w:pStyle w:val="74"/>
              <w:bidi w:val="0"/>
              <w:rPr>
                <w:rFonts w:hint="default"/>
                <w:color w:val="auto"/>
                <w:highlight w:val="none"/>
                <w:lang w:val="en-US" w:eastAsia="zh-CN"/>
              </w:rPr>
            </w:pPr>
            <w:r>
              <w:rPr>
                <w:rFonts w:hint="eastAsia"/>
                <w:color w:val="auto"/>
                <w:highlight w:val="none"/>
                <w:lang w:val="en-US" w:eastAsia="zh-CN"/>
              </w:rPr>
              <w:t>/</w:t>
            </w:r>
          </w:p>
        </w:tc>
        <w:tc>
          <w:tcPr>
            <w:tcW w:w="1701" w:type="dxa"/>
            <w:noWrap w:val="0"/>
            <w:vAlign w:val="center"/>
          </w:tcPr>
          <w:p w14:paraId="2DD1004A">
            <w:pPr>
              <w:pStyle w:val="74"/>
              <w:bidi w:val="0"/>
              <w:rPr>
                <w:rFonts w:hint="default"/>
                <w:color w:val="auto"/>
                <w:highlight w:val="none"/>
                <w:lang w:val="en-US" w:eastAsia="zh-CN"/>
              </w:rPr>
            </w:pPr>
            <w:r>
              <w:rPr>
                <w:rFonts w:hint="eastAsia"/>
                <w:color w:val="auto"/>
                <w:highlight w:val="none"/>
                <w:lang w:val="en-US" w:eastAsia="zh-CN"/>
              </w:rPr>
              <w:t>/</w:t>
            </w:r>
          </w:p>
        </w:tc>
        <w:tc>
          <w:tcPr>
            <w:tcW w:w="1559" w:type="dxa"/>
            <w:shd w:val="clear" w:color="auto" w:fill="auto"/>
            <w:noWrap w:val="0"/>
            <w:vAlign w:val="center"/>
          </w:tcPr>
          <w:p w14:paraId="1AAE2405">
            <w:pPr>
              <w:pStyle w:val="74"/>
              <w:bidi w:val="0"/>
              <w:rPr>
                <w:rFonts w:hint="default"/>
                <w:color w:val="auto"/>
                <w:highlight w:val="none"/>
                <w:lang w:val="en-US" w:eastAsia="zh-CN"/>
              </w:rPr>
            </w:pPr>
            <w:r>
              <w:rPr>
                <w:rFonts w:hint="eastAsia"/>
                <w:color w:val="auto"/>
                <w:highlight w:val="none"/>
                <w:lang w:val="en-US" w:eastAsia="zh-CN"/>
              </w:rPr>
              <w:t>0.0020</w:t>
            </w:r>
          </w:p>
        </w:tc>
        <w:tc>
          <w:tcPr>
            <w:tcW w:w="1761" w:type="dxa"/>
            <w:noWrap w:val="0"/>
            <w:vAlign w:val="center"/>
          </w:tcPr>
          <w:p w14:paraId="2A8BA774">
            <w:pPr>
              <w:pStyle w:val="74"/>
              <w:bidi w:val="0"/>
              <w:rPr>
                <w:rFonts w:hint="default"/>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7BF9CB97">
            <w:pPr>
              <w:pStyle w:val="74"/>
              <w:bidi w:val="0"/>
              <w:rPr>
                <w:rFonts w:hint="default"/>
                <w:color w:val="auto"/>
                <w:highlight w:val="none"/>
                <w:lang w:val="en-US" w:eastAsia="zh-CN"/>
              </w:rPr>
            </w:pPr>
            <w:r>
              <w:rPr>
                <w:rFonts w:hint="eastAsia"/>
                <w:color w:val="auto"/>
                <w:highlight w:val="none"/>
                <w:lang w:val="en-US" w:eastAsia="zh-CN"/>
              </w:rPr>
              <w:t>0.0020</w:t>
            </w:r>
          </w:p>
        </w:tc>
        <w:tc>
          <w:tcPr>
            <w:tcW w:w="1122" w:type="dxa"/>
            <w:shd w:val="clear" w:color="auto" w:fill="auto"/>
            <w:noWrap w:val="0"/>
            <w:vAlign w:val="center"/>
          </w:tcPr>
          <w:p w14:paraId="05DDF620">
            <w:pPr>
              <w:pStyle w:val="74"/>
              <w:bidi w:val="0"/>
              <w:rPr>
                <w:rFonts w:hint="default"/>
                <w:color w:val="auto"/>
                <w:highlight w:val="none"/>
                <w:lang w:val="en-US" w:eastAsia="zh-CN"/>
              </w:rPr>
            </w:pPr>
            <w:r>
              <w:rPr>
                <w:rFonts w:hint="eastAsia"/>
                <w:color w:val="auto"/>
                <w:highlight w:val="none"/>
                <w:lang w:val="en-US" w:eastAsia="zh-CN"/>
              </w:rPr>
              <w:t>+0.0020</w:t>
            </w:r>
          </w:p>
        </w:tc>
      </w:tr>
      <w:tr w14:paraId="71E48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572D42D4">
            <w:pPr>
              <w:pStyle w:val="74"/>
              <w:bidi w:val="0"/>
              <w:rPr>
                <w:rFonts w:hint="eastAsia"/>
                <w:color w:val="auto"/>
                <w:lang w:val="en-US" w:eastAsia="zh-CN"/>
              </w:rPr>
            </w:pPr>
          </w:p>
        </w:tc>
        <w:tc>
          <w:tcPr>
            <w:tcW w:w="2145" w:type="dxa"/>
            <w:noWrap w:val="0"/>
            <w:vAlign w:val="center"/>
          </w:tcPr>
          <w:p w14:paraId="56101E3F">
            <w:pPr>
              <w:pStyle w:val="74"/>
              <w:bidi w:val="0"/>
              <w:rPr>
                <w:rFonts w:hint="default"/>
                <w:color w:val="auto"/>
                <w:highlight w:val="none"/>
                <w:lang w:val="en-US" w:eastAsia="zh-CN"/>
              </w:rPr>
            </w:pPr>
            <w:r>
              <w:rPr>
                <w:rFonts w:hint="eastAsia"/>
                <w:color w:val="auto"/>
                <w:highlight w:val="none"/>
                <w:lang w:val="en-US" w:eastAsia="zh-CN"/>
              </w:rPr>
              <w:t>丙烯腈（t/a）</w:t>
            </w:r>
          </w:p>
        </w:tc>
        <w:tc>
          <w:tcPr>
            <w:tcW w:w="1332" w:type="dxa"/>
            <w:noWrap w:val="0"/>
            <w:vAlign w:val="center"/>
          </w:tcPr>
          <w:p w14:paraId="49B0260C">
            <w:pPr>
              <w:pStyle w:val="74"/>
              <w:bidi w:val="0"/>
              <w:rPr>
                <w:rFonts w:hint="default"/>
                <w:color w:val="auto"/>
                <w:highlight w:val="none"/>
                <w:lang w:val="en-US" w:eastAsia="zh-CN"/>
              </w:rPr>
            </w:pPr>
            <w:r>
              <w:rPr>
                <w:rFonts w:hint="eastAsia"/>
                <w:color w:val="auto"/>
                <w:highlight w:val="none"/>
                <w:lang w:val="en-US" w:eastAsia="zh-CN"/>
              </w:rPr>
              <w:t>/</w:t>
            </w:r>
          </w:p>
        </w:tc>
        <w:tc>
          <w:tcPr>
            <w:tcW w:w="1276" w:type="dxa"/>
            <w:noWrap w:val="0"/>
            <w:vAlign w:val="center"/>
          </w:tcPr>
          <w:p w14:paraId="2F0F98E2">
            <w:pPr>
              <w:pStyle w:val="74"/>
              <w:bidi w:val="0"/>
              <w:rPr>
                <w:rFonts w:hint="default"/>
                <w:color w:val="auto"/>
                <w:highlight w:val="none"/>
                <w:lang w:val="en-US" w:eastAsia="zh-CN"/>
              </w:rPr>
            </w:pPr>
            <w:r>
              <w:rPr>
                <w:rFonts w:hint="eastAsia"/>
                <w:color w:val="auto"/>
                <w:highlight w:val="none"/>
                <w:lang w:val="en-US" w:eastAsia="zh-CN"/>
              </w:rPr>
              <w:t>/</w:t>
            </w:r>
          </w:p>
        </w:tc>
        <w:tc>
          <w:tcPr>
            <w:tcW w:w="1701" w:type="dxa"/>
            <w:noWrap w:val="0"/>
            <w:vAlign w:val="center"/>
          </w:tcPr>
          <w:p w14:paraId="6FE911D7">
            <w:pPr>
              <w:pStyle w:val="74"/>
              <w:bidi w:val="0"/>
              <w:rPr>
                <w:rFonts w:hint="default"/>
                <w:color w:val="auto"/>
                <w:highlight w:val="none"/>
                <w:lang w:val="en-US" w:eastAsia="zh-CN"/>
              </w:rPr>
            </w:pPr>
            <w:r>
              <w:rPr>
                <w:rFonts w:hint="eastAsia"/>
                <w:color w:val="auto"/>
                <w:highlight w:val="none"/>
                <w:lang w:val="en-US" w:eastAsia="zh-CN"/>
              </w:rPr>
              <w:t>/</w:t>
            </w:r>
          </w:p>
        </w:tc>
        <w:tc>
          <w:tcPr>
            <w:tcW w:w="1559" w:type="dxa"/>
            <w:shd w:val="clear" w:color="auto" w:fill="auto"/>
            <w:noWrap w:val="0"/>
            <w:vAlign w:val="center"/>
          </w:tcPr>
          <w:p w14:paraId="0BB5FEC1">
            <w:pPr>
              <w:pStyle w:val="74"/>
              <w:bidi w:val="0"/>
              <w:rPr>
                <w:rFonts w:hint="default"/>
                <w:color w:val="auto"/>
                <w:highlight w:val="none"/>
                <w:lang w:val="en-US" w:eastAsia="zh-CN"/>
              </w:rPr>
            </w:pPr>
            <w:r>
              <w:rPr>
                <w:rFonts w:hint="eastAsia"/>
                <w:color w:val="auto"/>
                <w:highlight w:val="none"/>
                <w:lang w:val="en-US" w:eastAsia="zh-CN"/>
              </w:rPr>
              <w:t>0.0020</w:t>
            </w:r>
          </w:p>
        </w:tc>
        <w:tc>
          <w:tcPr>
            <w:tcW w:w="1761" w:type="dxa"/>
            <w:noWrap w:val="0"/>
            <w:vAlign w:val="center"/>
          </w:tcPr>
          <w:p w14:paraId="10B105C6">
            <w:pPr>
              <w:pStyle w:val="74"/>
              <w:bidi w:val="0"/>
              <w:rPr>
                <w:rFonts w:hint="default"/>
                <w:color w:val="auto"/>
                <w:highlight w:val="none"/>
                <w:lang w:val="en-US" w:eastAsia="zh-CN"/>
              </w:rPr>
            </w:pPr>
            <w:r>
              <w:rPr>
                <w:rFonts w:hint="eastAsia"/>
                <w:color w:val="auto"/>
                <w:highlight w:val="none"/>
                <w:lang w:val="en-US" w:eastAsia="zh-CN"/>
              </w:rPr>
              <w:t>/</w:t>
            </w:r>
          </w:p>
        </w:tc>
        <w:tc>
          <w:tcPr>
            <w:tcW w:w="1959" w:type="dxa"/>
            <w:shd w:val="clear" w:color="auto" w:fill="auto"/>
            <w:noWrap w:val="0"/>
            <w:vAlign w:val="center"/>
          </w:tcPr>
          <w:p w14:paraId="12E0E4DE">
            <w:pPr>
              <w:pStyle w:val="74"/>
              <w:bidi w:val="0"/>
              <w:rPr>
                <w:rFonts w:hint="default"/>
                <w:color w:val="auto"/>
                <w:highlight w:val="none"/>
                <w:lang w:val="en-US" w:eastAsia="zh-CN"/>
              </w:rPr>
            </w:pPr>
            <w:r>
              <w:rPr>
                <w:rFonts w:hint="eastAsia"/>
                <w:color w:val="auto"/>
                <w:highlight w:val="none"/>
                <w:lang w:val="en-US" w:eastAsia="zh-CN"/>
              </w:rPr>
              <w:t>0.0020</w:t>
            </w:r>
          </w:p>
        </w:tc>
        <w:tc>
          <w:tcPr>
            <w:tcW w:w="1122" w:type="dxa"/>
            <w:shd w:val="clear" w:color="auto" w:fill="auto"/>
            <w:noWrap w:val="0"/>
            <w:vAlign w:val="center"/>
          </w:tcPr>
          <w:p w14:paraId="7BA21E18">
            <w:pPr>
              <w:pStyle w:val="74"/>
              <w:bidi w:val="0"/>
              <w:rPr>
                <w:rFonts w:hint="default"/>
                <w:color w:val="auto"/>
                <w:highlight w:val="none"/>
                <w:lang w:val="en-US" w:eastAsia="zh-CN"/>
              </w:rPr>
            </w:pPr>
            <w:r>
              <w:rPr>
                <w:rFonts w:hint="eastAsia"/>
                <w:color w:val="auto"/>
                <w:highlight w:val="none"/>
                <w:lang w:val="en-US" w:eastAsia="zh-CN"/>
              </w:rPr>
              <w:t>+0.0020</w:t>
            </w:r>
          </w:p>
        </w:tc>
      </w:tr>
      <w:tr w14:paraId="2A22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43D208D5">
            <w:pPr>
              <w:pStyle w:val="74"/>
              <w:bidi w:val="0"/>
              <w:rPr>
                <w:rFonts w:hint="eastAsia"/>
                <w:color w:val="auto"/>
                <w:lang w:val="en-US" w:eastAsia="zh-CN"/>
              </w:rPr>
            </w:pPr>
          </w:p>
        </w:tc>
        <w:tc>
          <w:tcPr>
            <w:tcW w:w="2145" w:type="dxa"/>
            <w:noWrap w:val="0"/>
            <w:vAlign w:val="center"/>
          </w:tcPr>
          <w:p w14:paraId="328C3C6F">
            <w:pPr>
              <w:pStyle w:val="74"/>
              <w:bidi w:val="0"/>
              <w:rPr>
                <w:rFonts w:hint="default" w:eastAsia="宋体"/>
                <w:color w:val="auto"/>
                <w:lang w:val="en-US" w:eastAsia="zh-CN"/>
              </w:rPr>
            </w:pPr>
            <w:r>
              <w:rPr>
                <w:rFonts w:hint="eastAsia"/>
                <w:color w:val="auto"/>
                <w:lang w:val="en-US" w:eastAsia="zh-CN"/>
              </w:rPr>
              <w:t>颗粒物（kg/a）</w:t>
            </w:r>
          </w:p>
        </w:tc>
        <w:tc>
          <w:tcPr>
            <w:tcW w:w="1332" w:type="dxa"/>
            <w:noWrap w:val="0"/>
            <w:vAlign w:val="center"/>
          </w:tcPr>
          <w:p w14:paraId="28069C64">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05C8FFC6">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63DAB1EB">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7C0A6B1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c>
          <w:tcPr>
            <w:tcW w:w="1761" w:type="dxa"/>
            <w:noWrap w:val="0"/>
            <w:vAlign w:val="center"/>
          </w:tcPr>
          <w:p w14:paraId="776C0EB4">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1BBBD7B2">
            <w:pPr>
              <w:pStyle w:val="74"/>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c>
          <w:tcPr>
            <w:tcW w:w="1122" w:type="dxa"/>
            <w:shd w:val="clear" w:color="auto" w:fill="auto"/>
            <w:noWrap w:val="0"/>
            <w:vAlign w:val="center"/>
          </w:tcPr>
          <w:p w14:paraId="094B0AEE">
            <w:pPr>
              <w:pStyle w:val="74"/>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+0.1016</w:t>
            </w:r>
          </w:p>
        </w:tc>
      </w:tr>
      <w:tr w14:paraId="194FB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7A817273">
            <w:pPr>
              <w:pStyle w:val="74"/>
              <w:bidi w:val="0"/>
              <w:rPr>
                <w:color w:val="auto"/>
              </w:rPr>
            </w:pPr>
            <w:r>
              <w:rPr>
                <w:color w:val="auto"/>
              </w:rPr>
              <w:t>废水</w:t>
            </w:r>
          </w:p>
        </w:tc>
        <w:tc>
          <w:tcPr>
            <w:tcW w:w="2145" w:type="dxa"/>
            <w:noWrap w:val="0"/>
            <w:vAlign w:val="center"/>
          </w:tcPr>
          <w:p w14:paraId="27F96A43">
            <w:pPr>
              <w:pStyle w:val="74"/>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103D1696">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18E22812">
            <w:pPr>
              <w:pStyle w:val="74"/>
              <w:bidi w:val="0"/>
              <w:rPr>
                <w:color w:val="auto"/>
              </w:rPr>
            </w:pPr>
            <w:r>
              <w:rPr>
                <w:rFonts w:hint="eastAsia"/>
                <w:color w:val="auto"/>
                <w:lang w:val="en-US" w:eastAsia="zh-CN"/>
              </w:rPr>
              <w:t>/</w:t>
            </w:r>
          </w:p>
        </w:tc>
        <w:tc>
          <w:tcPr>
            <w:tcW w:w="1701" w:type="dxa"/>
            <w:noWrap w:val="0"/>
            <w:vAlign w:val="center"/>
          </w:tcPr>
          <w:p w14:paraId="3CCB9697">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675C6A73">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761" w:type="dxa"/>
            <w:noWrap w:val="0"/>
            <w:vAlign w:val="center"/>
          </w:tcPr>
          <w:p w14:paraId="1755F35B">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7FC1CCB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122" w:type="dxa"/>
            <w:shd w:val="clear" w:color="auto" w:fill="auto"/>
            <w:noWrap w:val="0"/>
            <w:vAlign w:val="center"/>
          </w:tcPr>
          <w:p w14:paraId="16854B84">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r>
      <w:tr w14:paraId="2A00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F1E6C82">
            <w:pPr>
              <w:pStyle w:val="74"/>
              <w:bidi w:val="0"/>
              <w:rPr>
                <w:color w:val="auto"/>
              </w:rPr>
            </w:pPr>
          </w:p>
        </w:tc>
        <w:tc>
          <w:tcPr>
            <w:tcW w:w="2145" w:type="dxa"/>
            <w:noWrap w:val="0"/>
            <w:vAlign w:val="center"/>
          </w:tcPr>
          <w:p w14:paraId="7B205CF3">
            <w:pPr>
              <w:pStyle w:val="74"/>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332" w:type="dxa"/>
            <w:noWrap w:val="0"/>
            <w:vAlign w:val="center"/>
          </w:tcPr>
          <w:p w14:paraId="3E6C1900">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27C16663">
            <w:pPr>
              <w:pStyle w:val="74"/>
              <w:bidi w:val="0"/>
              <w:rPr>
                <w:color w:val="auto"/>
              </w:rPr>
            </w:pPr>
            <w:r>
              <w:rPr>
                <w:rFonts w:hint="eastAsia"/>
                <w:color w:val="auto"/>
                <w:lang w:val="en-US" w:eastAsia="zh-CN"/>
              </w:rPr>
              <w:t>/</w:t>
            </w:r>
          </w:p>
        </w:tc>
        <w:tc>
          <w:tcPr>
            <w:tcW w:w="1701" w:type="dxa"/>
            <w:noWrap w:val="0"/>
            <w:vAlign w:val="center"/>
          </w:tcPr>
          <w:p w14:paraId="6E8648B2">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D198027">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c>
          <w:tcPr>
            <w:tcW w:w="1761" w:type="dxa"/>
            <w:noWrap w:val="0"/>
            <w:vAlign w:val="center"/>
          </w:tcPr>
          <w:p w14:paraId="1B776C16">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19C0085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c>
          <w:tcPr>
            <w:tcW w:w="1122" w:type="dxa"/>
            <w:shd w:val="clear" w:color="auto" w:fill="auto"/>
            <w:noWrap w:val="0"/>
            <w:vAlign w:val="center"/>
          </w:tcPr>
          <w:p w14:paraId="7F7FDD6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+0.0337</w:t>
            </w:r>
          </w:p>
        </w:tc>
      </w:tr>
      <w:tr w14:paraId="2C75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573C810A">
            <w:pPr>
              <w:pStyle w:val="74"/>
              <w:bidi w:val="0"/>
              <w:rPr>
                <w:color w:val="auto"/>
              </w:rPr>
            </w:pPr>
          </w:p>
        </w:tc>
        <w:tc>
          <w:tcPr>
            <w:tcW w:w="2145" w:type="dxa"/>
            <w:noWrap w:val="0"/>
            <w:vAlign w:val="center"/>
          </w:tcPr>
          <w:p w14:paraId="293B86E4">
            <w:pPr>
              <w:pStyle w:val="74"/>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117B2D7B">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4298D7B3">
            <w:pPr>
              <w:pStyle w:val="74"/>
              <w:bidi w:val="0"/>
              <w:rPr>
                <w:color w:val="auto"/>
              </w:rPr>
            </w:pPr>
            <w:r>
              <w:rPr>
                <w:rFonts w:hint="eastAsia"/>
                <w:color w:val="auto"/>
                <w:lang w:val="en-US" w:eastAsia="zh-CN"/>
              </w:rPr>
              <w:t>/</w:t>
            </w:r>
          </w:p>
        </w:tc>
        <w:tc>
          <w:tcPr>
            <w:tcW w:w="1701" w:type="dxa"/>
            <w:noWrap w:val="0"/>
            <w:vAlign w:val="center"/>
          </w:tcPr>
          <w:p w14:paraId="70A68D9D">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CD46FD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c>
          <w:tcPr>
            <w:tcW w:w="1761" w:type="dxa"/>
            <w:noWrap w:val="0"/>
            <w:vAlign w:val="center"/>
          </w:tcPr>
          <w:p w14:paraId="7F2A6589">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E0AC575">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c>
          <w:tcPr>
            <w:tcW w:w="1122" w:type="dxa"/>
            <w:shd w:val="clear" w:color="auto" w:fill="auto"/>
            <w:noWrap w:val="0"/>
            <w:vAlign w:val="center"/>
          </w:tcPr>
          <w:p w14:paraId="57B58689">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+0.0252</w:t>
            </w:r>
          </w:p>
        </w:tc>
      </w:tr>
      <w:tr w14:paraId="6106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29" w:type="dxa"/>
            <w:vMerge w:val="continue"/>
            <w:noWrap w:val="0"/>
            <w:vAlign w:val="center"/>
          </w:tcPr>
          <w:p w14:paraId="15E4FA04">
            <w:pPr>
              <w:pStyle w:val="74"/>
              <w:bidi w:val="0"/>
              <w:rPr>
                <w:color w:val="auto"/>
              </w:rPr>
            </w:pPr>
          </w:p>
        </w:tc>
        <w:tc>
          <w:tcPr>
            <w:tcW w:w="2145" w:type="dxa"/>
            <w:noWrap w:val="0"/>
            <w:vAlign w:val="center"/>
          </w:tcPr>
          <w:p w14:paraId="55889C40">
            <w:pPr>
              <w:pStyle w:val="74"/>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4677B5D9">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0FF5A504">
            <w:pPr>
              <w:pStyle w:val="74"/>
              <w:bidi w:val="0"/>
              <w:rPr>
                <w:color w:val="auto"/>
              </w:rPr>
            </w:pPr>
            <w:r>
              <w:rPr>
                <w:rFonts w:hint="eastAsia"/>
                <w:color w:val="auto"/>
                <w:lang w:val="en-US" w:eastAsia="zh-CN"/>
              </w:rPr>
              <w:t>/</w:t>
            </w:r>
          </w:p>
        </w:tc>
        <w:tc>
          <w:tcPr>
            <w:tcW w:w="1701" w:type="dxa"/>
            <w:noWrap w:val="0"/>
            <w:vAlign w:val="center"/>
          </w:tcPr>
          <w:p w14:paraId="2693660C">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0E7A8CE">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c>
          <w:tcPr>
            <w:tcW w:w="1761" w:type="dxa"/>
            <w:noWrap w:val="0"/>
            <w:vAlign w:val="center"/>
          </w:tcPr>
          <w:p w14:paraId="1415276B">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2C18480F">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c>
          <w:tcPr>
            <w:tcW w:w="1122" w:type="dxa"/>
            <w:shd w:val="clear" w:color="auto" w:fill="auto"/>
            <w:noWrap w:val="0"/>
            <w:vAlign w:val="center"/>
          </w:tcPr>
          <w:p w14:paraId="7AB9018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+0.0086</w:t>
            </w:r>
          </w:p>
        </w:tc>
      </w:tr>
      <w:tr w14:paraId="47BE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6D3D45B1">
            <w:pPr>
              <w:pStyle w:val="74"/>
              <w:bidi w:val="0"/>
              <w:rPr>
                <w:color w:val="auto"/>
              </w:rPr>
            </w:pPr>
            <w:r>
              <w:rPr>
                <w:color w:val="auto"/>
              </w:rPr>
              <w:t>一般工业</w:t>
            </w:r>
          </w:p>
          <w:p w14:paraId="00513C34">
            <w:pPr>
              <w:pStyle w:val="74"/>
              <w:bidi w:val="0"/>
              <w:rPr>
                <w:color w:val="auto"/>
              </w:rPr>
            </w:pPr>
            <w:r>
              <w:rPr>
                <w:color w:val="auto"/>
              </w:rPr>
              <w:t>固体废物</w:t>
            </w:r>
          </w:p>
        </w:tc>
        <w:tc>
          <w:tcPr>
            <w:tcW w:w="2145" w:type="dxa"/>
            <w:noWrap w:val="0"/>
            <w:vAlign w:val="center"/>
          </w:tcPr>
          <w:p w14:paraId="5A3D5710">
            <w:pPr>
              <w:pStyle w:val="74"/>
              <w:bidi w:val="0"/>
              <w:rPr>
                <w:rFonts w:hint="default"/>
                <w:color w:val="auto"/>
                <w:lang w:val="en-US" w:eastAsia="zh-CN"/>
              </w:rPr>
            </w:pPr>
            <w:r>
              <w:rPr>
                <w:rFonts w:hint="eastAsia"/>
                <w:color w:val="auto"/>
                <w:lang w:val="en-US" w:eastAsia="zh-CN"/>
              </w:rPr>
              <w:t>塑料边角料及不合格产品（t/a）</w:t>
            </w:r>
          </w:p>
        </w:tc>
        <w:tc>
          <w:tcPr>
            <w:tcW w:w="1332" w:type="dxa"/>
            <w:noWrap w:val="0"/>
            <w:vAlign w:val="center"/>
          </w:tcPr>
          <w:p w14:paraId="69A1AFF1">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3EB838C8">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40A7D832">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364F7116">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c>
          <w:tcPr>
            <w:tcW w:w="1761" w:type="dxa"/>
            <w:noWrap w:val="0"/>
            <w:vAlign w:val="center"/>
          </w:tcPr>
          <w:p w14:paraId="703DA217">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434B3B9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c>
          <w:tcPr>
            <w:tcW w:w="1122" w:type="dxa"/>
            <w:shd w:val="clear" w:color="auto" w:fill="auto"/>
            <w:noWrap w:val="0"/>
            <w:vAlign w:val="center"/>
          </w:tcPr>
          <w:p w14:paraId="528039E2">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+0.996</w:t>
            </w:r>
          </w:p>
        </w:tc>
      </w:tr>
      <w:tr w14:paraId="09E79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0501EB75">
            <w:pPr>
              <w:pStyle w:val="74"/>
              <w:bidi w:val="0"/>
              <w:rPr>
                <w:color w:val="auto"/>
              </w:rPr>
            </w:pPr>
          </w:p>
        </w:tc>
        <w:tc>
          <w:tcPr>
            <w:tcW w:w="2145" w:type="dxa"/>
            <w:noWrap w:val="0"/>
            <w:vAlign w:val="center"/>
          </w:tcPr>
          <w:p w14:paraId="6949F011">
            <w:pPr>
              <w:pStyle w:val="74"/>
              <w:bidi w:val="0"/>
              <w:rPr>
                <w:rFonts w:hint="default"/>
                <w:color w:val="auto"/>
                <w:lang w:val="en-US" w:eastAsia="zh-CN"/>
              </w:rPr>
            </w:pPr>
            <w:r>
              <w:rPr>
                <w:rFonts w:hint="eastAsia"/>
                <w:color w:val="auto"/>
                <w:lang w:val="en-US" w:eastAsia="zh-CN"/>
              </w:rPr>
              <w:t>废包装材料（t/a）</w:t>
            </w:r>
          </w:p>
        </w:tc>
        <w:tc>
          <w:tcPr>
            <w:tcW w:w="1332" w:type="dxa"/>
            <w:noWrap w:val="0"/>
            <w:vAlign w:val="center"/>
          </w:tcPr>
          <w:p w14:paraId="5E9E928E">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7FF793F7">
            <w:pPr>
              <w:pStyle w:val="74"/>
              <w:bidi w:val="0"/>
              <w:rPr>
                <w:rFonts w:hint="default"/>
                <w:color w:val="auto"/>
                <w:lang w:val="en-US" w:eastAsia="zh-CN"/>
              </w:rPr>
            </w:pPr>
            <w:r>
              <w:rPr>
                <w:rFonts w:hint="eastAsia"/>
                <w:color w:val="auto"/>
                <w:lang w:val="en-US" w:eastAsia="zh-CN"/>
              </w:rPr>
              <w:t>/</w:t>
            </w:r>
          </w:p>
        </w:tc>
        <w:tc>
          <w:tcPr>
            <w:tcW w:w="1701" w:type="dxa"/>
            <w:noWrap w:val="0"/>
            <w:vAlign w:val="center"/>
          </w:tcPr>
          <w:p w14:paraId="12F7B53F">
            <w:pPr>
              <w:pStyle w:val="74"/>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6E6AB16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c>
          <w:tcPr>
            <w:tcW w:w="1761" w:type="dxa"/>
            <w:noWrap w:val="0"/>
            <w:vAlign w:val="center"/>
          </w:tcPr>
          <w:p w14:paraId="780BAAB9">
            <w:pPr>
              <w:pStyle w:val="74"/>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56C767D3">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c>
          <w:tcPr>
            <w:tcW w:w="1122" w:type="dxa"/>
            <w:shd w:val="clear" w:color="auto" w:fill="auto"/>
            <w:noWrap w:val="0"/>
            <w:vAlign w:val="center"/>
          </w:tcPr>
          <w:p w14:paraId="2F9E8675">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r>
      <w:tr w14:paraId="137B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6D19B50">
            <w:pPr>
              <w:pStyle w:val="74"/>
              <w:bidi w:val="0"/>
              <w:rPr>
                <w:color w:val="auto"/>
              </w:rPr>
            </w:pPr>
            <w:r>
              <w:rPr>
                <w:color w:val="auto"/>
              </w:rPr>
              <w:t>危险废物</w:t>
            </w:r>
          </w:p>
        </w:tc>
        <w:tc>
          <w:tcPr>
            <w:tcW w:w="2145" w:type="dxa"/>
            <w:noWrap w:val="0"/>
            <w:vAlign w:val="center"/>
          </w:tcPr>
          <w:p w14:paraId="3C43A3C1">
            <w:pPr>
              <w:pStyle w:val="74"/>
              <w:bidi w:val="0"/>
              <w:rPr>
                <w:color w:val="auto"/>
                <w:lang w:val="en-US" w:eastAsia="zh-CN"/>
              </w:rPr>
            </w:pPr>
            <w:r>
              <w:rPr>
                <w:rFonts w:hint="eastAsia"/>
                <w:color w:val="auto"/>
                <w:lang w:val="en-US" w:eastAsia="zh-CN"/>
              </w:rPr>
              <w:t>废活性炭（t/a）</w:t>
            </w:r>
          </w:p>
        </w:tc>
        <w:tc>
          <w:tcPr>
            <w:tcW w:w="1332" w:type="dxa"/>
            <w:noWrap w:val="0"/>
            <w:vAlign w:val="center"/>
          </w:tcPr>
          <w:p w14:paraId="21699A1E">
            <w:pPr>
              <w:pStyle w:val="74"/>
              <w:bidi w:val="0"/>
              <w:rPr>
                <w:rFonts w:hint="eastAsia"/>
                <w:color w:val="auto"/>
                <w:lang w:eastAsia="zh-CN"/>
              </w:rPr>
            </w:pPr>
            <w:r>
              <w:rPr>
                <w:rFonts w:hint="eastAsia"/>
                <w:color w:val="auto"/>
                <w:lang w:val="en-US" w:eastAsia="zh-CN"/>
              </w:rPr>
              <w:t>/</w:t>
            </w:r>
          </w:p>
        </w:tc>
        <w:tc>
          <w:tcPr>
            <w:tcW w:w="1276" w:type="dxa"/>
            <w:noWrap w:val="0"/>
            <w:vAlign w:val="center"/>
          </w:tcPr>
          <w:p w14:paraId="5DBD1C34">
            <w:pPr>
              <w:pStyle w:val="74"/>
              <w:bidi w:val="0"/>
              <w:rPr>
                <w:color w:val="auto"/>
              </w:rPr>
            </w:pPr>
            <w:r>
              <w:rPr>
                <w:rFonts w:hint="eastAsia"/>
                <w:color w:val="auto"/>
                <w:lang w:val="en-US" w:eastAsia="zh-CN"/>
              </w:rPr>
              <w:t>/</w:t>
            </w:r>
          </w:p>
        </w:tc>
        <w:tc>
          <w:tcPr>
            <w:tcW w:w="1701" w:type="dxa"/>
            <w:noWrap w:val="0"/>
            <w:vAlign w:val="center"/>
          </w:tcPr>
          <w:p w14:paraId="18418B77">
            <w:pPr>
              <w:pStyle w:val="74"/>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320D2E5A">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c>
          <w:tcPr>
            <w:tcW w:w="1761" w:type="dxa"/>
            <w:noWrap w:val="0"/>
            <w:vAlign w:val="center"/>
          </w:tcPr>
          <w:p w14:paraId="03EBF6B1">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1FB4AC5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c>
          <w:tcPr>
            <w:tcW w:w="1122" w:type="dxa"/>
            <w:shd w:val="clear" w:color="auto" w:fill="auto"/>
            <w:noWrap w:val="0"/>
            <w:vAlign w:val="center"/>
          </w:tcPr>
          <w:p w14:paraId="1BF46572">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+2.7967</w:t>
            </w:r>
          </w:p>
        </w:tc>
      </w:tr>
      <w:tr w14:paraId="6C07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264ED14">
            <w:pPr>
              <w:pStyle w:val="74"/>
              <w:bidi w:val="0"/>
              <w:rPr>
                <w:color w:val="auto"/>
              </w:rPr>
            </w:pPr>
          </w:p>
        </w:tc>
        <w:tc>
          <w:tcPr>
            <w:tcW w:w="2145" w:type="dxa"/>
            <w:noWrap w:val="0"/>
            <w:vAlign w:val="center"/>
          </w:tcPr>
          <w:p w14:paraId="286B3594">
            <w:pPr>
              <w:pStyle w:val="51"/>
              <w:bidi w:val="0"/>
              <w:rPr>
                <w:rFonts w:hint="eastAsia"/>
                <w:color w:val="auto"/>
                <w:lang w:val="en-US" w:eastAsia="zh-CN"/>
              </w:rPr>
            </w:pPr>
            <w:r>
              <w:rPr>
                <w:rFonts w:hint="eastAsia"/>
                <w:color w:val="auto"/>
                <w:lang w:val="en-US" w:eastAsia="zh-CN"/>
              </w:rPr>
              <w:t>废机油（t/a）</w:t>
            </w:r>
          </w:p>
        </w:tc>
        <w:tc>
          <w:tcPr>
            <w:tcW w:w="1332" w:type="dxa"/>
            <w:noWrap w:val="0"/>
            <w:vAlign w:val="center"/>
          </w:tcPr>
          <w:p w14:paraId="5DC3A9BC">
            <w:pPr>
              <w:pStyle w:val="74"/>
              <w:bidi w:val="0"/>
              <w:rPr>
                <w:rFonts w:hint="eastAsia"/>
                <w:color w:val="auto"/>
                <w:lang w:val="en-US" w:eastAsia="zh-CN"/>
              </w:rPr>
            </w:pPr>
            <w:r>
              <w:rPr>
                <w:rFonts w:hint="eastAsia"/>
                <w:color w:val="auto"/>
                <w:lang w:val="en-US" w:eastAsia="zh-CN"/>
              </w:rPr>
              <w:t>/</w:t>
            </w:r>
          </w:p>
        </w:tc>
        <w:tc>
          <w:tcPr>
            <w:tcW w:w="1276" w:type="dxa"/>
            <w:noWrap w:val="0"/>
            <w:vAlign w:val="center"/>
          </w:tcPr>
          <w:p w14:paraId="53E4E992">
            <w:pPr>
              <w:pStyle w:val="74"/>
              <w:bidi w:val="0"/>
              <w:rPr>
                <w:rFonts w:hint="eastAsia"/>
                <w:color w:val="auto"/>
                <w:lang w:val="en-US" w:eastAsia="zh-CN"/>
              </w:rPr>
            </w:pPr>
            <w:r>
              <w:rPr>
                <w:rFonts w:hint="eastAsia"/>
                <w:color w:val="auto"/>
                <w:lang w:val="en-US" w:eastAsia="zh-CN"/>
              </w:rPr>
              <w:t>/</w:t>
            </w:r>
          </w:p>
        </w:tc>
        <w:tc>
          <w:tcPr>
            <w:tcW w:w="1701" w:type="dxa"/>
            <w:noWrap w:val="0"/>
            <w:vAlign w:val="center"/>
          </w:tcPr>
          <w:p w14:paraId="38D4B53F">
            <w:pPr>
              <w:pStyle w:val="74"/>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CECA03D">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761" w:type="dxa"/>
            <w:noWrap w:val="0"/>
            <w:vAlign w:val="center"/>
          </w:tcPr>
          <w:p w14:paraId="7CCA27C0">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FBB7BA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122" w:type="dxa"/>
            <w:shd w:val="clear" w:color="auto" w:fill="auto"/>
            <w:noWrap w:val="0"/>
            <w:vAlign w:val="center"/>
          </w:tcPr>
          <w:p w14:paraId="545C474C">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r>
      <w:tr w14:paraId="4630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195CF4D9">
            <w:pPr>
              <w:pStyle w:val="74"/>
              <w:bidi w:val="0"/>
              <w:rPr>
                <w:rFonts w:hint="eastAsia"/>
                <w:color w:val="auto"/>
                <w:lang w:val="en-US" w:eastAsia="zh-CN"/>
              </w:rPr>
            </w:pPr>
            <w:r>
              <w:rPr>
                <w:rFonts w:hint="eastAsia"/>
                <w:color w:val="auto"/>
                <w:lang w:val="en-US" w:eastAsia="zh-CN"/>
              </w:rPr>
              <w:t>生活垃圾</w:t>
            </w:r>
          </w:p>
        </w:tc>
        <w:tc>
          <w:tcPr>
            <w:tcW w:w="2145" w:type="dxa"/>
            <w:noWrap w:val="0"/>
            <w:vAlign w:val="center"/>
          </w:tcPr>
          <w:p w14:paraId="3903F746">
            <w:pPr>
              <w:pStyle w:val="74"/>
              <w:bidi w:val="0"/>
              <w:rPr>
                <w:rFonts w:hint="eastAsia"/>
                <w:color w:val="auto"/>
                <w:lang w:val="en-US" w:eastAsia="zh-CN"/>
              </w:rPr>
            </w:pPr>
            <w:r>
              <w:rPr>
                <w:rFonts w:hint="eastAsia"/>
                <w:color w:val="auto"/>
                <w:lang w:val="en-US" w:eastAsia="zh-CN"/>
              </w:rPr>
              <w:t>生活垃圾</w:t>
            </w:r>
          </w:p>
        </w:tc>
        <w:tc>
          <w:tcPr>
            <w:tcW w:w="1332" w:type="dxa"/>
            <w:noWrap w:val="0"/>
            <w:vAlign w:val="center"/>
          </w:tcPr>
          <w:p w14:paraId="1357F0A4">
            <w:pPr>
              <w:pStyle w:val="74"/>
              <w:bidi w:val="0"/>
              <w:rPr>
                <w:rFonts w:hint="default"/>
                <w:color w:val="auto"/>
                <w:lang w:val="en-US" w:eastAsia="zh-CN"/>
              </w:rPr>
            </w:pPr>
            <w:r>
              <w:rPr>
                <w:rFonts w:hint="eastAsia"/>
                <w:color w:val="auto"/>
                <w:lang w:val="en-US" w:eastAsia="zh-CN"/>
              </w:rPr>
              <w:t>/</w:t>
            </w:r>
          </w:p>
        </w:tc>
        <w:tc>
          <w:tcPr>
            <w:tcW w:w="1276" w:type="dxa"/>
            <w:noWrap w:val="0"/>
            <w:vAlign w:val="center"/>
          </w:tcPr>
          <w:p w14:paraId="67886D03">
            <w:pPr>
              <w:pStyle w:val="74"/>
              <w:bidi w:val="0"/>
              <w:rPr>
                <w:rFonts w:hint="eastAsia"/>
                <w:color w:val="auto"/>
              </w:rPr>
            </w:pPr>
            <w:r>
              <w:rPr>
                <w:rFonts w:hint="eastAsia"/>
                <w:color w:val="auto"/>
                <w:lang w:val="en-US" w:eastAsia="zh-CN"/>
              </w:rPr>
              <w:t>/</w:t>
            </w:r>
          </w:p>
        </w:tc>
        <w:tc>
          <w:tcPr>
            <w:tcW w:w="1701" w:type="dxa"/>
            <w:noWrap w:val="0"/>
            <w:vAlign w:val="center"/>
          </w:tcPr>
          <w:p w14:paraId="23B6FC1E">
            <w:pPr>
              <w:pStyle w:val="74"/>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51C36B31">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c>
          <w:tcPr>
            <w:tcW w:w="1761" w:type="dxa"/>
            <w:noWrap w:val="0"/>
            <w:vAlign w:val="center"/>
          </w:tcPr>
          <w:p w14:paraId="70AF2CD9">
            <w:pPr>
              <w:pStyle w:val="74"/>
              <w:bidi w:val="0"/>
              <w:rPr>
                <w:rFonts w:hint="eastAsia"/>
                <w:color w:val="auto"/>
              </w:rPr>
            </w:pPr>
            <w:r>
              <w:rPr>
                <w:rFonts w:hint="eastAsia"/>
                <w:color w:val="auto"/>
                <w:lang w:val="en-US" w:eastAsia="zh-CN"/>
              </w:rPr>
              <w:t>/</w:t>
            </w:r>
          </w:p>
        </w:tc>
        <w:tc>
          <w:tcPr>
            <w:tcW w:w="1959" w:type="dxa"/>
            <w:shd w:val="clear" w:color="auto" w:fill="auto"/>
            <w:noWrap w:val="0"/>
            <w:vAlign w:val="center"/>
          </w:tcPr>
          <w:p w14:paraId="58983D78">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c>
          <w:tcPr>
            <w:tcW w:w="1122" w:type="dxa"/>
            <w:shd w:val="clear" w:color="auto" w:fill="auto"/>
            <w:noWrap w:val="0"/>
            <w:vAlign w:val="center"/>
          </w:tcPr>
          <w:p w14:paraId="6D086A20">
            <w:pPr>
              <w:pStyle w:val="74"/>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+4.5</w:t>
            </w:r>
          </w:p>
        </w:tc>
      </w:tr>
    </w:tbl>
    <w:p w14:paraId="33FDDE29">
      <w:pPr>
        <w:pStyle w:val="14"/>
        <w:bidi w:val="0"/>
        <w:rPr>
          <w:color w:val="auto"/>
        </w:rPr>
        <w:sectPr>
          <w:footerReference r:id="rId5"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6740B900">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161" w:name="_Toc9717"/>
      <w:r>
        <w:drawing>
          <wp:anchor distT="0" distB="0" distL="114300" distR="114300" simplePos="0" relativeHeight="251666432" behindDoc="0" locked="0" layoutInCell="1" allowOverlap="1">
            <wp:simplePos x="0" y="0"/>
            <wp:positionH relativeFrom="column">
              <wp:posOffset>-113665</wp:posOffset>
            </wp:positionH>
            <wp:positionV relativeFrom="paragraph">
              <wp:posOffset>775970</wp:posOffset>
            </wp:positionV>
            <wp:extent cx="5891530" cy="7818120"/>
            <wp:effectExtent l="0" t="0" r="13970" b="11430"/>
            <wp:wrapNone/>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48"/>
                    <a:stretch>
                      <a:fillRect/>
                    </a:stretch>
                  </pic:blipFill>
                  <pic:spPr>
                    <a:xfrm>
                      <a:off x="0" y="0"/>
                      <a:ext cx="5891530" cy="7818120"/>
                    </a:xfrm>
                    <a:prstGeom prst="rect">
                      <a:avLst/>
                    </a:prstGeom>
                    <a:noFill/>
                    <a:ln>
                      <a:noFill/>
                    </a:ln>
                  </pic:spPr>
                </pic:pic>
              </a:graphicData>
            </a:graphic>
          </wp:anchor>
        </w:drawing>
      </w:r>
      <w:r>
        <w:rPr>
          <w:rFonts w:hint="eastAsia" w:ascii="黑体" w:hAnsi="黑体" w:eastAsia="黑体" w:cs="黑体"/>
          <w:b/>
          <w:bCs/>
          <w:sz w:val="28"/>
          <w:szCs w:val="28"/>
          <w:lang w:val="en-US" w:eastAsia="zh-CN"/>
        </w:rPr>
        <w:t>附件十一：关于环评文件公开文本删除的涉及国家秘密、商业秘密等内容的删除依据和理由说明</w:t>
      </w:r>
      <w:bookmarkEnd w:id="161"/>
    </w:p>
    <w:p w14:paraId="5BE4BE7B">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bookmarkStart w:id="162" w:name="_Toc28204"/>
      <w:bookmarkStart w:id="163" w:name="_Toc4088"/>
    </w:p>
    <w:p w14:paraId="6E061587">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65484C80">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75C279DE">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425FE0D3">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eastAsia="zh-CN"/>
        </w:rPr>
        <w:t>关于环评文件未涉及国家秘密、商业秘密等内容的</w:t>
      </w:r>
    </w:p>
    <w:p w14:paraId="664B5DA1">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eastAsia="zh-CN"/>
        </w:rPr>
        <w:t>说</w:t>
      </w:r>
      <w:r>
        <w:rPr>
          <w:rFonts w:hint="eastAsia" w:ascii="黑体" w:hAnsi="黑体" w:eastAsia="黑体" w:cs="黑体"/>
          <w:b/>
          <w:bCs/>
          <w:color w:val="auto"/>
          <w:sz w:val="36"/>
          <w:szCs w:val="36"/>
          <w:highlight w:val="none"/>
          <w:lang w:val="en-US" w:eastAsia="zh-CN"/>
        </w:rPr>
        <w:t xml:space="preserve"> </w:t>
      </w:r>
      <w:r>
        <w:rPr>
          <w:rFonts w:hint="eastAsia" w:ascii="黑体" w:hAnsi="黑体" w:eastAsia="黑体" w:cs="黑体"/>
          <w:b/>
          <w:bCs/>
          <w:color w:val="auto"/>
          <w:sz w:val="36"/>
          <w:szCs w:val="36"/>
          <w:highlight w:val="none"/>
          <w:lang w:eastAsia="zh-CN"/>
        </w:rPr>
        <w:t>明</w:t>
      </w:r>
    </w:p>
    <w:p w14:paraId="24CEC727">
      <w:pPr>
        <w:keepNext/>
        <w:keepLines w:val="0"/>
        <w:pageBreakBefore w:val="0"/>
        <w:widowControl w:val="0"/>
        <w:kinsoku/>
        <w:wordWrap/>
        <w:overflowPunct w:val="0"/>
        <w:topLinePunct w:val="0"/>
        <w:autoSpaceDE/>
        <w:autoSpaceDN/>
        <w:bidi w:val="0"/>
        <w:adjustRightInd/>
        <w:snapToGrid w:val="0"/>
        <w:spacing w:line="260" w:lineRule="auto"/>
        <w:ind w:left="431" w:hanging="431"/>
        <w:textAlignment w:val="auto"/>
        <w:outlineLvl w:val="9"/>
        <w:rPr>
          <w:rFonts w:hint="eastAsia" w:ascii="Times New Roman" w:hAnsi="Times New Roman" w:cs="Times New Roman"/>
          <w:color w:val="auto"/>
          <w:highlight w:val="none"/>
          <w:lang w:val="en-US" w:eastAsia="zh-CN"/>
        </w:rPr>
      </w:pPr>
    </w:p>
    <w:p w14:paraId="538ABFA9">
      <w:pPr>
        <w:keepNext/>
        <w:keepLines w:val="0"/>
        <w:pageBreakBefore w:val="0"/>
        <w:widowControl w:val="0"/>
        <w:kinsoku/>
        <w:wordWrap/>
        <w:overflowPunct w:val="0"/>
        <w:topLinePunct w:val="0"/>
        <w:autoSpaceDE/>
        <w:autoSpaceDN/>
        <w:bidi w:val="0"/>
        <w:adjustRightInd/>
        <w:snapToGrid w:val="0"/>
        <w:spacing w:line="360" w:lineRule="auto"/>
        <w:ind w:left="1134" w:hanging="1134"/>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福州市</w:t>
      </w:r>
      <w:r>
        <w:rPr>
          <w:rFonts w:hint="eastAsia" w:eastAsia="宋体" w:cs="Times New Roman"/>
          <w:color w:val="auto"/>
          <w:sz w:val="28"/>
          <w:szCs w:val="28"/>
          <w:highlight w:val="none"/>
          <w:lang w:val="en-US" w:eastAsia="zh-CN"/>
        </w:rPr>
        <w:t>福清</w:t>
      </w:r>
      <w:r>
        <w:rPr>
          <w:rFonts w:hint="default" w:ascii="Times New Roman" w:hAnsi="Times New Roman" w:eastAsia="宋体" w:cs="Times New Roman"/>
          <w:color w:val="auto"/>
          <w:sz w:val="28"/>
          <w:szCs w:val="28"/>
          <w:highlight w:val="none"/>
          <w:lang w:val="en-US" w:eastAsia="zh-CN"/>
        </w:rPr>
        <w:t>生态环境局：</w:t>
      </w:r>
    </w:p>
    <w:p w14:paraId="44585C81">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报送贵局的</w:t>
      </w:r>
      <w:r>
        <w:rPr>
          <w:rFonts w:hint="eastAsia" w:eastAsia="宋体" w:cs="Times New Roman"/>
          <w:color w:val="auto"/>
          <w:sz w:val="28"/>
          <w:szCs w:val="28"/>
          <w:lang w:val="en-US" w:eastAsia="zh-CN"/>
        </w:rPr>
        <w:t>福清大松模具有限公司</w:t>
      </w:r>
      <w:r>
        <w:rPr>
          <w:rFonts w:hint="default" w:ascii="Times New Roman" w:hAnsi="Times New Roman" w:eastAsia="宋体" w:cs="Times New Roman"/>
          <w:color w:val="auto"/>
          <w:sz w:val="28"/>
          <w:szCs w:val="28"/>
          <w:highlight w:val="none"/>
          <w:lang w:val="en-US" w:eastAsia="zh-CN"/>
        </w:rPr>
        <w:t>《福清大松模具有限公司年加工汽车塑料配件83万套项目环境影响报告表》经我单位审核，未涉及国家秘密、商业秘密等内容。我单位同意对</w:t>
      </w:r>
      <w:r>
        <w:rPr>
          <w:rFonts w:hint="eastAsia" w:eastAsia="宋体" w:cs="Times New Roman"/>
          <w:color w:val="auto"/>
          <w:sz w:val="28"/>
          <w:szCs w:val="28"/>
          <w:lang w:val="en-US" w:eastAsia="zh-CN"/>
        </w:rPr>
        <w:t>福清大松模具有限公司</w:t>
      </w:r>
      <w:r>
        <w:rPr>
          <w:rFonts w:hint="default" w:ascii="Times New Roman" w:hAnsi="Times New Roman" w:eastAsia="宋体" w:cs="Times New Roman"/>
          <w:color w:val="auto"/>
          <w:sz w:val="28"/>
          <w:szCs w:val="28"/>
          <w:highlight w:val="none"/>
          <w:lang w:val="en-US" w:eastAsia="zh-CN"/>
        </w:rPr>
        <w:t>《福清大松模具有限公司年加工汽车塑料配件83万套项目环境影响报告表》全文进行公示，特此声明。</w:t>
      </w:r>
    </w:p>
    <w:p w14:paraId="5362D582">
      <w:pPr>
        <w:pStyle w:val="3"/>
        <w:rPr>
          <w:rFonts w:hint="default"/>
          <w:lang w:val="en-US" w:eastAsia="zh-CN"/>
        </w:rPr>
      </w:pPr>
    </w:p>
    <w:p w14:paraId="229CD383">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06D44E08">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427268F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单位盖章</w:t>
      </w:r>
    </w:p>
    <w:p w14:paraId="6BAE5EE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2025</w:t>
      </w:r>
      <w:r>
        <w:rPr>
          <w:rFonts w:hint="default" w:ascii="Times New Roman" w:hAnsi="Times New Roman" w:eastAsia="宋体" w:cs="Times New Roman"/>
          <w:color w:val="auto"/>
          <w:sz w:val="28"/>
          <w:szCs w:val="28"/>
          <w:highlight w:val="none"/>
        </w:rPr>
        <w:t>年</w:t>
      </w:r>
      <w:r>
        <w:rPr>
          <w:rFonts w:hint="eastAsia"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月</w:t>
      </w:r>
      <w:r>
        <w:rPr>
          <w:rFonts w:hint="eastAsia" w:eastAsia="宋体" w:cs="Times New Roman"/>
          <w:color w:val="auto"/>
          <w:sz w:val="28"/>
          <w:szCs w:val="28"/>
          <w:highlight w:val="none"/>
          <w:lang w:val="en-US" w:eastAsia="zh-CN"/>
        </w:rPr>
        <w:t>18</w:t>
      </w:r>
      <w:r>
        <w:rPr>
          <w:rFonts w:hint="default" w:ascii="Times New Roman" w:hAnsi="Times New Roman" w:eastAsia="宋体" w:cs="Times New Roman"/>
          <w:color w:val="auto"/>
          <w:sz w:val="28"/>
          <w:szCs w:val="28"/>
          <w:highlight w:val="none"/>
        </w:rPr>
        <w:t>日</w:t>
      </w:r>
    </w:p>
    <w:p w14:paraId="790A20BC">
      <w:pPr>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br w:type="page"/>
      </w:r>
      <w:r>
        <w:drawing>
          <wp:inline distT="0" distB="0" distL="114300" distR="114300">
            <wp:extent cx="5786755" cy="8636635"/>
            <wp:effectExtent l="0" t="0" r="4445" b="12065"/>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49"/>
                    <a:stretch>
                      <a:fillRect/>
                    </a:stretch>
                  </pic:blipFill>
                  <pic:spPr>
                    <a:xfrm>
                      <a:off x="0" y="0"/>
                      <a:ext cx="5786755" cy="8636635"/>
                    </a:xfrm>
                    <a:prstGeom prst="rect">
                      <a:avLst/>
                    </a:prstGeom>
                    <a:noFill/>
                    <a:ln>
                      <a:noFill/>
                    </a:ln>
                  </pic:spPr>
                </pic:pic>
              </a:graphicData>
            </a:graphic>
          </wp:inline>
        </w:drawing>
      </w:r>
      <w:r>
        <w:rPr>
          <w:rFonts w:hint="eastAsia" w:ascii="黑体" w:hAnsi="黑体" w:eastAsia="黑体" w:cs="黑体"/>
          <w:b/>
          <w:bCs/>
          <w:color w:val="auto"/>
          <w:sz w:val="28"/>
          <w:szCs w:val="28"/>
          <w:highlight w:val="none"/>
          <w:lang w:val="en-US" w:eastAsia="zh-CN"/>
        </w:rPr>
        <w:br w:type="page"/>
      </w:r>
    </w:p>
    <w:bookmarkEnd w:id="162"/>
    <w:bookmarkEnd w:id="163"/>
    <w:p w14:paraId="347D0A9F">
      <w:pPr>
        <w:rPr>
          <w:rFonts w:hint="eastAsia" w:ascii="黑体" w:hAnsi="黑体" w:eastAsia="黑体" w:cs="黑体"/>
          <w:b/>
          <w:bCs/>
          <w:sz w:val="28"/>
          <w:szCs w:val="28"/>
          <w:lang w:val="en-US" w:eastAsia="zh-CN"/>
        </w:rPr>
      </w:pPr>
    </w:p>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B8173">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E08A4">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4CE08A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5C37">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715F6">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8D715F6">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33E">
    <w:pPr>
      <w:pStyle w:val="15"/>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4F873">
                          <w:pPr>
                            <w:pStyle w:val="1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384F873">
                    <w:pPr>
                      <w:pStyle w:val="1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5"/>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4BF0">
                          <w:pPr>
                            <w:pStyle w:val="1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F254BF0">
                    <w:pPr>
                      <w:pStyle w:val="1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E95F1B1E"/>
    <w:multiLevelType w:val="singleLevel"/>
    <w:tmpl w:val="E95F1B1E"/>
    <w:lvl w:ilvl="0" w:tentative="0">
      <w:start w:val="2"/>
      <w:numFmt w:val="decimal"/>
      <w:suff w:val="nothing"/>
      <w:lvlText w:val="%1、"/>
      <w:lvlJc w:val="left"/>
    </w:lvl>
  </w:abstractNum>
  <w:abstractNum w:abstractNumId="2">
    <w:nsid w:val="F960235E"/>
    <w:multiLevelType w:val="singleLevel"/>
    <w:tmpl w:val="F960235E"/>
    <w:lvl w:ilvl="0" w:tentative="0">
      <w:start w:val="1"/>
      <w:numFmt w:val="decimal"/>
      <w:suff w:val="nothing"/>
      <w:lvlText w:val="%1、"/>
      <w:lvlJc w:val="left"/>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33FA05"/>
    <w:multiLevelType w:val="singleLevel"/>
    <w:tmpl w:val="6833FA05"/>
    <w:lvl w:ilvl="0" w:tentative="0">
      <w:start w:val="1"/>
      <w:numFmt w:val="decimal"/>
      <w:suff w:val="nothing"/>
      <w:lvlText w:val="%1、"/>
      <w:lvlJc w:val="left"/>
    </w:lvl>
  </w:abstractNum>
  <w:abstractNum w:abstractNumId="6">
    <w:nsid w:val="76E68910"/>
    <w:multiLevelType w:val="singleLevel"/>
    <w:tmpl w:val="76E68910"/>
    <w:lvl w:ilvl="0" w:tentative="0">
      <w:start w:val="1"/>
      <w:numFmt w:val="decimal"/>
      <w:suff w:val="nothing"/>
      <w:lvlText w:val="（%1）"/>
      <w:lvlJc w:val="left"/>
    </w:lvl>
  </w:abstractNum>
  <w:abstractNum w:abstractNumId="7">
    <w:nsid w:val="7E752F05"/>
    <w:multiLevelType w:val="singleLevel"/>
    <w:tmpl w:val="7E752F05"/>
    <w:lvl w:ilvl="0" w:tentative="0">
      <w:start w:val="1"/>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B65805"/>
    <w:rsid w:val="012855CE"/>
    <w:rsid w:val="01312D03"/>
    <w:rsid w:val="016C7A79"/>
    <w:rsid w:val="03501EED"/>
    <w:rsid w:val="035A6E90"/>
    <w:rsid w:val="037C7496"/>
    <w:rsid w:val="03B373C8"/>
    <w:rsid w:val="03F434D0"/>
    <w:rsid w:val="05467935"/>
    <w:rsid w:val="05722B60"/>
    <w:rsid w:val="0599625C"/>
    <w:rsid w:val="05A74E52"/>
    <w:rsid w:val="05B16FE4"/>
    <w:rsid w:val="06D60D20"/>
    <w:rsid w:val="06FE0CEC"/>
    <w:rsid w:val="074F7AC9"/>
    <w:rsid w:val="08506999"/>
    <w:rsid w:val="09704E33"/>
    <w:rsid w:val="09BB5BCC"/>
    <w:rsid w:val="0A424D4C"/>
    <w:rsid w:val="0AA6399E"/>
    <w:rsid w:val="0B431F62"/>
    <w:rsid w:val="0C14470F"/>
    <w:rsid w:val="0CD658CB"/>
    <w:rsid w:val="0DC962E6"/>
    <w:rsid w:val="0E94387A"/>
    <w:rsid w:val="0F005480"/>
    <w:rsid w:val="0F27519E"/>
    <w:rsid w:val="0F947289"/>
    <w:rsid w:val="10686559"/>
    <w:rsid w:val="10B63FE7"/>
    <w:rsid w:val="10FE0470"/>
    <w:rsid w:val="114762E6"/>
    <w:rsid w:val="119E6CF5"/>
    <w:rsid w:val="12320CA3"/>
    <w:rsid w:val="12396910"/>
    <w:rsid w:val="123C2076"/>
    <w:rsid w:val="125B4B29"/>
    <w:rsid w:val="12E2773F"/>
    <w:rsid w:val="12F21BA5"/>
    <w:rsid w:val="130A6291"/>
    <w:rsid w:val="13A30873"/>
    <w:rsid w:val="13DB3C17"/>
    <w:rsid w:val="142976A3"/>
    <w:rsid w:val="143B75BD"/>
    <w:rsid w:val="14ED0523"/>
    <w:rsid w:val="15447000"/>
    <w:rsid w:val="15E440F6"/>
    <w:rsid w:val="184077D8"/>
    <w:rsid w:val="18535E55"/>
    <w:rsid w:val="18B506EB"/>
    <w:rsid w:val="19392E3F"/>
    <w:rsid w:val="195065E6"/>
    <w:rsid w:val="19AF5431"/>
    <w:rsid w:val="1A9611D4"/>
    <w:rsid w:val="1AEF1640"/>
    <w:rsid w:val="1B0678E6"/>
    <w:rsid w:val="1B110841"/>
    <w:rsid w:val="1B20658C"/>
    <w:rsid w:val="1C136A38"/>
    <w:rsid w:val="1C723D3B"/>
    <w:rsid w:val="1CC34BB0"/>
    <w:rsid w:val="1D7644E2"/>
    <w:rsid w:val="1ED50A3D"/>
    <w:rsid w:val="1F07118C"/>
    <w:rsid w:val="1F6C1AC3"/>
    <w:rsid w:val="21652233"/>
    <w:rsid w:val="21E872AF"/>
    <w:rsid w:val="224A458F"/>
    <w:rsid w:val="22796B9E"/>
    <w:rsid w:val="22F97F47"/>
    <w:rsid w:val="24000D54"/>
    <w:rsid w:val="24423C0B"/>
    <w:rsid w:val="246E3BEE"/>
    <w:rsid w:val="24B148C0"/>
    <w:rsid w:val="268D24CB"/>
    <w:rsid w:val="26D02014"/>
    <w:rsid w:val="26FF1810"/>
    <w:rsid w:val="26FF2560"/>
    <w:rsid w:val="27E762EC"/>
    <w:rsid w:val="27F645D9"/>
    <w:rsid w:val="2806232A"/>
    <w:rsid w:val="28897B1C"/>
    <w:rsid w:val="28A12B3E"/>
    <w:rsid w:val="29035282"/>
    <w:rsid w:val="2A1803B1"/>
    <w:rsid w:val="2A701750"/>
    <w:rsid w:val="2C0F4FCD"/>
    <w:rsid w:val="2CC3445D"/>
    <w:rsid w:val="2D81692A"/>
    <w:rsid w:val="2D984ECD"/>
    <w:rsid w:val="2E183793"/>
    <w:rsid w:val="2E250044"/>
    <w:rsid w:val="2E717347"/>
    <w:rsid w:val="2ECE4F81"/>
    <w:rsid w:val="2F511D30"/>
    <w:rsid w:val="2F686C4D"/>
    <w:rsid w:val="305D5210"/>
    <w:rsid w:val="321F5BEE"/>
    <w:rsid w:val="32405F41"/>
    <w:rsid w:val="332E2F85"/>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A0D43C8"/>
    <w:rsid w:val="3A7B3269"/>
    <w:rsid w:val="3B5F50F7"/>
    <w:rsid w:val="3BDE2BA6"/>
    <w:rsid w:val="3C09460C"/>
    <w:rsid w:val="3C8E01DC"/>
    <w:rsid w:val="3CCE564F"/>
    <w:rsid w:val="3CE45C48"/>
    <w:rsid w:val="3CF86493"/>
    <w:rsid w:val="3D962E9A"/>
    <w:rsid w:val="3F0F1503"/>
    <w:rsid w:val="3F127E08"/>
    <w:rsid w:val="3FB633FB"/>
    <w:rsid w:val="3FB9596C"/>
    <w:rsid w:val="40FD5B5C"/>
    <w:rsid w:val="4186530E"/>
    <w:rsid w:val="41E756B8"/>
    <w:rsid w:val="426024C3"/>
    <w:rsid w:val="42644CFC"/>
    <w:rsid w:val="42712D90"/>
    <w:rsid w:val="428E37C9"/>
    <w:rsid w:val="43250271"/>
    <w:rsid w:val="43652BBD"/>
    <w:rsid w:val="438A7C97"/>
    <w:rsid w:val="43D43925"/>
    <w:rsid w:val="441F174E"/>
    <w:rsid w:val="44647233"/>
    <w:rsid w:val="449657A6"/>
    <w:rsid w:val="46084AF2"/>
    <w:rsid w:val="48B545A9"/>
    <w:rsid w:val="48C14817"/>
    <w:rsid w:val="49460182"/>
    <w:rsid w:val="4A430135"/>
    <w:rsid w:val="4B517646"/>
    <w:rsid w:val="4CBC43F6"/>
    <w:rsid w:val="4DAD76E3"/>
    <w:rsid w:val="4DCB34AF"/>
    <w:rsid w:val="4E453CD9"/>
    <w:rsid w:val="4EA73979"/>
    <w:rsid w:val="4F075432"/>
    <w:rsid w:val="4F457D08"/>
    <w:rsid w:val="4F7C26F1"/>
    <w:rsid w:val="4F7C6D36"/>
    <w:rsid w:val="50F41DB2"/>
    <w:rsid w:val="51052079"/>
    <w:rsid w:val="51152D85"/>
    <w:rsid w:val="5288019F"/>
    <w:rsid w:val="52AD5CF4"/>
    <w:rsid w:val="538F4F1B"/>
    <w:rsid w:val="53ED7E15"/>
    <w:rsid w:val="54092EF7"/>
    <w:rsid w:val="561C01EA"/>
    <w:rsid w:val="562464C8"/>
    <w:rsid w:val="56856B80"/>
    <w:rsid w:val="56D219CC"/>
    <w:rsid w:val="571335C9"/>
    <w:rsid w:val="5919648E"/>
    <w:rsid w:val="59854F6F"/>
    <w:rsid w:val="598F6523"/>
    <w:rsid w:val="59A12058"/>
    <w:rsid w:val="5A6A34FF"/>
    <w:rsid w:val="5AD2718F"/>
    <w:rsid w:val="5BE049C1"/>
    <w:rsid w:val="5C3B007A"/>
    <w:rsid w:val="5C3B6762"/>
    <w:rsid w:val="5C574E82"/>
    <w:rsid w:val="5CD252D1"/>
    <w:rsid w:val="5CF76AE6"/>
    <w:rsid w:val="5D1475BA"/>
    <w:rsid w:val="5E352B67"/>
    <w:rsid w:val="5F94195C"/>
    <w:rsid w:val="600D264D"/>
    <w:rsid w:val="604C4F0B"/>
    <w:rsid w:val="60B06C30"/>
    <w:rsid w:val="60BB31B3"/>
    <w:rsid w:val="612A5DE1"/>
    <w:rsid w:val="6134186F"/>
    <w:rsid w:val="61C342E5"/>
    <w:rsid w:val="61EC6729"/>
    <w:rsid w:val="620E2129"/>
    <w:rsid w:val="628C1E57"/>
    <w:rsid w:val="62F2581B"/>
    <w:rsid w:val="643313A9"/>
    <w:rsid w:val="65764C68"/>
    <w:rsid w:val="65A90B99"/>
    <w:rsid w:val="66801F8E"/>
    <w:rsid w:val="678F3DBF"/>
    <w:rsid w:val="67DF3732"/>
    <w:rsid w:val="688356D2"/>
    <w:rsid w:val="689E3902"/>
    <w:rsid w:val="69537901"/>
    <w:rsid w:val="695A2772"/>
    <w:rsid w:val="69602F7D"/>
    <w:rsid w:val="69BB75A3"/>
    <w:rsid w:val="6AE30E7D"/>
    <w:rsid w:val="6BF57752"/>
    <w:rsid w:val="6C3F3B3F"/>
    <w:rsid w:val="6CA542AC"/>
    <w:rsid w:val="6D6B0293"/>
    <w:rsid w:val="6DA07A76"/>
    <w:rsid w:val="6E2F5A53"/>
    <w:rsid w:val="6E3D0876"/>
    <w:rsid w:val="6E91728B"/>
    <w:rsid w:val="6EB17135"/>
    <w:rsid w:val="6EE37A6B"/>
    <w:rsid w:val="6FB57106"/>
    <w:rsid w:val="6FB87AD8"/>
    <w:rsid w:val="70335223"/>
    <w:rsid w:val="70935EC8"/>
    <w:rsid w:val="71281524"/>
    <w:rsid w:val="72137A0F"/>
    <w:rsid w:val="72146479"/>
    <w:rsid w:val="722A2C74"/>
    <w:rsid w:val="72A845A9"/>
    <w:rsid w:val="73730B78"/>
    <w:rsid w:val="73F67ACD"/>
    <w:rsid w:val="74161AF0"/>
    <w:rsid w:val="74A013B9"/>
    <w:rsid w:val="76640175"/>
    <w:rsid w:val="77C840CC"/>
    <w:rsid w:val="785E0CFE"/>
    <w:rsid w:val="789051ED"/>
    <w:rsid w:val="799E34B2"/>
    <w:rsid w:val="79B56793"/>
    <w:rsid w:val="7A4A482E"/>
    <w:rsid w:val="7AC202DC"/>
    <w:rsid w:val="7B1D47C7"/>
    <w:rsid w:val="7BED0F85"/>
    <w:rsid w:val="7BF22B95"/>
    <w:rsid w:val="7C414D87"/>
    <w:rsid w:val="7D466F15"/>
    <w:rsid w:val="7DC861E9"/>
    <w:rsid w:val="7DE22616"/>
    <w:rsid w:val="7E9E1D43"/>
    <w:rsid w:val="7ED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0">
    <w:name w:val="Body Text"/>
    <w:basedOn w:val="1"/>
    <w:next w:val="9"/>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65"/>
    <w:qFormat/>
    <w:uiPriority w:val="0"/>
    <w:pPr>
      <w:spacing w:after="120"/>
      <w:ind w:left="420" w:leftChars="200"/>
    </w:pPr>
    <w:rPr>
      <w:kern w:val="0"/>
      <w:sz w:val="24"/>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3"/>
    <w:basedOn w:val="1"/>
    <w:next w:val="1"/>
    <w:qFormat/>
    <w:uiPriority w:val="0"/>
    <w:pPr>
      <w:ind w:left="840" w:leftChars="400"/>
    </w:pPr>
  </w:style>
  <w:style w:type="paragraph" w:styleId="14">
    <w:name w:val="Plain Text"/>
    <w:basedOn w:val="1"/>
    <w:next w:val="10"/>
    <w:qFormat/>
    <w:uiPriority w:val="0"/>
    <w:rPr>
      <w:rFonts w:ascii="宋体" w:hAnsi="Courier New" w:cs="Courier New"/>
      <w:szCs w:val="21"/>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toc 1"/>
    <w:basedOn w:val="1"/>
    <w:next w:val="1"/>
    <w:qFormat/>
    <w:uiPriority w:val="0"/>
  </w:style>
  <w:style w:type="paragraph" w:styleId="17">
    <w:name w:val="List"/>
    <w:basedOn w:val="1"/>
    <w:qFormat/>
    <w:uiPriority w:val="0"/>
    <w:pPr>
      <w:ind w:left="200" w:hanging="200" w:hangingChars="200"/>
    </w:pPr>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10"/>
    <w:next w:val="1"/>
    <w:qFormat/>
    <w:uiPriority w:val="0"/>
    <w:pPr>
      <w:spacing w:line="480" w:lineRule="auto"/>
      <w:ind w:firstLine="630" w:firstLineChars="225"/>
    </w:pPr>
    <w:rPr>
      <w:rFonts w:ascii="宋体" w:hAnsi="宋体"/>
      <w:sz w:val="28"/>
      <w:szCs w:val="28"/>
      <w:u w:val="single"/>
      <w:lang w:val="en-US" w:eastAsia="zh-CN" w:bidi="ar-SA"/>
    </w:rPr>
  </w:style>
  <w:style w:type="paragraph" w:styleId="21">
    <w:name w:val="Body Text First Indent 2"/>
    <w:basedOn w:val="11"/>
    <w:next w:val="20"/>
    <w:qFormat/>
    <w:uiPriority w:val="0"/>
    <w:pPr>
      <w:spacing w:after="120"/>
      <w:ind w:left="420" w:leftChars="200" w:firstLine="210" w:firstLineChars="200"/>
    </w:pPr>
    <w:rPr>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0"/>
    <w:rPr>
      <w:color w:val="0000FF"/>
      <w:u w:val="single"/>
    </w:rPr>
  </w:style>
  <w:style w:type="paragraph" w:customStyle="1" w:styleId="27">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8">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29">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0">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1">
    <w:name w:val="Table Text"/>
    <w:basedOn w:val="1"/>
    <w:semiHidden/>
    <w:qFormat/>
    <w:uiPriority w:val="0"/>
    <w:rPr>
      <w:rFonts w:ascii="宋体" w:hAnsi="宋体" w:eastAsia="宋体" w:cs="宋体"/>
      <w:sz w:val="24"/>
      <w:szCs w:val="24"/>
      <w:lang w:val="en-US" w:eastAsia="en-US" w:bidi="ar-SA"/>
    </w:rPr>
  </w:style>
  <w:style w:type="paragraph" w:customStyle="1" w:styleId="32">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3">
    <w:name w:val="H图表内容"/>
    <w:basedOn w:val="1"/>
    <w:qFormat/>
    <w:uiPriority w:val="0"/>
    <w:rPr>
      <w:szCs w:val="20"/>
    </w:rPr>
  </w:style>
  <w:style w:type="paragraph" w:customStyle="1" w:styleId="34">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5">
    <w:name w:val="6表格"/>
    <w:basedOn w:val="1"/>
    <w:qFormat/>
    <w:uiPriority w:val="0"/>
    <w:pPr>
      <w:jc w:val="center"/>
    </w:pPr>
  </w:style>
  <w:style w:type="paragraph" w:customStyle="1" w:styleId="36">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7">
    <w:name w:val="表格固定文字"/>
    <w:basedOn w:val="1"/>
    <w:qFormat/>
    <w:uiPriority w:val="0"/>
    <w:pPr>
      <w:ind w:firstLine="0"/>
    </w:pPr>
    <w:rPr>
      <w:rFonts w:eastAsia="宋体"/>
      <w:sz w:val="21"/>
      <w:szCs w:val="24"/>
    </w:rPr>
  </w:style>
  <w:style w:type="paragraph" w:customStyle="1" w:styleId="38">
    <w:name w:val="个人  标题2"/>
    <w:basedOn w:val="1"/>
    <w:qFormat/>
    <w:uiPriority w:val="0"/>
    <w:pPr>
      <w:ind w:firstLine="0" w:firstLineChars="0"/>
      <w:outlineLvl w:val="1"/>
    </w:pPr>
    <w:rPr>
      <w:b/>
      <w:sz w:val="30"/>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表格表头"/>
    <w:basedOn w:val="41"/>
    <w:qFormat/>
    <w:uiPriority w:val="0"/>
    <w:pPr>
      <w:spacing w:before="50" w:beforeLines="50" w:line="240" w:lineRule="auto"/>
      <w:ind w:firstLine="0"/>
      <w:jc w:val="center"/>
    </w:pPr>
    <w:rPr>
      <w:rFonts w:eastAsia="黑体"/>
    </w:rPr>
  </w:style>
  <w:style w:type="paragraph" w:customStyle="1" w:styleId="41">
    <w:name w:val="zhang正文"/>
    <w:basedOn w:val="11"/>
    <w:next w:val="1"/>
    <w:link w:val="64"/>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2">
    <w:name w:val="表正文"/>
    <w:basedOn w:val="1"/>
    <w:qFormat/>
    <w:uiPriority w:val="0"/>
    <w:pPr>
      <w:spacing w:line="360" w:lineRule="auto"/>
      <w:ind w:firstLine="200" w:firstLineChars="200"/>
    </w:pPr>
    <w:rPr>
      <w:sz w:val="24"/>
    </w:rPr>
  </w:style>
  <w:style w:type="paragraph" w:customStyle="1" w:styleId="43">
    <w:name w:val="个人标题3"/>
    <w:basedOn w:val="1"/>
    <w:qFormat/>
    <w:uiPriority w:val="0"/>
    <w:pPr>
      <w:ind w:firstLine="0" w:firstLineChars="0"/>
      <w:outlineLvl w:val="2"/>
    </w:pPr>
    <w:rPr>
      <w:b/>
      <w:sz w:val="28"/>
    </w:rPr>
  </w:style>
  <w:style w:type="paragraph" w:customStyle="1" w:styleId="44">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5">
    <w:name w:val="三级aaa"/>
    <w:basedOn w:val="4"/>
    <w:next w:val="1"/>
    <w:qFormat/>
    <w:uiPriority w:val="0"/>
    <w:pPr>
      <w:keepNext w:val="0"/>
      <w:keepLines w:val="0"/>
      <w:widowControl w:val="0"/>
      <w:adjustRightInd w:val="0"/>
      <w:snapToGrid w:val="0"/>
      <w:spacing w:before="0" w:after="0" w:line="360" w:lineRule="auto"/>
    </w:pPr>
    <w:rPr>
      <w:sz w:val="28"/>
    </w:rPr>
  </w:style>
  <w:style w:type="paragraph" w:customStyle="1" w:styleId="46">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7">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8">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49">
    <w:name w:val="闽创报告正文"/>
    <w:basedOn w:val="1"/>
    <w:qFormat/>
    <w:uiPriority w:val="0"/>
    <w:pPr>
      <w:tabs>
        <w:tab w:val="left" w:pos="0"/>
      </w:tabs>
      <w:spacing w:line="360" w:lineRule="auto"/>
      <w:ind w:firstLine="200" w:firstLineChars="200"/>
    </w:pPr>
    <w:rPr>
      <w:color w:val="000000"/>
      <w:sz w:val="24"/>
      <w:szCs w:val="20"/>
    </w:rPr>
  </w:style>
  <w:style w:type="paragraph" w:customStyle="1" w:styleId="50">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1">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2">
    <w:name w:val="22标题2"/>
    <w:basedOn w:val="53"/>
    <w:qFormat/>
    <w:uiPriority w:val="0"/>
    <w:pPr>
      <w:adjustRightInd w:val="0"/>
      <w:snapToGrid w:val="0"/>
    </w:pPr>
    <w:rPr>
      <w:color w:val="0000FF"/>
    </w:rPr>
  </w:style>
  <w:style w:type="paragraph" w:customStyle="1" w:styleId="53">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4">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5">
    <w:name w:val="样式6"/>
    <w:basedOn w:val="22"/>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6">
    <w:name w:val="样式 样式 正文01 + 黑色 首行缩进:  2 字符 段前: 0 磅 行距: 1.5 倍行距 + 首行缩进:  2 字符"/>
    <w:basedOn w:val="57"/>
    <w:qFormat/>
    <w:uiPriority w:val="0"/>
    <w:pPr>
      <w:spacing w:line="440" w:lineRule="exact"/>
      <w:ind w:firstLine="200"/>
    </w:pPr>
    <w:rPr>
      <w:rFonts w:eastAsia="宋体"/>
      <w:bCs/>
    </w:rPr>
  </w:style>
  <w:style w:type="paragraph" w:customStyle="1" w:styleId="57">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58">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59">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0">
    <w:name w:val="表格标题"/>
    <w:basedOn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1">
    <w:name w:val="表格内容"/>
    <w:basedOn w:val="17"/>
    <w:next w:val="1"/>
    <w:qFormat/>
    <w:uiPriority w:val="0"/>
    <w:pPr>
      <w:autoSpaceDE w:val="0"/>
      <w:autoSpaceDN w:val="0"/>
      <w:ind w:firstLine="0"/>
      <w:jc w:val="center"/>
    </w:pPr>
    <w:rPr>
      <w:kern w:val="0"/>
      <w:sz w:val="24"/>
      <w:lang w:bidi="he-IL"/>
    </w:rPr>
  </w:style>
  <w:style w:type="paragraph" w:customStyle="1" w:styleId="62">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3">
    <w:name w:val="样式 zhang正文 + 宋体 小四 Char"/>
    <w:basedOn w:val="64"/>
    <w:link w:val="66"/>
    <w:qFormat/>
    <w:uiPriority w:val="0"/>
    <w:rPr>
      <w:rFonts w:ascii="宋体" w:hAnsi="宋体" w:eastAsia="宋体"/>
      <w:sz w:val="24"/>
    </w:rPr>
  </w:style>
  <w:style w:type="character" w:customStyle="1" w:styleId="64">
    <w:name w:val="zhang正文 Char1"/>
    <w:basedOn w:val="65"/>
    <w:link w:val="41"/>
    <w:qFormat/>
    <w:uiPriority w:val="0"/>
    <w:rPr>
      <w:rFonts w:eastAsia="楷体_GB2312"/>
      <w:sz w:val="28"/>
    </w:rPr>
  </w:style>
  <w:style w:type="character" w:customStyle="1" w:styleId="65">
    <w:name w:val="正文文本缩进 Char1"/>
    <w:basedOn w:val="24"/>
    <w:link w:val="11"/>
    <w:qFormat/>
    <w:uiPriority w:val="0"/>
    <w:rPr>
      <w:kern w:val="0"/>
      <w:sz w:val="24"/>
      <w:szCs w:val="20"/>
    </w:rPr>
  </w:style>
  <w:style w:type="paragraph" w:customStyle="1" w:styleId="66">
    <w:name w:val="样式 zhang正文 + 宋体 小四"/>
    <w:basedOn w:val="41"/>
    <w:link w:val="63"/>
    <w:qFormat/>
    <w:uiPriority w:val="0"/>
    <w:rPr>
      <w:rFonts w:ascii="宋体" w:hAnsi="宋体" w:eastAsia="宋体"/>
      <w:sz w:val="24"/>
    </w:rPr>
  </w:style>
  <w:style w:type="paragraph" w:customStyle="1" w:styleId="67">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68">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69">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0">
    <w:name w:val="表格样式1"/>
    <w:basedOn w:val="22"/>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1">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2">
    <w:name w:val="标题111"/>
    <w:basedOn w:val="19"/>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3">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4">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5">
    <w:name w:val="表格正文"/>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jpeg"/><Relationship Id="rId42" Type="http://schemas.openxmlformats.org/officeDocument/2006/relationships/image" Target="file:///C:\Users\Admin\AppData\Local\Temp\ksohtml12936\wps12.png" TargetMode="External"/><Relationship Id="rId41" Type="http://schemas.openxmlformats.org/officeDocument/2006/relationships/image" Target="media/image23.png"/><Relationship Id="rId40" Type="http://schemas.openxmlformats.org/officeDocument/2006/relationships/image" Target="file:///C:\Users\Admin\AppData\Local\Temp\ksohtml12936\wps11.png" TargetMode="External"/><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file:///C:\Users\Admin\AppData\Local\Temp\ksohtml12936\wps10.png" TargetMode="External"/><Relationship Id="rId37" Type="http://schemas.openxmlformats.org/officeDocument/2006/relationships/image" Target="media/image21.png"/><Relationship Id="rId36" Type="http://schemas.openxmlformats.org/officeDocument/2006/relationships/image" Target="file:///C:\Users\Admin\AppData\Local\Temp\ksohtml12936\wps9.png" TargetMode="External"/><Relationship Id="rId35" Type="http://schemas.openxmlformats.org/officeDocument/2006/relationships/image" Target="media/image20.png"/><Relationship Id="rId34" Type="http://schemas.openxmlformats.org/officeDocument/2006/relationships/image" Target="file:///C:\Users\Admin\AppData\Local\Temp\ksohtml12936\wps8.png" TargetMode="External"/><Relationship Id="rId33" Type="http://schemas.openxmlformats.org/officeDocument/2006/relationships/image" Target="media/image19.png"/><Relationship Id="rId32" Type="http://schemas.openxmlformats.org/officeDocument/2006/relationships/image" Target="file:///C:\Users\Admin\AppData\Local\Temp\ksohtml12936\wps7.png" TargetMode="External"/><Relationship Id="rId31" Type="http://schemas.openxmlformats.org/officeDocument/2006/relationships/image" Target="media/image18.png"/><Relationship Id="rId30" Type="http://schemas.openxmlformats.org/officeDocument/2006/relationships/image" Target="file:///C:\Users\Admin\AppData\Local\Temp\ksohtml12936\wps6.png" TargetMode="External"/><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file:///C:\Users\Admin\AppData\Local\Temp\ksohtml12936\wps5.png" TargetMode="External"/><Relationship Id="rId27" Type="http://schemas.openxmlformats.org/officeDocument/2006/relationships/image" Target="media/image16.png"/><Relationship Id="rId26" Type="http://schemas.openxmlformats.org/officeDocument/2006/relationships/image" Target="file:///C:\Users\Admin\AppData\Local\Temp\ksohtml12936\wps4.png" TargetMode="External"/><Relationship Id="rId25" Type="http://schemas.openxmlformats.org/officeDocument/2006/relationships/image" Target="media/image15.png"/><Relationship Id="rId24" Type="http://schemas.openxmlformats.org/officeDocument/2006/relationships/image" Target="file:///C:\Users\Admin\AppData\Local\Temp\ksohtml12936\wps3.png" TargetMode="External"/><Relationship Id="rId23" Type="http://schemas.openxmlformats.org/officeDocument/2006/relationships/image" Target="media/image14.png"/><Relationship Id="rId22" Type="http://schemas.openxmlformats.org/officeDocument/2006/relationships/image" Target="file:///C:\Users\Admin\AppData\Local\Temp\ksohtml12936\wps2.png" TargetMode="Externa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5708</Words>
  <Characters>6393</Characters>
  <Lines>0</Lines>
  <Paragraphs>0</Paragraphs>
  <TotalTime>14</TotalTime>
  <ScaleCrop>false</ScaleCrop>
  <LinksUpToDate>false</LinksUpToDate>
  <CharactersWithSpaces>6769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2025-11-05T09:17:00Z</cp:lastPrinted>
  <dcterms:modified xsi:type="dcterms:W3CDTF">2025-11-13T09:41:32Z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eyJoZGlkIjoiZGQ5YmI0MTA5YzgzMmVmOGM2MWM4Nzg2MmQ3Yjc2ZjAiLCJ1c2VySWQiOiIxMDU0MTI4NzM3In0=</vt:lpwstr>
  </property>
  <property fmtid="{D5CDD505-2E9C-101B-9397-08002B2CF9AE}" pid="4" name="ICV">
    <vt:lpwstr>8B3F01CD239F45428B4AA35B6F6AF93A_13</vt:lpwstr>
  </property>
</Properties>
</file>