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rPr>
          <w:color w:val="auto"/>
        </w:rPr>
      </w:pPr>
      <w:r>
        <w:pict>
          <v:shape id="_x0000_i1025" o:spt="75" type="#_x0000_t75" style="height:665.85pt;width:435.6pt;" filled="f" o:preferrelative="t" stroked="f" coordsize="21600,21600">
            <v:path/>
            <v:fill on="f" focussize="0,0"/>
            <v:stroke on="f"/>
            <v:imagedata r:id="rId10" cropleft="5130f" croptop="1229f" cropright="4148f" cropbottom="3517f" o:title=""/>
            <o:lock v:ext="edit" aspectratio="t"/>
            <w10:wrap type="none"/>
            <w10:anchorlock/>
          </v:shape>
        </w:pict>
      </w:r>
    </w:p>
    <w:p>
      <w:pPr>
        <w:pStyle w:val="38"/>
        <w:bidi w:val="0"/>
        <w:ind w:left="0" w:leftChars="0" w:firstLine="0" w:firstLineChars="0"/>
        <w:rPr>
          <w:color w:val="auto"/>
        </w:rPr>
      </w:pPr>
    </w:p>
    <w:p>
      <w:pPr>
        <w:pStyle w:val="59"/>
        <w:rPr>
          <w:rFonts w:cs="Times New Roman"/>
          <w:snapToGrid w:val="0"/>
          <w:color w:val="auto"/>
        </w:rPr>
        <w:sectPr>
          <w:headerReference r:id="rId5" w:type="default"/>
          <w:footerReference r:id="rId6" w:type="default"/>
          <w:pgSz w:w="11906" w:h="16838"/>
          <w:pgMar w:top="1417" w:right="1417" w:bottom="1417" w:left="1587" w:header="851" w:footer="850" w:gutter="0"/>
          <w:pgBorders>
            <w:top w:val="none" w:sz="0" w:space="0"/>
            <w:left w:val="none" w:sz="0" w:space="0"/>
            <w:bottom w:val="none" w:sz="0" w:space="0"/>
            <w:right w:val="none" w:sz="0" w:space="0"/>
          </w:pgBorders>
          <w:pgNumType w:start="1"/>
          <w:cols w:space="720" w:num="1"/>
          <w:docGrid w:linePitch="312" w:charSpace="0"/>
        </w:sectPr>
      </w:pPr>
      <w:bookmarkStart w:id="0" w:name="_Toc22537"/>
    </w:p>
    <w:p>
      <w:pPr>
        <w:pStyle w:val="59"/>
        <w:rPr>
          <w:rFonts w:cs="Times New Roman"/>
          <w:snapToGrid w:val="0"/>
          <w:color w:val="auto"/>
        </w:rPr>
      </w:pPr>
      <w:r>
        <w:rPr>
          <w:rFonts w:cs="Times New Roman"/>
          <w:snapToGrid w:val="0"/>
          <w:color w:val="auto"/>
        </w:rPr>
        <w:t>一、建设项目基本情况</w:t>
      </w:r>
      <w:bookmarkEnd w:id="0"/>
    </w:p>
    <w:tbl>
      <w:tblPr>
        <w:tblStyle w:val="27"/>
        <w:tblW w:w="527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810"/>
        <w:gridCol w:w="1123"/>
        <w:gridCol w:w="2277"/>
        <w:gridCol w:w="2008"/>
        <w:gridCol w:w="3200"/>
        <w:gridCol w:w="1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024" w:type="pct"/>
            <w:gridSpan w:val="2"/>
            <w:tcBorders>
              <w:top w:val="single" w:color="auto" w:sz="4" w:space="0"/>
              <w:left w:val="single" w:color="auto" w:sz="4" w:space="0"/>
              <w:bottom w:val="single" w:color="auto" w:sz="4" w:space="0"/>
              <w:right w:val="single" w:color="auto" w:sz="4" w:space="0"/>
            </w:tcBorders>
            <w:tcMar>
              <w:top w:w="16" w:type="dxa"/>
              <w:left w:w="16" w:type="dxa"/>
              <w:right w:w="16" w:type="dxa"/>
            </w:tcMar>
            <w:vAlign w:val="center"/>
          </w:tcPr>
          <w:p>
            <w:pPr>
              <w:pStyle w:val="36"/>
              <w:rPr>
                <w:rFonts w:cs="Times New Roman"/>
                <w:color w:val="auto"/>
                <w:sz w:val="24"/>
                <w:szCs w:val="24"/>
              </w:rPr>
            </w:pPr>
            <w:r>
              <w:rPr>
                <w:rFonts w:cs="Times New Roman"/>
                <w:color w:val="auto"/>
                <w:sz w:val="24"/>
                <w:szCs w:val="24"/>
              </w:rPr>
              <w:t>建设项目名称</w:t>
            </w:r>
          </w:p>
        </w:tc>
        <w:tc>
          <w:tcPr>
            <w:tcW w:w="3975" w:type="pct"/>
            <w:gridSpan w:val="4"/>
            <w:tcBorders>
              <w:top w:val="single" w:color="auto" w:sz="4" w:space="0"/>
              <w:left w:val="single" w:color="auto" w:sz="4" w:space="0"/>
              <w:bottom w:val="single" w:color="auto" w:sz="4" w:space="0"/>
              <w:right w:val="single" w:color="auto" w:sz="4" w:space="0"/>
            </w:tcBorders>
            <w:vAlign w:val="center"/>
          </w:tcPr>
          <w:p>
            <w:pPr>
              <w:pStyle w:val="36"/>
              <w:rPr>
                <w:rFonts w:cs="Times New Roman"/>
                <w:color w:val="auto"/>
                <w:sz w:val="24"/>
                <w:szCs w:val="24"/>
              </w:rPr>
            </w:pPr>
            <w:bookmarkStart w:id="1" w:name="OLE_LINK3"/>
            <w:r>
              <w:rPr>
                <w:rFonts w:hint="eastAsia" w:cs="Times New Roman"/>
                <w:color w:val="auto"/>
                <w:sz w:val="24"/>
                <w:szCs w:val="24"/>
              </w:rPr>
              <w:t>福建鑫晟铜业有限公司</w:t>
            </w:r>
            <w:bookmarkEnd w:id="1"/>
            <w:r>
              <w:rPr>
                <w:rFonts w:hint="eastAsia" w:cs="Times New Roman"/>
                <w:color w:val="auto"/>
                <w:sz w:val="24"/>
                <w:szCs w:val="24"/>
              </w:rPr>
              <w:t>高性能铜合金材料项目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024" w:type="pct"/>
            <w:gridSpan w:val="2"/>
            <w:tcBorders>
              <w:top w:val="single" w:color="auto" w:sz="4" w:space="0"/>
              <w:left w:val="single" w:color="auto" w:sz="4" w:space="0"/>
              <w:bottom w:val="single" w:color="auto" w:sz="4" w:space="0"/>
              <w:right w:val="single" w:color="auto" w:sz="4" w:space="0"/>
            </w:tcBorders>
            <w:tcMar>
              <w:top w:w="16" w:type="dxa"/>
              <w:left w:w="16" w:type="dxa"/>
              <w:right w:w="16" w:type="dxa"/>
            </w:tcMar>
            <w:vAlign w:val="center"/>
          </w:tcPr>
          <w:p>
            <w:pPr>
              <w:pStyle w:val="36"/>
              <w:rPr>
                <w:rFonts w:cs="Times New Roman"/>
                <w:color w:val="auto"/>
                <w:sz w:val="24"/>
                <w:szCs w:val="24"/>
              </w:rPr>
            </w:pPr>
            <w:r>
              <w:rPr>
                <w:rFonts w:cs="Times New Roman"/>
                <w:color w:val="auto"/>
                <w:sz w:val="24"/>
                <w:szCs w:val="24"/>
              </w:rPr>
              <w:t>项目代码</w:t>
            </w:r>
          </w:p>
        </w:tc>
        <w:tc>
          <w:tcPr>
            <w:tcW w:w="3975" w:type="pct"/>
            <w:gridSpan w:val="4"/>
            <w:tcBorders>
              <w:top w:val="single" w:color="auto" w:sz="4" w:space="0"/>
              <w:left w:val="single" w:color="auto" w:sz="4" w:space="0"/>
              <w:bottom w:val="single" w:color="auto" w:sz="4" w:space="0"/>
              <w:right w:val="single" w:color="auto" w:sz="4" w:space="0"/>
            </w:tcBorders>
            <w:vAlign w:val="center"/>
          </w:tcPr>
          <w:p>
            <w:pPr>
              <w:pStyle w:val="36"/>
              <w:rPr>
                <w:rFonts w:cs="Times New Roman"/>
                <w:color w:val="auto"/>
                <w:sz w:val="24"/>
                <w:szCs w:val="24"/>
              </w:rPr>
            </w:pPr>
            <w:r>
              <w:rPr>
                <w:rFonts w:hint="eastAsia" w:cs="Times New Roman"/>
                <w:color w:val="auto"/>
                <w:sz w:val="24"/>
                <w:szCs w:val="24"/>
              </w:rPr>
              <w:t>2409-350181-04-01-954811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024" w:type="pct"/>
            <w:gridSpan w:val="2"/>
            <w:tcBorders>
              <w:top w:val="single" w:color="auto" w:sz="4" w:space="0"/>
              <w:left w:val="single" w:color="auto" w:sz="4" w:space="0"/>
              <w:bottom w:val="single" w:color="auto" w:sz="4" w:space="0"/>
            </w:tcBorders>
            <w:tcMar>
              <w:top w:w="16" w:type="dxa"/>
              <w:left w:w="16" w:type="dxa"/>
              <w:right w:w="16" w:type="dxa"/>
            </w:tcMar>
            <w:vAlign w:val="center"/>
          </w:tcPr>
          <w:p>
            <w:pPr>
              <w:pStyle w:val="36"/>
              <w:rPr>
                <w:rFonts w:cs="Times New Roman"/>
                <w:color w:val="auto"/>
                <w:sz w:val="24"/>
                <w:szCs w:val="24"/>
              </w:rPr>
            </w:pPr>
            <w:r>
              <w:rPr>
                <w:rFonts w:cs="Times New Roman"/>
                <w:color w:val="auto"/>
                <w:sz w:val="24"/>
                <w:szCs w:val="24"/>
              </w:rPr>
              <w:t>建设单位联系人</w:t>
            </w:r>
          </w:p>
        </w:tc>
        <w:tc>
          <w:tcPr>
            <w:tcW w:w="1207" w:type="pct"/>
            <w:tcBorders>
              <w:top w:val="single" w:color="auto" w:sz="4" w:space="0"/>
              <w:bottom w:val="single" w:color="auto" w:sz="4" w:space="0"/>
            </w:tcBorders>
            <w:vAlign w:val="center"/>
          </w:tcPr>
          <w:p>
            <w:pPr>
              <w:pStyle w:val="36"/>
              <w:jc w:val="center"/>
              <w:rPr>
                <w:rFonts w:hint="default" w:cs="Times New Roman"/>
                <w:color w:val="auto"/>
                <w:sz w:val="24"/>
                <w:szCs w:val="24"/>
                <w:lang w:val="en-US"/>
              </w:rPr>
            </w:pPr>
            <w:r>
              <w:rPr>
                <w:rFonts w:hint="eastAsia" w:cs="Times New Roman"/>
                <w:color w:val="auto"/>
                <w:sz w:val="24"/>
                <w:szCs w:val="24"/>
                <w:lang w:val="en-US" w:eastAsia="zh-CN"/>
              </w:rPr>
              <w:t>***</w:t>
            </w:r>
          </w:p>
        </w:tc>
        <w:tc>
          <w:tcPr>
            <w:tcW w:w="1064" w:type="pct"/>
            <w:tcBorders>
              <w:top w:val="single" w:color="auto" w:sz="4" w:space="0"/>
              <w:bottom w:val="single" w:color="auto" w:sz="4" w:space="0"/>
            </w:tcBorders>
            <w:vAlign w:val="center"/>
          </w:tcPr>
          <w:p>
            <w:pPr>
              <w:pStyle w:val="36"/>
              <w:jc w:val="center"/>
              <w:rPr>
                <w:rFonts w:hint="eastAsia" w:cs="Times New Roman"/>
                <w:color w:val="auto"/>
                <w:sz w:val="24"/>
                <w:szCs w:val="24"/>
              </w:rPr>
            </w:pPr>
            <w:r>
              <w:rPr>
                <w:rFonts w:hint="eastAsia" w:cs="Times New Roman"/>
                <w:color w:val="auto"/>
                <w:sz w:val="24"/>
                <w:szCs w:val="24"/>
              </w:rPr>
              <w:t>联系方式</w:t>
            </w:r>
          </w:p>
        </w:tc>
        <w:tc>
          <w:tcPr>
            <w:tcW w:w="1703" w:type="pct"/>
            <w:gridSpan w:val="2"/>
            <w:tcBorders>
              <w:top w:val="single" w:color="auto" w:sz="4" w:space="0"/>
              <w:bottom w:val="single" w:color="auto" w:sz="4" w:space="0"/>
              <w:right w:val="single" w:color="auto" w:sz="4" w:space="0"/>
            </w:tcBorders>
            <w:vAlign w:val="center"/>
          </w:tcPr>
          <w:p>
            <w:pPr>
              <w:pStyle w:val="36"/>
              <w:jc w:val="center"/>
              <w:rPr>
                <w:rFonts w:hint="eastAsia" w:cs="Times New Roman"/>
                <w:color w:val="auto"/>
                <w:sz w:val="24"/>
                <w:szCs w:val="24"/>
              </w:rPr>
            </w:pPr>
            <w:r>
              <w:rPr>
                <w:rFonts w:hint="eastAsia" w:cs="Times New Roman"/>
                <w:color w:val="auto"/>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024" w:type="pct"/>
            <w:gridSpan w:val="2"/>
            <w:tcBorders>
              <w:top w:val="single" w:color="auto" w:sz="4" w:space="0"/>
              <w:left w:val="single" w:color="auto" w:sz="4" w:space="0"/>
              <w:bottom w:val="single" w:color="auto" w:sz="4" w:space="0"/>
              <w:right w:val="single" w:color="auto" w:sz="4" w:space="0"/>
            </w:tcBorders>
            <w:tcMar>
              <w:top w:w="16" w:type="dxa"/>
              <w:left w:w="16" w:type="dxa"/>
              <w:right w:w="16" w:type="dxa"/>
            </w:tcMar>
            <w:vAlign w:val="center"/>
          </w:tcPr>
          <w:p>
            <w:pPr>
              <w:pStyle w:val="36"/>
              <w:rPr>
                <w:rFonts w:cs="Times New Roman"/>
                <w:color w:val="auto"/>
                <w:sz w:val="24"/>
                <w:szCs w:val="24"/>
              </w:rPr>
            </w:pPr>
            <w:r>
              <w:rPr>
                <w:rFonts w:cs="Times New Roman"/>
                <w:color w:val="auto"/>
                <w:sz w:val="24"/>
                <w:szCs w:val="24"/>
              </w:rPr>
              <w:t>建设地点</w:t>
            </w:r>
          </w:p>
        </w:tc>
        <w:tc>
          <w:tcPr>
            <w:tcW w:w="3975" w:type="pct"/>
            <w:gridSpan w:val="4"/>
            <w:tcBorders>
              <w:top w:val="single" w:color="auto" w:sz="4" w:space="0"/>
              <w:left w:val="single" w:color="auto" w:sz="4" w:space="0"/>
              <w:bottom w:val="single" w:color="auto" w:sz="4" w:space="0"/>
              <w:right w:val="single" w:color="auto" w:sz="4" w:space="0"/>
            </w:tcBorders>
            <w:vAlign w:val="center"/>
          </w:tcPr>
          <w:p>
            <w:pPr>
              <w:pStyle w:val="36"/>
              <w:rPr>
                <w:rFonts w:hint="eastAsia" w:eastAsia="宋体" w:cs="Times New Roman"/>
                <w:color w:val="auto"/>
                <w:sz w:val="24"/>
                <w:szCs w:val="24"/>
                <w:lang w:eastAsia="zh-CN"/>
              </w:rPr>
            </w:pPr>
            <w:r>
              <w:rPr>
                <w:rFonts w:hint="eastAsia" w:cs="Times New Roman"/>
                <w:color w:val="auto"/>
                <w:sz w:val="24"/>
                <w:szCs w:val="24"/>
                <w:lang w:eastAsia="zh-CN"/>
              </w:rPr>
              <w:t>福清融侨经济技术开发区洪宽工业村</w:t>
            </w:r>
          </w:p>
          <w:p>
            <w:pPr>
              <w:pStyle w:val="36"/>
              <w:rPr>
                <w:rFonts w:cs="Times New Roman"/>
                <w:color w:val="auto"/>
                <w:sz w:val="24"/>
                <w:szCs w:val="24"/>
              </w:rPr>
            </w:pPr>
            <w:r>
              <w:rPr>
                <w:rFonts w:hint="eastAsia" w:cs="Times New Roman"/>
                <w:color w:val="auto"/>
                <w:sz w:val="24"/>
                <w:szCs w:val="24"/>
              </w:rPr>
              <w:t>（福清市阳下街道屿边村160号）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024" w:type="pct"/>
            <w:gridSpan w:val="2"/>
            <w:tcBorders>
              <w:top w:val="single" w:color="auto" w:sz="4" w:space="0"/>
              <w:left w:val="single" w:color="auto" w:sz="4" w:space="0"/>
              <w:bottom w:val="single" w:color="auto" w:sz="4" w:space="0"/>
              <w:right w:val="single" w:color="auto" w:sz="4" w:space="0"/>
            </w:tcBorders>
            <w:tcMar>
              <w:top w:w="16" w:type="dxa"/>
              <w:left w:w="16" w:type="dxa"/>
              <w:right w:w="16" w:type="dxa"/>
            </w:tcMar>
            <w:vAlign w:val="center"/>
          </w:tcPr>
          <w:p>
            <w:pPr>
              <w:pStyle w:val="36"/>
              <w:rPr>
                <w:rFonts w:cs="Times New Roman"/>
                <w:color w:val="auto"/>
                <w:sz w:val="24"/>
                <w:szCs w:val="24"/>
              </w:rPr>
            </w:pPr>
            <w:r>
              <w:rPr>
                <w:rFonts w:cs="Times New Roman"/>
                <w:color w:val="auto"/>
                <w:sz w:val="24"/>
                <w:szCs w:val="24"/>
              </w:rPr>
              <w:t>地理坐标</w:t>
            </w:r>
          </w:p>
        </w:tc>
        <w:tc>
          <w:tcPr>
            <w:tcW w:w="3975" w:type="pct"/>
            <w:gridSpan w:val="4"/>
            <w:tcBorders>
              <w:top w:val="single" w:color="auto" w:sz="4" w:space="0"/>
              <w:left w:val="single" w:color="auto" w:sz="4" w:space="0"/>
              <w:bottom w:val="single" w:color="auto" w:sz="4" w:space="0"/>
              <w:right w:val="single" w:color="auto" w:sz="4" w:space="0"/>
            </w:tcBorders>
            <w:vAlign w:val="center"/>
          </w:tcPr>
          <w:p>
            <w:pPr>
              <w:pStyle w:val="36"/>
              <w:rPr>
                <w:rFonts w:cs="Times New Roman"/>
                <w:color w:val="auto"/>
                <w:sz w:val="24"/>
                <w:szCs w:val="24"/>
                <w:u w:val="single"/>
              </w:rPr>
            </w:pPr>
            <w:r>
              <w:rPr>
                <w:rFonts w:cs="Times New Roman"/>
                <w:color w:val="auto"/>
                <w:sz w:val="24"/>
                <w:szCs w:val="24"/>
                <w:u w:val="single"/>
              </w:rPr>
              <w:t>（</w:t>
            </w:r>
            <w:bookmarkStart w:id="2" w:name="OLE_LINK4"/>
            <w:r>
              <w:rPr>
                <w:rFonts w:hint="eastAsia" w:cs="Times New Roman"/>
                <w:color w:val="auto"/>
                <w:sz w:val="24"/>
                <w:szCs w:val="24"/>
                <w:u w:val="single"/>
              </w:rPr>
              <w:t>119</w:t>
            </w:r>
            <w:r>
              <w:rPr>
                <w:rFonts w:cs="Times New Roman"/>
                <w:color w:val="auto"/>
                <w:sz w:val="24"/>
                <w:szCs w:val="24"/>
                <w:u w:val="single"/>
              </w:rPr>
              <w:t>度</w:t>
            </w:r>
            <w:r>
              <w:rPr>
                <w:rFonts w:hint="eastAsia" w:cs="Times New Roman"/>
                <w:color w:val="auto"/>
                <w:sz w:val="24"/>
                <w:szCs w:val="24"/>
                <w:u w:val="single"/>
              </w:rPr>
              <w:t>24</w:t>
            </w:r>
            <w:r>
              <w:rPr>
                <w:rFonts w:cs="Times New Roman"/>
                <w:color w:val="auto"/>
                <w:sz w:val="24"/>
                <w:szCs w:val="24"/>
                <w:u w:val="single"/>
              </w:rPr>
              <w:t>分</w:t>
            </w:r>
            <w:r>
              <w:rPr>
                <w:rFonts w:hint="eastAsia" w:cs="Times New Roman"/>
                <w:color w:val="auto"/>
                <w:sz w:val="24"/>
                <w:szCs w:val="24"/>
                <w:u w:val="single"/>
              </w:rPr>
              <w:t>51.549</w:t>
            </w:r>
            <w:r>
              <w:rPr>
                <w:rFonts w:cs="Times New Roman"/>
                <w:color w:val="auto"/>
                <w:sz w:val="24"/>
                <w:szCs w:val="24"/>
                <w:u w:val="single"/>
              </w:rPr>
              <w:t>秒</w:t>
            </w:r>
            <w:r>
              <w:rPr>
                <w:rFonts w:hint="eastAsia" w:cs="Times New Roman"/>
                <w:color w:val="auto"/>
                <w:sz w:val="24"/>
                <w:szCs w:val="24"/>
                <w:u w:val="single"/>
              </w:rPr>
              <w:t>，25</w:t>
            </w:r>
            <w:r>
              <w:rPr>
                <w:rFonts w:cs="Times New Roman"/>
                <w:color w:val="auto"/>
                <w:sz w:val="24"/>
                <w:szCs w:val="24"/>
                <w:u w:val="single"/>
              </w:rPr>
              <w:t>度</w:t>
            </w:r>
            <w:r>
              <w:rPr>
                <w:rFonts w:hint="eastAsia" w:cs="Times New Roman"/>
                <w:color w:val="auto"/>
                <w:sz w:val="24"/>
                <w:szCs w:val="24"/>
                <w:u w:val="single"/>
              </w:rPr>
              <w:t>46</w:t>
            </w:r>
            <w:r>
              <w:rPr>
                <w:rFonts w:cs="Times New Roman"/>
                <w:color w:val="auto"/>
                <w:sz w:val="24"/>
                <w:szCs w:val="24"/>
                <w:u w:val="single"/>
              </w:rPr>
              <w:t>分</w:t>
            </w:r>
            <w:r>
              <w:rPr>
                <w:rFonts w:hint="eastAsia" w:cs="Times New Roman"/>
                <w:color w:val="auto"/>
                <w:sz w:val="24"/>
                <w:szCs w:val="24"/>
                <w:u w:val="single"/>
              </w:rPr>
              <w:t>35.74</w:t>
            </w:r>
            <w:r>
              <w:rPr>
                <w:rFonts w:cs="Times New Roman"/>
                <w:color w:val="auto"/>
                <w:sz w:val="24"/>
                <w:szCs w:val="24"/>
                <w:u w:val="single"/>
              </w:rPr>
              <w:t>秒</w:t>
            </w:r>
            <w:bookmarkEnd w:id="2"/>
            <w:r>
              <w:rPr>
                <w:rFonts w:cs="Times New Roman"/>
                <w:color w:val="auto"/>
                <w:sz w:val="24"/>
                <w:szCs w:val="24"/>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024" w:type="pct"/>
            <w:gridSpan w:val="2"/>
            <w:tcBorders>
              <w:top w:val="single" w:color="auto" w:sz="4" w:space="0"/>
              <w:left w:val="single" w:color="auto" w:sz="4" w:space="0"/>
              <w:bottom w:val="single" w:color="auto" w:sz="4" w:space="0"/>
            </w:tcBorders>
            <w:tcMar>
              <w:top w:w="16" w:type="dxa"/>
              <w:left w:w="16" w:type="dxa"/>
              <w:right w:w="16" w:type="dxa"/>
            </w:tcMar>
            <w:vAlign w:val="center"/>
          </w:tcPr>
          <w:p>
            <w:pPr>
              <w:pStyle w:val="36"/>
              <w:rPr>
                <w:rFonts w:cs="Times New Roman"/>
                <w:color w:val="auto"/>
                <w:sz w:val="24"/>
                <w:szCs w:val="24"/>
              </w:rPr>
            </w:pPr>
            <w:r>
              <w:rPr>
                <w:rFonts w:cs="Times New Roman"/>
                <w:color w:val="auto"/>
                <w:sz w:val="24"/>
                <w:szCs w:val="24"/>
              </w:rPr>
              <w:t>国民经济</w:t>
            </w:r>
          </w:p>
          <w:p>
            <w:pPr>
              <w:pStyle w:val="36"/>
              <w:rPr>
                <w:rFonts w:cs="Times New Roman"/>
                <w:color w:val="auto"/>
                <w:sz w:val="24"/>
                <w:szCs w:val="24"/>
              </w:rPr>
            </w:pPr>
            <w:r>
              <w:rPr>
                <w:rFonts w:cs="Times New Roman"/>
                <w:color w:val="auto"/>
                <w:sz w:val="24"/>
                <w:szCs w:val="24"/>
              </w:rPr>
              <w:t>行业类别</w:t>
            </w:r>
          </w:p>
        </w:tc>
        <w:tc>
          <w:tcPr>
            <w:tcW w:w="1207" w:type="pct"/>
            <w:tcBorders>
              <w:top w:val="single" w:color="auto" w:sz="4" w:space="0"/>
              <w:bottom w:val="single" w:color="auto" w:sz="4" w:space="0"/>
            </w:tcBorders>
            <w:vAlign w:val="center"/>
          </w:tcPr>
          <w:p>
            <w:pPr>
              <w:pStyle w:val="36"/>
              <w:rPr>
                <w:rFonts w:cs="Times New Roman"/>
                <w:color w:val="auto"/>
                <w:sz w:val="24"/>
              </w:rPr>
            </w:pPr>
            <w:r>
              <w:rPr>
                <w:rFonts w:hint="eastAsia" w:cs="Times New Roman"/>
                <w:color w:val="auto"/>
                <w:sz w:val="24"/>
              </w:rPr>
              <w:t>C3251 铜压延加工</w:t>
            </w:r>
          </w:p>
        </w:tc>
        <w:tc>
          <w:tcPr>
            <w:tcW w:w="1064" w:type="pct"/>
            <w:tcBorders>
              <w:top w:val="single" w:color="auto" w:sz="4" w:space="0"/>
              <w:bottom w:val="single" w:color="auto" w:sz="4" w:space="0"/>
            </w:tcBorders>
            <w:vAlign w:val="center"/>
          </w:tcPr>
          <w:p>
            <w:pPr>
              <w:pStyle w:val="36"/>
              <w:rPr>
                <w:rFonts w:cs="Times New Roman"/>
                <w:color w:val="auto"/>
                <w:sz w:val="24"/>
                <w:szCs w:val="24"/>
              </w:rPr>
            </w:pPr>
            <w:r>
              <w:rPr>
                <w:rFonts w:cs="Times New Roman"/>
                <w:color w:val="auto"/>
                <w:sz w:val="24"/>
                <w:szCs w:val="24"/>
              </w:rPr>
              <w:t>建设项目</w:t>
            </w:r>
          </w:p>
          <w:p>
            <w:pPr>
              <w:pStyle w:val="36"/>
              <w:rPr>
                <w:rFonts w:cs="Times New Roman"/>
                <w:color w:val="auto"/>
                <w:sz w:val="24"/>
                <w:szCs w:val="24"/>
              </w:rPr>
            </w:pPr>
            <w:r>
              <w:rPr>
                <w:rFonts w:cs="Times New Roman"/>
                <w:color w:val="auto"/>
                <w:sz w:val="24"/>
                <w:szCs w:val="24"/>
              </w:rPr>
              <w:t>行业类别</w:t>
            </w:r>
          </w:p>
        </w:tc>
        <w:tc>
          <w:tcPr>
            <w:tcW w:w="1703" w:type="pct"/>
            <w:gridSpan w:val="2"/>
            <w:tcBorders>
              <w:top w:val="single" w:color="auto" w:sz="4" w:space="0"/>
              <w:bottom w:val="single" w:color="auto" w:sz="4" w:space="0"/>
              <w:right w:val="single" w:color="auto" w:sz="4" w:space="0"/>
            </w:tcBorders>
            <w:vAlign w:val="center"/>
          </w:tcPr>
          <w:p>
            <w:pPr>
              <w:pStyle w:val="36"/>
              <w:jc w:val="left"/>
              <w:rPr>
                <w:rFonts w:cs="Times New Roman"/>
                <w:color w:val="auto"/>
                <w:sz w:val="24"/>
                <w:szCs w:val="24"/>
              </w:rPr>
            </w:pPr>
            <w:r>
              <w:rPr>
                <w:rFonts w:hint="eastAsia" w:cs="Times New Roman"/>
                <w:color w:val="auto"/>
                <w:sz w:val="24"/>
                <w:szCs w:val="24"/>
              </w:rPr>
              <w:t>二十九、有色金属冶炼和压延加工业32-65有色金属压延加工325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024" w:type="pct"/>
            <w:gridSpan w:val="2"/>
            <w:tcBorders>
              <w:top w:val="single" w:color="auto" w:sz="4" w:space="0"/>
              <w:left w:val="single" w:color="auto" w:sz="4" w:space="0"/>
              <w:bottom w:val="single" w:color="auto" w:sz="4" w:space="0"/>
            </w:tcBorders>
            <w:tcMar>
              <w:top w:w="16" w:type="dxa"/>
              <w:left w:w="16" w:type="dxa"/>
              <w:right w:w="16" w:type="dxa"/>
            </w:tcMar>
            <w:vAlign w:val="center"/>
          </w:tcPr>
          <w:p>
            <w:pPr>
              <w:pStyle w:val="36"/>
              <w:rPr>
                <w:rFonts w:cs="Times New Roman"/>
                <w:color w:val="auto"/>
                <w:sz w:val="24"/>
                <w:szCs w:val="24"/>
              </w:rPr>
            </w:pPr>
            <w:r>
              <w:rPr>
                <w:rFonts w:cs="Times New Roman"/>
                <w:color w:val="auto"/>
                <w:sz w:val="24"/>
                <w:szCs w:val="24"/>
              </w:rPr>
              <w:t>建设性质</w:t>
            </w:r>
          </w:p>
        </w:tc>
        <w:tc>
          <w:tcPr>
            <w:tcW w:w="1207" w:type="pct"/>
            <w:tcBorders>
              <w:top w:val="single" w:color="auto" w:sz="4" w:space="0"/>
              <w:bottom w:val="single" w:color="auto" w:sz="4" w:space="0"/>
            </w:tcBorders>
            <w:vAlign w:val="center"/>
          </w:tcPr>
          <w:p>
            <w:pPr>
              <w:pStyle w:val="36"/>
              <w:jc w:val="left"/>
              <w:rPr>
                <w:rFonts w:cs="Times New Roman"/>
                <w:color w:val="auto"/>
                <w:sz w:val="24"/>
                <w:szCs w:val="24"/>
              </w:rPr>
            </w:pPr>
            <w:r>
              <w:rPr>
                <w:rFonts w:hint="eastAsia" w:cs="Times New Roman"/>
                <w:color w:val="auto"/>
                <w:sz w:val="24"/>
                <w:szCs w:val="24"/>
              </w:rPr>
              <w:t>☑</w:t>
            </w:r>
            <w:r>
              <w:rPr>
                <w:rFonts w:cs="Times New Roman"/>
                <w:color w:val="auto"/>
                <w:sz w:val="24"/>
                <w:szCs w:val="24"/>
              </w:rPr>
              <w:t>新建（迁建）</w:t>
            </w:r>
          </w:p>
          <w:p>
            <w:pPr>
              <w:pStyle w:val="36"/>
              <w:jc w:val="left"/>
              <w:rPr>
                <w:rFonts w:cs="Times New Roman"/>
                <w:color w:val="auto"/>
                <w:sz w:val="24"/>
                <w:szCs w:val="24"/>
              </w:rPr>
            </w:pPr>
            <w:r>
              <w:rPr>
                <w:rFonts w:hint="eastAsia" w:cs="Times New Roman"/>
                <w:color w:val="auto"/>
                <w:sz w:val="24"/>
                <w:szCs w:val="24"/>
              </w:rPr>
              <w:t>□</w:t>
            </w:r>
            <w:r>
              <w:rPr>
                <w:rFonts w:cs="Times New Roman"/>
                <w:color w:val="auto"/>
                <w:sz w:val="24"/>
                <w:szCs w:val="24"/>
              </w:rPr>
              <w:t>改建</w:t>
            </w:r>
          </w:p>
          <w:p>
            <w:pPr>
              <w:pStyle w:val="36"/>
              <w:jc w:val="left"/>
              <w:rPr>
                <w:rFonts w:cs="Times New Roman"/>
                <w:color w:val="auto"/>
                <w:sz w:val="24"/>
                <w:szCs w:val="24"/>
              </w:rPr>
            </w:pPr>
            <w:r>
              <w:rPr>
                <w:rFonts w:hint="eastAsia" w:cs="Times New Roman"/>
                <w:color w:val="auto"/>
                <w:sz w:val="24"/>
                <w:szCs w:val="24"/>
              </w:rPr>
              <w:t>□</w:t>
            </w:r>
            <w:r>
              <w:rPr>
                <w:rFonts w:cs="Times New Roman"/>
                <w:color w:val="auto"/>
                <w:sz w:val="24"/>
                <w:szCs w:val="24"/>
              </w:rPr>
              <w:t>扩建</w:t>
            </w:r>
          </w:p>
          <w:p>
            <w:pPr>
              <w:pStyle w:val="36"/>
              <w:jc w:val="left"/>
              <w:rPr>
                <w:rFonts w:cs="Times New Roman"/>
                <w:color w:val="auto"/>
                <w:sz w:val="24"/>
                <w:szCs w:val="24"/>
              </w:rPr>
            </w:pPr>
            <w:r>
              <w:rPr>
                <w:rFonts w:hint="eastAsia" w:cs="Times New Roman"/>
                <w:color w:val="auto"/>
                <w:sz w:val="24"/>
                <w:szCs w:val="24"/>
              </w:rPr>
              <w:t>□</w:t>
            </w:r>
            <w:r>
              <w:rPr>
                <w:rFonts w:cs="Times New Roman"/>
                <w:color w:val="auto"/>
                <w:sz w:val="24"/>
                <w:szCs w:val="24"/>
              </w:rPr>
              <w:t>技术改造</w:t>
            </w:r>
          </w:p>
        </w:tc>
        <w:tc>
          <w:tcPr>
            <w:tcW w:w="1064" w:type="pct"/>
            <w:tcBorders>
              <w:top w:val="single" w:color="auto" w:sz="4" w:space="0"/>
              <w:bottom w:val="single" w:color="auto" w:sz="4" w:space="0"/>
            </w:tcBorders>
            <w:vAlign w:val="center"/>
          </w:tcPr>
          <w:p>
            <w:pPr>
              <w:pStyle w:val="36"/>
              <w:rPr>
                <w:rFonts w:cs="Times New Roman"/>
                <w:color w:val="auto"/>
                <w:sz w:val="24"/>
                <w:szCs w:val="24"/>
              </w:rPr>
            </w:pPr>
            <w:r>
              <w:rPr>
                <w:rFonts w:cs="Times New Roman"/>
                <w:color w:val="auto"/>
                <w:sz w:val="24"/>
                <w:szCs w:val="24"/>
              </w:rPr>
              <w:t>建设项目</w:t>
            </w:r>
          </w:p>
          <w:p>
            <w:pPr>
              <w:pStyle w:val="36"/>
              <w:rPr>
                <w:rFonts w:cs="Times New Roman"/>
                <w:color w:val="auto"/>
                <w:sz w:val="24"/>
                <w:szCs w:val="24"/>
              </w:rPr>
            </w:pPr>
            <w:r>
              <w:rPr>
                <w:rFonts w:cs="Times New Roman"/>
                <w:color w:val="auto"/>
                <w:sz w:val="24"/>
                <w:szCs w:val="24"/>
              </w:rPr>
              <w:t>申报情形</w:t>
            </w:r>
          </w:p>
        </w:tc>
        <w:tc>
          <w:tcPr>
            <w:tcW w:w="1703" w:type="pct"/>
            <w:gridSpan w:val="2"/>
            <w:tcBorders>
              <w:top w:val="single" w:color="auto" w:sz="4" w:space="0"/>
              <w:bottom w:val="single" w:color="auto" w:sz="4" w:space="0"/>
              <w:right w:val="single" w:color="auto" w:sz="4" w:space="0"/>
            </w:tcBorders>
            <w:vAlign w:val="center"/>
          </w:tcPr>
          <w:p>
            <w:pPr>
              <w:pStyle w:val="36"/>
              <w:jc w:val="left"/>
              <w:rPr>
                <w:rFonts w:cs="Times New Roman"/>
                <w:color w:val="auto"/>
                <w:sz w:val="24"/>
                <w:szCs w:val="24"/>
              </w:rPr>
            </w:pPr>
            <w:r>
              <w:rPr>
                <w:rFonts w:hint="eastAsia" w:cs="Times New Roman"/>
                <w:color w:val="auto"/>
                <w:sz w:val="24"/>
                <w:szCs w:val="24"/>
              </w:rPr>
              <w:t>☑</w:t>
            </w:r>
            <w:r>
              <w:rPr>
                <w:rFonts w:cs="Times New Roman"/>
                <w:color w:val="auto"/>
                <w:sz w:val="24"/>
                <w:szCs w:val="24"/>
              </w:rPr>
              <w:t xml:space="preserve">首次申报项目             </w:t>
            </w:r>
          </w:p>
          <w:p>
            <w:pPr>
              <w:pStyle w:val="36"/>
              <w:jc w:val="left"/>
              <w:rPr>
                <w:rFonts w:cs="Times New Roman"/>
                <w:color w:val="auto"/>
                <w:sz w:val="24"/>
                <w:szCs w:val="24"/>
              </w:rPr>
            </w:pPr>
            <w:r>
              <w:rPr>
                <w:rFonts w:hint="eastAsia" w:cs="Times New Roman"/>
                <w:color w:val="auto"/>
                <w:sz w:val="24"/>
                <w:szCs w:val="24"/>
              </w:rPr>
              <w:t>□</w:t>
            </w:r>
            <w:r>
              <w:rPr>
                <w:rFonts w:cs="Times New Roman"/>
                <w:color w:val="auto"/>
                <w:sz w:val="24"/>
                <w:szCs w:val="24"/>
              </w:rPr>
              <w:t>不予批准后再次申报项目</w:t>
            </w:r>
          </w:p>
          <w:p>
            <w:pPr>
              <w:pStyle w:val="36"/>
              <w:jc w:val="left"/>
              <w:rPr>
                <w:rFonts w:cs="Times New Roman"/>
                <w:color w:val="auto"/>
                <w:sz w:val="24"/>
                <w:szCs w:val="24"/>
              </w:rPr>
            </w:pPr>
            <w:r>
              <w:rPr>
                <w:rFonts w:hint="eastAsia" w:cs="Times New Roman"/>
                <w:color w:val="auto"/>
                <w:sz w:val="24"/>
                <w:szCs w:val="24"/>
              </w:rPr>
              <w:t>□</w:t>
            </w:r>
            <w:r>
              <w:rPr>
                <w:rFonts w:cs="Times New Roman"/>
                <w:color w:val="auto"/>
                <w:sz w:val="24"/>
                <w:szCs w:val="24"/>
              </w:rPr>
              <w:t xml:space="preserve">超五年重新审核项目     </w:t>
            </w:r>
          </w:p>
          <w:p>
            <w:pPr>
              <w:pStyle w:val="36"/>
              <w:jc w:val="left"/>
              <w:rPr>
                <w:rFonts w:cs="Times New Roman"/>
                <w:color w:val="auto"/>
                <w:sz w:val="24"/>
                <w:szCs w:val="24"/>
              </w:rPr>
            </w:pPr>
            <w:r>
              <w:rPr>
                <w:rFonts w:hint="eastAsia" w:cs="Times New Roman"/>
                <w:color w:val="auto"/>
                <w:sz w:val="24"/>
                <w:szCs w:val="24"/>
              </w:rPr>
              <w:t>□</w:t>
            </w:r>
            <w:r>
              <w:rPr>
                <w:rFonts w:cs="Times New Roman"/>
                <w:color w:val="auto"/>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024" w:type="pct"/>
            <w:gridSpan w:val="2"/>
            <w:tcBorders>
              <w:top w:val="single" w:color="auto" w:sz="4" w:space="0"/>
              <w:left w:val="single" w:color="auto" w:sz="4" w:space="0"/>
              <w:bottom w:val="single" w:color="auto" w:sz="4" w:space="0"/>
            </w:tcBorders>
            <w:tcMar>
              <w:top w:w="16" w:type="dxa"/>
              <w:left w:w="16" w:type="dxa"/>
              <w:right w:w="16" w:type="dxa"/>
            </w:tcMar>
            <w:vAlign w:val="center"/>
          </w:tcPr>
          <w:p>
            <w:pPr>
              <w:pStyle w:val="36"/>
              <w:rPr>
                <w:rFonts w:cs="Times New Roman"/>
                <w:color w:val="auto"/>
                <w:sz w:val="24"/>
                <w:szCs w:val="24"/>
              </w:rPr>
            </w:pPr>
            <w:r>
              <w:rPr>
                <w:rFonts w:cs="Times New Roman"/>
                <w:color w:val="auto"/>
                <w:sz w:val="24"/>
                <w:szCs w:val="24"/>
              </w:rPr>
              <w:t>项目审批（核准/</w:t>
            </w:r>
          </w:p>
          <w:p>
            <w:pPr>
              <w:pStyle w:val="36"/>
              <w:rPr>
                <w:rFonts w:cs="Times New Roman"/>
                <w:color w:val="auto"/>
                <w:sz w:val="24"/>
                <w:szCs w:val="24"/>
              </w:rPr>
            </w:pPr>
            <w:r>
              <w:rPr>
                <w:rFonts w:cs="Times New Roman"/>
                <w:color w:val="auto"/>
                <w:sz w:val="24"/>
                <w:szCs w:val="24"/>
              </w:rPr>
              <w:t>备案）部门（选填）</w:t>
            </w:r>
          </w:p>
        </w:tc>
        <w:tc>
          <w:tcPr>
            <w:tcW w:w="1207" w:type="pct"/>
            <w:tcBorders>
              <w:top w:val="single" w:color="auto" w:sz="4" w:space="0"/>
              <w:bottom w:val="single" w:color="auto" w:sz="4" w:space="0"/>
            </w:tcBorders>
            <w:vAlign w:val="center"/>
          </w:tcPr>
          <w:p>
            <w:pPr>
              <w:pStyle w:val="36"/>
              <w:rPr>
                <w:rFonts w:cs="Times New Roman"/>
                <w:color w:val="auto"/>
                <w:sz w:val="24"/>
                <w:szCs w:val="24"/>
              </w:rPr>
            </w:pPr>
            <w:r>
              <w:rPr>
                <w:rFonts w:hint="eastAsia" w:cs="Times New Roman"/>
                <w:color w:val="auto"/>
                <w:sz w:val="24"/>
                <w:szCs w:val="24"/>
              </w:rPr>
              <w:t>福清市发展和改革局</w:t>
            </w:r>
          </w:p>
        </w:tc>
        <w:tc>
          <w:tcPr>
            <w:tcW w:w="1064" w:type="pct"/>
            <w:tcBorders>
              <w:top w:val="single" w:color="auto" w:sz="4" w:space="0"/>
              <w:bottom w:val="single" w:color="auto" w:sz="4" w:space="0"/>
            </w:tcBorders>
            <w:vAlign w:val="center"/>
          </w:tcPr>
          <w:p>
            <w:pPr>
              <w:pStyle w:val="36"/>
              <w:rPr>
                <w:rFonts w:cs="Times New Roman"/>
                <w:color w:val="auto"/>
                <w:sz w:val="24"/>
                <w:szCs w:val="24"/>
              </w:rPr>
            </w:pPr>
            <w:r>
              <w:rPr>
                <w:rFonts w:cs="Times New Roman"/>
                <w:color w:val="auto"/>
                <w:sz w:val="24"/>
                <w:szCs w:val="24"/>
              </w:rPr>
              <w:t>项目审批（核准/</w:t>
            </w:r>
          </w:p>
          <w:p>
            <w:pPr>
              <w:pStyle w:val="36"/>
              <w:rPr>
                <w:rFonts w:cs="Times New Roman"/>
                <w:color w:val="auto"/>
                <w:sz w:val="24"/>
                <w:szCs w:val="24"/>
              </w:rPr>
            </w:pPr>
            <w:r>
              <w:rPr>
                <w:rFonts w:cs="Times New Roman"/>
                <w:color w:val="auto"/>
                <w:sz w:val="24"/>
                <w:szCs w:val="24"/>
              </w:rPr>
              <w:t>备案）文号（选填）</w:t>
            </w:r>
          </w:p>
        </w:tc>
        <w:tc>
          <w:tcPr>
            <w:tcW w:w="1703" w:type="pct"/>
            <w:gridSpan w:val="2"/>
            <w:tcBorders>
              <w:top w:val="single" w:color="auto" w:sz="4" w:space="0"/>
              <w:bottom w:val="single" w:color="auto" w:sz="4" w:space="0"/>
              <w:right w:val="single" w:color="auto" w:sz="4" w:space="0"/>
            </w:tcBorders>
            <w:vAlign w:val="center"/>
          </w:tcPr>
          <w:p>
            <w:pPr>
              <w:pStyle w:val="36"/>
              <w:rPr>
                <w:rFonts w:cs="Times New Roman"/>
                <w:color w:val="auto"/>
                <w:sz w:val="24"/>
                <w:szCs w:val="24"/>
              </w:rPr>
            </w:pPr>
            <w:r>
              <w:rPr>
                <w:rFonts w:hint="eastAsia" w:cs="Times New Roman"/>
                <w:color w:val="auto"/>
                <w:sz w:val="24"/>
                <w:szCs w:val="24"/>
              </w:rPr>
              <w:t>闽发改备〔2024〕A060336号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024" w:type="pct"/>
            <w:gridSpan w:val="2"/>
            <w:tcBorders>
              <w:top w:val="single" w:color="auto" w:sz="4" w:space="0"/>
              <w:left w:val="single" w:color="auto" w:sz="4" w:space="0"/>
              <w:bottom w:val="single" w:color="auto" w:sz="4" w:space="0"/>
            </w:tcBorders>
            <w:tcMar>
              <w:top w:w="16" w:type="dxa"/>
              <w:left w:w="16" w:type="dxa"/>
              <w:right w:w="16" w:type="dxa"/>
            </w:tcMar>
            <w:vAlign w:val="center"/>
          </w:tcPr>
          <w:p>
            <w:pPr>
              <w:pStyle w:val="36"/>
              <w:rPr>
                <w:rFonts w:cs="Times New Roman"/>
                <w:color w:val="auto"/>
                <w:sz w:val="24"/>
                <w:szCs w:val="24"/>
              </w:rPr>
            </w:pPr>
            <w:r>
              <w:rPr>
                <w:rFonts w:cs="Times New Roman"/>
                <w:color w:val="auto"/>
                <w:sz w:val="24"/>
                <w:szCs w:val="24"/>
              </w:rPr>
              <w:t>总投资（万元）</w:t>
            </w:r>
          </w:p>
        </w:tc>
        <w:tc>
          <w:tcPr>
            <w:tcW w:w="1207" w:type="pct"/>
            <w:tcBorders>
              <w:top w:val="single" w:color="auto" w:sz="4" w:space="0"/>
              <w:bottom w:val="single" w:color="auto" w:sz="4" w:space="0"/>
            </w:tcBorders>
            <w:vAlign w:val="center"/>
          </w:tcPr>
          <w:p>
            <w:pPr>
              <w:pStyle w:val="36"/>
              <w:rPr>
                <w:rFonts w:cs="Times New Roman"/>
                <w:color w:val="auto"/>
                <w:sz w:val="24"/>
                <w:szCs w:val="24"/>
              </w:rPr>
            </w:pPr>
            <w:r>
              <w:rPr>
                <w:rFonts w:hint="eastAsia" w:cs="Times New Roman"/>
                <w:color w:val="auto"/>
                <w:sz w:val="24"/>
                <w:szCs w:val="24"/>
              </w:rPr>
              <w:t>52000</w:t>
            </w:r>
          </w:p>
        </w:tc>
        <w:tc>
          <w:tcPr>
            <w:tcW w:w="1064" w:type="pct"/>
            <w:tcBorders>
              <w:top w:val="single" w:color="auto" w:sz="4" w:space="0"/>
              <w:bottom w:val="single" w:color="auto" w:sz="4" w:space="0"/>
            </w:tcBorders>
            <w:tcMar>
              <w:top w:w="16" w:type="dxa"/>
              <w:left w:w="16" w:type="dxa"/>
              <w:right w:w="16" w:type="dxa"/>
            </w:tcMar>
            <w:vAlign w:val="center"/>
          </w:tcPr>
          <w:p>
            <w:pPr>
              <w:pStyle w:val="36"/>
              <w:rPr>
                <w:rFonts w:cs="Times New Roman"/>
                <w:color w:val="auto"/>
                <w:sz w:val="24"/>
                <w:szCs w:val="24"/>
              </w:rPr>
            </w:pPr>
            <w:r>
              <w:rPr>
                <w:rFonts w:cs="Times New Roman"/>
                <w:color w:val="auto"/>
                <w:sz w:val="24"/>
                <w:szCs w:val="24"/>
              </w:rPr>
              <w:t>环保投资（万元）</w:t>
            </w:r>
          </w:p>
        </w:tc>
        <w:tc>
          <w:tcPr>
            <w:tcW w:w="1703" w:type="pct"/>
            <w:gridSpan w:val="2"/>
            <w:tcBorders>
              <w:top w:val="single" w:color="auto" w:sz="4" w:space="0"/>
              <w:bottom w:val="single" w:color="auto" w:sz="4" w:space="0"/>
              <w:right w:val="single" w:color="auto" w:sz="4" w:space="0"/>
            </w:tcBorders>
            <w:vAlign w:val="center"/>
          </w:tcPr>
          <w:p>
            <w:pPr>
              <w:pStyle w:val="36"/>
              <w:rPr>
                <w:rFonts w:cs="Times New Roman"/>
                <w:color w:val="auto"/>
                <w:sz w:val="24"/>
                <w:szCs w:val="24"/>
              </w:rPr>
            </w:pPr>
            <w:r>
              <w:rPr>
                <w:rFonts w:hint="eastAsia" w:cs="Times New Roman"/>
                <w:color w:val="auto"/>
                <w:sz w:val="24"/>
                <w:szCs w:val="24"/>
              </w:rPr>
              <w:t>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024" w:type="pct"/>
            <w:gridSpan w:val="2"/>
            <w:tcBorders>
              <w:top w:val="single" w:color="auto" w:sz="4" w:space="0"/>
              <w:left w:val="single" w:color="auto" w:sz="4" w:space="0"/>
              <w:bottom w:val="single" w:color="auto" w:sz="4" w:space="0"/>
            </w:tcBorders>
            <w:tcMar>
              <w:top w:w="16" w:type="dxa"/>
              <w:left w:w="16" w:type="dxa"/>
              <w:right w:w="16" w:type="dxa"/>
            </w:tcMar>
            <w:vAlign w:val="center"/>
          </w:tcPr>
          <w:p>
            <w:pPr>
              <w:pStyle w:val="36"/>
              <w:rPr>
                <w:rFonts w:cs="Times New Roman"/>
                <w:color w:val="auto"/>
                <w:sz w:val="24"/>
                <w:szCs w:val="24"/>
              </w:rPr>
            </w:pPr>
            <w:r>
              <w:rPr>
                <w:rFonts w:cs="Times New Roman"/>
                <w:color w:val="auto"/>
                <w:sz w:val="24"/>
                <w:szCs w:val="24"/>
              </w:rPr>
              <w:t>环保投资占比（%）</w:t>
            </w:r>
          </w:p>
        </w:tc>
        <w:tc>
          <w:tcPr>
            <w:tcW w:w="1207" w:type="pct"/>
            <w:tcBorders>
              <w:top w:val="single" w:color="auto" w:sz="4" w:space="0"/>
              <w:bottom w:val="single" w:color="auto" w:sz="4" w:space="0"/>
            </w:tcBorders>
            <w:vAlign w:val="center"/>
          </w:tcPr>
          <w:p>
            <w:pPr>
              <w:pStyle w:val="36"/>
              <w:rPr>
                <w:rFonts w:cs="Times New Roman"/>
                <w:color w:val="auto"/>
                <w:sz w:val="24"/>
                <w:szCs w:val="24"/>
              </w:rPr>
            </w:pPr>
            <w:r>
              <w:rPr>
                <w:rFonts w:hint="eastAsia" w:cs="Times New Roman"/>
                <w:color w:val="auto"/>
                <w:sz w:val="24"/>
                <w:szCs w:val="24"/>
              </w:rPr>
              <w:t>0.16</w:t>
            </w:r>
          </w:p>
        </w:tc>
        <w:tc>
          <w:tcPr>
            <w:tcW w:w="1064" w:type="pct"/>
            <w:tcBorders>
              <w:top w:val="single" w:color="auto" w:sz="4" w:space="0"/>
              <w:bottom w:val="single" w:color="auto" w:sz="4" w:space="0"/>
            </w:tcBorders>
            <w:tcMar>
              <w:top w:w="16" w:type="dxa"/>
              <w:left w:w="16" w:type="dxa"/>
              <w:right w:w="16" w:type="dxa"/>
            </w:tcMar>
            <w:vAlign w:val="center"/>
          </w:tcPr>
          <w:p>
            <w:pPr>
              <w:pStyle w:val="36"/>
              <w:rPr>
                <w:rFonts w:cs="Times New Roman"/>
                <w:color w:val="auto"/>
                <w:sz w:val="24"/>
                <w:szCs w:val="24"/>
              </w:rPr>
            </w:pPr>
            <w:r>
              <w:rPr>
                <w:rFonts w:cs="Times New Roman"/>
                <w:color w:val="auto"/>
                <w:sz w:val="24"/>
                <w:szCs w:val="24"/>
              </w:rPr>
              <w:t>施工工期（月）</w:t>
            </w:r>
          </w:p>
        </w:tc>
        <w:tc>
          <w:tcPr>
            <w:tcW w:w="1703" w:type="pct"/>
            <w:gridSpan w:val="2"/>
            <w:tcBorders>
              <w:top w:val="single" w:color="auto" w:sz="4" w:space="0"/>
              <w:bottom w:val="single" w:color="auto" w:sz="4" w:space="0"/>
              <w:right w:val="single" w:color="auto" w:sz="4" w:space="0"/>
            </w:tcBorders>
            <w:vAlign w:val="center"/>
          </w:tcPr>
          <w:p>
            <w:pPr>
              <w:pStyle w:val="36"/>
              <w:rPr>
                <w:rFonts w:cs="Times New Roman"/>
                <w:color w:val="auto"/>
                <w:sz w:val="24"/>
                <w:szCs w:val="24"/>
              </w:rPr>
            </w:pPr>
            <w:r>
              <w:rPr>
                <w:rFonts w:hint="eastAsia" w:cs="Times New Roman"/>
                <w:color w:val="auto"/>
                <w:sz w:val="24"/>
                <w:szCs w:val="24"/>
              </w:rPr>
              <w:t>36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024" w:type="pct"/>
            <w:gridSpan w:val="2"/>
            <w:tcBorders>
              <w:top w:val="single" w:color="auto" w:sz="4" w:space="0"/>
              <w:left w:val="single" w:color="auto" w:sz="4" w:space="0"/>
              <w:bottom w:val="single" w:color="auto" w:sz="4" w:space="0"/>
            </w:tcBorders>
            <w:tcMar>
              <w:top w:w="16" w:type="dxa"/>
              <w:left w:w="16" w:type="dxa"/>
              <w:right w:w="16" w:type="dxa"/>
            </w:tcMar>
            <w:vAlign w:val="center"/>
          </w:tcPr>
          <w:p>
            <w:pPr>
              <w:pStyle w:val="36"/>
              <w:rPr>
                <w:rFonts w:cs="Times New Roman"/>
                <w:color w:val="auto"/>
                <w:sz w:val="24"/>
                <w:szCs w:val="24"/>
              </w:rPr>
            </w:pPr>
            <w:r>
              <w:rPr>
                <w:rFonts w:cs="Times New Roman"/>
                <w:color w:val="auto"/>
                <w:sz w:val="24"/>
                <w:szCs w:val="24"/>
              </w:rPr>
              <w:t>是否开工建设</w:t>
            </w:r>
          </w:p>
        </w:tc>
        <w:tc>
          <w:tcPr>
            <w:tcW w:w="1207" w:type="pct"/>
            <w:tcBorders>
              <w:top w:val="single" w:color="auto" w:sz="4" w:space="0"/>
              <w:bottom w:val="single" w:color="auto" w:sz="4" w:space="0"/>
            </w:tcBorders>
            <w:vAlign w:val="center"/>
          </w:tcPr>
          <w:p>
            <w:pPr>
              <w:pStyle w:val="36"/>
              <w:jc w:val="left"/>
              <w:rPr>
                <w:rFonts w:cs="Times New Roman"/>
                <w:color w:val="auto"/>
                <w:sz w:val="24"/>
                <w:szCs w:val="24"/>
              </w:rPr>
            </w:pPr>
            <w:r>
              <w:rPr>
                <w:rFonts w:hint="eastAsia" w:cs="Times New Roman"/>
                <w:color w:val="auto"/>
                <w:sz w:val="24"/>
                <w:szCs w:val="24"/>
              </w:rPr>
              <w:t>☑</w:t>
            </w:r>
            <w:r>
              <w:rPr>
                <w:rFonts w:cs="Times New Roman"/>
                <w:color w:val="auto"/>
                <w:sz w:val="24"/>
                <w:szCs w:val="24"/>
              </w:rPr>
              <w:t>否</w:t>
            </w:r>
          </w:p>
          <w:p>
            <w:pPr>
              <w:pStyle w:val="36"/>
              <w:jc w:val="left"/>
              <w:rPr>
                <w:rFonts w:cs="Times New Roman"/>
                <w:color w:val="auto"/>
                <w:sz w:val="24"/>
                <w:szCs w:val="24"/>
              </w:rPr>
            </w:pPr>
            <w:r>
              <w:rPr>
                <w:rFonts w:hint="eastAsia" w:cs="Times New Roman"/>
                <w:color w:val="auto"/>
                <w:sz w:val="24"/>
                <w:szCs w:val="24"/>
              </w:rPr>
              <w:t>□</w:t>
            </w:r>
            <w:r>
              <w:rPr>
                <w:rFonts w:cs="Times New Roman"/>
                <w:color w:val="auto"/>
                <w:sz w:val="24"/>
                <w:szCs w:val="24"/>
              </w:rPr>
              <w:t>是</w:t>
            </w:r>
            <w:r>
              <w:rPr>
                <w:rFonts w:cs="Times New Roman"/>
                <w:color w:val="auto"/>
                <w:sz w:val="24"/>
                <w:szCs w:val="24"/>
                <w:u w:val="single"/>
              </w:rPr>
              <w:t>：</w:t>
            </w:r>
            <w:r>
              <w:rPr>
                <w:rFonts w:hint="eastAsia" w:cs="Times New Roman"/>
                <w:color w:val="auto"/>
                <w:sz w:val="24"/>
                <w:szCs w:val="24"/>
                <w:u w:val="single"/>
              </w:rPr>
              <w:t xml:space="preserve">       </w:t>
            </w:r>
          </w:p>
        </w:tc>
        <w:tc>
          <w:tcPr>
            <w:tcW w:w="1064" w:type="pct"/>
            <w:tcBorders>
              <w:top w:val="single" w:color="auto" w:sz="4" w:space="0"/>
              <w:bottom w:val="single" w:color="auto" w:sz="4" w:space="0"/>
            </w:tcBorders>
            <w:tcMar>
              <w:top w:w="16" w:type="dxa"/>
              <w:left w:w="16" w:type="dxa"/>
              <w:right w:w="16" w:type="dxa"/>
            </w:tcMar>
            <w:vAlign w:val="center"/>
          </w:tcPr>
          <w:p>
            <w:pPr>
              <w:pStyle w:val="36"/>
              <w:rPr>
                <w:rFonts w:cs="Times New Roman"/>
                <w:color w:val="auto"/>
                <w:spacing w:val="-6"/>
                <w:sz w:val="24"/>
                <w:szCs w:val="24"/>
              </w:rPr>
            </w:pPr>
            <w:r>
              <w:rPr>
                <w:rFonts w:cs="Times New Roman"/>
                <w:color w:val="auto"/>
                <w:spacing w:val="-6"/>
                <w:sz w:val="24"/>
                <w:szCs w:val="24"/>
              </w:rPr>
              <w:t>用地（用海）</w:t>
            </w:r>
          </w:p>
          <w:p>
            <w:pPr>
              <w:pStyle w:val="36"/>
              <w:rPr>
                <w:rFonts w:cs="Times New Roman"/>
                <w:color w:val="auto"/>
                <w:sz w:val="24"/>
                <w:szCs w:val="24"/>
              </w:rPr>
            </w:pPr>
            <w:r>
              <w:rPr>
                <w:rFonts w:cs="Times New Roman"/>
                <w:color w:val="auto"/>
                <w:spacing w:val="-6"/>
                <w:sz w:val="24"/>
                <w:szCs w:val="24"/>
              </w:rPr>
              <w:t>面积（m</w:t>
            </w:r>
            <w:r>
              <w:rPr>
                <w:rFonts w:cs="Times New Roman"/>
                <w:color w:val="auto"/>
                <w:spacing w:val="-6"/>
                <w:sz w:val="24"/>
                <w:szCs w:val="24"/>
                <w:vertAlign w:val="superscript"/>
              </w:rPr>
              <w:t>2</w:t>
            </w:r>
            <w:r>
              <w:rPr>
                <w:rFonts w:cs="Times New Roman"/>
                <w:color w:val="auto"/>
                <w:spacing w:val="-6"/>
                <w:sz w:val="24"/>
                <w:szCs w:val="24"/>
              </w:rPr>
              <w:t>）</w:t>
            </w:r>
          </w:p>
        </w:tc>
        <w:tc>
          <w:tcPr>
            <w:tcW w:w="1703" w:type="pct"/>
            <w:gridSpan w:val="2"/>
            <w:tcBorders>
              <w:top w:val="single" w:color="auto" w:sz="4" w:space="0"/>
              <w:bottom w:val="single" w:color="auto" w:sz="4" w:space="0"/>
              <w:right w:val="single" w:color="auto" w:sz="4" w:space="0"/>
            </w:tcBorders>
            <w:vAlign w:val="center"/>
          </w:tcPr>
          <w:p>
            <w:pPr>
              <w:pStyle w:val="36"/>
              <w:rPr>
                <w:rFonts w:cs="Times New Roman"/>
                <w:color w:val="auto"/>
                <w:sz w:val="24"/>
                <w:szCs w:val="24"/>
              </w:rPr>
            </w:pPr>
            <w:r>
              <w:rPr>
                <w:rFonts w:cs="Times New Roman"/>
                <w:color w:val="auto"/>
                <w:sz w:val="24"/>
                <w:szCs w:val="24"/>
              </w:rPr>
              <w:t>62195.8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gridAfter w:val="1"/>
          <w:wAfter w:w="6" w:type="pct"/>
          <w:trHeight w:val="454" w:hRule="atLeast"/>
          <w:jc w:val="center"/>
        </w:trPr>
        <w:tc>
          <w:tcPr>
            <w:tcW w:w="429" w:type="pct"/>
            <w:tcBorders>
              <w:top w:val="single" w:color="auto" w:sz="4" w:space="0"/>
              <w:left w:val="single" w:color="auto" w:sz="4" w:space="0"/>
              <w:bottom w:val="single" w:color="auto" w:sz="4" w:space="0"/>
              <w:right w:val="single" w:color="auto" w:sz="4" w:space="0"/>
            </w:tcBorders>
            <w:vAlign w:val="center"/>
          </w:tcPr>
          <w:p>
            <w:pPr>
              <w:pStyle w:val="36"/>
              <w:rPr>
                <w:rFonts w:cs="Times New Roman"/>
                <w:color w:val="auto"/>
                <w:sz w:val="24"/>
                <w:szCs w:val="24"/>
              </w:rPr>
            </w:pPr>
            <w:r>
              <w:rPr>
                <w:rFonts w:cs="Times New Roman"/>
                <w:color w:val="auto"/>
                <w:sz w:val="24"/>
                <w:szCs w:val="24"/>
              </w:rPr>
              <w:t>专项</w:t>
            </w:r>
          </w:p>
          <w:p>
            <w:pPr>
              <w:pStyle w:val="36"/>
              <w:rPr>
                <w:rFonts w:cs="Times New Roman"/>
                <w:color w:val="auto"/>
                <w:sz w:val="24"/>
                <w:szCs w:val="24"/>
              </w:rPr>
            </w:pPr>
            <w:r>
              <w:rPr>
                <w:rFonts w:cs="Times New Roman"/>
                <w:color w:val="auto"/>
                <w:sz w:val="24"/>
                <w:szCs w:val="24"/>
              </w:rPr>
              <w:t>评价</w:t>
            </w:r>
          </w:p>
          <w:p>
            <w:pPr>
              <w:pStyle w:val="36"/>
              <w:rPr>
                <w:rFonts w:cs="Times New Roman"/>
                <w:color w:val="auto"/>
                <w:sz w:val="24"/>
                <w:szCs w:val="24"/>
              </w:rPr>
            </w:pPr>
            <w:r>
              <w:rPr>
                <w:rFonts w:cs="Times New Roman"/>
                <w:color w:val="auto"/>
                <w:sz w:val="24"/>
                <w:szCs w:val="24"/>
              </w:rPr>
              <w:t>设置</w:t>
            </w:r>
          </w:p>
          <w:p>
            <w:pPr>
              <w:pStyle w:val="36"/>
              <w:rPr>
                <w:rFonts w:cs="Times New Roman"/>
                <w:color w:val="auto"/>
                <w:sz w:val="24"/>
                <w:szCs w:val="24"/>
              </w:rPr>
            </w:pPr>
            <w:r>
              <w:rPr>
                <w:rFonts w:cs="Times New Roman"/>
                <w:color w:val="auto"/>
                <w:sz w:val="24"/>
                <w:szCs w:val="24"/>
              </w:rPr>
              <w:t>情况</w:t>
            </w:r>
          </w:p>
        </w:tc>
        <w:tc>
          <w:tcPr>
            <w:tcW w:w="4563" w:type="pct"/>
            <w:gridSpan w:val="4"/>
            <w:tcBorders>
              <w:top w:val="single" w:color="auto" w:sz="4" w:space="0"/>
              <w:left w:val="single" w:color="auto" w:sz="4" w:space="0"/>
              <w:bottom w:val="single" w:color="auto" w:sz="4" w:space="0"/>
              <w:right w:val="single" w:color="auto" w:sz="4" w:space="0"/>
            </w:tcBorders>
            <w:vAlign w:val="center"/>
          </w:tcPr>
          <w:p>
            <w:pPr>
              <w:pStyle w:val="38"/>
              <w:ind w:firstLine="480"/>
              <w:rPr>
                <w:rFonts w:cs="Times New Roman"/>
                <w:color w:val="auto"/>
              </w:rPr>
            </w:pPr>
            <w:r>
              <w:rPr>
                <w:rFonts w:cs="Times New Roman"/>
                <w:color w:val="auto"/>
              </w:rPr>
              <w:t>根据《建设项目环境影响报告表编制技术指南（污染影响类）（试行）》</w:t>
            </w:r>
          </w:p>
          <w:p>
            <w:pPr>
              <w:pStyle w:val="38"/>
              <w:ind w:firstLine="0" w:firstLineChars="0"/>
              <w:rPr>
                <w:rFonts w:cs="Times New Roman"/>
                <w:color w:val="auto"/>
              </w:rPr>
            </w:pPr>
            <w:r>
              <w:rPr>
                <w:rFonts w:cs="Times New Roman"/>
                <w:color w:val="auto"/>
              </w:rPr>
              <w:t>表1</w:t>
            </w:r>
            <w:r>
              <w:rPr>
                <w:rFonts w:hint="eastAsia" w:cs="Times New Roman"/>
                <w:color w:val="auto"/>
              </w:rPr>
              <w:t>-1</w:t>
            </w:r>
            <w:r>
              <w:rPr>
                <w:rFonts w:cs="Times New Roman"/>
                <w:color w:val="auto"/>
              </w:rPr>
              <w:t>专项评价设置</w:t>
            </w:r>
            <w:r>
              <w:rPr>
                <w:rFonts w:hint="eastAsia" w:cs="Times New Roman"/>
                <w:color w:val="auto"/>
              </w:rPr>
              <w:t>情况</w:t>
            </w:r>
            <w:r>
              <w:rPr>
                <w:rFonts w:cs="Times New Roman"/>
                <w:color w:val="auto"/>
              </w:rPr>
              <w:t>表，本项目</w:t>
            </w:r>
            <w:r>
              <w:rPr>
                <w:rFonts w:hint="eastAsia" w:cs="Times New Roman"/>
                <w:color w:val="auto"/>
              </w:rPr>
              <w:t>无须设置</w:t>
            </w:r>
            <w:r>
              <w:rPr>
                <w:rFonts w:cs="Times New Roman"/>
                <w:color w:val="auto"/>
              </w:rPr>
              <w:t>专项评价。</w:t>
            </w:r>
          </w:p>
          <w:p>
            <w:pPr>
              <w:pStyle w:val="37"/>
              <w:rPr>
                <w:color w:val="auto"/>
              </w:rPr>
            </w:pPr>
            <w:r>
              <w:rPr>
                <w:color w:val="auto"/>
              </w:rPr>
              <w:t>表1</w:t>
            </w:r>
            <w:r>
              <w:rPr>
                <w:rFonts w:hint="eastAsia"/>
                <w:color w:val="auto"/>
                <w:lang w:val="en-US"/>
              </w:rPr>
              <w:t xml:space="preserve">-1 </w:t>
            </w:r>
            <w:r>
              <w:rPr>
                <w:color w:val="auto"/>
              </w:rPr>
              <w:t>专项评价设置情况表</w:t>
            </w:r>
          </w:p>
          <w:tbl>
            <w:tblPr>
              <w:tblStyle w:val="27"/>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Layout w:type="fixed"/>
              <w:tblCellMar>
                <w:top w:w="0" w:type="dxa"/>
                <w:left w:w="0" w:type="dxa"/>
                <w:bottom w:w="0" w:type="dxa"/>
                <w:right w:w="0" w:type="dxa"/>
              </w:tblCellMar>
            </w:tblPr>
            <w:tblGrid>
              <w:gridCol w:w="1134"/>
              <w:gridCol w:w="3820"/>
              <w:gridCol w:w="356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0" w:type="dxa"/>
                  <w:bottom w:w="0" w:type="dxa"/>
                  <w:right w:w="0" w:type="dxa"/>
                </w:tblCellMar>
              </w:tblPrEx>
              <w:trPr>
                <w:trHeight w:val="28" w:hRule="atLeast"/>
                <w:jc w:val="center"/>
              </w:trPr>
              <w:tc>
                <w:tcPr>
                  <w:tcW w:w="666" w:type="pct"/>
                  <w:tcBorders>
                    <w:top w:val="single" w:color="000000" w:sz="12" w:space="0"/>
                    <w:left w:val="single" w:color="000000" w:sz="12" w:space="0"/>
                    <w:bottom w:val="single" w:color="000000" w:sz="4" w:space="0"/>
                    <w:right w:val="single" w:color="000000" w:sz="8" w:space="0"/>
                  </w:tcBorders>
                  <w:vAlign w:val="center"/>
                </w:tcPr>
                <w:p>
                  <w:pPr>
                    <w:pStyle w:val="36"/>
                    <w:rPr>
                      <w:rFonts w:cs="Times New Roman"/>
                      <w:color w:val="auto"/>
                    </w:rPr>
                  </w:pPr>
                  <w:r>
                    <w:rPr>
                      <w:rFonts w:cs="Times New Roman"/>
                      <w:color w:val="auto"/>
                    </w:rPr>
                    <w:t>专项类别</w:t>
                  </w:r>
                </w:p>
              </w:tc>
              <w:tc>
                <w:tcPr>
                  <w:tcW w:w="2242" w:type="pct"/>
                  <w:tcBorders>
                    <w:top w:val="single" w:color="000000" w:sz="12" w:space="0"/>
                    <w:left w:val="nil"/>
                    <w:bottom w:val="single" w:color="000000" w:sz="4" w:space="0"/>
                    <w:right w:val="single" w:color="000000" w:sz="8" w:space="0"/>
                  </w:tcBorders>
                  <w:vAlign w:val="center"/>
                </w:tcPr>
                <w:p>
                  <w:pPr>
                    <w:pStyle w:val="36"/>
                    <w:rPr>
                      <w:rFonts w:cs="Times New Roman"/>
                      <w:color w:val="auto"/>
                    </w:rPr>
                  </w:pPr>
                  <w:r>
                    <w:rPr>
                      <w:rFonts w:cs="Times New Roman"/>
                      <w:color w:val="auto"/>
                    </w:rPr>
                    <w:t>设置原则</w:t>
                  </w:r>
                </w:p>
              </w:tc>
              <w:tc>
                <w:tcPr>
                  <w:tcW w:w="2091" w:type="pct"/>
                  <w:tcBorders>
                    <w:top w:val="single" w:color="000000" w:sz="12" w:space="0"/>
                    <w:left w:val="nil"/>
                    <w:bottom w:val="single" w:color="000000" w:sz="4" w:space="0"/>
                    <w:right w:val="single" w:color="000000" w:sz="12" w:space="0"/>
                  </w:tcBorders>
                  <w:vAlign w:val="center"/>
                </w:tcPr>
                <w:p>
                  <w:pPr>
                    <w:pStyle w:val="36"/>
                    <w:rPr>
                      <w:rFonts w:cs="Times New Roman"/>
                      <w:color w:val="auto"/>
                    </w:rPr>
                  </w:pPr>
                  <w:r>
                    <w:rPr>
                      <w:rFonts w:cs="Times New Roman"/>
                      <w:color w:val="auto"/>
                    </w:rPr>
                    <w:t>本项目设置说明</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0" w:type="dxa"/>
                  <w:bottom w:w="0" w:type="dxa"/>
                  <w:right w:w="0" w:type="dxa"/>
                </w:tblCellMar>
              </w:tblPrEx>
              <w:trPr>
                <w:trHeight w:val="28" w:hRule="atLeast"/>
                <w:jc w:val="center"/>
              </w:trPr>
              <w:tc>
                <w:tcPr>
                  <w:tcW w:w="666" w:type="pct"/>
                  <w:tcBorders>
                    <w:top w:val="single" w:color="000000" w:sz="4" w:space="0"/>
                    <w:left w:val="single" w:color="000000" w:sz="12" w:space="0"/>
                    <w:bottom w:val="single" w:color="000000" w:sz="4" w:space="0"/>
                    <w:right w:val="single" w:color="000000" w:sz="8" w:space="0"/>
                  </w:tcBorders>
                  <w:vAlign w:val="center"/>
                </w:tcPr>
                <w:p>
                  <w:pPr>
                    <w:pStyle w:val="36"/>
                    <w:rPr>
                      <w:rFonts w:cs="Times New Roman"/>
                      <w:color w:val="auto"/>
                    </w:rPr>
                  </w:pPr>
                  <w:r>
                    <w:rPr>
                      <w:rFonts w:cs="Times New Roman"/>
                      <w:color w:val="auto"/>
                    </w:rPr>
                    <w:t>大气</w:t>
                  </w:r>
                </w:p>
              </w:tc>
              <w:tc>
                <w:tcPr>
                  <w:tcW w:w="2242" w:type="pct"/>
                  <w:tcBorders>
                    <w:top w:val="single" w:color="000000" w:sz="4" w:space="0"/>
                    <w:left w:val="nil"/>
                    <w:bottom w:val="single" w:color="000000" w:sz="4" w:space="0"/>
                    <w:right w:val="single" w:color="000000" w:sz="8" w:space="0"/>
                  </w:tcBorders>
                  <w:vAlign w:val="center"/>
                </w:tcPr>
                <w:p>
                  <w:pPr>
                    <w:pStyle w:val="36"/>
                    <w:rPr>
                      <w:rFonts w:cs="Times New Roman"/>
                      <w:color w:val="auto"/>
                    </w:rPr>
                  </w:pPr>
                  <w:r>
                    <w:rPr>
                      <w:rFonts w:cs="Times New Roman"/>
                      <w:color w:val="auto"/>
                    </w:rPr>
                    <w:t>排放废气含有毒有害污染物</w:t>
                  </w:r>
                  <w:r>
                    <w:rPr>
                      <w:rFonts w:cs="Times New Roman"/>
                      <w:color w:val="auto"/>
                      <w:vertAlign w:val="superscript"/>
                    </w:rPr>
                    <w:t>1</w:t>
                  </w:r>
                  <w:r>
                    <w:rPr>
                      <w:rFonts w:cs="Times New Roman"/>
                      <w:color w:val="auto"/>
                    </w:rPr>
                    <w:t>、二噁英、苯并[a]芘、氰化物、氯气且厂界外500米范围内有环境空气保护目标的建设项目</w:t>
                  </w:r>
                </w:p>
              </w:tc>
              <w:tc>
                <w:tcPr>
                  <w:tcW w:w="2091" w:type="pct"/>
                  <w:tcBorders>
                    <w:top w:val="single" w:color="000000" w:sz="4" w:space="0"/>
                    <w:left w:val="nil"/>
                    <w:bottom w:val="single" w:color="000000" w:sz="4" w:space="0"/>
                    <w:right w:val="single" w:color="000000" w:sz="12" w:space="0"/>
                  </w:tcBorders>
                  <w:vAlign w:val="center"/>
                </w:tcPr>
                <w:p>
                  <w:pPr>
                    <w:pStyle w:val="36"/>
                    <w:rPr>
                      <w:rFonts w:cs="Times New Roman"/>
                      <w:color w:val="auto"/>
                    </w:rPr>
                  </w:pPr>
                  <w:r>
                    <w:rPr>
                      <w:rFonts w:cs="Times New Roman"/>
                      <w:color w:val="auto"/>
                    </w:rPr>
                    <w:t>项目排放的废气为非甲烷总烃、</w:t>
                  </w:r>
                  <w:bookmarkStart w:id="3" w:name="OLE_LINK1"/>
                  <w:r>
                    <w:rPr>
                      <w:rFonts w:hint="eastAsia" w:cs="Times New Roman"/>
                      <w:color w:val="auto"/>
                    </w:rPr>
                    <w:t>硫酸雾</w:t>
                  </w:r>
                  <w:bookmarkEnd w:id="3"/>
                  <w:r>
                    <w:rPr>
                      <w:rFonts w:hint="eastAsia" w:cs="Times New Roman"/>
                      <w:color w:val="auto"/>
                    </w:rPr>
                    <w:t>等</w:t>
                  </w:r>
                  <w:r>
                    <w:rPr>
                      <w:rFonts w:cs="Times New Roman"/>
                      <w:color w:val="auto"/>
                    </w:rPr>
                    <w:t>，</w:t>
                  </w:r>
                  <w:r>
                    <w:rPr>
                      <w:rFonts w:hint="eastAsia" w:cs="Times New Roman"/>
                      <w:color w:val="auto"/>
                    </w:rPr>
                    <w:t>不涉及以上</w:t>
                  </w:r>
                  <w:r>
                    <w:rPr>
                      <w:rFonts w:cs="Times New Roman"/>
                      <w:color w:val="auto"/>
                    </w:rPr>
                    <w:t>有毒有害</w:t>
                  </w:r>
                  <w:r>
                    <w:rPr>
                      <w:rFonts w:hint="eastAsia" w:cs="Times New Roman"/>
                      <w:color w:val="auto"/>
                    </w:rPr>
                    <w:t>大气</w:t>
                  </w:r>
                  <w:r>
                    <w:rPr>
                      <w:rFonts w:cs="Times New Roman"/>
                      <w:color w:val="auto"/>
                    </w:rPr>
                    <w:t>污染物、二噁英、苯并[a]芘、氰化物、氯气</w:t>
                  </w:r>
                  <w:r>
                    <w:rPr>
                      <w:rFonts w:hint="eastAsia" w:cs="Times New Roman"/>
                      <w:color w:val="auto"/>
                    </w:rPr>
                    <w:t>，</w:t>
                  </w:r>
                </w:p>
                <w:p>
                  <w:pPr>
                    <w:pStyle w:val="36"/>
                    <w:rPr>
                      <w:rFonts w:cs="Times New Roman"/>
                      <w:color w:val="auto"/>
                    </w:rPr>
                  </w:pPr>
                  <w:r>
                    <w:rPr>
                      <w:rFonts w:cs="Times New Roman"/>
                      <w:color w:val="auto"/>
                    </w:rPr>
                    <w:t>故不设大气专项评价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0" w:type="dxa"/>
                  <w:bottom w:w="0" w:type="dxa"/>
                  <w:right w:w="0" w:type="dxa"/>
                </w:tblCellMar>
              </w:tblPrEx>
              <w:trPr>
                <w:trHeight w:val="28" w:hRule="atLeast"/>
                <w:jc w:val="center"/>
              </w:trPr>
              <w:tc>
                <w:tcPr>
                  <w:tcW w:w="666" w:type="pct"/>
                  <w:tcBorders>
                    <w:top w:val="single" w:color="000000" w:sz="4" w:space="0"/>
                    <w:left w:val="single" w:color="000000" w:sz="12" w:space="0"/>
                    <w:bottom w:val="single" w:color="000000" w:sz="4" w:space="0"/>
                    <w:right w:val="single" w:color="000000" w:sz="8" w:space="0"/>
                  </w:tcBorders>
                  <w:vAlign w:val="center"/>
                </w:tcPr>
                <w:p>
                  <w:pPr>
                    <w:pStyle w:val="36"/>
                    <w:rPr>
                      <w:rFonts w:cs="Times New Roman"/>
                      <w:color w:val="auto"/>
                    </w:rPr>
                  </w:pPr>
                  <w:r>
                    <w:rPr>
                      <w:rFonts w:cs="Times New Roman"/>
                      <w:color w:val="auto"/>
                    </w:rPr>
                    <w:t>地表水</w:t>
                  </w:r>
                </w:p>
              </w:tc>
              <w:tc>
                <w:tcPr>
                  <w:tcW w:w="2242" w:type="pct"/>
                  <w:tcBorders>
                    <w:top w:val="single" w:color="000000" w:sz="4" w:space="0"/>
                    <w:left w:val="nil"/>
                    <w:bottom w:val="single" w:color="000000" w:sz="4" w:space="0"/>
                    <w:right w:val="single" w:color="000000" w:sz="8" w:space="0"/>
                  </w:tcBorders>
                  <w:vAlign w:val="center"/>
                </w:tcPr>
                <w:p>
                  <w:pPr>
                    <w:pStyle w:val="36"/>
                    <w:rPr>
                      <w:rFonts w:cs="Times New Roman"/>
                      <w:color w:val="auto"/>
                    </w:rPr>
                  </w:pPr>
                  <w:r>
                    <w:rPr>
                      <w:rFonts w:cs="Times New Roman"/>
                      <w:color w:val="auto"/>
                    </w:rPr>
                    <w:t>新增工业废水直排建设项目（槽罐车外送污水处理厂的除外）；新增废水直排的污水集中处理厂</w:t>
                  </w:r>
                </w:p>
              </w:tc>
              <w:tc>
                <w:tcPr>
                  <w:tcW w:w="2091" w:type="pct"/>
                  <w:tcBorders>
                    <w:top w:val="single" w:color="000000" w:sz="4" w:space="0"/>
                    <w:left w:val="nil"/>
                    <w:bottom w:val="single" w:color="000000" w:sz="4" w:space="0"/>
                    <w:right w:val="single" w:color="000000" w:sz="12" w:space="0"/>
                  </w:tcBorders>
                  <w:vAlign w:val="center"/>
                </w:tcPr>
                <w:p>
                  <w:pPr>
                    <w:pStyle w:val="36"/>
                    <w:rPr>
                      <w:rFonts w:cs="Times New Roman"/>
                      <w:color w:val="auto"/>
                    </w:rPr>
                  </w:pPr>
                  <w:r>
                    <w:rPr>
                      <w:rFonts w:cs="Times New Roman"/>
                      <w:color w:val="auto"/>
                    </w:rPr>
                    <w:t>项目废水经处理后排入城市污水处理厂处理，非工业废水直排项目，</w:t>
                  </w:r>
                </w:p>
                <w:p>
                  <w:pPr>
                    <w:pStyle w:val="36"/>
                    <w:rPr>
                      <w:rFonts w:cs="Times New Roman"/>
                      <w:color w:val="auto"/>
                    </w:rPr>
                  </w:pPr>
                  <w:r>
                    <w:rPr>
                      <w:rFonts w:cs="Times New Roman"/>
                      <w:color w:val="auto"/>
                    </w:rPr>
                    <w:t>故不设地表水专项评价。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0" w:type="dxa"/>
                  <w:bottom w:w="0" w:type="dxa"/>
                  <w:right w:w="0" w:type="dxa"/>
                </w:tblCellMar>
              </w:tblPrEx>
              <w:trPr>
                <w:trHeight w:val="28" w:hRule="atLeast"/>
                <w:jc w:val="center"/>
              </w:trPr>
              <w:tc>
                <w:tcPr>
                  <w:tcW w:w="666" w:type="pct"/>
                  <w:tcBorders>
                    <w:top w:val="single" w:color="000000" w:sz="4" w:space="0"/>
                    <w:left w:val="single" w:color="000000" w:sz="12" w:space="0"/>
                    <w:bottom w:val="single" w:color="000000" w:sz="4" w:space="0"/>
                    <w:right w:val="single" w:color="000000" w:sz="8" w:space="0"/>
                  </w:tcBorders>
                  <w:vAlign w:val="center"/>
                </w:tcPr>
                <w:p>
                  <w:pPr>
                    <w:pStyle w:val="36"/>
                    <w:rPr>
                      <w:rFonts w:cs="Times New Roman"/>
                      <w:color w:val="auto"/>
                    </w:rPr>
                  </w:pPr>
                  <w:r>
                    <w:rPr>
                      <w:rFonts w:cs="Times New Roman"/>
                      <w:color w:val="auto"/>
                    </w:rPr>
                    <w:t>环境风险</w:t>
                  </w:r>
                </w:p>
              </w:tc>
              <w:tc>
                <w:tcPr>
                  <w:tcW w:w="2242" w:type="pct"/>
                  <w:tcBorders>
                    <w:top w:val="single" w:color="000000" w:sz="4" w:space="0"/>
                    <w:left w:val="nil"/>
                    <w:bottom w:val="single" w:color="000000" w:sz="4" w:space="0"/>
                    <w:right w:val="single" w:color="000000" w:sz="8" w:space="0"/>
                  </w:tcBorders>
                  <w:vAlign w:val="center"/>
                </w:tcPr>
                <w:p>
                  <w:pPr>
                    <w:pStyle w:val="36"/>
                    <w:rPr>
                      <w:rFonts w:cs="Times New Roman"/>
                      <w:color w:val="auto"/>
                    </w:rPr>
                  </w:pPr>
                  <w:r>
                    <w:rPr>
                      <w:rFonts w:cs="Times New Roman"/>
                      <w:color w:val="auto"/>
                    </w:rPr>
                    <w:t>有毒有害和易燃易爆危险物质存储量超过临界量的建设项目</w:t>
                  </w:r>
                </w:p>
              </w:tc>
              <w:tc>
                <w:tcPr>
                  <w:tcW w:w="2091" w:type="pct"/>
                  <w:tcBorders>
                    <w:top w:val="single" w:color="000000" w:sz="4" w:space="0"/>
                    <w:left w:val="nil"/>
                    <w:bottom w:val="single" w:color="000000" w:sz="4" w:space="0"/>
                    <w:right w:val="single" w:color="000000" w:sz="12" w:space="0"/>
                  </w:tcBorders>
                  <w:vAlign w:val="center"/>
                </w:tcPr>
                <w:p>
                  <w:pPr>
                    <w:pStyle w:val="36"/>
                    <w:rPr>
                      <w:rFonts w:cs="Times New Roman"/>
                      <w:color w:val="auto"/>
                    </w:rPr>
                  </w:pPr>
                  <w:r>
                    <w:rPr>
                      <w:rFonts w:cs="Times New Roman"/>
                      <w:color w:val="auto"/>
                    </w:rPr>
                    <w:t>项目</w:t>
                  </w:r>
                  <w:r>
                    <w:rPr>
                      <w:rFonts w:hint="eastAsia" w:cs="Times New Roman"/>
                      <w:color w:val="auto"/>
                    </w:rPr>
                    <w:t>Q=</w:t>
                  </w:r>
                  <w:r>
                    <w:rPr>
                      <w:rFonts w:hint="eastAsia"/>
                      <w:color w:val="auto"/>
                    </w:rPr>
                    <w:t>0.77709</w:t>
                  </w:r>
                  <w:r>
                    <w:rPr>
                      <w:rFonts w:hint="eastAsia" w:cs="Times New Roman"/>
                      <w:color w:val="auto"/>
                    </w:rPr>
                    <w:t>＜1，</w:t>
                  </w:r>
                  <w:r>
                    <w:rPr>
                      <w:rFonts w:cs="Times New Roman"/>
                      <w:color w:val="auto"/>
                    </w:rPr>
                    <w:t>风险物质未超过临界量，故不设环境风险专项评价。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0" w:type="dxa"/>
                  <w:bottom w:w="0" w:type="dxa"/>
                  <w:right w:w="0" w:type="dxa"/>
                </w:tblCellMar>
              </w:tblPrEx>
              <w:trPr>
                <w:trHeight w:val="28" w:hRule="atLeast"/>
                <w:jc w:val="center"/>
              </w:trPr>
              <w:tc>
                <w:tcPr>
                  <w:tcW w:w="666" w:type="pct"/>
                  <w:tcBorders>
                    <w:top w:val="single" w:color="000000" w:sz="4" w:space="0"/>
                    <w:left w:val="single" w:color="000000" w:sz="12" w:space="0"/>
                    <w:bottom w:val="single" w:color="000000" w:sz="4" w:space="0"/>
                    <w:right w:val="single" w:color="000000" w:sz="8" w:space="0"/>
                  </w:tcBorders>
                  <w:vAlign w:val="center"/>
                </w:tcPr>
                <w:p>
                  <w:pPr>
                    <w:pStyle w:val="36"/>
                    <w:rPr>
                      <w:rFonts w:cs="Times New Roman"/>
                      <w:color w:val="auto"/>
                    </w:rPr>
                  </w:pPr>
                  <w:r>
                    <w:rPr>
                      <w:rFonts w:cs="Times New Roman"/>
                      <w:color w:val="auto"/>
                    </w:rPr>
                    <w:t>生态</w:t>
                  </w:r>
                </w:p>
              </w:tc>
              <w:tc>
                <w:tcPr>
                  <w:tcW w:w="2242" w:type="pct"/>
                  <w:tcBorders>
                    <w:top w:val="single" w:color="000000" w:sz="4" w:space="0"/>
                    <w:left w:val="nil"/>
                    <w:bottom w:val="single" w:color="000000" w:sz="4" w:space="0"/>
                    <w:right w:val="single" w:color="000000" w:sz="8" w:space="0"/>
                  </w:tcBorders>
                  <w:vAlign w:val="center"/>
                </w:tcPr>
                <w:p>
                  <w:pPr>
                    <w:pStyle w:val="36"/>
                    <w:rPr>
                      <w:rFonts w:cs="Times New Roman"/>
                      <w:color w:val="auto"/>
                    </w:rPr>
                  </w:pPr>
                  <w:r>
                    <w:rPr>
                      <w:rFonts w:cs="Times New Roman"/>
                      <w:color w:val="auto"/>
                    </w:rPr>
                    <w:t>取水口下游500米范围内有重要水生生物的自然产卵场、索饵场、越冬场和洄游通道的新增河道取水的污染类建设项目</w:t>
                  </w:r>
                </w:p>
              </w:tc>
              <w:tc>
                <w:tcPr>
                  <w:tcW w:w="2091" w:type="pct"/>
                  <w:tcBorders>
                    <w:top w:val="single" w:color="000000" w:sz="4" w:space="0"/>
                    <w:left w:val="nil"/>
                    <w:bottom w:val="single" w:color="000000" w:sz="4" w:space="0"/>
                    <w:right w:val="single" w:color="000000" w:sz="12" w:space="0"/>
                  </w:tcBorders>
                  <w:vAlign w:val="center"/>
                </w:tcPr>
                <w:p>
                  <w:pPr>
                    <w:pStyle w:val="36"/>
                    <w:rPr>
                      <w:rFonts w:cs="Times New Roman"/>
                      <w:color w:val="auto"/>
                    </w:rPr>
                  </w:pPr>
                  <w:r>
                    <w:rPr>
                      <w:rFonts w:cs="Times New Roman"/>
                      <w:color w:val="auto"/>
                    </w:rPr>
                    <w:t>本项目用水来自市政自来水管网供水，不属于新增河道取水的项目，</w:t>
                  </w:r>
                </w:p>
                <w:p>
                  <w:pPr>
                    <w:pStyle w:val="36"/>
                    <w:rPr>
                      <w:rFonts w:cs="Times New Roman"/>
                      <w:color w:val="auto"/>
                    </w:rPr>
                  </w:pPr>
                  <w:r>
                    <w:rPr>
                      <w:rFonts w:cs="Times New Roman"/>
                      <w:color w:val="auto"/>
                    </w:rPr>
                    <w:t>故不设生态专项评价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0" w:type="dxa"/>
                  <w:bottom w:w="0" w:type="dxa"/>
                  <w:right w:w="0" w:type="dxa"/>
                </w:tblCellMar>
              </w:tblPrEx>
              <w:trPr>
                <w:trHeight w:val="28" w:hRule="atLeast"/>
                <w:jc w:val="center"/>
              </w:trPr>
              <w:tc>
                <w:tcPr>
                  <w:tcW w:w="666" w:type="pct"/>
                  <w:tcBorders>
                    <w:top w:val="single" w:color="000000" w:sz="4" w:space="0"/>
                    <w:left w:val="single" w:color="000000" w:sz="12" w:space="0"/>
                    <w:bottom w:val="single" w:color="000000" w:sz="12" w:space="0"/>
                    <w:right w:val="single" w:color="000000" w:sz="8" w:space="0"/>
                  </w:tcBorders>
                  <w:vAlign w:val="center"/>
                </w:tcPr>
                <w:p>
                  <w:pPr>
                    <w:pStyle w:val="36"/>
                    <w:rPr>
                      <w:rFonts w:cs="Times New Roman"/>
                      <w:color w:val="auto"/>
                    </w:rPr>
                  </w:pPr>
                  <w:r>
                    <w:rPr>
                      <w:rFonts w:cs="Times New Roman"/>
                      <w:color w:val="auto"/>
                    </w:rPr>
                    <w:t>海洋</w:t>
                  </w:r>
                </w:p>
              </w:tc>
              <w:tc>
                <w:tcPr>
                  <w:tcW w:w="2242" w:type="pct"/>
                  <w:tcBorders>
                    <w:top w:val="single" w:color="000000" w:sz="4" w:space="0"/>
                    <w:left w:val="nil"/>
                    <w:bottom w:val="single" w:color="000000" w:sz="12" w:space="0"/>
                    <w:right w:val="single" w:color="000000" w:sz="8" w:space="0"/>
                  </w:tcBorders>
                  <w:vAlign w:val="center"/>
                </w:tcPr>
                <w:p>
                  <w:pPr>
                    <w:pStyle w:val="36"/>
                    <w:rPr>
                      <w:rFonts w:cs="Times New Roman"/>
                      <w:color w:val="auto"/>
                    </w:rPr>
                  </w:pPr>
                  <w:r>
                    <w:rPr>
                      <w:rFonts w:cs="Times New Roman"/>
                      <w:color w:val="auto"/>
                    </w:rPr>
                    <w:t>直接向海排放污染物的海洋工程建设项目</w:t>
                  </w:r>
                </w:p>
              </w:tc>
              <w:tc>
                <w:tcPr>
                  <w:tcW w:w="2091" w:type="pct"/>
                  <w:tcBorders>
                    <w:top w:val="single" w:color="000000" w:sz="4" w:space="0"/>
                    <w:left w:val="nil"/>
                    <w:bottom w:val="single" w:color="000000" w:sz="12" w:space="0"/>
                    <w:right w:val="single" w:color="000000" w:sz="12" w:space="0"/>
                  </w:tcBorders>
                  <w:vAlign w:val="center"/>
                </w:tcPr>
                <w:p>
                  <w:pPr>
                    <w:pStyle w:val="36"/>
                    <w:rPr>
                      <w:rFonts w:cs="Times New Roman"/>
                      <w:color w:val="auto"/>
                    </w:rPr>
                  </w:pPr>
                  <w:r>
                    <w:rPr>
                      <w:rFonts w:cs="Times New Roman"/>
                      <w:color w:val="auto"/>
                    </w:rPr>
                    <w:t>本项目不属于海洋工程建设项目，</w:t>
                  </w:r>
                </w:p>
                <w:p>
                  <w:pPr>
                    <w:pStyle w:val="36"/>
                    <w:rPr>
                      <w:rFonts w:cs="Times New Roman"/>
                      <w:color w:val="auto"/>
                    </w:rPr>
                  </w:pPr>
                  <w:r>
                    <w:rPr>
                      <w:rFonts w:cs="Times New Roman"/>
                      <w:color w:val="auto"/>
                    </w:rPr>
                    <w:t>故不设海洋专项评价。</w:t>
                  </w:r>
                </w:p>
              </w:tc>
            </w:tr>
          </w:tbl>
          <w:p>
            <w:pPr>
              <w:pStyle w:val="36"/>
              <w:jc w:val="left"/>
              <w:rPr>
                <w:rFonts w:cs="Times New Roman"/>
                <w:color w:val="auto"/>
                <w:sz w:val="18"/>
                <w:szCs w:val="18"/>
              </w:rPr>
            </w:pPr>
            <w:r>
              <w:rPr>
                <w:rFonts w:cs="Times New Roman"/>
                <w:color w:val="auto"/>
                <w:sz w:val="18"/>
                <w:szCs w:val="18"/>
              </w:rPr>
              <w:t>注：1</w:t>
            </w:r>
            <w:r>
              <w:rPr>
                <w:rFonts w:hint="eastAsia" w:cs="Times New Roman"/>
                <w:color w:val="auto"/>
                <w:sz w:val="18"/>
                <w:szCs w:val="18"/>
              </w:rPr>
              <w:t>、</w:t>
            </w:r>
            <w:r>
              <w:rPr>
                <w:rFonts w:cs="Times New Roman"/>
                <w:color w:val="auto"/>
                <w:sz w:val="18"/>
                <w:szCs w:val="18"/>
              </w:rPr>
              <w:t>废气中有毒有害污染物指纳入《有毒有害大气污染物名录》的污染物</w:t>
            </w:r>
            <w:r>
              <w:rPr>
                <w:rFonts w:hint="eastAsia" w:cs="Times New Roman"/>
                <w:color w:val="auto"/>
                <w:sz w:val="18"/>
                <w:szCs w:val="18"/>
              </w:rPr>
              <w:t>（</w:t>
            </w:r>
            <w:r>
              <w:rPr>
                <w:rFonts w:cs="Times New Roman"/>
                <w:color w:val="auto"/>
                <w:sz w:val="18"/>
                <w:szCs w:val="18"/>
              </w:rPr>
              <w:t>不包括无排放标准的污染物</w:t>
            </w:r>
            <w:r>
              <w:rPr>
                <w:rFonts w:hint="eastAsia" w:cs="Times New Roman"/>
                <w:color w:val="auto"/>
                <w:sz w:val="18"/>
                <w:szCs w:val="18"/>
              </w:rPr>
              <w:t>）</w:t>
            </w:r>
            <w:r>
              <w:rPr>
                <w:rFonts w:cs="Times New Roman"/>
                <w:color w:val="auto"/>
                <w:sz w:val="18"/>
                <w:szCs w:val="18"/>
              </w:rPr>
              <w:t>。</w:t>
            </w:r>
          </w:p>
          <w:p>
            <w:pPr>
              <w:pStyle w:val="36"/>
              <w:ind w:firstLine="360" w:firstLineChars="200"/>
              <w:jc w:val="left"/>
              <w:rPr>
                <w:rFonts w:cs="Times New Roman"/>
                <w:color w:val="auto"/>
                <w:sz w:val="18"/>
                <w:szCs w:val="18"/>
              </w:rPr>
            </w:pPr>
            <w:r>
              <w:rPr>
                <w:rFonts w:hint="eastAsia" w:cs="Times New Roman"/>
                <w:color w:val="auto"/>
                <w:sz w:val="18"/>
                <w:szCs w:val="18"/>
              </w:rPr>
              <w:t>2、</w:t>
            </w:r>
            <w:r>
              <w:rPr>
                <w:rFonts w:cs="Times New Roman"/>
                <w:color w:val="auto"/>
                <w:sz w:val="18"/>
                <w:szCs w:val="18"/>
              </w:rPr>
              <w:t>环境空气保护目标指自然保护区、风景名胜区、居住区、文化区和农村 地区中人群较集中的区域。</w:t>
            </w:r>
          </w:p>
          <w:p>
            <w:pPr>
              <w:pStyle w:val="36"/>
              <w:ind w:firstLine="360" w:firstLineChars="200"/>
              <w:jc w:val="left"/>
              <w:rPr>
                <w:rFonts w:cs="Times New Roman"/>
                <w:color w:val="auto"/>
                <w:sz w:val="24"/>
                <w:szCs w:val="24"/>
              </w:rPr>
            </w:pPr>
            <w:r>
              <w:rPr>
                <w:rFonts w:hint="eastAsia" w:cs="Times New Roman"/>
                <w:color w:val="auto"/>
                <w:sz w:val="18"/>
                <w:szCs w:val="18"/>
              </w:rPr>
              <w:t>3、</w:t>
            </w:r>
            <w:r>
              <w:rPr>
                <w:rFonts w:cs="Times New Roman"/>
                <w:color w:val="auto"/>
                <w:sz w:val="18"/>
                <w:szCs w:val="18"/>
              </w:rPr>
              <w:t>临界量及其计算方法可参考《建设项目环境风险评价技术导则》（</w:t>
            </w:r>
            <w:r>
              <w:rPr>
                <w:rFonts w:hint="eastAsia" w:cs="Times New Roman"/>
                <w:color w:val="auto"/>
                <w:sz w:val="18"/>
                <w:szCs w:val="18"/>
              </w:rPr>
              <w:t>HJ 169</w:t>
            </w:r>
            <w:r>
              <w:rPr>
                <w:rFonts w:cs="Times New Roman"/>
                <w:color w:val="auto"/>
                <w:sz w:val="18"/>
                <w:szCs w:val="18"/>
              </w:rPr>
              <w:t>）附录 B</w:t>
            </w:r>
            <w:r>
              <w:rPr>
                <w:rFonts w:hint="eastAsia" w:cs="Times New Roman"/>
                <w:color w:val="auto"/>
                <w:sz w:val="18"/>
                <w:szCs w:val="18"/>
              </w:rPr>
              <w:t>、</w:t>
            </w:r>
            <w:r>
              <w:rPr>
                <w:rFonts w:cs="Times New Roman"/>
                <w:color w:val="auto"/>
                <w:sz w:val="18"/>
                <w:szCs w:val="18"/>
              </w:rPr>
              <w:t xml:space="preserve">附录C 。 </w:t>
            </w:r>
            <w:r>
              <w:rPr>
                <w:rFonts w:hint="eastAsia" w:cs="Times New Roman"/>
                <w:color w:val="auto"/>
                <w:sz w:val="24"/>
                <w:szCs w:val="24"/>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gridAfter w:val="1"/>
          <w:wAfter w:w="6" w:type="pct"/>
          <w:trHeight w:val="1350" w:hRule="atLeast"/>
          <w:jc w:val="center"/>
        </w:trPr>
        <w:tc>
          <w:tcPr>
            <w:tcW w:w="429" w:type="pct"/>
            <w:tcBorders>
              <w:top w:val="single" w:color="auto" w:sz="4" w:space="0"/>
              <w:left w:val="single" w:color="auto" w:sz="4" w:space="0"/>
              <w:bottom w:val="single" w:color="auto" w:sz="4" w:space="0"/>
              <w:right w:val="single" w:color="auto" w:sz="4" w:space="0"/>
            </w:tcBorders>
            <w:vAlign w:val="center"/>
          </w:tcPr>
          <w:p>
            <w:pPr>
              <w:pStyle w:val="36"/>
              <w:rPr>
                <w:rFonts w:cs="Times New Roman"/>
                <w:color w:val="auto"/>
                <w:sz w:val="24"/>
                <w:szCs w:val="24"/>
              </w:rPr>
            </w:pPr>
            <w:r>
              <w:rPr>
                <w:rFonts w:cs="Times New Roman"/>
                <w:color w:val="auto"/>
                <w:sz w:val="24"/>
                <w:szCs w:val="24"/>
              </w:rPr>
              <w:t>规划</w:t>
            </w:r>
          </w:p>
          <w:p>
            <w:pPr>
              <w:pStyle w:val="36"/>
              <w:rPr>
                <w:rFonts w:cs="Times New Roman"/>
                <w:color w:val="auto"/>
                <w:sz w:val="24"/>
                <w:szCs w:val="24"/>
              </w:rPr>
            </w:pPr>
            <w:r>
              <w:rPr>
                <w:rFonts w:cs="Times New Roman"/>
                <w:color w:val="auto"/>
                <w:sz w:val="24"/>
                <w:szCs w:val="24"/>
              </w:rPr>
              <w:t>情况</w:t>
            </w:r>
          </w:p>
        </w:tc>
        <w:tc>
          <w:tcPr>
            <w:tcW w:w="4563" w:type="pct"/>
            <w:gridSpan w:val="4"/>
            <w:tcBorders>
              <w:top w:val="single" w:color="auto" w:sz="4" w:space="0"/>
              <w:left w:val="single" w:color="auto" w:sz="4" w:space="0"/>
              <w:bottom w:val="single" w:color="auto" w:sz="4" w:space="0"/>
              <w:right w:val="single" w:color="auto" w:sz="4" w:space="0"/>
            </w:tcBorders>
            <w:vAlign w:val="center"/>
          </w:tcPr>
          <w:p>
            <w:pPr>
              <w:pStyle w:val="36"/>
              <w:jc w:val="left"/>
              <w:rPr>
                <w:color w:val="auto"/>
                <w:sz w:val="24"/>
                <w:szCs w:val="24"/>
              </w:rPr>
            </w:pPr>
            <w:r>
              <w:rPr>
                <w:rFonts w:hint="eastAsia"/>
                <w:color w:val="auto"/>
                <w:sz w:val="24"/>
                <w:szCs w:val="24"/>
              </w:rPr>
              <w:t>规划名称：《福清融侨经济技术开发区总体规划（2018-2035年）》</w:t>
            </w:r>
          </w:p>
          <w:p>
            <w:pPr>
              <w:pStyle w:val="36"/>
              <w:jc w:val="left"/>
              <w:rPr>
                <w:color w:val="auto"/>
                <w:sz w:val="24"/>
                <w:szCs w:val="24"/>
              </w:rPr>
            </w:pPr>
            <w:r>
              <w:rPr>
                <w:rFonts w:hint="eastAsia"/>
                <w:color w:val="auto"/>
                <w:sz w:val="24"/>
                <w:szCs w:val="24"/>
              </w:rPr>
              <w:t>审批机关：福清市人民政府</w:t>
            </w:r>
          </w:p>
          <w:p>
            <w:pPr>
              <w:pStyle w:val="36"/>
              <w:jc w:val="left"/>
              <w:rPr>
                <w:color w:val="auto"/>
                <w:sz w:val="24"/>
                <w:szCs w:val="24"/>
              </w:rPr>
            </w:pPr>
            <w:r>
              <w:rPr>
                <w:rFonts w:hint="eastAsia"/>
                <w:color w:val="auto"/>
                <w:sz w:val="24"/>
                <w:szCs w:val="24"/>
              </w:rPr>
              <w:t>审批文件名称及文号：《福清市人民政府关于同意融侨经济技术开发区总体规划（2018-2035年）编制范围的批复》（融政综〔2019〕189号）；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gridAfter w:val="1"/>
          <w:wAfter w:w="6" w:type="pct"/>
          <w:trHeight w:val="454" w:hRule="atLeast"/>
          <w:jc w:val="center"/>
        </w:trPr>
        <w:tc>
          <w:tcPr>
            <w:tcW w:w="429" w:type="pct"/>
            <w:tcBorders>
              <w:top w:val="single" w:color="auto" w:sz="4" w:space="0"/>
              <w:left w:val="single" w:color="auto" w:sz="4" w:space="0"/>
              <w:bottom w:val="single" w:color="auto" w:sz="4" w:space="0"/>
              <w:right w:val="single" w:color="auto" w:sz="4" w:space="0"/>
            </w:tcBorders>
            <w:vAlign w:val="center"/>
          </w:tcPr>
          <w:p>
            <w:pPr>
              <w:pStyle w:val="36"/>
              <w:rPr>
                <w:rFonts w:cs="Times New Roman"/>
                <w:color w:val="auto"/>
                <w:sz w:val="24"/>
                <w:szCs w:val="24"/>
              </w:rPr>
            </w:pPr>
            <w:r>
              <w:rPr>
                <w:rFonts w:cs="Times New Roman"/>
                <w:color w:val="auto"/>
                <w:sz w:val="24"/>
                <w:szCs w:val="24"/>
              </w:rPr>
              <w:t>规划环境影响评价情况</w:t>
            </w:r>
          </w:p>
        </w:tc>
        <w:tc>
          <w:tcPr>
            <w:tcW w:w="4563" w:type="pct"/>
            <w:gridSpan w:val="4"/>
            <w:tcBorders>
              <w:top w:val="single" w:color="auto" w:sz="4" w:space="0"/>
              <w:left w:val="single" w:color="auto" w:sz="4" w:space="0"/>
              <w:bottom w:val="single" w:color="auto" w:sz="4" w:space="0"/>
              <w:right w:val="single" w:color="auto" w:sz="4" w:space="0"/>
            </w:tcBorders>
            <w:vAlign w:val="center"/>
          </w:tcPr>
          <w:p>
            <w:pPr>
              <w:pStyle w:val="36"/>
              <w:jc w:val="left"/>
              <w:rPr>
                <w:color w:val="auto"/>
                <w:sz w:val="24"/>
                <w:szCs w:val="24"/>
              </w:rPr>
            </w:pPr>
            <w:r>
              <w:rPr>
                <w:rFonts w:hint="eastAsia"/>
                <w:color w:val="auto"/>
                <w:sz w:val="24"/>
                <w:szCs w:val="24"/>
              </w:rPr>
              <w:t>规划名称：《福清融侨经济技术开发区总体规划环境影响报告书（2018-2035年）》</w:t>
            </w:r>
          </w:p>
          <w:p>
            <w:pPr>
              <w:pStyle w:val="36"/>
              <w:jc w:val="left"/>
              <w:rPr>
                <w:color w:val="auto"/>
                <w:sz w:val="24"/>
                <w:szCs w:val="24"/>
              </w:rPr>
            </w:pPr>
            <w:r>
              <w:rPr>
                <w:rFonts w:hint="eastAsia"/>
                <w:color w:val="auto"/>
                <w:sz w:val="24"/>
                <w:szCs w:val="24"/>
              </w:rPr>
              <w:t>审批机关：中华人民共和国生态环境部</w:t>
            </w:r>
          </w:p>
          <w:p>
            <w:pPr>
              <w:pStyle w:val="36"/>
              <w:jc w:val="left"/>
              <w:rPr>
                <w:color w:val="auto"/>
                <w:sz w:val="24"/>
                <w:szCs w:val="24"/>
              </w:rPr>
            </w:pPr>
            <w:r>
              <w:rPr>
                <w:rFonts w:hint="eastAsia"/>
                <w:color w:val="auto"/>
                <w:sz w:val="24"/>
                <w:szCs w:val="24"/>
              </w:rPr>
              <w:t>审批文号：环审〔2020〕80号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gridAfter w:val="1"/>
          <w:wAfter w:w="6" w:type="pct"/>
          <w:trHeight w:val="10978" w:hRule="atLeast"/>
          <w:jc w:val="center"/>
        </w:trPr>
        <w:tc>
          <w:tcPr>
            <w:tcW w:w="429" w:type="pct"/>
            <w:tcBorders>
              <w:top w:val="single" w:color="auto" w:sz="4" w:space="0"/>
              <w:left w:val="single" w:color="auto" w:sz="4" w:space="0"/>
              <w:bottom w:val="single" w:color="auto" w:sz="4" w:space="0"/>
              <w:right w:val="single" w:color="auto" w:sz="4" w:space="0"/>
            </w:tcBorders>
            <w:vAlign w:val="center"/>
          </w:tcPr>
          <w:p>
            <w:pPr>
              <w:pStyle w:val="36"/>
              <w:rPr>
                <w:rFonts w:cs="Times New Roman"/>
                <w:color w:val="auto"/>
                <w:sz w:val="24"/>
                <w:szCs w:val="24"/>
              </w:rPr>
            </w:pPr>
            <w:r>
              <w:rPr>
                <w:rFonts w:cs="Times New Roman"/>
                <w:color w:val="auto"/>
                <w:sz w:val="24"/>
                <w:szCs w:val="24"/>
              </w:rPr>
              <w:t>规划及规划环境影响评价符合性分析</w:t>
            </w:r>
          </w:p>
        </w:tc>
        <w:tc>
          <w:tcPr>
            <w:tcW w:w="4563" w:type="pct"/>
            <w:gridSpan w:val="4"/>
            <w:tcBorders>
              <w:top w:val="single" w:color="auto" w:sz="4" w:space="0"/>
              <w:left w:val="single" w:color="auto" w:sz="4" w:space="0"/>
              <w:bottom w:val="single" w:color="auto" w:sz="4" w:space="0"/>
              <w:right w:val="single" w:color="auto" w:sz="4" w:space="0"/>
            </w:tcBorders>
            <w:vAlign w:val="center"/>
          </w:tcPr>
          <w:p>
            <w:pPr>
              <w:pStyle w:val="56"/>
              <w:spacing w:line="360" w:lineRule="auto"/>
              <w:jc w:val="both"/>
              <w:rPr>
                <w:rFonts w:cs="Times New Roman"/>
                <w:color w:val="auto"/>
              </w:rPr>
            </w:pPr>
            <w:bookmarkStart w:id="4" w:name="_Toc12763"/>
            <w:r>
              <w:rPr>
                <w:rFonts w:hint="eastAsia" w:cs="Times New Roman"/>
                <w:color w:val="auto"/>
              </w:rPr>
              <w:t>1.1与规划的符合性分析</w:t>
            </w:r>
            <w:bookmarkEnd w:id="4"/>
          </w:p>
          <w:p>
            <w:pPr>
              <w:widowControl w:val="0"/>
              <w:ind w:firstLine="480"/>
              <w:jc w:val="both"/>
              <w:rPr>
                <w:rFonts w:cs="Times New Roman"/>
                <w:color w:val="auto"/>
              </w:rPr>
            </w:pPr>
            <w:r>
              <w:rPr>
                <w:rFonts w:hint="eastAsia" w:cs="Times New Roman"/>
                <w:color w:val="auto"/>
              </w:rPr>
              <w:t>（1）与规划符合性分析</w:t>
            </w:r>
          </w:p>
          <w:p>
            <w:pPr>
              <w:widowControl w:val="0"/>
              <w:ind w:firstLine="480"/>
              <w:jc w:val="both"/>
              <w:rPr>
                <w:rFonts w:cs="Times New Roman"/>
                <w:color w:val="auto"/>
              </w:rPr>
            </w:pPr>
            <w:r>
              <w:rPr>
                <w:rFonts w:cs="Times New Roman"/>
                <w:color w:val="auto"/>
              </w:rPr>
              <w:t>根据《福清融侨经济技术开发区总体规划（2018-2035年）—土地利用规划图》</w:t>
            </w:r>
            <w:r>
              <w:rPr>
                <w:rFonts w:hint="eastAsia" w:cs="Times New Roman"/>
                <w:color w:val="auto"/>
              </w:rPr>
              <w:t>（附图</w:t>
            </w:r>
            <w:r>
              <w:rPr>
                <w:rFonts w:hint="eastAsia" w:cs="Times New Roman"/>
                <w:color w:val="auto"/>
                <w:lang w:val="en-US" w:eastAsia="zh-CN"/>
              </w:rPr>
              <w:t>7</w:t>
            </w:r>
            <w:r>
              <w:rPr>
                <w:rFonts w:cs="Times New Roman"/>
                <w:color w:val="auto"/>
              </w:rPr>
              <w:t>），本项目所在用地规划用途为工业用地；根据建设单位提供的</w:t>
            </w:r>
            <w:r>
              <w:rPr>
                <w:rFonts w:hint="eastAsia" w:cs="Times New Roman"/>
                <w:color w:val="auto"/>
              </w:rPr>
              <w:t>不动产权证</w:t>
            </w:r>
            <w:r>
              <w:rPr>
                <w:rFonts w:cs="Times New Roman"/>
                <w:color w:val="auto"/>
              </w:rPr>
              <w:t>可知（附件</w:t>
            </w:r>
            <w:r>
              <w:rPr>
                <w:rFonts w:hint="eastAsia" w:cs="Times New Roman"/>
                <w:color w:val="auto"/>
                <w:lang w:val="en-US" w:eastAsia="zh-CN"/>
              </w:rPr>
              <w:t>5</w:t>
            </w:r>
            <w:r>
              <w:rPr>
                <w:rFonts w:cs="Times New Roman"/>
                <w:color w:val="auto"/>
              </w:rPr>
              <w:t>），用地性质为工业用地</w:t>
            </w:r>
            <w:r>
              <w:rPr>
                <w:rFonts w:hint="eastAsia" w:cs="Times New Roman"/>
                <w:color w:val="auto"/>
              </w:rPr>
              <w:t>，</w:t>
            </w:r>
            <w:r>
              <w:rPr>
                <w:rFonts w:cs="Times New Roman"/>
                <w:color w:val="auto"/>
              </w:rPr>
              <w:t>符合福清融侨经济技术开发区的用地规划。</w:t>
            </w:r>
          </w:p>
          <w:p>
            <w:pPr>
              <w:keepNext w:val="0"/>
              <w:keepLines w:val="0"/>
              <w:pageBreakBefore w:val="0"/>
              <w:widowControl/>
              <w:kinsoku/>
              <w:overflowPunct/>
              <w:topLinePunct w:val="0"/>
              <w:autoSpaceDE/>
              <w:autoSpaceDN/>
              <w:bidi w:val="0"/>
              <w:adjustRightInd/>
              <w:snapToGrid/>
              <w:spacing w:line="360" w:lineRule="auto"/>
              <w:ind w:firstLine="480"/>
              <w:textAlignment w:val="auto"/>
              <w:rPr>
                <w:color w:val="auto"/>
                <w:lang w:val="en-GB"/>
              </w:rPr>
            </w:pPr>
            <w:r>
              <w:rPr>
                <w:rFonts w:hint="eastAsia"/>
                <w:color w:val="auto"/>
                <w:lang w:val="en-GB"/>
              </w:rPr>
              <w:t>（2）与规划环境影响评价符合性分析</w:t>
            </w:r>
          </w:p>
          <w:p>
            <w:pPr>
              <w:pStyle w:val="38"/>
              <w:keepNext w:val="0"/>
              <w:keepLines w:val="0"/>
              <w:pageBreakBefore w:val="0"/>
              <w:widowControl/>
              <w:kinsoku/>
              <w:overflowPunct/>
              <w:topLinePunct w:val="0"/>
              <w:autoSpaceDE/>
              <w:autoSpaceDN/>
              <w:bidi w:val="0"/>
              <w:adjustRightInd/>
              <w:snapToGrid/>
              <w:spacing w:line="360" w:lineRule="auto"/>
              <w:ind w:firstLine="480"/>
              <w:textAlignment w:val="auto"/>
              <w:rPr>
                <w:rFonts w:hint="eastAsia"/>
                <w:color w:val="auto"/>
                <w:lang w:val="en-GB"/>
              </w:rPr>
            </w:pPr>
            <w:r>
              <w:rPr>
                <w:rFonts w:hint="eastAsia"/>
                <w:color w:val="auto"/>
                <w:lang w:val="en-GB"/>
              </w:rPr>
              <w:t>根据《福清融侨经济技术开发区总体规划环境影响报告书（2018-2035年）》及其审查意见（环审〔2020〕80号），开发区主导产业定位为：</w:t>
            </w:r>
          </w:p>
          <w:p>
            <w:pPr>
              <w:pStyle w:val="38"/>
              <w:keepNext w:val="0"/>
              <w:keepLines w:val="0"/>
              <w:pageBreakBefore w:val="0"/>
              <w:widowControl/>
              <w:kinsoku/>
              <w:overflowPunct/>
              <w:topLinePunct w:val="0"/>
              <w:autoSpaceDE/>
              <w:autoSpaceDN/>
              <w:bidi w:val="0"/>
              <w:adjustRightInd/>
              <w:snapToGrid/>
              <w:spacing w:line="360" w:lineRule="auto"/>
              <w:ind w:firstLine="480"/>
              <w:textAlignment w:val="auto"/>
              <w:rPr>
                <w:rFonts w:hint="eastAsia"/>
                <w:color w:val="auto"/>
                <w:lang w:val="en-GB"/>
              </w:rPr>
            </w:pPr>
            <w:r>
              <w:rPr>
                <w:rFonts w:hint="eastAsia"/>
                <w:b/>
                <w:bCs/>
                <w:color w:val="auto"/>
                <w:lang w:val="en-GB"/>
              </w:rPr>
              <w:t>电子信息产业：</w:t>
            </w:r>
            <w:r>
              <w:rPr>
                <w:rFonts w:hint="eastAsia"/>
                <w:color w:val="auto"/>
                <w:lang w:val="en-GB"/>
              </w:rPr>
              <w:t>显示科技、光电科技、电子元器件、通讯设备、计算机与智能终端设备等；</w:t>
            </w:r>
          </w:p>
          <w:p>
            <w:pPr>
              <w:pStyle w:val="38"/>
              <w:keepNext w:val="0"/>
              <w:keepLines w:val="0"/>
              <w:pageBreakBefore w:val="0"/>
              <w:widowControl/>
              <w:kinsoku/>
              <w:overflowPunct/>
              <w:topLinePunct w:val="0"/>
              <w:autoSpaceDE/>
              <w:autoSpaceDN/>
              <w:bidi w:val="0"/>
              <w:adjustRightInd/>
              <w:snapToGrid/>
              <w:spacing w:line="360" w:lineRule="auto"/>
              <w:ind w:firstLine="480"/>
              <w:textAlignment w:val="auto"/>
              <w:rPr>
                <w:rFonts w:hint="eastAsia"/>
                <w:color w:val="auto"/>
                <w:lang w:val="en-GB"/>
              </w:rPr>
            </w:pPr>
            <w:r>
              <w:rPr>
                <w:rFonts w:hint="eastAsia"/>
                <w:b/>
                <w:bCs/>
                <w:color w:val="auto"/>
                <w:lang w:val="en-GB"/>
              </w:rPr>
              <w:t>机械电气产业：</w:t>
            </w:r>
            <w:r>
              <w:rPr>
                <w:rFonts w:hint="eastAsia"/>
                <w:color w:val="auto"/>
                <w:lang w:val="en-GB"/>
              </w:rPr>
              <w:t>数控机床、精密模具、光机电一体化等；</w:t>
            </w:r>
          </w:p>
          <w:p>
            <w:pPr>
              <w:pStyle w:val="38"/>
              <w:keepNext w:val="0"/>
              <w:keepLines w:val="0"/>
              <w:pageBreakBefore w:val="0"/>
              <w:widowControl/>
              <w:kinsoku/>
              <w:overflowPunct/>
              <w:topLinePunct w:val="0"/>
              <w:autoSpaceDE/>
              <w:autoSpaceDN/>
              <w:bidi w:val="0"/>
              <w:adjustRightInd/>
              <w:snapToGrid/>
              <w:spacing w:line="360" w:lineRule="auto"/>
              <w:ind w:firstLine="480"/>
              <w:textAlignment w:val="auto"/>
              <w:rPr>
                <w:rFonts w:hint="eastAsia"/>
                <w:color w:val="auto"/>
                <w:lang w:val="en-GB" w:eastAsia="zh-CN"/>
              </w:rPr>
            </w:pPr>
            <w:r>
              <w:rPr>
                <w:rFonts w:hint="eastAsia"/>
                <w:b/>
                <w:bCs/>
                <w:color w:val="auto"/>
                <w:lang w:val="en-GB"/>
              </w:rPr>
              <w:t>汽车零配件产业：</w:t>
            </w:r>
            <w:r>
              <w:rPr>
                <w:rFonts w:hint="eastAsia"/>
                <w:color w:val="auto"/>
                <w:lang w:val="en-GB"/>
              </w:rPr>
              <w:t>汽配玻璃、汽车零部件、变速器、汽车轴承等</w:t>
            </w:r>
            <w:r>
              <w:rPr>
                <w:rFonts w:hint="eastAsia"/>
                <w:color w:val="auto"/>
                <w:lang w:val="en-GB" w:eastAsia="zh-CN"/>
              </w:rPr>
              <w:t>。</w:t>
            </w:r>
          </w:p>
          <w:p>
            <w:pPr>
              <w:pStyle w:val="38"/>
              <w:keepNext w:val="0"/>
              <w:keepLines w:val="0"/>
              <w:pageBreakBefore w:val="0"/>
              <w:widowControl/>
              <w:kinsoku/>
              <w:overflowPunct/>
              <w:topLinePunct w:val="0"/>
              <w:autoSpaceDE/>
              <w:autoSpaceDN/>
              <w:bidi w:val="0"/>
              <w:adjustRightInd/>
              <w:snapToGrid/>
              <w:spacing w:line="360" w:lineRule="auto"/>
              <w:ind w:firstLine="480"/>
              <w:textAlignment w:val="auto"/>
              <w:rPr>
                <w:rFonts w:hint="eastAsia"/>
                <w:color w:val="auto"/>
                <w:lang w:val="en-GB" w:eastAsia="zh-CN"/>
              </w:rPr>
            </w:pPr>
            <w:r>
              <w:rPr>
                <w:rFonts w:hint="default"/>
                <w:b/>
                <w:bCs/>
                <w:color w:val="auto"/>
                <w:lang w:val="en-GB"/>
              </w:rPr>
              <w:t>禁止类项目</w:t>
            </w:r>
            <w:r>
              <w:rPr>
                <w:rFonts w:hint="default"/>
                <w:color w:val="auto"/>
                <w:lang w:val="en-GB"/>
              </w:rPr>
              <w:t>：含电镀、冶炼、电解铝工艺的新建项目</w:t>
            </w:r>
            <w:r>
              <w:rPr>
                <w:rFonts w:hint="eastAsia"/>
                <w:color w:val="auto"/>
                <w:lang w:val="en-GB" w:eastAsia="zh-CN"/>
              </w:rPr>
              <w:t>，</w:t>
            </w:r>
            <w:r>
              <w:rPr>
                <w:rFonts w:hint="eastAsia"/>
                <w:color w:val="auto"/>
                <w:lang w:val="en-GB"/>
              </w:rPr>
              <w:t>现有生产能力一定期限内搬迁；包装印刷业禁止使用不符合环保要求的油墨、胶黏剂。</w:t>
            </w:r>
          </w:p>
          <w:p>
            <w:pPr>
              <w:pStyle w:val="38"/>
              <w:keepNext w:val="0"/>
              <w:keepLines w:val="0"/>
              <w:pageBreakBefore w:val="0"/>
              <w:widowControl/>
              <w:kinsoku/>
              <w:overflowPunct/>
              <w:topLinePunct w:val="0"/>
              <w:autoSpaceDE/>
              <w:autoSpaceDN/>
              <w:bidi w:val="0"/>
              <w:adjustRightInd/>
              <w:snapToGrid/>
              <w:spacing w:line="360" w:lineRule="auto"/>
              <w:ind w:firstLine="480"/>
              <w:textAlignment w:val="auto"/>
              <w:rPr>
                <w:rFonts w:hint="eastAsia"/>
                <w:color w:val="auto"/>
                <w:lang w:val="en-GB" w:eastAsia="zh-CN"/>
              </w:rPr>
            </w:pPr>
            <w:r>
              <w:rPr>
                <w:rFonts w:hint="eastAsia"/>
                <w:color w:val="auto"/>
                <w:lang w:val="en-GB"/>
              </w:rPr>
              <w:t>对照《国民经济行业分类》（GB/T</w:t>
            </w:r>
            <w:r>
              <w:rPr>
                <w:rFonts w:hint="eastAsia"/>
                <w:color w:val="auto"/>
                <w:lang w:val="en-US" w:eastAsia="zh-CN"/>
              </w:rPr>
              <w:t xml:space="preserve"> </w:t>
            </w:r>
            <w:r>
              <w:rPr>
                <w:rFonts w:hint="eastAsia"/>
                <w:color w:val="auto"/>
                <w:lang w:val="en-GB"/>
              </w:rPr>
              <w:t>4754-2017），开发区主导行业涉及国民经济类别主要包括C29、C304、C33、C34、C35、C36、C38、C39、C40</w:t>
            </w:r>
            <w:r>
              <w:rPr>
                <w:rFonts w:hint="eastAsia"/>
                <w:color w:val="auto"/>
                <w:lang w:val="en-GB" w:eastAsia="zh-CN"/>
              </w:rPr>
              <w:t>。</w:t>
            </w:r>
          </w:p>
          <w:p>
            <w:pPr>
              <w:pStyle w:val="38"/>
              <w:keepNext w:val="0"/>
              <w:keepLines w:val="0"/>
              <w:pageBreakBefore w:val="0"/>
              <w:widowControl/>
              <w:kinsoku/>
              <w:overflowPunct/>
              <w:topLinePunct w:val="0"/>
              <w:autoSpaceDE/>
              <w:autoSpaceDN/>
              <w:bidi w:val="0"/>
              <w:adjustRightInd/>
              <w:snapToGrid/>
              <w:spacing w:line="360" w:lineRule="auto"/>
              <w:ind w:firstLine="480"/>
              <w:textAlignment w:val="auto"/>
              <w:rPr>
                <w:rFonts w:hint="eastAsia"/>
                <w:color w:val="auto"/>
                <w:lang w:val="en-US" w:eastAsia="zh-CN"/>
              </w:rPr>
            </w:pPr>
            <w:r>
              <w:rPr>
                <w:b w:val="0"/>
                <w:bCs w:val="0"/>
                <w:color w:val="auto"/>
              </w:rPr>
              <w:t>本项目</w:t>
            </w:r>
            <w:r>
              <w:rPr>
                <w:rFonts w:hint="eastAsia"/>
                <w:b w:val="0"/>
                <w:bCs w:val="0"/>
                <w:color w:val="auto"/>
              </w:rPr>
              <w:t>主要从事铜排、铜棒、铜丝的生产，属于铜压延加工（行业类别为C3251），不属于开发区主导</w:t>
            </w:r>
            <w:r>
              <w:rPr>
                <w:rFonts w:hint="eastAsia"/>
                <w:color w:val="auto"/>
              </w:rPr>
              <w:t>产业</w:t>
            </w:r>
            <w:r>
              <w:rPr>
                <w:rFonts w:hint="eastAsia"/>
                <w:color w:val="auto"/>
                <w:lang w:eastAsia="zh-CN"/>
              </w:rPr>
              <w:t>。对照</w:t>
            </w:r>
            <w:r>
              <w:rPr>
                <w:rFonts w:hint="eastAsia"/>
                <w:color w:val="auto"/>
              </w:rPr>
              <w:t>《</w:t>
            </w:r>
            <w:r>
              <w:rPr>
                <w:rFonts w:hint="eastAsia"/>
                <w:color w:val="auto"/>
                <w:lang w:val="en-GB"/>
              </w:rPr>
              <w:t>福清融侨经济技术开发区总体规划环境影响报告书（2018</w:t>
            </w:r>
            <w:r>
              <w:rPr>
                <w:rFonts w:hint="eastAsia"/>
                <w:color w:val="auto"/>
              </w:rPr>
              <w:t>-</w:t>
            </w:r>
            <w:r>
              <w:rPr>
                <w:rFonts w:hint="eastAsia"/>
                <w:color w:val="auto"/>
                <w:lang w:val="en-GB"/>
              </w:rPr>
              <w:t>2035年）》</w:t>
            </w:r>
            <w:r>
              <w:rPr>
                <w:rFonts w:hint="eastAsia"/>
                <w:color w:val="auto"/>
                <w:lang w:val="en-US"/>
              </w:rPr>
              <w:t>规划区配套及其他行业环境准入清单</w:t>
            </w:r>
            <w:r>
              <w:rPr>
                <w:rFonts w:hint="eastAsia"/>
                <w:color w:val="auto"/>
                <w:lang w:val="en-US" w:eastAsia="zh-CN"/>
              </w:rPr>
              <w:t>，本项目为C3251（铜压延加工），属于规划区配套及其他行业C32大类中禁止引进条款中的除外情形（压延加工除外），属允许准入的类别，详见下表1-2。</w:t>
            </w:r>
          </w:p>
          <w:p>
            <w:pPr>
              <w:pStyle w:val="38"/>
              <w:keepNext w:val="0"/>
              <w:keepLines w:val="0"/>
              <w:pageBreakBefore w:val="0"/>
              <w:widowControl/>
              <w:kinsoku/>
              <w:overflowPunct/>
              <w:topLinePunct w:val="0"/>
              <w:autoSpaceDE/>
              <w:autoSpaceDN/>
              <w:bidi w:val="0"/>
              <w:adjustRightInd/>
              <w:snapToGrid/>
              <w:spacing w:line="360" w:lineRule="auto"/>
              <w:ind w:firstLine="480"/>
              <w:textAlignment w:val="auto"/>
              <w:rPr>
                <w:rFonts w:hint="default"/>
                <w:color w:val="auto"/>
                <w:lang w:val="en-US" w:eastAsia="zh-CN"/>
              </w:rPr>
            </w:pPr>
          </w:p>
        </w:tc>
      </w:tr>
    </w:tbl>
    <w:p>
      <w:pPr>
        <w:ind w:left="0" w:leftChars="0" w:firstLine="0" w:firstLineChars="0"/>
        <w:rPr>
          <w:color w:val="auto"/>
        </w:rPr>
      </w:pPr>
    </w:p>
    <w:p>
      <w:pPr>
        <w:ind w:left="0" w:leftChars="0" w:firstLine="0" w:firstLineChars="0"/>
        <w:rPr>
          <w:color w:val="auto"/>
        </w:rPr>
        <w:sectPr>
          <w:footerReference r:id="rId7" w:type="default"/>
          <w:pgSz w:w="11906" w:h="16838"/>
          <w:pgMar w:top="1417" w:right="1417" w:bottom="1417" w:left="1587" w:header="851" w:footer="850" w:gutter="0"/>
          <w:pgBorders>
            <w:top w:val="none" w:sz="0" w:space="0"/>
            <w:left w:val="none" w:sz="0" w:space="0"/>
            <w:bottom w:val="none" w:sz="0" w:space="0"/>
            <w:right w:val="none" w:sz="0" w:space="0"/>
          </w:pgBorders>
          <w:pgNumType w:start="1"/>
          <w:cols w:space="720" w:num="1"/>
          <w:docGrid w:linePitch="312" w:charSpace="0"/>
        </w:sectPr>
      </w:pPr>
    </w:p>
    <w:tbl>
      <w:tblPr>
        <w:tblStyle w:val="27"/>
        <w:tblW w:w="520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67"/>
        <w:gridCol w:w="140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872" w:hRule="atLeast"/>
          <w:jc w:val="center"/>
        </w:trPr>
        <w:tc>
          <w:tcPr>
            <w:tcW w:w="193" w:type="pct"/>
            <w:tcBorders>
              <w:top w:val="single" w:color="auto" w:sz="4" w:space="0"/>
              <w:left w:val="single" w:color="auto" w:sz="4" w:space="0"/>
              <w:bottom w:val="single" w:color="auto" w:sz="4" w:space="0"/>
              <w:right w:val="single" w:color="auto" w:sz="4" w:space="0"/>
            </w:tcBorders>
            <w:vAlign w:val="center"/>
          </w:tcPr>
          <w:p>
            <w:pPr>
              <w:pStyle w:val="36"/>
              <w:rPr>
                <w:rFonts w:cs="Times New Roman"/>
                <w:color w:val="auto"/>
                <w:sz w:val="24"/>
                <w:szCs w:val="24"/>
              </w:rPr>
            </w:pPr>
            <w:r>
              <w:rPr>
                <w:rFonts w:cs="Times New Roman"/>
                <w:color w:val="auto"/>
                <w:sz w:val="24"/>
                <w:szCs w:val="24"/>
              </w:rPr>
              <w:t>规划及规划环境影响评价符合性分析</w:t>
            </w:r>
          </w:p>
        </w:tc>
        <w:tc>
          <w:tcPr>
            <w:tcW w:w="4806" w:type="pct"/>
            <w:tcBorders>
              <w:top w:val="single" w:color="auto" w:sz="4" w:space="0"/>
              <w:left w:val="single" w:color="auto" w:sz="4" w:space="0"/>
              <w:bottom w:val="single" w:color="auto" w:sz="4" w:space="0"/>
              <w:right w:val="single" w:color="auto" w:sz="4" w:space="0"/>
            </w:tcBorders>
            <w:vAlign w:val="center"/>
          </w:tcPr>
          <w:p>
            <w:pPr>
              <w:pStyle w:val="37"/>
              <w:spacing w:line="360" w:lineRule="auto"/>
              <w:rPr>
                <w:color w:val="auto"/>
                <w:lang w:val="en-GB"/>
              </w:rPr>
            </w:pPr>
            <w:r>
              <w:rPr>
                <w:rFonts w:hint="eastAsia"/>
                <w:color w:val="auto"/>
                <w:lang w:val="en-GB"/>
              </w:rPr>
              <w:t>表</w:t>
            </w:r>
            <w:r>
              <w:rPr>
                <w:rFonts w:hint="eastAsia"/>
                <w:color w:val="auto"/>
                <w:lang w:val="en-US"/>
              </w:rPr>
              <w:t>1-</w:t>
            </w:r>
            <w:r>
              <w:rPr>
                <w:rFonts w:hint="eastAsia"/>
                <w:color w:val="auto"/>
                <w:lang w:val="en-US" w:eastAsia="zh-CN"/>
              </w:rPr>
              <w:t>2</w:t>
            </w:r>
            <w:r>
              <w:rPr>
                <w:rFonts w:hint="eastAsia"/>
                <w:color w:val="auto"/>
                <w:lang w:val="en-US"/>
              </w:rPr>
              <w:t xml:space="preserve"> </w:t>
            </w:r>
            <w:r>
              <w:rPr>
                <w:rFonts w:hint="eastAsia"/>
                <w:color w:val="auto"/>
                <w:lang w:val="en-US" w:eastAsia="zh-CN"/>
              </w:rPr>
              <w:t>项目与</w:t>
            </w:r>
            <w:r>
              <w:rPr>
                <w:rFonts w:hint="eastAsia"/>
                <w:color w:val="auto"/>
                <w:lang w:val="en-US"/>
              </w:rPr>
              <w:t>规划区配套及其他行业环境准入清单</w:t>
            </w:r>
            <w:r>
              <w:rPr>
                <w:color w:val="auto"/>
                <w:lang w:val="en-GB"/>
              </w:rPr>
              <w:t>符合性分析</w:t>
            </w:r>
          </w:p>
          <w:tbl>
            <w:tblPr>
              <w:tblStyle w:val="27"/>
              <w:tblW w:w="493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29"/>
              <w:gridCol w:w="1937"/>
              <w:gridCol w:w="4345"/>
              <w:gridCol w:w="4400"/>
              <w:gridCol w:w="10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029" w:type="dxa"/>
                  <w:tcBorders>
                    <w:tl2br w:val="nil"/>
                    <w:tr2bl w:val="nil"/>
                  </w:tcBorders>
                  <w:vAlign w:val="center"/>
                </w:tcPr>
                <w:p>
                  <w:pPr>
                    <w:pStyle w:val="36"/>
                    <w:rPr>
                      <w:color w:val="auto"/>
                    </w:rPr>
                  </w:pPr>
                  <w:r>
                    <w:rPr>
                      <w:rFonts w:hint="eastAsia"/>
                      <w:color w:val="auto"/>
                    </w:rPr>
                    <w:t>类别名称</w:t>
                  </w:r>
                </w:p>
              </w:tc>
              <w:tc>
                <w:tcPr>
                  <w:tcW w:w="6282" w:type="dxa"/>
                  <w:gridSpan w:val="2"/>
                  <w:tcBorders>
                    <w:tl2br w:val="nil"/>
                    <w:tr2bl w:val="nil"/>
                  </w:tcBorders>
                  <w:vAlign w:val="center"/>
                </w:tcPr>
                <w:p>
                  <w:pPr>
                    <w:pStyle w:val="36"/>
                    <w:rPr>
                      <w:rFonts w:hint="default" w:eastAsia="宋体"/>
                      <w:color w:val="auto"/>
                      <w:lang w:val="en-US" w:eastAsia="zh-CN"/>
                    </w:rPr>
                  </w:pPr>
                  <w:r>
                    <w:rPr>
                      <w:rFonts w:hint="eastAsia"/>
                      <w:color w:val="auto"/>
                      <w:lang w:val="en-US" w:eastAsia="zh-CN"/>
                    </w:rPr>
                    <w:t>准入要求</w:t>
                  </w:r>
                </w:p>
              </w:tc>
              <w:tc>
                <w:tcPr>
                  <w:tcW w:w="4400" w:type="dxa"/>
                  <w:tcBorders>
                    <w:tl2br w:val="nil"/>
                    <w:tr2bl w:val="nil"/>
                  </w:tcBorders>
                  <w:vAlign w:val="center"/>
                </w:tcPr>
                <w:p>
                  <w:pPr>
                    <w:pStyle w:val="36"/>
                    <w:rPr>
                      <w:color w:val="auto"/>
                    </w:rPr>
                  </w:pPr>
                  <w:r>
                    <w:rPr>
                      <w:color w:val="auto"/>
                    </w:rPr>
                    <w:t>本项目情况</w:t>
                  </w:r>
                </w:p>
              </w:tc>
              <w:tc>
                <w:tcPr>
                  <w:tcW w:w="1094" w:type="dxa"/>
                  <w:tcBorders>
                    <w:tl2br w:val="nil"/>
                    <w:tr2bl w:val="nil"/>
                  </w:tcBorders>
                  <w:shd w:val="clear" w:color="auto" w:fill="auto"/>
                  <w:vAlign w:val="center"/>
                </w:tcPr>
                <w:p>
                  <w:pPr>
                    <w:pStyle w:val="36"/>
                    <w:ind w:firstLine="0" w:firstLineChars="0"/>
                    <w:rPr>
                      <w:rFonts w:hint="default" w:ascii="Times New Roman" w:hAnsi="Times New Roman" w:eastAsia="宋体" w:cs="宋体"/>
                      <w:color w:val="auto"/>
                      <w:sz w:val="21"/>
                      <w:szCs w:val="21"/>
                      <w:lang w:val="en-US" w:eastAsia="zh-CN" w:bidi="ar-SA"/>
                    </w:rPr>
                  </w:pPr>
                  <w:r>
                    <w:rPr>
                      <w:rFonts w:hint="eastAsia"/>
                      <w:color w:val="auto"/>
                      <w:lang w:val="en-US" w:eastAsia="zh-CN"/>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9" w:type="dxa"/>
                  <w:tcBorders>
                    <w:tl2br w:val="nil"/>
                    <w:tr2bl w:val="nil"/>
                  </w:tcBorders>
                  <w:vAlign w:val="center"/>
                </w:tcPr>
                <w:p>
                  <w:pPr>
                    <w:pStyle w:val="36"/>
                    <w:rPr>
                      <w:rFonts w:hint="eastAsia"/>
                      <w:color w:val="auto"/>
                    </w:rPr>
                  </w:pPr>
                  <w:r>
                    <w:rPr>
                      <w:rFonts w:hint="eastAsia"/>
                      <w:color w:val="auto"/>
                    </w:rPr>
                    <w:t>C17纺织业</w:t>
                  </w:r>
                </w:p>
                <w:p>
                  <w:pPr>
                    <w:pStyle w:val="36"/>
                    <w:rPr>
                      <w:color w:val="auto"/>
                    </w:rPr>
                  </w:pPr>
                  <w:r>
                    <w:rPr>
                      <w:rFonts w:hint="eastAsia"/>
                      <w:color w:val="auto"/>
                    </w:rPr>
                    <w:t>（含印染精加工）</w:t>
                  </w:r>
                </w:p>
              </w:tc>
              <w:tc>
                <w:tcPr>
                  <w:tcW w:w="1937" w:type="dxa"/>
                  <w:tcBorders>
                    <w:tl2br w:val="nil"/>
                    <w:tr2bl w:val="nil"/>
                  </w:tcBorders>
                  <w:vAlign w:val="center"/>
                </w:tcPr>
                <w:p>
                  <w:pPr>
                    <w:pStyle w:val="36"/>
                    <w:rPr>
                      <w:rFonts w:hint="default" w:eastAsia="宋体"/>
                      <w:color w:val="auto"/>
                      <w:lang w:val="en-US" w:eastAsia="zh-CN"/>
                    </w:rPr>
                  </w:pPr>
                  <w:r>
                    <w:rPr>
                      <w:rFonts w:hint="eastAsia"/>
                      <w:color w:val="auto"/>
                      <w:lang w:val="en-US" w:eastAsia="zh-CN"/>
                    </w:rPr>
                    <w:t>空间约束布局</w:t>
                  </w:r>
                </w:p>
              </w:tc>
              <w:tc>
                <w:tcPr>
                  <w:tcW w:w="4345" w:type="dxa"/>
                  <w:tcBorders>
                    <w:tl2br w:val="nil"/>
                    <w:tr2bl w:val="nil"/>
                  </w:tcBorders>
                  <w:vAlign w:val="center"/>
                </w:tcPr>
                <w:p>
                  <w:pPr>
                    <w:pStyle w:val="36"/>
                    <w:rPr>
                      <w:rFonts w:hint="eastAsia"/>
                      <w:color w:val="auto"/>
                    </w:rPr>
                  </w:pPr>
                  <w:r>
                    <w:rPr>
                      <w:rFonts w:hint="eastAsia"/>
                      <w:color w:val="auto"/>
                    </w:rPr>
                    <w:t>严禁引进</w:t>
                  </w:r>
                </w:p>
              </w:tc>
              <w:tc>
                <w:tcPr>
                  <w:tcW w:w="4400" w:type="dxa"/>
                  <w:tcBorders>
                    <w:tl2br w:val="nil"/>
                    <w:tr2bl w:val="nil"/>
                  </w:tcBorders>
                  <w:vAlign w:val="center"/>
                </w:tcPr>
                <w:p>
                  <w:pPr>
                    <w:pStyle w:val="36"/>
                    <w:rPr>
                      <w:rFonts w:hint="default" w:eastAsia="宋体"/>
                      <w:color w:val="auto"/>
                      <w:lang w:val="en-US" w:eastAsia="zh-CN"/>
                    </w:rPr>
                  </w:pPr>
                  <w:r>
                    <w:rPr>
                      <w:rFonts w:hint="eastAsia" w:eastAsia="宋体"/>
                      <w:color w:val="auto"/>
                      <w:lang w:val="en-US" w:eastAsia="zh-CN"/>
                    </w:rPr>
                    <w:t>不涉及</w:t>
                  </w:r>
                </w:p>
              </w:tc>
              <w:tc>
                <w:tcPr>
                  <w:tcW w:w="1094" w:type="dxa"/>
                  <w:tcBorders>
                    <w:tl2br w:val="nil"/>
                    <w:tr2bl w:val="nil"/>
                  </w:tcBorders>
                  <w:vAlign w:val="center"/>
                </w:tcPr>
                <w:p>
                  <w:pPr>
                    <w:pStyle w:val="36"/>
                    <w:rPr>
                      <w:rFonts w:hint="eastAsia"/>
                      <w:color w:val="auto"/>
                      <w:lang w:val="en-US" w:eastAsia="zh-CN"/>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029" w:type="dxa"/>
                  <w:tcBorders>
                    <w:tl2br w:val="nil"/>
                    <w:tr2bl w:val="nil"/>
                  </w:tcBorders>
                  <w:vAlign w:val="center"/>
                </w:tcPr>
                <w:p>
                  <w:pPr>
                    <w:pStyle w:val="36"/>
                    <w:rPr>
                      <w:rFonts w:hint="eastAsia"/>
                      <w:color w:val="auto"/>
                    </w:rPr>
                  </w:pPr>
                  <w:r>
                    <w:rPr>
                      <w:rFonts w:hint="eastAsia"/>
                      <w:color w:val="auto"/>
                    </w:rPr>
                    <w:t>C22 造纸和纸制品业（纸制品制造除外）</w:t>
                  </w:r>
                </w:p>
              </w:tc>
              <w:tc>
                <w:tcPr>
                  <w:tcW w:w="1937" w:type="dxa"/>
                  <w:tcBorders>
                    <w:tl2br w:val="nil"/>
                    <w:tr2bl w:val="nil"/>
                  </w:tcBorders>
                  <w:vAlign w:val="center"/>
                </w:tcPr>
                <w:p>
                  <w:pPr>
                    <w:pStyle w:val="36"/>
                    <w:ind w:firstLine="0" w:firstLineChars="0"/>
                    <w:rPr>
                      <w:rFonts w:hint="eastAsia"/>
                      <w:color w:val="auto"/>
                    </w:rPr>
                  </w:pPr>
                  <w:r>
                    <w:rPr>
                      <w:rFonts w:hint="eastAsia"/>
                      <w:color w:val="auto"/>
                      <w:lang w:val="en-US" w:eastAsia="zh-CN"/>
                    </w:rPr>
                    <w:t>空间约束布局</w:t>
                  </w:r>
                </w:p>
              </w:tc>
              <w:tc>
                <w:tcPr>
                  <w:tcW w:w="4345" w:type="dxa"/>
                  <w:tcBorders>
                    <w:tl2br w:val="nil"/>
                    <w:tr2bl w:val="nil"/>
                  </w:tcBorders>
                  <w:vAlign w:val="center"/>
                </w:tcPr>
                <w:p>
                  <w:pPr>
                    <w:pStyle w:val="36"/>
                    <w:ind w:firstLine="0" w:firstLineChars="0"/>
                    <w:rPr>
                      <w:rFonts w:hint="eastAsia"/>
                      <w:color w:val="auto"/>
                    </w:rPr>
                  </w:pPr>
                  <w:r>
                    <w:rPr>
                      <w:rFonts w:hint="eastAsia"/>
                      <w:color w:val="auto"/>
                    </w:rPr>
                    <w:t>严禁引进</w:t>
                  </w:r>
                </w:p>
              </w:tc>
              <w:tc>
                <w:tcPr>
                  <w:tcW w:w="4400" w:type="dxa"/>
                  <w:tcBorders>
                    <w:tl2br w:val="nil"/>
                    <w:tr2bl w:val="nil"/>
                  </w:tcBorders>
                  <w:vAlign w:val="center"/>
                </w:tcPr>
                <w:p>
                  <w:pPr>
                    <w:pStyle w:val="36"/>
                    <w:rPr>
                      <w:rFonts w:hint="default" w:eastAsia="宋体"/>
                      <w:b/>
                      <w:bCs/>
                      <w:color w:val="auto"/>
                      <w:lang w:val="en-US" w:eastAsia="zh-CN"/>
                    </w:rPr>
                  </w:pPr>
                  <w:r>
                    <w:rPr>
                      <w:rFonts w:hint="eastAsia" w:eastAsia="宋体"/>
                      <w:color w:val="auto"/>
                      <w:lang w:val="en-US" w:eastAsia="zh-CN"/>
                    </w:rPr>
                    <w:t>不涉及</w:t>
                  </w:r>
                </w:p>
              </w:tc>
              <w:tc>
                <w:tcPr>
                  <w:tcW w:w="1094" w:type="dxa"/>
                  <w:tcBorders>
                    <w:tl2br w:val="nil"/>
                    <w:tr2bl w:val="nil"/>
                  </w:tcBorders>
                  <w:vAlign w:val="center"/>
                </w:tcPr>
                <w:p>
                  <w:pPr>
                    <w:pStyle w:val="36"/>
                    <w:rPr>
                      <w:rFonts w:hint="eastAsia"/>
                      <w:color w:val="auto"/>
                      <w:lang w:val="en-US" w:eastAsia="zh-CN"/>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9" w:type="dxa"/>
                  <w:tcBorders>
                    <w:tl2br w:val="nil"/>
                    <w:tr2bl w:val="nil"/>
                  </w:tcBorders>
                  <w:vAlign w:val="center"/>
                </w:tcPr>
                <w:p>
                  <w:pPr>
                    <w:pStyle w:val="36"/>
                    <w:rPr>
                      <w:rFonts w:hint="eastAsia"/>
                      <w:color w:val="auto"/>
                    </w:rPr>
                  </w:pPr>
                  <w:r>
                    <w:rPr>
                      <w:rFonts w:hint="eastAsia"/>
                      <w:color w:val="auto"/>
                    </w:rPr>
                    <w:t>C26 化学原料和化学制品制造业（工业气体生产除外）</w:t>
                  </w:r>
                </w:p>
              </w:tc>
              <w:tc>
                <w:tcPr>
                  <w:tcW w:w="1937" w:type="dxa"/>
                  <w:tcBorders>
                    <w:tl2br w:val="nil"/>
                    <w:tr2bl w:val="nil"/>
                  </w:tcBorders>
                  <w:vAlign w:val="center"/>
                </w:tcPr>
                <w:p>
                  <w:pPr>
                    <w:pStyle w:val="36"/>
                    <w:ind w:firstLine="0" w:firstLineChars="0"/>
                    <w:rPr>
                      <w:rFonts w:hint="eastAsia"/>
                      <w:color w:val="auto"/>
                    </w:rPr>
                  </w:pPr>
                  <w:r>
                    <w:rPr>
                      <w:rFonts w:hint="eastAsia"/>
                      <w:color w:val="auto"/>
                      <w:lang w:val="en-US" w:eastAsia="zh-CN"/>
                    </w:rPr>
                    <w:t>空间约束布局</w:t>
                  </w:r>
                </w:p>
              </w:tc>
              <w:tc>
                <w:tcPr>
                  <w:tcW w:w="4345" w:type="dxa"/>
                  <w:tcBorders>
                    <w:tl2br w:val="nil"/>
                    <w:tr2bl w:val="nil"/>
                  </w:tcBorders>
                  <w:vAlign w:val="center"/>
                </w:tcPr>
                <w:p>
                  <w:pPr>
                    <w:pStyle w:val="36"/>
                    <w:ind w:firstLine="0" w:firstLineChars="0"/>
                    <w:rPr>
                      <w:rFonts w:hint="eastAsia"/>
                      <w:color w:val="auto"/>
                    </w:rPr>
                  </w:pPr>
                  <w:r>
                    <w:rPr>
                      <w:rFonts w:hint="eastAsia"/>
                      <w:color w:val="auto"/>
                    </w:rPr>
                    <w:t>严禁引进</w:t>
                  </w:r>
                </w:p>
              </w:tc>
              <w:tc>
                <w:tcPr>
                  <w:tcW w:w="4400" w:type="dxa"/>
                  <w:tcBorders>
                    <w:tl2br w:val="nil"/>
                    <w:tr2bl w:val="nil"/>
                  </w:tcBorders>
                  <w:vAlign w:val="center"/>
                </w:tcPr>
                <w:p>
                  <w:pPr>
                    <w:pStyle w:val="36"/>
                    <w:rPr>
                      <w:rFonts w:hint="eastAsia"/>
                      <w:b/>
                      <w:bCs/>
                      <w:color w:val="auto"/>
                    </w:rPr>
                  </w:pPr>
                  <w:r>
                    <w:rPr>
                      <w:rFonts w:hint="eastAsia" w:eastAsia="宋体"/>
                      <w:color w:val="auto"/>
                      <w:lang w:val="en-US" w:eastAsia="zh-CN"/>
                    </w:rPr>
                    <w:t>不涉及</w:t>
                  </w:r>
                </w:p>
              </w:tc>
              <w:tc>
                <w:tcPr>
                  <w:tcW w:w="1094" w:type="dxa"/>
                  <w:tcBorders>
                    <w:tl2br w:val="nil"/>
                    <w:tr2bl w:val="nil"/>
                  </w:tcBorders>
                  <w:vAlign w:val="center"/>
                </w:tcPr>
                <w:p>
                  <w:pPr>
                    <w:pStyle w:val="36"/>
                    <w:rPr>
                      <w:rFonts w:hint="eastAsia"/>
                      <w:color w:val="auto"/>
                      <w:lang w:val="en-US" w:eastAsia="zh-CN"/>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029" w:type="dxa"/>
                  <w:vMerge w:val="restart"/>
                  <w:tcBorders>
                    <w:tl2br w:val="nil"/>
                    <w:tr2bl w:val="nil"/>
                  </w:tcBorders>
                  <w:vAlign w:val="center"/>
                </w:tcPr>
                <w:p>
                  <w:pPr>
                    <w:pStyle w:val="36"/>
                    <w:ind w:firstLine="0" w:firstLineChars="0"/>
                    <w:rPr>
                      <w:rFonts w:hint="eastAsia"/>
                      <w:color w:val="auto"/>
                    </w:rPr>
                  </w:pPr>
                  <w:r>
                    <w:rPr>
                      <w:rFonts w:hint="eastAsia"/>
                      <w:color w:val="auto"/>
                    </w:rPr>
                    <w:t>C32有色金属冶炼及压延加工业（压延加工除外）</w:t>
                  </w:r>
                </w:p>
              </w:tc>
              <w:tc>
                <w:tcPr>
                  <w:tcW w:w="1937" w:type="dxa"/>
                  <w:tcBorders>
                    <w:tl2br w:val="nil"/>
                    <w:tr2bl w:val="nil"/>
                  </w:tcBorders>
                  <w:vAlign w:val="center"/>
                </w:tcPr>
                <w:p>
                  <w:pPr>
                    <w:pStyle w:val="36"/>
                    <w:ind w:firstLine="0" w:firstLineChars="0"/>
                    <w:rPr>
                      <w:rFonts w:hint="eastAsia"/>
                      <w:color w:val="auto"/>
                    </w:rPr>
                  </w:pPr>
                  <w:r>
                    <w:rPr>
                      <w:rFonts w:hint="eastAsia"/>
                      <w:color w:val="auto"/>
                      <w:lang w:val="en-US" w:eastAsia="zh-CN"/>
                    </w:rPr>
                    <w:t>空间约束布局</w:t>
                  </w:r>
                </w:p>
              </w:tc>
              <w:tc>
                <w:tcPr>
                  <w:tcW w:w="4345" w:type="dxa"/>
                  <w:tcBorders>
                    <w:tl2br w:val="nil"/>
                    <w:tr2bl w:val="nil"/>
                  </w:tcBorders>
                  <w:vAlign w:val="center"/>
                </w:tcPr>
                <w:p>
                  <w:pPr>
                    <w:pStyle w:val="36"/>
                    <w:ind w:firstLine="0" w:firstLineChars="0"/>
                    <w:rPr>
                      <w:rFonts w:hint="eastAsia"/>
                      <w:color w:val="auto"/>
                    </w:rPr>
                  </w:pPr>
                  <w:r>
                    <w:rPr>
                      <w:rFonts w:hint="eastAsia"/>
                      <w:color w:val="auto"/>
                    </w:rPr>
                    <w:t>严禁引进</w:t>
                  </w:r>
                </w:p>
              </w:tc>
              <w:tc>
                <w:tcPr>
                  <w:tcW w:w="4400" w:type="dxa"/>
                  <w:vMerge w:val="restart"/>
                  <w:tcBorders>
                    <w:tl2br w:val="nil"/>
                    <w:tr2bl w:val="nil"/>
                  </w:tcBorders>
                  <w:vAlign w:val="center"/>
                </w:tcPr>
                <w:p>
                  <w:pPr>
                    <w:pStyle w:val="36"/>
                    <w:jc w:val="center"/>
                    <w:rPr>
                      <w:rFonts w:hint="eastAsia"/>
                      <w:b/>
                      <w:bCs/>
                      <w:color w:val="auto"/>
                    </w:rPr>
                  </w:pPr>
                  <w:r>
                    <w:rPr>
                      <w:rFonts w:hint="eastAsia"/>
                      <w:color w:val="auto"/>
                    </w:rPr>
                    <w:t>本项目属于C3251（铜压延加工），符合禁止条款中的除外情形，</w:t>
                  </w:r>
                  <w:r>
                    <w:rPr>
                      <w:rFonts w:hint="eastAsia"/>
                      <w:b/>
                      <w:bCs/>
                      <w:color w:val="auto"/>
                    </w:rPr>
                    <w:t>属允许准入的类别</w:t>
                  </w:r>
                  <w:r>
                    <w:rPr>
                      <w:rFonts w:hint="eastAsia"/>
                      <w:color w:val="auto"/>
                    </w:rPr>
                    <w:t>。</w:t>
                  </w:r>
                </w:p>
              </w:tc>
              <w:tc>
                <w:tcPr>
                  <w:tcW w:w="1094" w:type="dxa"/>
                  <w:vMerge w:val="restart"/>
                  <w:tcBorders>
                    <w:tl2br w:val="nil"/>
                    <w:tr2bl w:val="nil"/>
                  </w:tcBorders>
                  <w:vAlign w:val="center"/>
                </w:tcPr>
                <w:p>
                  <w:pPr>
                    <w:pStyle w:val="36"/>
                    <w:ind w:firstLine="0" w:firstLineChars="0"/>
                    <w:rPr>
                      <w:rFonts w:hint="eastAsia"/>
                      <w:b/>
                      <w:bCs/>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9" w:type="dxa"/>
                  <w:vMerge w:val="continue"/>
                  <w:tcBorders>
                    <w:tl2br w:val="nil"/>
                    <w:tr2bl w:val="nil"/>
                  </w:tcBorders>
                  <w:vAlign w:val="center"/>
                </w:tcPr>
                <w:p>
                  <w:pPr>
                    <w:pStyle w:val="36"/>
                    <w:ind w:firstLine="0" w:firstLineChars="0"/>
                    <w:rPr>
                      <w:color w:val="auto"/>
                    </w:rPr>
                  </w:pPr>
                </w:p>
              </w:tc>
              <w:tc>
                <w:tcPr>
                  <w:tcW w:w="1937" w:type="dxa"/>
                  <w:tcBorders>
                    <w:tl2br w:val="nil"/>
                    <w:tr2bl w:val="nil"/>
                  </w:tcBorders>
                  <w:vAlign w:val="center"/>
                </w:tcPr>
                <w:p>
                  <w:pPr>
                    <w:pStyle w:val="36"/>
                    <w:ind w:firstLine="0" w:firstLineChars="0"/>
                    <w:rPr>
                      <w:color w:val="auto"/>
                    </w:rPr>
                  </w:pPr>
                  <w:r>
                    <w:rPr>
                      <w:rFonts w:hint="eastAsia"/>
                      <w:color w:val="auto"/>
                    </w:rPr>
                    <w:t>环境风险防控</w:t>
                  </w:r>
                </w:p>
              </w:tc>
              <w:tc>
                <w:tcPr>
                  <w:tcW w:w="4345" w:type="dxa"/>
                  <w:tcBorders>
                    <w:tl2br w:val="nil"/>
                    <w:tr2bl w:val="nil"/>
                  </w:tcBorders>
                  <w:vAlign w:val="center"/>
                </w:tcPr>
                <w:p>
                  <w:pPr>
                    <w:pStyle w:val="36"/>
                    <w:ind w:firstLine="0" w:firstLineChars="0"/>
                    <w:rPr>
                      <w:rFonts w:hint="eastAsia"/>
                      <w:color w:val="auto"/>
                    </w:rPr>
                  </w:pPr>
                  <w:r>
                    <w:rPr>
                      <w:rFonts w:hint="eastAsia"/>
                      <w:color w:val="auto"/>
                      <w:lang w:val="en-US" w:eastAsia="zh-CN"/>
                    </w:rPr>
                    <w:t>/</w:t>
                  </w:r>
                </w:p>
              </w:tc>
              <w:tc>
                <w:tcPr>
                  <w:tcW w:w="4400" w:type="dxa"/>
                  <w:vMerge w:val="continue"/>
                  <w:tcBorders>
                    <w:tl2br w:val="nil"/>
                    <w:tr2bl w:val="nil"/>
                  </w:tcBorders>
                  <w:vAlign w:val="center"/>
                </w:tcPr>
                <w:p>
                  <w:pPr>
                    <w:pStyle w:val="36"/>
                    <w:ind w:firstLine="0" w:firstLineChars="0"/>
                    <w:rPr>
                      <w:rFonts w:hint="eastAsia" w:eastAsia="宋体"/>
                      <w:color w:val="auto"/>
                      <w:lang w:val="en-US" w:eastAsia="zh-CN"/>
                    </w:rPr>
                  </w:pPr>
                </w:p>
              </w:tc>
              <w:tc>
                <w:tcPr>
                  <w:tcW w:w="1094" w:type="dxa"/>
                  <w:vMerge w:val="continue"/>
                  <w:tcBorders>
                    <w:tl2br w:val="nil"/>
                    <w:tr2bl w:val="nil"/>
                  </w:tcBorders>
                  <w:vAlign w:val="center"/>
                </w:tcPr>
                <w:p>
                  <w:pPr>
                    <w:pStyle w:val="36"/>
                    <w:ind w:firstLine="0" w:firstLineChars="0"/>
                    <w:rPr>
                      <w:rFonts w:hint="eastAsia"/>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029" w:type="dxa"/>
                  <w:vMerge w:val="continue"/>
                  <w:tcBorders>
                    <w:tl2br w:val="nil"/>
                    <w:tr2bl w:val="nil"/>
                  </w:tcBorders>
                  <w:vAlign w:val="center"/>
                </w:tcPr>
                <w:p>
                  <w:pPr>
                    <w:pStyle w:val="36"/>
                    <w:ind w:firstLine="0" w:firstLineChars="0"/>
                    <w:rPr>
                      <w:rFonts w:hint="eastAsia"/>
                      <w:color w:val="auto"/>
                    </w:rPr>
                  </w:pPr>
                </w:p>
              </w:tc>
              <w:tc>
                <w:tcPr>
                  <w:tcW w:w="1937" w:type="dxa"/>
                  <w:tcBorders>
                    <w:tl2br w:val="nil"/>
                    <w:tr2bl w:val="nil"/>
                  </w:tcBorders>
                  <w:vAlign w:val="center"/>
                </w:tcPr>
                <w:p>
                  <w:pPr>
                    <w:pStyle w:val="36"/>
                    <w:ind w:firstLine="0" w:firstLineChars="0"/>
                    <w:rPr>
                      <w:rFonts w:hint="eastAsia"/>
                      <w:color w:val="auto"/>
                    </w:rPr>
                  </w:pPr>
                  <w:r>
                    <w:rPr>
                      <w:rFonts w:hint="eastAsia"/>
                      <w:color w:val="auto"/>
                    </w:rPr>
                    <w:t>污染物排放管控</w:t>
                  </w:r>
                </w:p>
              </w:tc>
              <w:tc>
                <w:tcPr>
                  <w:tcW w:w="4345" w:type="dxa"/>
                  <w:tcBorders>
                    <w:tl2br w:val="nil"/>
                    <w:tr2bl w:val="nil"/>
                  </w:tcBorders>
                  <w:vAlign w:val="center"/>
                </w:tcPr>
                <w:p>
                  <w:pPr>
                    <w:pStyle w:val="36"/>
                    <w:ind w:firstLine="0" w:firstLineChars="0"/>
                    <w:rPr>
                      <w:rFonts w:hint="eastAsia"/>
                      <w:color w:val="auto"/>
                    </w:rPr>
                  </w:pPr>
                  <w:r>
                    <w:rPr>
                      <w:rFonts w:hint="eastAsia"/>
                      <w:color w:val="auto"/>
                      <w:lang w:val="en-US" w:eastAsia="zh-CN"/>
                    </w:rPr>
                    <w:t>/</w:t>
                  </w:r>
                </w:p>
              </w:tc>
              <w:tc>
                <w:tcPr>
                  <w:tcW w:w="4400" w:type="dxa"/>
                  <w:vMerge w:val="continue"/>
                  <w:tcBorders>
                    <w:tl2br w:val="nil"/>
                    <w:tr2bl w:val="nil"/>
                  </w:tcBorders>
                  <w:vAlign w:val="center"/>
                </w:tcPr>
                <w:p>
                  <w:pPr>
                    <w:pStyle w:val="36"/>
                    <w:ind w:firstLine="0" w:firstLineChars="0"/>
                    <w:rPr>
                      <w:rFonts w:hint="eastAsia" w:eastAsia="宋体"/>
                      <w:color w:val="auto"/>
                      <w:lang w:val="en-US" w:eastAsia="zh-CN"/>
                    </w:rPr>
                  </w:pPr>
                </w:p>
              </w:tc>
              <w:tc>
                <w:tcPr>
                  <w:tcW w:w="1094" w:type="dxa"/>
                  <w:vMerge w:val="continue"/>
                  <w:tcBorders>
                    <w:tl2br w:val="nil"/>
                    <w:tr2bl w:val="nil"/>
                  </w:tcBorders>
                  <w:vAlign w:val="center"/>
                </w:tcPr>
                <w:p>
                  <w:pPr>
                    <w:pStyle w:val="36"/>
                    <w:ind w:firstLine="0" w:firstLineChars="0"/>
                    <w:rPr>
                      <w:rFonts w:hint="eastAsia"/>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9" w:type="dxa"/>
                  <w:vMerge w:val="continue"/>
                  <w:tcBorders>
                    <w:tl2br w:val="nil"/>
                    <w:tr2bl w:val="nil"/>
                  </w:tcBorders>
                  <w:vAlign w:val="center"/>
                </w:tcPr>
                <w:p>
                  <w:pPr>
                    <w:pStyle w:val="36"/>
                    <w:ind w:firstLine="0" w:firstLineChars="0"/>
                    <w:rPr>
                      <w:rFonts w:hint="eastAsia"/>
                      <w:color w:val="auto"/>
                    </w:rPr>
                  </w:pPr>
                </w:p>
              </w:tc>
              <w:tc>
                <w:tcPr>
                  <w:tcW w:w="1937" w:type="dxa"/>
                  <w:tcBorders>
                    <w:tl2br w:val="nil"/>
                    <w:tr2bl w:val="nil"/>
                  </w:tcBorders>
                  <w:vAlign w:val="center"/>
                </w:tcPr>
                <w:p>
                  <w:pPr>
                    <w:pStyle w:val="36"/>
                    <w:ind w:firstLine="0" w:firstLineChars="0"/>
                    <w:rPr>
                      <w:rFonts w:hint="eastAsia"/>
                      <w:color w:val="auto"/>
                    </w:rPr>
                  </w:pPr>
                  <w:r>
                    <w:rPr>
                      <w:rFonts w:hint="eastAsia"/>
                      <w:color w:val="auto"/>
                    </w:rPr>
                    <w:t>资源环境效率管控</w:t>
                  </w:r>
                </w:p>
              </w:tc>
              <w:tc>
                <w:tcPr>
                  <w:tcW w:w="4345" w:type="dxa"/>
                  <w:tcBorders>
                    <w:tl2br w:val="nil"/>
                    <w:tr2bl w:val="nil"/>
                  </w:tcBorders>
                  <w:vAlign w:val="center"/>
                </w:tcPr>
                <w:p>
                  <w:pPr>
                    <w:pStyle w:val="36"/>
                    <w:ind w:firstLine="0" w:firstLineChars="0"/>
                    <w:rPr>
                      <w:rFonts w:hint="eastAsia"/>
                      <w:color w:val="auto"/>
                    </w:rPr>
                  </w:pPr>
                  <w:r>
                    <w:rPr>
                      <w:rFonts w:hint="eastAsia"/>
                      <w:color w:val="auto"/>
                      <w:lang w:val="en-US" w:eastAsia="zh-CN"/>
                    </w:rPr>
                    <w:t>/</w:t>
                  </w:r>
                </w:p>
              </w:tc>
              <w:tc>
                <w:tcPr>
                  <w:tcW w:w="4400" w:type="dxa"/>
                  <w:vMerge w:val="continue"/>
                  <w:tcBorders>
                    <w:tl2br w:val="nil"/>
                    <w:tr2bl w:val="nil"/>
                  </w:tcBorders>
                  <w:vAlign w:val="center"/>
                </w:tcPr>
                <w:p>
                  <w:pPr>
                    <w:pStyle w:val="36"/>
                    <w:ind w:firstLine="0" w:firstLineChars="0"/>
                    <w:rPr>
                      <w:rFonts w:hint="eastAsia" w:eastAsia="宋体"/>
                      <w:color w:val="auto"/>
                      <w:lang w:val="en-US" w:eastAsia="zh-CN"/>
                    </w:rPr>
                  </w:pPr>
                </w:p>
              </w:tc>
              <w:tc>
                <w:tcPr>
                  <w:tcW w:w="1094" w:type="dxa"/>
                  <w:vMerge w:val="continue"/>
                  <w:tcBorders>
                    <w:tl2br w:val="nil"/>
                    <w:tr2bl w:val="nil"/>
                  </w:tcBorders>
                  <w:vAlign w:val="center"/>
                </w:tcPr>
                <w:p>
                  <w:pPr>
                    <w:pStyle w:val="36"/>
                    <w:ind w:firstLine="0" w:firstLineChars="0"/>
                    <w:rPr>
                      <w:rFonts w:hint="eastAsia"/>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029" w:type="dxa"/>
                  <w:vMerge w:val="restart"/>
                  <w:tcBorders>
                    <w:tl2br w:val="nil"/>
                    <w:tr2bl w:val="nil"/>
                  </w:tcBorders>
                  <w:vAlign w:val="center"/>
                </w:tcPr>
                <w:p>
                  <w:pPr>
                    <w:pStyle w:val="36"/>
                    <w:rPr>
                      <w:rFonts w:hint="default" w:eastAsia="宋体"/>
                      <w:color w:val="auto"/>
                      <w:lang w:val="en-US" w:eastAsia="zh-CN"/>
                    </w:rPr>
                  </w:pPr>
                  <w:r>
                    <w:rPr>
                      <w:rFonts w:hint="eastAsia"/>
                      <w:color w:val="auto"/>
                      <w:lang w:val="en-US" w:eastAsia="zh-CN"/>
                    </w:rPr>
                    <w:t>其他非主导行业</w:t>
                  </w:r>
                </w:p>
              </w:tc>
              <w:tc>
                <w:tcPr>
                  <w:tcW w:w="1937" w:type="dxa"/>
                  <w:tcBorders>
                    <w:tl2br w:val="nil"/>
                    <w:tr2bl w:val="nil"/>
                  </w:tcBorders>
                  <w:vAlign w:val="center"/>
                </w:tcPr>
                <w:p>
                  <w:pPr>
                    <w:pStyle w:val="36"/>
                    <w:ind w:firstLine="0" w:firstLineChars="0"/>
                    <w:rPr>
                      <w:rFonts w:hint="eastAsia"/>
                      <w:color w:val="auto"/>
                    </w:rPr>
                  </w:pPr>
                  <w:r>
                    <w:rPr>
                      <w:rFonts w:hint="eastAsia"/>
                      <w:color w:val="auto"/>
                    </w:rPr>
                    <w:t>空间约束布局</w:t>
                  </w:r>
                </w:p>
              </w:tc>
              <w:tc>
                <w:tcPr>
                  <w:tcW w:w="4345" w:type="dxa"/>
                  <w:tcBorders>
                    <w:tl2br w:val="nil"/>
                    <w:tr2bl w:val="nil"/>
                  </w:tcBorders>
                  <w:vAlign w:val="center"/>
                </w:tcPr>
                <w:p>
                  <w:pPr>
                    <w:pStyle w:val="36"/>
                    <w:jc w:val="left"/>
                    <w:rPr>
                      <w:color w:val="auto"/>
                    </w:rPr>
                  </w:pPr>
                  <w:r>
                    <w:rPr>
                      <w:rFonts w:hint="eastAsia"/>
                      <w:color w:val="auto"/>
                    </w:rPr>
                    <w:t>1、禁止新建，含电镀工艺、冶炼工艺、电解铝的项目，现有生产能力一定期限内搬迁；</w:t>
                  </w:r>
                </w:p>
                <w:p>
                  <w:pPr>
                    <w:pStyle w:val="36"/>
                    <w:jc w:val="left"/>
                    <w:rPr>
                      <w:color w:val="auto"/>
                    </w:rPr>
                  </w:pPr>
                  <w:r>
                    <w:rPr>
                      <w:color w:val="auto"/>
                    </w:rPr>
                    <w:t>2、</w:t>
                  </w:r>
                  <w:r>
                    <w:rPr>
                      <w:rFonts w:hint="eastAsia"/>
                      <w:color w:val="auto"/>
                    </w:rPr>
                    <w:t>包装印刷业禁止使用不符合环保要求的油墨、胶黏剂。</w:t>
                  </w:r>
                </w:p>
              </w:tc>
              <w:tc>
                <w:tcPr>
                  <w:tcW w:w="4400" w:type="dxa"/>
                  <w:tcBorders>
                    <w:tl2br w:val="nil"/>
                    <w:tr2bl w:val="nil"/>
                  </w:tcBorders>
                  <w:vAlign w:val="center"/>
                </w:tcPr>
                <w:p>
                  <w:pPr>
                    <w:pStyle w:val="36"/>
                    <w:jc w:val="left"/>
                    <w:rPr>
                      <w:color w:val="auto"/>
                    </w:rPr>
                  </w:pPr>
                  <w:r>
                    <w:rPr>
                      <w:rFonts w:hint="eastAsia"/>
                      <w:color w:val="auto"/>
                    </w:rPr>
                    <w:t>1、本项目属于铜压延加工（行业类别为C3251），主要生产工艺为挤压、拉拔、拉丝、退火等，属金属压延工艺，不涉电镀工艺、冶炼工艺、电解铝。</w:t>
                  </w:r>
                </w:p>
                <w:p>
                  <w:pPr>
                    <w:pStyle w:val="36"/>
                    <w:jc w:val="left"/>
                    <w:rPr>
                      <w:color w:val="auto"/>
                    </w:rPr>
                  </w:pPr>
                  <w:r>
                    <w:rPr>
                      <w:rFonts w:hint="eastAsia"/>
                      <w:color w:val="auto"/>
                    </w:rPr>
                    <w:t>2、项目不涉及油墨、胶黏剂</w:t>
                  </w:r>
                </w:p>
              </w:tc>
              <w:tc>
                <w:tcPr>
                  <w:tcW w:w="1094" w:type="dxa"/>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9" w:type="dxa"/>
                  <w:vMerge w:val="continue"/>
                  <w:tcBorders>
                    <w:tl2br w:val="nil"/>
                    <w:tr2bl w:val="nil"/>
                  </w:tcBorders>
                  <w:vAlign w:val="center"/>
                </w:tcPr>
                <w:p>
                  <w:pPr>
                    <w:pStyle w:val="36"/>
                    <w:rPr>
                      <w:color w:val="auto"/>
                    </w:rPr>
                  </w:pPr>
                </w:p>
              </w:tc>
              <w:tc>
                <w:tcPr>
                  <w:tcW w:w="1937" w:type="dxa"/>
                  <w:tcBorders>
                    <w:tl2br w:val="nil"/>
                    <w:tr2bl w:val="nil"/>
                  </w:tcBorders>
                  <w:vAlign w:val="center"/>
                </w:tcPr>
                <w:p>
                  <w:pPr>
                    <w:pStyle w:val="36"/>
                    <w:ind w:firstLine="0" w:firstLineChars="0"/>
                    <w:rPr>
                      <w:rFonts w:hint="eastAsia"/>
                      <w:color w:val="auto"/>
                    </w:rPr>
                  </w:pPr>
                  <w:r>
                    <w:rPr>
                      <w:rFonts w:hint="eastAsia"/>
                      <w:color w:val="auto"/>
                    </w:rPr>
                    <w:t>环境风险防控</w:t>
                  </w:r>
                </w:p>
              </w:tc>
              <w:tc>
                <w:tcPr>
                  <w:tcW w:w="4345" w:type="dxa"/>
                  <w:tcBorders>
                    <w:tl2br w:val="nil"/>
                    <w:tr2bl w:val="nil"/>
                  </w:tcBorders>
                  <w:vAlign w:val="center"/>
                </w:tcPr>
                <w:p>
                  <w:pPr>
                    <w:pStyle w:val="36"/>
                    <w:jc w:val="left"/>
                    <w:rPr>
                      <w:color w:val="auto"/>
                    </w:rPr>
                  </w:pPr>
                  <w:r>
                    <w:rPr>
                      <w:rFonts w:hint="eastAsia"/>
                      <w:color w:val="auto"/>
                    </w:rPr>
                    <w:t>1、必须规范配套应急池，建设企业、园区和周边水系三级环境风险防控工程，确保有效拦截、降污和倒流；受园区排污影响的周边水系应建设应急阀门，防止泄漏物和消防水等排入环境。</w:t>
                  </w:r>
                </w:p>
                <w:p>
                  <w:pPr>
                    <w:pStyle w:val="36"/>
                    <w:jc w:val="left"/>
                    <w:rPr>
                      <w:color w:val="auto"/>
                    </w:rPr>
                  </w:pPr>
                  <w:r>
                    <w:rPr>
                      <w:color w:val="auto"/>
                    </w:rPr>
                    <w:t>2、</w:t>
                  </w:r>
                  <w:r>
                    <w:rPr>
                      <w:rFonts w:hint="eastAsia"/>
                      <w:color w:val="auto"/>
                    </w:rPr>
                    <w:t>开发区内污水处理设施应采取必要的防渗处理，不得污染地下水环境。</w:t>
                  </w:r>
                </w:p>
              </w:tc>
              <w:tc>
                <w:tcPr>
                  <w:tcW w:w="4400" w:type="dxa"/>
                  <w:tcBorders>
                    <w:tl2br w:val="nil"/>
                    <w:tr2bl w:val="nil"/>
                  </w:tcBorders>
                  <w:vAlign w:val="center"/>
                </w:tcPr>
                <w:p>
                  <w:pPr>
                    <w:pStyle w:val="36"/>
                    <w:jc w:val="left"/>
                    <w:rPr>
                      <w:color w:val="auto"/>
                    </w:rPr>
                  </w:pPr>
                  <w:r>
                    <w:rPr>
                      <w:rFonts w:hint="eastAsia"/>
                      <w:color w:val="auto"/>
                    </w:rPr>
                    <w:t>本项目环境风险物质Q值&lt;1，环境风险程度低</w:t>
                  </w:r>
                  <w:r>
                    <w:rPr>
                      <w:rFonts w:hint="eastAsia"/>
                      <w:color w:val="auto"/>
                      <w:lang w:eastAsia="zh-CN"/>
                    </w:rPr>
                    <w:t>。</w:t>
                  </w:r>
                  <w:r>
                    <w:rPr>
                      <w:rFonts w:hint="eastAsia" w:ascii="宋体" w:hAnsi="宋体" w:cs="宋体"/>
                      <w:color w:val="auto"/>
                      <w:sz w:val="21"/>
                      <w:szCs w:val="21"/>
                      <w:lang w:val="en-US" w:eastAsia="zh-CN" w:bidi="ar"/>
                    </w:rPr>
                    <w:t>项目</w:t>
                  </w:r>
                  <w:r>
                    <w:rPr>
                      <w:rFonts w:hint="eastAsia"/>
                      <w:color w:val="auto"/>
                    </w:rPr>
                    <w:t>无生产废水</w:t>
                  </w:r>
                  <w:r>
                    <w:rPr>
                      <w:rFonts w:hint="eastAsia"/>
                      <w:color w:val="auto"/>
                      <w:lang w:val="en-US" w:eastAsia="zh-CN"/>
                    </w:rPr>
                    <w:t>排放</w:t>
                  </w:r>
                  <w:r>
                    <w:rPr>
                      <w:rFonts w:hint="eastAsia"/>
                      <w:color w:val="auto"/>
                    </w:rPr>
                    <w:t>，</w:t>
                  </w:r>
                  <w:r>
                    <w:rPr>
                      <w:rFonts w:hint="eastAsia"/>
                      <w:color w:val="auto"/>
                      <w:lang w:val="en-US" w:eastAsia="zh-CN"/>
                    </w:rPr>
                    <w:t>外排</w:t>
                  </w:r>
                  <w:r>
                    <w:rPr>
                      <w:rFonts w:hint="eastAsia"/>
                      <w:color w:val="auto"/>
                    </w:rPr>
                    <w:t>生活污水经化粪池预处理后纳入福清市融元污水处理厂集中处理</w:t>
                  </w:r>
                  <w:r>
                    <w:rPr>
                      <w:rFonts w:hint="eastAsia"/>
                      <w:color w:val="auto"/>
                      <w:lang w:eastAsia="zh-CN"/>
                    </w:rPr>
                    <w:t>。</w:t>
                  </w:r>
                </w:p>
              </w:tc>
              <w:tc>
                <w:tcPr>
                  <w:tcW w:w="1094" w:type="dxa"/>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029" w:type="dxa"/>
                  <w:vMerge w:val="continue"/>
                  <w:tcBorders>
                    <w:tl2br w:val="nil"/>
                    <w:tr2bl w:val="nil"/>
                  </w:tcBorders>
                  <w:vAlign w:val="center"/>
                </w:tcPr>
                <w:p>
                  <w:pPr>
                    <w:pStyle w:val="36"/>
                    <w:rPr>
                      <w:color w:val="auto"/>
                    </w:rPr>
                  </w:pPr>
                </w:p>
              </w:tc>
              <w:tc>
                <w:tcPr>
                  <w:tcW w:w="1937" w:type="dxa"/>
                  <w:tcBorders>
                    <w:tl2br w:val="nil"/>
                    <w:tr2bl w:val="nil"/>
                  </w:tcBorders>
                  <w:vAlign w:val="center"/>
                </w:tcPr>
                <w:p>
                  <w:pPr>
                    <w:pStyle w:val="36"/>
                    <w:ind w:firstLine="0" w:firstLineChars="0"/>
                    <w:rPr>
                      <w:rFonts w:hint="eastAsia"/>
                      <w:color w:val="auto"/>
                    </w:rPr>
                  </w:pPr>
                  <w:r>
                    <w:rPr>
                      <w:rFonts w:hint="eastAsia"/>
                      <w:color w:val="auto"/>
                    </w:rPr>
                    <w:t>污染物排放管控</w:t>
                  </w:r>
                </w:p>
              </w:tc>
              <w:tc>
                <w:tcPr>
                  <w:tcW w:w="4345" w:type="dxa"/>
                  <w:tcBorders>
                    <w:tl2br w:val="nil"/>
                    <w:tr2bl w:val="nil"/>
                  </w:tcBorders>
                  <w:vAlign w:val="center"/>
                </w:tcPr>
                <w:p>
                  <w:pPr>
                    <w:pStyle w:val="36"/>
                    <w:jc w:val="left"/>
                    <w:rPr>
                      <w:color w:val="auto"/>
                    </w:rPr>
                  </w:pPr>
                  <w:r>
                    <w:rPr>
                      <w:rFonts w:hint="eastAsia"/>
                      <w:color w:val="auto"/>
                    </w:rPr>
                    <w:t>1、新、改、扩建项目新增大气污染物（现阶段指二氧化硫和氮氧化物）排放量实行1.5倍替代削减（不含使用天然气、液化石油气等作为燃料的非火电锅炉和工业炉窑）。</w:t>
                  </w:r>
                </w:p>
                <w:p>
                  <w:pPr>
                    <w:pStyle w:val="36"/>
                    <w:jc w:val="left"/>
                    <w:rPr>
                      <w:color w:val="auto"/>
                    </w:rPr>
                  </w:pPr>
                  <w:r>
                    <w:rPr>
                      <w:rFonts w:hint="eastAsia"/>
                      <w:color w:val="auto"/>
                    </w:rPr>
                    <w:t>2、新、改、扩建项目新增的VOCs排放量实行倍量削减替代。</w:t>
                  </w:r>
                </w:p>
                <w:p>
                  <w:pPr>
                    <w:pStyle w:val="36"/>
                    <w:jc w:val="left"/>
                    <w:rPr>
                      <w:color w:val="auto"/>
                    </w:rPr>
                  </w:pPr>
                  <w:r>
                    <w:rPr>
                      <w:rFonts w:hint="eastAsia"/>
                      <w:color w:val="auto"/>
                    </w:rPr>
                    <w:t>3、工业企业废水全部纳管进入污水处理厂集中处理后达标排放。</w:t>
                  </w:r>
                </w:p>
              </w:tc>
              <w:tc>
                <w:tcPr>
                  <w:tcW w:w="4400" w:type="dxa"/>
                  <w:tcBorders>
                    <w:tl2br w:val="nil"/>
                    <w:tr2bl w:val="nil"/>
                  </w:tcBorders>
                  <w:vAlign w:val="center"/>
                </w:tcPr>
                <w:p>
                  <w:pPr>
                    <w:pStyle w:val="36"/>
                    <w:jc w:val="left"/>
                    <w:rPr>
                      <w:color w:val="auto"/>
                    </w:rPr>
                  </w:pPr>
                  <w:r>
                    <w:rPr>
                      <w:rFonts w:hint="eastAsia"/>
                      <w:color w:val="auto"/>
                    </w:rPr>
                    <w:t>1、本项目使用清洁能源（电能），无二氧化硫和氮氧化物排放；</w:t>
                  </w:r>
                </w:p>
                <w:p>
                  <w:pPr>
                    <w:pStyle w:val="36"/>
                    <w:jc w:val="left"/>
                    <w:rPr>
                      <w:color w:val="auto"/>
                    </w:rPr>
                  </w:pPr>
                  <w:r>
                    <w:rPr>
                      <w:rFonts w:hint="eastAsia"/>
                      <w:color w:val="auto"/>
                    </w:rPr>
                    <w:t>2、本项目新增VOCs排放量严格实施倍量削减替代；</w:t>
                  </w:r>
                </w:p>
                <w:p>
                  <w:pPr>
                    <w:pStyle w:val="36"/>
                    <w:jc w:val="left"/>
                    <w:rPr>
                      <w:color w:val="auto"/>
                    </w:rPr>
                  </w:pPr>
                  <w:r>
                    <w:rPr>
                      <w:rFonts w:hint="eastAsia"/>
                      <w:color w:val="auto"/>
                    </w:rPr>
                    <w:t>3、本项目无生产废水，生活污水经化粪池预处理后纳入福清市融元污水处理厂集中处理。</w:t>
                  </w:r>
                </w:p>
              </w:tc>
              <w:tc>
                <w:tcPr>
                  <w:tcW w:w="1094" w:type="dxa"/>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029" w:type="dxa"/>
                  <w:vMerge w:val="continue"/>
                  <w:tcBorders>
                    <w:tl2br w:val="nil"/>
                    <w:tr2bl w:val="nil"/>
                  </w:tcBorders>
                  <w:vAlign w:val="center"/>
                </w:tcPr>
                <w:p>
                  <w:pPr>
                    <w:pStyle w:val="36"/>
                    <w:rPr>
                      <w:color w:val="auto"/>
                    </w:rPr>
                  </w:pPr>
                </w:p>
              </w:tc>
              <w:tc>
                <w:tcPr>
                  <w:tcW w:w="1937" w:type="dxa"/>
                  <w:tcBorders>
                    <w:tl2br w:val="nil"/>
                    <w:tr2bl w:val="nil"/>
                  </w:tcBorders>
                  <w:vAlign w:val="center"/>
                </w:tcPr>
                <w:p>
                  <w:pPr>
                    <w:pStyle w:val="36"/>
                    <w:ind w:firstLine="0" w:firstLineChars="0"/>
                    <w:rPr>
                      <w:rFonts w:hint="eastAsia"/>
                      <w:color w:val="auto"/>
                      <w:highlight w:val="none"/>
                    </w:rPr>
                  </w:pPr>
                  <w:r>
                    <w:rPr>
                      <w:rFonts w:hint="eastAsia"/>
                      <w:color w:val="auto"/>
                      <w:highlight w:val="none"/>
                    </w:rPr>
                    <w:t>资源环境效率管控</w:t>
                  </w:r>
                </w:p>
              </w:tc>
              <w:tc>
                <w:tcPr>
                  <w:tcW w:w="4345" w:type="dxa"/>
                  <w:tcBorders>
                    <w:tl2br w:val="nil"/>
                    <w:tr2bl w:val="nil"/>
                  </w:tcBorders>
                  <w:vAlign w:val="center"/>
                </w:tcPr>
                <w:p>
                  <w:pPr>
                    <w:pStyle w:val="36"/>
                    <w:jc w:val="left"/>
                    <w:rPr>
                      <w:color w:val="auto"/>
                      <w:highlight w:val="none"/>
                    </w:rPr>
                  </w:pPr>
                  <w:r>
                    <w:rPr>
                      <w:rFonts w:hint="eastAsia"/>
                      <w:color w:val="auto"/>
                      <w:highlight w:val="none"/>
                    </w:rPr>
                    <w:t>1、能耗不超过0.23吨标煤/万元工业增加值</w:t>
                  </w:r>
                </w:p>
                <w:p>
                  <w:pPr>
                    <w:pStyle w:val="36"/>
                    <w:jc w:val="left"/>
                    <w:rPr>
                      <w:color w:val="auto"/>
                      <w:highlight w:val="none"/>
                    </w:rPr>
                  </w:pPr>
                  <w:r>
                    <w:rPr>
                      <w:rFonts w:hint="eastAsia"/>
                      <w:color w:val="auto"/>
                      <w:highlight w:val="none"/>
                    </w:rPr>
                    <w:t>2、水耗不超过6.90t万元工业增加值</w:t>
                  </w:r>
                </w:p>
                <w:p>
                  <w:pPr>
                    <w:pStyle w:val="36"/>
                    <w:jc w:val="left"/>
                    <w:rPr>
                      <w:color w:val="auto"/>
                      <w:highlight w:val="none"/>
                    </w:rPr>
                  </w:pPr>
                  <w:r>
                    <w:rPr>
                      <w:rFonts w:hint="eastAsia"/>
                      <w:color w:val="auto"/>
                      <w:highlight w:val="none"/>
                    </w:rPr>
                    <w:t>3、污水排放量不超过5.43t万元工业增加值</w:t>
                  </w:r>
                </w:p>
                <w:p>
                  <w:pPr>
                    <w:pStyle w:val="36"/>
                    <w:jc w:val="left"/>
                    <w:rPr>
                      <w:color w:val="auto"/>
                      <w:highlight w:val="none"/>
                    </w:rPr>
                  </w:pPr>
                  <w:r>
                    <w:rPr>
                      <w:rFonts w:hint="eastAsia"/>
                      <w:color w:val="auto"/>
                      <w:highlight w:val="none"/>
                    </w:rPr>
                    <w:t>4、VOCs排放量不超过0.46kg/万元工业增加值</w:t>
                  </w:r>
                </w:p>
              </w:tc>
              <w:tc>
                <w:tcPr>
                  <w:tcW w:w="4400" w:type="dxa"/>
                  <w:tcBorders>
                    <w:tl2br w:val="nil"/>
                    <w:tr2bl w:val="nil"/>
                  </w:tcBorders>
                  <w:vAlign w:val="center"/>
                </w:tcPr>
                <w:p>
                  <w:pPr>
                    <w:pStyle w:val="36"/>
                    <w:jc w:val="left"/>
                    <w:rPr>
                      <w:rFonts w:hint="eastAsia" w:eastAsia="宋体"/>
                      <w:color w:val="auto"/>
                      <w:highlight w:val="none"/>
                      <w:lang w:val="en-US" w:eastAsia="zh-CN"/>
                    </w:rPr>
                  </w:pPr>
                  <w:r>
                    <w:rPr>
                      <w:rFonts w:hint="eastAsia"/>
                      <w:color w:val="auto"/>
                      <w:highlight w:val="none"/>
                    </w:rPr>
                    <w:t>1、根据建设单位提供资料，项目建成投产后工业增加值约为</w:t>
                  </w:r>
                  <w:r>
                    <w:rPr>
                      <w:rFonts w:hint="eastAsia"/>
                      <w:color w:val="auto"/>
                      <w:highlight w:val="none"/>
                      <w:lang w:val="en-US" w:eastAsia="zh-CN"/>
                    </w:rPr>
                    <w:t>10亿，运营期用电量427万Kwh，折算标准煤525吨，能耗为0.00525吨标煤/万元</w:t>
                  </w:r>
                  <w:r>
                    <w:rPr>
                      <w:rFonts w:hint="eastAsia"/>
                      <w:color w:val="auto"/>
                      <w:highlight w:val="none"/>
                    </w:rPr>
                    <w:t>工业增加值</w:t>
                  </w:r>
                  <w:r>
                    <w:rPr>
                      <w:rFonts w:hint="eastAsia"/>
                      <w:color w:val="auto"/>
                      <w:highlight w:val="none"/>
                      <w:lang w:eastAsia="zh-CN"/>
                    </w:rPr>
                    <w:t>；</w:t>
                  </w:r>
                </w:p>
                <w:p>
                  <w:pPr>
                    <w:pStyle w:val="36"/>
                    <w:jc w:val="left"/>
                    <w:rPr>
                      <w:rFonts w:hint="eastAsia" w:eastAsia="宋体"/>
                      <w:color w:val="auto"/>
                      <w:highlight w:val="none"/>
                      <w:lang w:val="en-US" w:eastAsia="zh-CN"/>
                    </w:rPr>
                  </w:pPr>
                  <w:r>
                    <w:rPr>
                      <w:rFonts w:hint="eastAsia"/>
                      <w:color w:val="auto"/>
                      <w:highlight w:val="none"/>
                    </w:rPr>
                    <w:t>2、</w:t>
                  </w:r>
                  <w:r>
                    <w:rPr>
                      <w:rFonts w:hint="eastAsia"/>
                      <w:color w:val="auto"/>
                      <w:highlight w:val="none"/>
                      <w:lang w:val="en-US" w:eastAsia="zh-CN"/>
                    </w:rPr>
                    <w:t>本</w:t>
                  </w:r>
                  <w:r>
                    <w:rPr>
                      <w:rFonts w:hint="eastAsia"/>
                      <w:color w:val="auto"/>
                      <w:highlight w:val="none"/>
                    </w:rPr>
                    <w:t>项目年用水量</w:t>
                  </w:r>
                  <w:r>
                    <w:rPr>
                      <w:rFonts w:hint="eastAsia"/>
                      <w:color w:val="auto"/>
                      <w:highlight w:val="none"/>
                      <w:lang w:val="en-US" w:eastAsia="zh-CN"/>
                    </w:rPr>
                    <w:t>7405t/a，</w:t>
                  </w:r>
                  <w:r>
                    <w:rPr>
                      <w:rFonts w:hint="eastAsia"/>
                      <w:color w:val="auto"/>
                      <w:highlight w:val="none"/>
                    </w:rPr>
                    <w:t>水耗</w:t>
                  </w:r>
                  <w:r>
                    <w:rPr>
                      <w:rFonts w:hint="eastAsia"/>
                      <w:color w:val="auto"/>
                      <w:highlight w:val="none"/>
                      <w:lang w:val="en-US" w:eastAsia="zh-CN"/>
                    </w:rPr>
                    <w:t>为0.074吨/万元</w:t>
                  </w:r>
                  <w:r>
                    <w:rPr>
                      <w:rFonts w:hint="eastAsia"/>
                      <w:color w:val="auto"/>
                      <w:highlight w:val="none"/>
                    </w:rPr>
                    <w:t>工业增加值</w:t>
                  </w:r>
                  <w:r>
                    <w:rPr>
                      <w:rFonts w:hint="eastAsia"/>
                      <w:color w:val="auto"/>
                      <w:highlight w:val="none"/>
                      <w:lang w:eastAsia="zh-CN"/>
                    </w:rPr>
                    <w:t>；</w:t>
                  </w:r>
                </w:p>
                <w:p>
                  <w:pPr>
                    <w:pStyle w:val="36"/>
                    <w:jc w:val="left"/>
                    <w:rPr>
                      <w:rFonts w:hint="default" w:eastAsia="宋体"/>
                      <w:color w:val="auto"/>
                      <w:highlight w:val="none"/>
                      <w:lang w:val="en-US" w:eastAsia="zh-CN"/>
                    </w:rPr>
                  </w:pPr>
                  <w:r>
                    <w:rPr>
                      <w:rFonts w:hint="eastAsia"/>
                      <w:color w:val="auto"/>
                      <w:highlight w:val="none"/>
                    </w:rPr>
                    <w:t>3、</w:t>
                  </w:r>
                  <w:r>
                    <w:rPr>
                      <w:rFonts w:hint="eastAsia"/>
                      <w:color w:val="auto"/>
                      <w:highlight w:val="none"/>
                      <w:lang w:val="en-US" w:eastAsia="zh-CN"/>
                    </w:rPr>
                    <w:t>本</w:t>
                  </w:r>
                  <w:r>
                    <w:rPr>
                      <w:rFonts w:hint="eastAsia"/>
                      <w:color w:val="auto"/>
                      <w:highlight w:val="none"/>
                    </w:rPr>
                    <w:t>项目污水排放量</w:t>
                  </w:r>
                  <w:r>
                    <w:rPr>
                      <w:rFonts w:hint="eastAsia"/>
                      <w:color w:val="auto"/>
                      <w:highlight w:val="none"/>
                      <w:lang w:val="en-US" w:eastAsia="zh-CN"/>
                    </w:rPr>
                    <w:t>705.6t/a，</w:t>
                  </w:r>
                  <w:r>
                    <w:rPr>
                      <w:rFonts w:hint="eastAsia"/>
                      <w:color w:val="auto"/>
                      <w:highlight w:val="none"/>
                    </w:rPr>
                    <w:t>污水排放量</w:t>
                  </w:r>
                  <w:r>
                    <w:rPr>
                      <w:rFonts w:hint="eastAsia"/>
                      <w:color w:val="auto"/>
                      <w:highlight w:val="none"/>
                      <w:lang w:val="en-US" w:eastAsia="zh-CN"/>
                    </w:rPr>
                    <w:t>为0.0071吨/万元</w:t>
                  </w:r>
                  <w:r>
                    <w:rPr>
                      <w:rFonts w:hint="eastAsia"/>
                      <w:color w:val="auto"/>
                      <w:highlight w:val="none"/>
                    </w:rPr>
                    <w:t>工业增加值</w:t>
                  </w:r>
                  <w:r>
                    <w:rPr>
                      <w:rFonts w:hint="eastAsia"/>
                      <w:color w:val="auto"/>
                      <w:highlight w:val="none"/>
                      <w:lang w:eastAsia="zh-CN"/>
                    </w:rPr>
                    <w:t>；</w:t>
                  </w:r>
                </w:p>
                <w:p>
                  <w:pPr>
                    <w:pStyle w:val="36"/>
                    <w:jc w:val="left"/>
                    <w:rPr>
                      <w:color w:val="auto"/>
                      <w:highlight w:val="none"/>
                    </w:rPr>
                  </w:pPr>
                  <w:r>
                    <w:rPr>
                      <w:rFonts w:hint="eastAsia"/>
                      <w:color w:val="auto"/>
                      <w:highlight w:val="none"/>
                    </w:rPr>
                    <w:t>4、</w:t>
                  </w:r>
                  <w:r>
                    <w:rPr>
                      <w:rFonts w:hint="eastAsia"/>
                      <w:color w:val="auto"/>
                      <w:highlight w:val="none"/>
                      <w:lang w:val="en-US" w:eastAsia="zh-CN"/>
                    </w:rPr>
                    <w:t>本</w:t>
                  </w:r>
                  <w:r>
                    <w:rPr>
                      <w:rFonts w:hint="eastAsia"/>
                      <w:color w:val="auto"/>
                      <w:highlight w:val="none"/>
                    </w:rPr>
                    <w:t>项目VOCs排放量</w:t>
                  </w:r>
                  <w:r>
                    <w:rPr>
                      <w:rFonts w:hint="eastAsia"/>
                      <w:color w:val="auto"/>
                      <w:highlight w:val="none"/>
                      <w:lang w:val="en-US" w:eastAsia="zh-CN"/>
                    </w:rPr>
                    <w:t>0.129t/a，</w:t>
                  </w:r>
                  <w:r>
                    <w:rPr>
                      <w:rFonts w:hint="eastAsia"/>
                      <w:color w:val="auto"/>
                      <w:highlight w:val="none"/>
                    </w:rPr>
                    <w:t>VOCs排放量</w:t>
                  </w:r>
                  <w:r>
                    <w:rPr>
                      <w:rFonts w:hint="eastAsia"/>
                      <w:color w:val="auto"/>
                      <w:highlight w:val="none"/>
                      <w:lang w:val="en-US" w:eastAsia="zh-CN"/>
                    </w:rPr>
                    <w:t>为</w:t>
                  </w:r>
                  <w:r>
                    <w:rPr>
                      <w:rFonts w:hint="eastAsia"/>
                      <w:color w:val="auto"/>
                      <w:highlight w:val="none"/>
                    </w:rPr>
                    <w:t>0.00129</w:t>
                  </w:r>
                  <w:r>
                    <w:rPr>
                      <w:rFonts w:hint="eastAsia"/>
                      <w:color w:val="auto"/>
                      <w:highlight w:val="none"/>
                      <w:lang w:val="en-US" w:eastAsia="zh-CN"/>
                    </w:rPr>
                    <w:t>kg</w:t>
                  </w:r>
                  <w:r>
                    <w:rPr>
                      <w:rFonts w:hint="eastAsia"/>
                      <w:color w:val="auto"/>
                      <w:highlight w:val="none"/>
                    </w:rPr>
                    <w:t>/万元工业增加值。</w:t>
                  </w:r>
                </w:p>
              </w:tc>
              <w:tc>
                <w:tcPr>
                  <w:tcW w:w="1094" w:type="dxa"/>
                  <w:tcBorders>
                    <w:tl2br w:val="nil"/>
                    <w:tr2bl w:val="nil"/>
                  </w:tcBorders>
                  <w:vAlign w:val="center"/>
                </w:tcPr>
                <w:p>
                  <w:pPr>
                    <w:pStyle w:val="36"/>
                    <w:rPr>
                      <w:color w:val="auto"/>
                      <w:highlight w:val="none"/>
                    </w:rPr>
                  </w:pPr>
                  <w:r>
                    <w:rPr>
                      <w:color w:val="auto"/>
                      <w:highlight w:val="none"/>
                    </w:rPr>
                    <w:t>符合</w:t>
                  </w:r>
                </w:p>
              </w:tc>
            </w:tr>
          </w:tbl>
          <w:p>
            <w:pPr>
              <w:pStyle w:val="210"/>
              <w:ind w:firstLine="480"/>
              <w:rPr>
                <w:rFonts w:hint="default"/>
                <w:color w:val="auto"/>
              </w:rPr>
            </w:pPr>
            <w:r>
              <w:rPr>
                <w:color w:val="auto"/>
              </w:rPr>
              <w:t>项目与</w:t>
            </w:r>
            <w:r>
              <w:rPr>
                <w:color w:val="auto"/>
                <w:lang w:val="en-GB"/>
              </w:rPr>
              <w:t>《福清融侨经济技术开发区总体规划环境影响报告书</w:t>
            </w:r>
            <w:r>
              <w:rPr>
                <w:color w:val="auto"/>
              </w:rPr>
              <w:t>（</w:t>
            </w:r>
            <w:r>
              <w:rPr>
                <w:color w:val="auto"/>
                <w:lang w:val="en-GB"/>
              </w:rPr>
              <w:t>2018</w:t>
            </w:r>
            <w:r>
              <w:rPr>
                <w:color w:val="auto"/>
              </w:rPr>
              <w:t>-</w:t>
            </w:r>
            <w:r>
              <w:rPr>
                <w:color w:val="auto"/>
                <w:lang w:val="en-GB"/>
              </w:rPr>
              <w:t>2035年</w:t>
            </w:r>
            <w:r>
              <w:rPr>
                <w:color w:val="auto"/>
              </w:rPr>
              <w:t>）</w:t>
            </w:r>
            <w:r>
              <w:rPr>
                <w:color w:val="auto"/>
                <w:lang w:val="en-GB"/>
              </w:rPr>
              <w:t>》</w:t>
            </w:r>
            <w:r>
              <w:rPr>
                <w:color w:val="auto"/>
              </w:rPr>
              <w:t>审查意见符合性</w:t>
            </w:r>
            <w:r>
              <w:rPr>
                <w:color w:val="auto"/>
                <w:lang w:val="en-GB"/>
              </w:rPr>
              <w:t>分析</w:t>
            </w:r>
            <w:r>
              <w:rPr>
                <w:color w:val="auto"/>
              </w:rPr>
              <w:t>见</w:t>
            </w:r>
            <w:r>
              <w:rPr>
                <w:color w:val="auto"/>
                <w:lang w:val="en-GB"/>
              </w:rPr>
              <w:t>表</w:t>
            </w:r>
            <w:r>
              <w:rPr>
                <w:color w:val="auto"/>
              </w:rPr>
              <w:t>1-</w:t>
            </w:r>
            <w:r>
              <w:rPr>
                <w:rFonts w:hint="eastAsia"/>
                <w:color w:val="auto"/>
                <w:lang w:val="en-US" w:eastAsia="zh-CN"/>
              </w:rPr>
              <w:t>3</w:t>
            </w:r>
            <w:r>
              <w:rPr>
                <w:color w:val="auto"/>
              </w:rPr>
              <w:t>。</w:t>
            </w:r>
          </w:p>
          <w:p>
            <w:pPr>
              <w:pStyle w:val="37"/>
              <w:rPr>
                <w:color w:val="auto"/>
              </w:rPr>
            </w:pPr>
            <w:r>
              <w:rPr>
                <w:color w:val="auto"/>
                <w:lang w:val="en-GB"/>
              </w:rPr>
              <w:t>表</w:t>
            </w:r>
            <w:r>
              <w:rPr>
                <w:color w:val="auto"/>
                <w:lang w:val="en-US"/>
              </w:rPr>
              <w:t>1-</w:t>
            </w:r>
            <w:r>
              <w:rPr>
                <w:rFonts w:hint="eastAsia"/>
                <w:color w:val="auto"/>
                <w:lang w:val="en-US" w:eastAsia="zh-CN"/>
              </w:rPr>
              <w:t>3</w:t>
            </w:r>
            <w:r>
              <w:rPr>
                <w:color w:val="auto"/>
                <w:lang w:val="en-GB"/>
              </w:rPr>
              <w:t xml:space="preserve"> </w:t>
            </w:r>
            <w:r>
              <w:rPr>
                <w:color w:val="auto"/>
              </w:rPr>
              <w:t>项目与</w:t>
            </w:r>
            <w:r>
              <w:rPr>
                <w:color w:val="auto"/>
                <w:lang w:val="en-GB"/>
              </w:rPr>
              <w:t>规划区</w:t>
            </w:r>
            <w:r>
              <w:rPr>
                <w:rFonts w:hint="eastAsia"/>
                <w:color w:val="auto"/>
              </w:rPr>
              <w:t>环评审查意见的符合性分析（摘录）</w:t>
            </w:r>
          </w:p>
          <w:tbl>
            <w:tblPr>
              <w:tblStyle w:val="27"/>
              <w:tblW w:w="48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89"/>
              <w:gridCol w:w="5321"/>
              <w:gridCol w:w="5404"/>
              <w:gridCol w:w="9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80" w:hRule="atLeast"/>
                <w:jc w:val="center"/>
              </w:trPr>
              <w:tc>
                <w:tcPr>
                  <w:tcW w:w="7310" w:type="dxa"/>
                  <w:gridSpan w:val="2"/>
                  <w:tcBorders>
                    <w:tl2br w:val="nil"/>
                    <w:tr2bl w:val="nil"/>
                  </w:tcBorders>
                  <w:vAlign w:val="center"/>
                </w:tcPr>
                <w:p>
                  <w:pPr>
                    <w:pStyle w:val="36"/>
                    <w:bidi w:val="0"/>
                    <w:rPr>
                      <w:color w:val="auto"/>
                    </w:rPr>
                  </w:pPr>
                  <w:r>
                    <w:rPr>
                      <w:color w:val="auto"/>
                    </w:rPr>
                    <w:t>关于《福清融侨经济技术开发区总体规划（2018-2035年）环境影响报告书》的审查意见</w:t>
                  </w:r>
                  <w:r>
                    <w:rPr>
                      <w:rFonts w:hint="eastAsia"/>
                      <w:color w:val="auto"/>
                    </w:rPr>
                    <w:t>（</w:t>
                  </w:r>
                  <w:r>
                    <w:rPr>
                      <w:color w:val="auto"/>
                    </w:rPr>
                    <w:t>环审〔2020〕80号</w:t>
                  </w:r>
                  <w:r>
                    <w:rPr>
                      <w:rFonts w:hint="eastAsia"/>
                      <w:color w:val="auto"/>
                    </w:rPr>
                    <w:t>）</w:t>
                  </w:r>
                  <w:r>
                    <w:rPr>
                      <w:color w:val="auto"/>
                    </w:rPr>
                    <w:t>摘录</w:t>
                  </w:r>
                </w:p>
              </w:tc>
              <w:tc>
                <w:tcPr>
                  <w:tcW w:w="5404" w:type="dxa"/>
                  <w:tcBorders>
                    <w:tl2br w:val="nil"/>
                    <w:tr2bl w:val="nil"/>
                  </w:tcBorders>
                  <w:vAlign w:val="center"/>
                </w:tcPr>
                <w:p>
                  <w:pPr>
                    <w:pStyle w:val="36"/>
                    <w:bidi w:val="0"/>
                    <w:rPr>
                      <w:color w:val="auto"/>
                    </w:rPr>
                  </w:pPr>
                  <w:r>
                    <w:rPr>
                      <w:color w:val="auto"/>
                    </w:rPr>
                    <w:t>本项目情况</w:t>
                  </w:r>
                </w:p>
              </w:tc>
              <w:tc>
                <w:tcPr>
                  <w:tcW w:w="982" w:type="dxa"/>
                  <w:tcBorders>
                    <w:tl2br w:val="nil"/>
                    <w:tr2bl w:val="nil"/>
                  </w:tcBorders>
                  <w:vAlign w:val="center"/>
                </w:tcPr>
                <w:p>
                  <w:pPr>
                    <w:pStyle w:val="36"/>
                    <w:bidi w:val="0"/>
                    <w:rPr>
                      <w:color w:val="auto"/>
                    </w:rPr>
                  </w:pPr>
                  <w:r>
                    <w:rPr>
                      <w:color w:val="auto"/>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989" w:type="dxa"/>
                  <w:tcBorders>
                    <w:tl2br w:val="nil"/>
                    <w:tr2bl w:val="nil"/>
                  </w:tcBorders>
                  <w:vAlign w:val="center"/>
                </w:tcPr>
                <w:p>
                  <w:pPr>
                    <w:pStyle w:val="36"/>
                    <w:bidi w:val="0"/>
                    <w:rPr>
                      <w:color w:val="auto"/>
                    </w:rPr>
                  </w:pPr>
                  <w:r>
                    <w:rPr>
                      <w:rFonts w:hint="eastAsia"/>
                      <w:color w:val="auto"/>
                    </w:rPr>
                    <w:t>坚持绿色发展和协调发展理念，加强规划引导</w:t>
                  </w:r>
                </w:p>
              </w:tc>
              <w:tc>
                <w:tcPr>
                  <w:tcW w:w="5321" w:type="dxa"/>
                  <w:tcBorders>
                    <w:tl2br w:val="nil"/>
                    <w:tr2bl w:val="nil"/>
                  </w:tcBorders>
                  <w:vAlign w:val="center"/>
                </w:tcPr>
                <w:p>
                  <w:pPr>
                    <w:pStyle w:val="36"/>
                    <w:bidi w:val="0"/>
                    <w:rPr>
                      <w:color w:val="auto"/>
                    </w:rPr>
                  </w:pPr>
                  <w:r>
                    <w:rPr>
                      <w:rFonts w:hint="eastAsia"/>
                      <w:color w:val="auto"/>
                    </w:rPr>
                    <w:t>进一步优化《规划》范围、布局、发展规模和产业结构等，做好与省市国土空间规划和“三线一单”的协调衔接</w:t>
                  </w:r>
                </w:p>
              </w:tc>
              <w:tc>
                <w:tcPr>
                  <w:tcW w:w="5404" w:type="dxa"/>
                  <w:tcBorders>
                    <w:tl2br w:val="nil"/>
                    <w:tr2bl w:val="nil"/>
                  </w:tcBorders>
                  <w:vAlign w:val="center"/>
                </w:tcPr>
                <w:p>
                  <w:pPr>
                    <w:pStyle w:val="36"/>
                    <w:bidi w:val="0"/>
                    <w:rPr>
                      <w:color w:val="auto"/>
                    </w:rPr>
                  </w:pPr>
                  <w:r>
                    <w:rPr>
                      <w:rFonts w:hint="eastAsia"/>
                      <w:color w:val="auto"/>
                      <w:lang w:val="en-US" w:eastAsia="zh-CN"/>
                    </w:rPr>
                    <w:t>本</w:t>
                  </w:r>
                  <w:r>
                    <w:rPr>
                      <w:rFonts w:hint="eastAsia"/>
                      <w:color w:val="auto"/>
                    </w:rPr>
                    <w:t>项目位于福清融侨经济开发区范围内，项目符合园区</w:t>
                  </w:r>
                  <w:r>
                    <w:rPr>
                      <w:rFonts w:hint="eastAsia"/>
                      <w:color w:val="auto"/>
                      <w:lang w:val="en-US" w:eastAsia="zh-CN"/>
                    </w:rPr>
                    <w:t>环境准入清单</w:t>
                  </w:r>
                  <w:r>
                    <w:rPr>
                      <w:rFonts w:hint="eastAsia"/>
                      <w:color w:val="auto"/>
                    </w:rPr>
                    <w:t>，符合国土空间规划和“三线一单”要求。</w:t>
                  </w:r>
                </w:p>
              </w:tc>
              <w:tc>
                <w:tcPr>
                  <w:tcW w:w="982" w:type="dxa"/>
                  <w:tcBorders>
                    <w:tl2br w:val="nil"/>
                    <w:tr2bl w:val="nil"/>
                  </w:tcBorders>
                  <w:vAlign w:val="center"/>
                </w:tcPr>
                <w:p>
                  <w:pPr>
                    <w:pStyle w:val="36"/>
                    <w:bidi w:val="0"/>
                    <w:rPr>
                      <w:rFonts w:hint="eastAsia"/>
                      <w:color w:val="auto"/>
                      <w:lang w:val="en-US" w:eastAsia="zh-CN"/>
                    </w:rPr>
                  </w:pPr>
                  <w:r>
                    <w:rPr>
                      <w:rFonts w:hint="eastAsia"/>
                      <w:color w:val="auto"/>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80" w:hRule="atLeast"/>
                <w:jc w:val="center"/>
              </w:trPr>
              <w:tc>
                <w:tcPr>
                  <w:tcW w:w="1989" w:type="dxa"/>
                  <w:tcBorders>
                    <w:tl2br w:val="nil"/>
                    <w:tr2bl w:val="nil"/>
                  </w:tcBorders>
                  <w:vAlign w:val="center"/>
                </w:tcPr>
                <w:p>
                  <w:pPr>
                    <w:pStyle w:val="36"/>
                    <w:bidi w:val="0"/>
                    <w:rPr>
                      <w:color w:val="auto"/>
                    </w:rPr>
                  </w:pPr>
                  <w:r>
                    <w:rPr>
                      <w:rFonts w:hint="eastAsia"/>
                      <w:color w:val="auto"/>
                    </w:rPr>
                    <w:t>着力推动开发区结构调整和转型升级</w:t>
                  </w:r>
                </w:p>
              </w:tc>
              <w:tc>
                <w:tcPr>
                  <w:tcW w:w="5321" w:type="dxa"/>
                  <w:tcBorders>
                    <w:tl2br w:val="nil"/>
                    <w:tr2bl w:val="nil"/>
                  </w:tcBorders>
                  <w:vAlign w:val="center"/>
                </w:tcPr>
                <w:p>
                  <w:pPr>
                    <w:pStyle w:val="36"/>
                    <w:bidi w:val="0"/>
                    <w:rPr>
                      <w:color w:val="auto"/>
                    </w:rPr>
                  </w:pPr>
                  <w:r>
                    <w:rPr>
                      <w:rFonts w:hint="eastAsia"/>
                      <w:color w:val="auto"/>
                    </w:rPr>
                    <w:t>落实《报告书》提出的现有重污染企业和用地布局不合理企业的搬迁、淘汰进度，强化拟退出污染企业存续期间环境管控和风险防控，合理安排重污染企业腾退及周边土地开发时序。促进开发区产业转型升级与生态环境保护、人居环境安全相协调。</w:t>
                  </w:r>
                </w:p>
              </w:tc>
              <w:tc>
                <w:tcPr>
                  <w:tcW w:w="5404" w:type="dxa"/>
                  <w:tcBorders>
                    <w:tl2br w:val="nil"/>
                    <w:tr2bl w:val="nil"/>
                  </w:tcBorders>
                  <w:vAlign w:val="center"/>
                </w:tcPr>
                <w:p>
                  <w:pPr>
                    <w:pStyle w:val="36"/>
                    <w:bidi w:val="0"/>
                    <w:rPr>
                      <w:color w:val="auto"/>
                    </w:rPr>
                  </w:pPr>
                  <w:r>
                    <w:rPr>
                      <w:rFonts w:hint="eastAsia"/>
                      <w:color w:val="auto"/>
                      <w:lang w:val="en-US" w:eastAsia="zh-CN"/>
                    </w:rPr>
                    <w:t>本</w:t>
                  </w:r>
                  <w:r>
                    <w:rPr>
                      <w:rFonts w:hint="eastAsia"/>
                      <w:color w:val="auto"/>
                    </w:rPr>
                    <w:t>项目</w:t>
                  </w:r>
                  <w:r>
                    <w:rPr>
                      <w:rFonts w:hint="eastAsia"/>
                      <w:color w:val="auto"/>
                      <w:lang w:val="en-US" w:eastAsia="zh-CN"/>
                    </w:rPr>
                    <w:t>为新建项目，不属于重污染企业。</w:t>
                  </w:r>
                </w:p>
              </w:tc>
              <w:tc>
                <w:tcPr>
                  <w:tcW w:w="982" w:type="dxa"/>
                  <w:tcBorders>
                    <w:tl2br w:val="nil"/>
                    <w:tr2bl w:val="nil"/>
                  </w:tcBorders>
                  <w:vAlign w:val="center"/>
                </w:tcPr>
                <w:p>
                  <w:pPr>
                    <w:pStyle w:val="36"/>
                    <w:bidi w:val="0"/>
                    <w:rPr>
                      <w:color w:val="auto"/>
                    </w:rPr>
                  </w:pPr>
                  <w:r>
                    <w:rPr>
                      <w:rFonts w:hint="eastAsia"/>
                      <w:color w:val="auto"/>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989" w:type="dxa"/>
                  <w:tcBorders>
                    <w:tl2br w:val="nil"/>
                    <w:tr2bl w:val="nil"/>
                  </w:tcBorders>
                  <w:vAlign w:val="center"/>
                </w:tcPr>
                <w:p>
                  <w:pPr>
                    <w:pStyle w:val="36"/>
                    <w:bidi w:val="0"/>
                    <w:rPr>
                      <w:rFonts w:hint="eastAsia"/>
                      <w:color w:val="auto"/>
                    </w:rPr>
                  </w:pPr>
                  <w:r>
                    <w:rPr>
                      <w:rFonts w:hint="eastAsia"/>
                      <w:color w:val="auto"/>
                    </w:rPr>
                    <w:t>严格空间管控，</w:t>
                  </w:r>
                </w:p>
                <w:p>
                  <w:pPr>
                    <w:pStyle w:val="36"/>
                    <w:bidi w:val="0"/>
                    <w:rPr>
                      <w:color w:val="auto"/>
                    </w:rPr>
                  </w:pPr>
                  <w:r>
                    <w:rPr>
                      <w:rFonts w:hint="eastAsia"/>
                      <w:color w:val="auto"/>
                    </w:rPr>
                    <w:t>优化区内空间布局</w:t>
                  </w:r>
                </w:p>
              </w:tc>
              <w:tc>
                <w:tcPr>
                  <w:tcW w:w="5321" w:type="dxa"/>
                  <w:tcBorders>
                    <w:tl2br w:val="nil"/>
                    <w:tr2bl w:val="nil"/>
                  </w:tcBorders>
                  <w:vAlign w:val="center"/>
                </w:tcPr>
                <w:p>
                  <w:pPr>
                    <w:pStyle w:val="36"/>
                    <w:bidi w:val="0"/>
                    <w:rPr>
                      <w:rFonts w:hint="eastAsia" w:eastAsia="宋体"/>
                      <w:color w:val="auto"/>
                      <w:lang w:eastAsia="zh-CN"/>
                    </w:rPr>
                  </w:pPr>
                  <w:r>
                    <w:rPr>
                      <w:rFonts w:hint="eastAsia"/>
                      <w:color w:val="auto"/>
                    </w:rPr>
                    <w:t>进一步优化园区范围和空间布局，避让永久基本农田</w:t>
                  </w:r>
                  <w:r>
                    <w:rPr>
                      <w:rFonts w:hint="eastAsia"/>
                      <w:color w:val="auto"/>
                      <w:lang w:eastAsia="zh-CN"/>
                    </w:rPr>
                    <w:t>。</w:t>
                  </w:r>
                </w:p>
              </w:tc>
              <w:tc>
                <w:tcPr>
                  <w:tcW w:w="5404" w:type="dxa"/>
                  <w:tcBorders>
                    <w:tl2br w:val="nil"/>
                    <w:tr2bl w:val="nil"/>
                  </w:tcBorders>
                  <w:vAlign w:val="center"/>
                </w:tcPr>
                <w:p>
                  <w:pPr>
                    <w:pStyle w:val="36"/>
                    <w:bidi w:val="0"/>
                    <w:rPr>
                      <w:rFonts w:hint="eastAsia"/>
                      <w:color w:val="auto"/>
                    </w:rPr>
                  </w:pPr>
                  <w:r>
                    <w:rPr>
                      <w:rFonts w:hint="eastAsia"/>
                      <w:color w:val="auto"/>
                      <w:lang w:val="en-US" w:eastAsia="zh-CN"/>
                    </w:rPr>
                    <w:t>本</w:t>
                  </w:r>
                  <w:r>
                    <w:rPr>
                      <w:rFonts w:hint="eastAsia"/>
                      <w:color w:val="auto"/>
                    </w:rPr>
                    <w:t>项目位于福清融侨经济开发区范围内，不涉及永久基本农田</w:t>
                  </w:r>
                </w:p>
              </w:tc>
              <w:tc>
                <w:tcPr>
                  <w:tcW w:w="982" w:type="dxa"/>
                  <w:tcBorders>
                    <w:tl2br w:val="nil"/>
                    <w:tr2bl w:val="nil"/>
                  </w:tcBorders>
                  <w:vAlign w:val="center"/>
                </w:tcPr>
                <w:p>
                  <w:pPr>
                    <w:pStyle w:val="36"/>
                    <w:bidi w:val="0"/>
                    <w:rPr>
                      <w:color w:val="auto"/>
                    </w:rPr>
                  </w:pPr>
                  <w:r>
                    <w:rPr>
                      <w:rFonts w:hint="eastAsia"/>
                      <w:color w:val="auto"/>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80" w:hRule="atLeast"/>
                <w:jc w:val="center"/>
              </w:trPr>
              <w:tc>
                <w:tcPr>
                  <w:tcW w:w="1989" w:type="dxa"/>
                  <w:tcBorders>
                    <w:tl2br w:val="nil"/>
                    <w:tr2bl w:val="nil"/>
                  </w:tcBorders>
                  <w:vAlign w:val="center"/>
                </w:tcPr>
                <w:p>
                  <w:pPr>
                    <w:pStyle w:val="36"/>
                    <w:bidi w:val="0"/>
                    <w:rPr>
                      <w:color w:val="auto"/>
                    </w:rPr>
                  </w:pPr>
                  <w:r>
                    <w:rPr>
                      <w:rFonts w:hint="eastAsia"/>
                      <w:color w:val="auto"/>
                    </w:rPr>
                    <w:t>严守环境质量底线，强化污染物排放总量管控</w:t>
                  </w:r>
                </w:p>
              </w:tc>
              <w:tc>
                <w:tcPr>
                  <w:tcW w:w="5321" w:type="dxa"/>
                  <w:tcBorders>
                    <w:tl2br w:val="nil"/>
                    <w:tr2bl w:val="nil"/>
                  </w:tcBorders>
                  <w:vAlign w:val="center"/>
                </w:tcPr>
                <w:p>
                  <w:pPr>
                    <w:pStyle w:val="36"/>
                    <w:bidi w:val="0"/>
                    <w:rPr>
                      <w:rFonts w:hint="eastAsia" w:eastAsia="宋体"/>
                      <w:color w:val="auto"/>
                      <w:lang w:eastAsia="zh-CN"/>
                    </w:rPr>
                  </w:pPr>
                  <w:r>
                    <w:rPr>
                      <w:rFonts w:hint="eastAsia"/>
                      <w:color w:val="auto"/>
                    </w:rPr>
                    <w:t>严格重金属总量管控。采取有效措施减少主要污染物和特征污染物的排放量，确保区域环境质量持续改善、促进产业发展与城市发展、生态环境保护相协调</w:t>
                  </w:r>
                  <w:r>
                    <w:rPr>
                      <w:rFonts w:hint="eastAsia"/>
                      <w:color w:val="auto"/>
                      <w:lang w:eastAsia="zh-CN"/>
                    </w:rPr>
                    <w:t>。</w:t>
                  </w:r>
                </w:p>
              </w:tc>
              <w:tc>
                <w:tcPr>
                  <w:tcW w:w="5404" w:type="dxa"/>
                  <w:tcBorders>
                    <w:tl2br w:val="nil"/>
                    <w:tr2bl w:val="nil"/>
                  </w:tcBorders>
                  <w:vAlign w:val="center"/>
                </w:tcPr>
                <w:p>
                  <w:pPr>
                    <w:pStyle w:val="36"/>
                    <w:bidi w:val="0"/>
                    <w:jc w:val="left"/>
                    <w:rPr>
                      <w:color w:val="auto"/>
                    </w:rPr>
                  </w:pPr>
                  <w:r>
                    <w:rPr>
                      <w:rFonts w:hint="eastAsia"/>
                      <w:color w:val="auto"/>
                      <w:lang w:val="en-US" w:eastAsia="zh-CN"/>
                    </w:rPr>
                    <w:t>本</w:t>
                  </w:r>
                  <w:r>
                    <w:rPr>
                      <w:rFonts w:hint="eastAsia"/>
                      <w:color w:val="auto"/>
                    </w:rPr>
                    <w:t>项目</w:t>
                  </w:r>
                  <w:r>
                    <w:rPr>
                      <w:color w:val="auto"/>
                    </w:rPr>
                    <w:t>不涉及重金属污染物的排放。</w:t>
                  </w:r>
                  <w:r>
                    <w:rPr>
                      <w:rFonts w:hint="eastAsia"/>
                      <w:color w:val="auto"/>
                    </w:rPr>
                    <w:t>项目使用的拉丝液（拉丝油与水的比例=1:15），稀释后拉丝液中VOCs含量为6.3%，</w:t>
                  </w:r>
                  <w:r>
                    <w:rPr>
                      <w:rFonts w:hint="eastAsia"/>
                      <w:color w:val="auto"/>
                      <w:lang w:val="en-US" w:eastAsia="zh-CN"/>
                    </w:rPr>
                    <w:t>属于低VOCs原辅料，项目</w:t>
                  </w:r>
                  <w:r>
                    <w:rPr>
                      <w:rFonts w:hint="eastAsia"/>
                      <w:color w:val="auto"/>
                    </w:rPr>
                    <w:t>排放少量VOCs，</w:t>
                  </w:r>
                  <w:r>
                    <w:rPr>
                      <w:rFonts w:hint="eastAsia"/>
                      <w:color w:val="auto"/>
                      <w:lang w:val="en-US" w:eastAsia="zh-CN"/>
                    </w:rPr>
                    <w:t>根据预测结果，厂界外大气污染物可达标排放，对周边环境影响较小；</w:t>
                  </w:r>
                  <w:r>
                    <w:rPr>
                      <w:rFonts w:hint="eastAsia"/>
                      <w:color w:val="auto"/>
                    </w:rPr>
                    <w:t>项目</w:t>
                  </w:r>
                  <w:r>
                    <w:rPr>
                      <w:rFonts w:hint="eastAsia"/>
                      <w:color w:val="auto"/>
                      <w:lang w:val="en-US" w:eastAsia="zh-CN"/>
                    </w:rPr>
                    <w:t>无</w:t>
                  </w:r>
                  <w:r>
                    <w:rPr>
                      <w:rFonts w:hint="eastAsia"/>
                      <w:color w:val="auto"/>
                    </w:rPr>
                    <w:t>生产废水排放，生活污水</w:t>
                  </w:r>
                  <w:r>
                    <w:rPr>
                      <w:rFonts w:hint="eastAsia"/>
                      <w:color w:val="auto"/>
                      <w:lang w:val="en-US" w:eastAsia="zh-CN"/>
                    </w:rPr>
                    <w:t>经</w:t>
                  </w:r>
                  <w:r>
                    <w:rPr>
                      <w:rFonts w:hint="eastAsia"/>
                      <w:color w:val="auto"/>
                    </w:rPr>
                    <w:t>厂区化粪池处理后，通过市政污水管网纳入福清市融元污水处理厂处理；一般工业固体废物和危险废物的</w:t>
                  </w:r>
                  <w:r>
                    <w:rPr>
                      <w:rFonts w:hint="eastAsia"/>
                      <w:color w:val="auto"/>
                      <w:lang w:val="en-US" w:eastAsia="zh-CN"/>
                    </w:rPr>
                    <w:t>进行</w:t>
                  </w:r>
                  <w:r>
                    <w:rPr>
                      <w:rFonts w:hint="eastAsia"/>
                      <w:color w:val="auto"/>
                    </w:rPr>
                    <w:t>分类收集、利用、处理处置。</w:t>
                  </w:r>
                </w:p>
              </w:tc>
              <w:tc>
                <w:tcPr>
                  <w:tcW w:w="982" w:type="dxa"/>
                  <w:tcBorders>
                    <w:tl2br w:val="nil"/>
                    <w:tr2bl w:val="nil"/>
                  </w:tcBorders>
                  <w:vAlign w:val="center"/>
                </w:tcPr>
                <w:p>
                  <w:pPr>
                    <w:pStyle w:val="36"/>
                    <w:bidi w:val="0"/>
                    <w:rPr>
                      <w:color w:val="auto"/>
                    </w:rPr>
                  </w:pPr>
                  <w:r>
                    <w:rPr>
                      <w:rFonts w:hint="eastAsia"/>
                      <w:color w:val="auto"/>
                      <w:lang w:val="en-US" w:eastAsia="zh-CN"/>
                    </w:rPr>
                    <w:t>符合</w:t>
                  </w:r>
                </w:p>
                <w:p>
                  <w:pPr>
                    <w:pStyle w:val="36"/>
                    <w:bidi w:val="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80" w:hRule="atLeast"/>
                <w:jc w:val="center"/>
              </w:trPr>
              <w:tc>
                <w:tcPr>
                  <w:tcW w:w="1989" w:type="dxa"/>
                  <w:tcBorders>
                    <w:tl2br w:val="nil"/>
                    <w:tr2bl w:val="nil"/>
                  </w:tcBorders>
                  <w:vAlign w:val="center"/>
                </w:tcPr>
                <w:p>
                  <w:pPr>
                    <w:pStyle w:val="36"/>
                    <w:bidi w:val="0"/>
                    <w:rPr>
                      <w:rFonts w:hint="eastAsia"/>
                      <w:color w:val="auto"/>
                    </w:rPr>
                  </w:pPr>
                  <w:r>
                    <w:rPr>
                      <w:rFonts w:hint="eastAsia"/>
                      <w:color w:val="auto"/>
                    </w:rPr>
                    <w:t>严格入区项目生态环境准入，推动高质量发展</w:t>
                  </w:r>
                </w:p>
              </w:tc>
              <w:tc>
                <w:tcPr>
                  <w:tcW w:w="5321" w:type="dxa"/>
                  <w:tcBorders>
                    <w:tl2br w:val="nil"/>
                    <w:tr2bl w:val="nil"/>
                  </w:tcBorders>
                  <w:vAlign w:val="center"/>
                </w:tcPr>
                <w:p>
                  <w:pPr>
                    <w:pStyle w:val="36"/>
                    <w:bidi w:val="0"/>
                    <w:rPr>
                      <w:rFonts w:hint="eastAsia"/>
                      <w:color w:val="auto"/>
                    </w:rPr>
                  </w:pPr>
                  <w:r>
                    <w:rPr>
                      <w:rFonts w:hint="eastAsia"/>
                      <w:color w:val="auto"/>
                    </w:rPr>
                    <w:t>落实《报告书》生态环境准入要求，强化现有及入区企业挥发性有机物排放控制，禁止新增排放涉重金属污染物项目入区，禁止与主导产业不相关且污染物排放量大的项目入区。落实《福州市环境总体规划</w:t>
                  </w:r>
                  <w:r>
                    <w:rPr>
                      <w:rFonts w:hint="eastAsia"/>
                      <w:color w:val="auto"/>
                      <w:lang w:eastAsia="zh-CN"/>
                    </w:rPr>
                    <w:t>（</w:t>
                  </w:r>
                  <w:r>
                    <w:rPr>
                      <w:rFonts w:hint="eastAsia"/>
                      <w:color w:val="auto"/>
                    </w:rPr>
                    <w:t>2013-2030</w:t>
                  </w:r>
                  <w:r>
                    <w:rPr>
                      <w:rFonts w:hint="eastAsia"/>
                      <w:color w:val="auto"/>
                      <w:lang w:eastAsia="zh-CN"/>
                    </w:rPr>
                    <w:t>）</w:t>
                  </w:r>
                  <w:r>
                    <w:rPr>
                      <w:rFonts w:hint="eastAsia"/>
                      <w:color w:val="auto"/>
                    </w:rPr>
                    <w:t>》关于禁止大气污染型建设项目入区的要求。执行最严格的行业废水、废气排放控制指标，引进项目的生产工艺、设备，以及单位产品能耗、污染物排放和资源利用效率等均需达到同行业国际先进水平</w:t>
                  </w:r>
                </w:p>
              </w:tc>
              <w:tc>
                <w:tcPr>
                  <w:tcW w:w="5404" w:type="dxa"/>
                  <w:tcBorders>
                    <w:tl2br w:val="nil"/>
                    <w:tr2bl w:val="nil"/>
                  </w:tcBorders>
                  <w:vAlign w:val="center"/>
                </w:tcPr>
                <w:p>
                  <w:pPr>
                    <w:pStyle w:val="36"/>
                    <w:bidi w:val="0"/>
                    <w:jc w:val="left"/>
                    <w:rPr>
                      <w:rFonts w:hint="eastAsia"/>
                      <w:color w:val="auto"/>
                    </w:rPr>
                  </w:pPr>
                  <w:r>
                    <w:rPr>
                      <w:rFonts w:hint="eastAsia"/>
                      <w:color w:val="auto"/>
                    </w:rPr>
                    <w:t>本项目排放的VOCS拟实行区域内倍量替代</w:t>
                  </w:r>
                  <w:r>
                    <w:rPr>
                      <w:rFonts w:hint="eastAsia"/>
                      <w:color w:val="auto"/>
                      <w:lang w:eastAsia="zh-CN"/>
                    </w:rPr>
                    <w:t>，</w:t>
                  </w:r>
                  <w:r>
                    <w:rPr>
                      <w:color w:val="auto"/>
                    </w:rPr>
                    <w:t>不涉及重金属污染物的排放</w:t>
                  </w:r>
                  <w:r>
                    <w:rPr>
                      <w:rFonts w:hint="eastAsia"/>
                      <w:color w:val="auto"/>
                      <w:lang w:eastAsia="zh-CN"/>
                    </w:rPr>
                    <w:t>；</w:t>
                  </w:r>
                  <w:r>
                    <w:rPr>
                      <w:rFonts w:hint="eastAsia"/>
                      <w:color w:val="auto"/>
                    </w:rPr>
                    <w:t>本项目属于铜压延加工（行业类别为C3251），虽不属于开发区主导行业，但也不属于禁止引进项目，为允许准入的类别，</w:t>
                  </w:r>
                  <w:r>
                    <w:rPr>
                      <w:rFonts w:hint="eastAsia"/>
                      <w:color w:val="auto"/>
                      <w:lang w:val="en-US" w:eastAsia="zh-CN"/>
                    </w:rPr>
                    <w:t>项目</w:t>
                  </w:r>
                  <w:r>
                    <w:rPr>
                      <w:rFonts w:hint="eastAsia"/>
                      <w:color w:val="auto"/>
                    </w:rPr>
                    <w:t>符合园区产业规划</w:t>
                  </w:r>
                  <w:r>
                    <w:rPr>
                      <w:rFonts w:hint="eastAsia"/>
                      <w:color w:val="auto"/>
                      <w:lang w:eastAsia="zh-CN"/>
                    </w:rPr>
                    <w:t>，</w:t>
                  </w:r>
                  <w:r>
                    <w:rPr>
                      <w:rFonts w:hint="eastAsia"/>
                      <w:color w:val="auto"/>
                      <w:lang w:val="en-US" w:eastAsia="zh-CN"/>
                    </w:rPr>
                    <w:t>项目无生产废水排放，</w:t>
                  </w:r>
                  <w:r>
                    <w:rPr>
                      <w:rFonts w:hint="eastAsia"/>
                      <w:color w:val="auto"/>
                    </w:rPr>
                    <w:t>使用的拉丝液属于低VOCs物料，排放少量VOCs，不属于污染物排放量大的项目</w:t>
                  </w:r>
                  <w:r>
                    <w:rPr>
                      <w:rFonts w:hint="eastAsia"/>
                      <w:color w:val="auto"/>
                      <w:lang w:eastAsia="zh-CN"/>
                    </w:rPr>
                    <w:t>；</w:t>
                  </w:r>
                  <w:r>
                    <w:rPr>
                      <w:rFonts w:hint="eastAsia"/>
                      <w:color w:val="auto"/>
                    </w:rPr>
                    <w:t>项目不属于《福州市环境总体规划</w:t>
                  </w:r>
                  <w:r>
                    <w:rPr>
                      <w:rFonts w:hint="eastAsia"/>
                      <w:color w:val="auto"/>
                      <w:lang w:eastAsia="zh-CN"/>
                    </w:rPr>
                    <w:t>（</w:t>
                  </w:r>
                  <w:r>
                    <w:rPr>
                      <w:rFonts w:hint="eastAsia"/>
                      <w:color w:val="auto"/>
                    </w:rPr>
                    <w:t>2013-2030</w:t>
                  </w:r>
                  <w:r>
                    <w:rPr>
                      <w:rFonts w:hint="eastAsia"/>
                      <w:color w:val="auto"/>
                      <w:lang w:val="en-US" w:eastAsia="zh-CN"/>
                    </w:rPr>
                    <w:t>年</w:t>
                  </w:r>
                  <w:r>
                    <w:rPr>
                      <w:rFonts w:hint="eastAsia"/>
                      <w:color w:val="auto"/>
                      <w:lang w:eastAsia="zh-CN"/>
                    </w:rPr>
                    <w:t>）</w:t>
                  </w:r>
                  <w:r>
                    <w:rPr>
                      <w:rFonts w:hint="eastAsia"/>
                      <w:color w:val="auto"/>
                    </w:rPr>
                    <w:t>》关于禁止大气污染型项目。</w:t>
                  </w:r>
                  <w:r>
                    <w:rPr>
                      <w:rFonts w:hint="eastAsia"/>
                      <w:color w:val="auto"/>
                      <w:lang w:val="en-US" w:eastAsia="zh-CN"/>
                    </w:rPr>
                    <w:t>项目新增排放的废气执行最</w:t>
                  </w:r>
                  <w:r>
                    <w:rPr>
                      <w:rFonts w:hint="eastAsia"/>
                      <w:color w:val="auto"/>
                    </w:rPr>
                    <w:t>严格废气排放控制指标，项目生产工艺、技术装备、污染治理水平以及单位产品能耗、物耗等可以</w:t>
                  </w:r>
                  <w:r>
                    <w:rPr>
                      <w:rFonts w:hint="eastAsia"/>
                      <w:color w:val="auto"/>
                      <w:lang w:eastAsia="zh-CN"/>
                    </w:rPr>
                    <w:t>达到</w:t>
                  </w:r>
                  <w:r>
                    <w:rPr>
                      <w:rFonts w:hint="eastAsia"/>
                      <w:color w:val="auto"/>
                    </w:rPr>
                    <w:t>同行业国际先进水平。</w:t>
                  </w:r>
                </w:p>
              </w:tc>
              <w:tc>
                <w:tcPr>
                  <w:tcW w:w="982" w:type="dxa"/>
                  <w:tcBorders>
                    <w:tl2br w:val="nil"/>
                    <w:tr2bl w:val="nil"/>
                  </w:tcBorders>
                  <w:vAlign w:val="center"/>
                </w:tcPr>
                <w:p>
                  <w:pPr>
                    <w:pStyle w:val="36"/>
                    <w:bidi w:val="0"/>
                    <w:rPr>
                      <w:rFonts w:hint="eastAsia"/>
                      <w:color w:val="auto"/>
                    </w:rPr>
                  </w:pPr>
                  <w:r>
                    <w:rPr>
                      <w:rFonts w:hint="eastAsia"/>
                      <w:color w:val="auto"/>
                      <w:lang w:val="en-US" w:eastAsia="zh-CN"/>
                    </w:rPr>
                    <w:t>符合</w:t>
                  </w:r>
                </w:p>
              </w:tc>
            </w:tr>
          </w:tbl>
          <w:p>
            <w:pPr>
              <w:adjustRightInd w:val="0"/>
              <w:spacing w:line="348" w:lineRule="auto"/>
              <w:ind w:firstLine="480"/>
              <w:contextualSpacing/>
              <w:rPr>
                <w:rFonts w:hint="default"/>
                <w:color w:val="auto"/>
                <w:szCs w:val="24"/>
              </w:rPr>
            </w:pPr>
            <w:r>
              <w:rPr>
                <w:rFonts w:hint="default"/>
                <w:b w:val="0"/>
                <w:bCs w:val="0"/>
                <w:color w:val="auto"/>
                <w:szCs w:val="24"/>
              </w:rPr>
              <w:t>综上所述</w:t>
            </w:r>
            <w:r>
              <w:rPr>
                <w:rFonts w:hint="eastAsia"/>
                <w:b w:val="0"/>
                <w:bCs w:val="0"/>
                <w:color w:val="auto"/>
                <w:szCs w:val="24"/>
                <w:lang w:eastAsia="zh-CN"/>
              </w:rPr>
              <w:t>，</w:t>
            </w:r>
            <w:r>
              <w:rPr>
                <w:rFonts w:hint="eastAsia"/>
                <w:b w:val="0"/>
                <w:bCs w:val="0"/>
                <w:color w:val="auto"/>
                <w:szCs w:val="24"/>
                <w:lang w:val="en-US" w:eastAsia="zh-CN"/>
              </w:rPr>
              <w:t>本</w:t>
            </w:r>
            <w:r>
              <w:rPr>
                <w:rFonts w:hint="eastAsia"/>
                <w:b w:val="0"/>
                <w:bCs w:val="0"/>
                <w:color w:val="auto"/>
                <w:lang w:val="en-US" w:eastAsia="zh-CN"/>
              </w:rPr>
              <w:t>项目已取得福清市融侨经济开发区管理委员会出具的证明（详见附件4）且符合</w:t>
            </w:r>
            <w:r>
              <w:rPr>
                <w:rFonts w:hint="default"/>
                <w:color w:val="auto"/>
                <w:szCs w:val="24"/>
              </w:rPr>
              <w:t>《福清融侨经济技术开发区总体规划环境影响报告书</w:t>
            </w:r>
            <w:r>
              <w:rPr>
                <w:color w:val="auto"/>
                <w:szCs w:val="24"/>
              </w:rPr>
              <w:t>（</w:t>
            </w:r>
            <w:r>
              <w:rPr>
                <w:rFonts w:hint="default"/>
                <w:color w:val="auto"/>
                <w:szCs w:val="24"/>
              </w:rPr>
              <w:t>2018-2035年</w:t>
            </w:r>
            <w:r>
              <w:rPr>
                <w:color w:val="auto"/>
                <w:szCs w:val="24"/>
              </w:rPr>
              <w:t>）</w:t>
            </w:r>
            <w:r>
              <w:rPr>
                <w:rFonts w:hint="default"/>
                <w:color w:val="auto"/>
                <w:szCs w:val="24"/>
              </w:rPr>
              <w:t>》及其审查意见</w:t>
            </w:r>
            <w:r>
              <w:rPr>
                <w:rFonts w:hint="eastAsia"/>
                <w:color w:val="auto"/>
                <w:szCs w:val="24"/>
                <w:lang w:val="en-US" w:eastAsia="zh-CN"/>
              </w:rPr>
              <w:t>的</w:t>
            </w:r>
            <w:r>
              <w:rPr>
                <w:rFonts w:hint="default"/>
                <w:color w:val="auto"/>
                <w:szCs w:val="24"/>
              </w:rPr>
              <w:t>要求。</w:t>
            </w:r>
          </w:p>
          <w:p>
            <w:pPr>
              <w:rPr>
                <w:color w:val="auto"/>
              </w:rPr>
            </w:pPr>
          </w:p>
          <w:p>
            <w:pPr>
              <w:rPr>
                <w:color w:val="auto"/>
              </w:rPr>
            </w:pPr>
          </w:p>
          <w:p>
            <w:pPr>
              <w:rPr>
                <w:color w:val="auto"/>
              </w:rPr>
            </w:pPr>
          </w:p>
          <w:p>
            <w:pPr>
              <w:rPr>
                <w:color w:val="auto"/>
              </w:rPr>
            </w:pPr>
          </w:p>
          <w:p>
            <w:pPr>
              <w:rPr>
                <w:color w:val="auto"/>
              </w:rPr>
            </w:pPr>
          </w:p>
          <w:p>
            <w:pPr>
              <w:rPr>
                <w:color w:val="auto"/>
              </w:rPr>
            </w:pPr>
          </w:p>
        </w:tc>
      </w:tr>
    </w:tbl>
    <w:p>
      <w:pPr>
        <w:ind w:firstLine="480"/>
        <w:rPr>
          <w:color w:val="auto"/>
        </w:rPr>
        <w:sectPr>
          <w:pgSz w:w="16838" w:h="11906" w:orient="landscape"/>
          <w:pgMar w:top="1587" w:right="1417" w:bottom="1417" w:left="1417" w:header="851" w:footer="850" w:gutter="0"/>
          <w:pgBorders>
            <w:top w:val="none" w:sz="0" w:space="0"/>
            <w:left w:val="none" w:sz="0" w:space="0"/>
            <w:bottom w:val="none" w:sz="0" w:space="0"/>
            <w:right w:val="none" w:sz="0" w:space="0"/>
          </w:pgBorders>
          <w:cols w:space="720" w:num="1"/>
          <w:docGrid w:linePitch="312" w:charSpace="0"/>
        </w:sectPr>
      </w:pPr>
    </w:p>
    <w:tbl>
      <w:tblPr>
        <w:tblStyle w:val="27"/>
        <w:tblW w:w="52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744"/>
        <w:gridCol w:w="85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405" w:hRule="atLeast"/>
          <w:jc w:val="center"/>
        </w:trPr>
        <w:tc>
          <w:tcPr>
            <w:tcW w:w="398" w:type="pct"/>
            <w:tcBorders>
              <w:top w:val="single" w:color="auto" w:sz="4" w:space="0"/>
              <w:left w:val="single" w:color="auto" w:sz="4" w:space="0"/>
              <w:bottom w:val="single" w:color="auto" w:sz="4" w:space="0"/>
              <w:right w:val="single" w:color="auto" w:sz="4" w:space="0"/>
            </w:tcBorders>
            <w:vAlign w:val="center"/>
          </w:tcPr>
          <w:p>
            <w:pPr>
              <w:pStyle w:val="36"/>
              <w:rPr>
                <w:rFonts w:cs="Times New Roman"/>
                <w:color w:val="auto"/>
                <w:sz w:val="24"/>
                <w:szCs w:val="24"/>
              </w:rPr>
            </w:pPr>
            <w:r>
              <w:rPr>
                <w:rFonts w:cs="Times New Roman"/>
                <w:color w:val="auto"/>
                <w:sz w:val="24"/>
                <w:szCs w:val="24"/>
              </w:rPr>
              <w:t>其他符合性分析</w:t>
            </w:r>
          </w:p>
        </w:tc>
        <w:tc>
          <w:tcPr>
            <w:tcW w:w="4601" w:type="pct"/>
            <w:tcBorders>
              <w:top w:val="single" w:color="auto" w:sz="4" w:space="0"/>
              <w:left w:val="single" w:color="auto" w:sz="4" w:space="0"/>
              <w:bottom w:val="single" w:color="auto" w:sz="4" w:space="0"/>
              <w:right w:val="single" w:color="auto" w:sz="4" w:space="0"/>
            </w:tcBorders>
            <w:vAlign w:val="center"/>
          </w:tcPr>
          <w:p>
            <w:pPr>
              <w:pStyle w:val="56"/>
              <w:rPr>
                <w:rFonts w:cs="Times New Roman"/>
                <w:color w:val="auto"/>
              </w:rPr>
            </w:pPr>
            <w:bookmarkStart w:id="5" w:name="_Toc15807"/>
            <w:r>
              <w:rPr>
                <w:rFonts w:cs="Times New Roman"/>
                <w:color w:val="auto"/>
              </w:rPr>
              <w:t>1.</w:t>
            </w:r>
            <w:r>
              <w:rPr>
                <w:rFonts w:hint="eastAsia" w:cs="Times New Roman"/>
                <w:color w:val="auto"/>
              </w:rPr>
              <w:t>2</w:t>
            </w:r>
            <w:r>
              <w:rPr>
                <w:rFonts w:cs="Times New Roman"/>
                <w:color w:val="auto"/>
              </w:rPr>
              <w:t>产业政策相符性分析</w:t>
            </w:r>
            <w:bookmarkEnd w:id="5"/>
          </w:p>
          <w:p>
            <w:pPr>
              <w:widowControl w:val="0"/>
              <w:adjustRightInd w:val="0"/>
              <w:snapToGrid w:val="0"/>
              <w:ind w:firstLine="480"/>
              <w:rPr>
                <w:color w:val="auto"/>
              </w:rPr>
            </w:pPr>
            <w:r>
              <w:rPr>
                <w:color w:val="auto"/>
              </w:rPr>
              <w:t>本项目主要从事</w:t>
            </w:r>
            <w:r>
              <w:rPr>
                <w:rFonts w:hint="eastAsia"/>
                <w:color w:val="auto"/>
              </w:rPr>
              <w:t>铜排、铜棒、铜丝加工生产，行业类别为C3251 铜压延加工，对照《产业结构调整指导目录（2024年本），本项目不属于“限制类”和“淘汰类”的项目</w:t>
            </w:r>
            <w:r>
              <w:rPr>
                <w:rFonts w:hint="eastAsia"/>
                <w:color w:val="auto"/>
                <w:lang w:eastAsia="zh-CN"/>
              </w:rPr>
              <w:t>且</w:t>
            </w:r>
            <w:r>
              <w:rPr>
                <w:rFonts w:hint="eastAsia"/>
                <w:color w:val="auto"/>
              </w:rPr>
              <w:t>未被纳入《市场准入负面清单（2025年版）》负面清单中。根据《促进产业结构调整暂行规定》（国发〔2005〕40号）</w:t>
            </w:r>
            <w:r>
              <w:rPr>
                <w:color w:val="auto"/>
              </w:rPr>
              <w:t>中第十三条</w:t>
            </w:r>
            <w:r>
              <w:rPr>
                <w:rFonts w:hint="eastAsia"/>
                <w:color w:val="auto"/>
              </w:rPr>
              <w:t>“</w:t>
            </w:r>
            <w:r>
              <w:rPr>
                <w:color w:val="auto"/>
              </w:rPr>
              <w:t>不属于鼓励类、限制类和淘汰类</w:t>
            </w:r>
            <w:r>
              <w:rPr>
                <w:rFonts w:hint="eastAsia"/>
                <w:color w:val="auto"/>
                <w:lang w:eastAsia="zh-CN"/>
              </w:rPr>
              <w:t>且</w:t>
            </w:r>
            <w:r>
              <w:rPr>
                <w:color w:val="auto"/>
              </w:rPr>
              <w:t>符合国家有关法律、法规规定的，为允许类</w:t>
            </w:r>
            <w:r>
              <w:rPr>
                <w:rFonts w:hint="eastAsia"/>
                <w:color w:val="auto"/>
              </w:rPr>
              <w:t>”</w:t>
            </w:r>
            <w:r>
              <w:rPr>
                <w:color w:val="auto"/>
              </w:rPr>
              <w:t>的规定。</w:t>
            </w:r>
          </w:p>
          <w:p>
            <w:pPr>
              <w:widowControl w:val="0"/>
              <w:adjustRightInd w:val="0"/>
              <w:snapToGrid w:val="0"/>
              <w:ind w:firstLine="480"/>
              <w:rPr>
                <w:color w:val="auto"/>
              </w:rPr>
            </w:pPr>
            <w:r>
              <w:rPr>
                <w:color w:val="auto"/>
              </w:rPr>
              <w:t>项目于</w:t>
            </w:r>
            <w:r>
              <w:rPr>
                <w:rFonts w:hint="eastAsia"/>
                <w:color w:val="auto"/>
              </w:rPr>
              <w:t>2025年5月12日取得福清市发展和改革局出具的</w:t>
            </w:r>
            <w:r>
              <w:rPr>
                <w:color w:val="auto"/>
              </w:rPr>
              <w:t>《福</w:t>
            </w:r>
            <w:r>
              <w:rPr>
                <w:rFonts w:hint="eastAsia"/>
                <w:color w:val="auto"/>
              </w:rPr>
              <w:t>建省投资项目备案证明（内资）</w:t>
            </w:r>
            <w:r>
              <w:rPr>
                <w:color w:val="auto"/>
              </w:rPr>
              <w:t>》</w:t>
            </w:r>
            <w:r>
              <w:rPr>
                <w:rFonts w:hint="eastAsia"/>
                <w:color w:val="auto"/>
              </w:rPr>
              <w:t>（编号：闽发改备〔2024〕A060336号</w:t>
            </w:r>
            <w:r>
              <w:rPr>
                <w:color w:val="auto"/>
              </w:rPr>
              <w:t>，详见附件</w:t>
            </w:r>
            <w:r>
              <w:rPr>
                <w:rFonts w:hint="eastAsia"/>
                <w:color w:val="auto"/>
              </w:rPr>
              <w:t>3）。</w:t>
            </w:r>
          </w:p>
          <w:p>
            <w:pPr>
              <w:pStyle w:val="56"/>
              <w:ind w:firstLine="480" w:firstLineChars="200"/>
              <w:rPr>
                <w:rFonts w:eastAsia="宋体"/>
                <w:color w:val="auto"/>
                <w:sz w:val="24"/>
                <w:szCs w:val="24"/>
              </w:rPr>
            </w:pPr>
            <w:bookmarkStart w:id="6" w:name="_Toc28535"/>
            <w:r>
              <w:rPr>
                <w:rFonts w:hint="eastAsia" w:eastAsia="宋体"/>
                <w:color w:val="auto"/>
                <w:sz w:val="24"/>
                <w:szCs w:val="24"/>
              </w:rPr>
              <w:t>综上，项目建设符合国家相关产业政策。</w:t>
            </w:r>
            <w:bookmarkEnd w:id="6"/>
          </w:p>
          <w:p>
            <w:pPr>
              <w:pStyle w:val="56"/>
              <w:rPr>
                <w:rFonts w:cs="Times New Roman"/>
                <w:color w:val="auto"/>
              </w:rPr>
            </w:pPr>
            <w:bookmarkStart w:id="7" w:name="_Toc13782"/>
            <w:r>
              <w:rPr>
                <w:rFonts w:cs="Times New Roman"/>
                <w:color w:val="auto"/>
              </w:rPr>
              <w:t>1.</w:t>
            </w:r>
            <w:r>
              <w:rPr>
                <w:rFonts w:hint="eastAsia" w:cs="Times New Roman"/>
                <w:color w:val="auto"/>
              </w:rPr>
              <w:t>3选址合理性分析</w:t>
            </w:r>
            <w:bookmarkEnd w:id="7"/>
          </w:p>
          <w:p>
            <w:pPr>
              <w:pStyle w:val="56"/>
              <w:keepNext w:val="0"/>
              <w:keepLines w:val="0"/>
              <w:pageBreakBefore w:val="0"/>
              <w:widowControl w:val="0"/>
              <w:kinsoku/>
              <w:wordWrap/>
              <w:overflowPunct/>
              <w:topLinePunct w:val="0"/>
              <w:autoSpaceDE/>
              <w:autoSpaceDN/>
              <w:bidi w:val="0"/>
              <w:adjustRightInd/>
              <w:snapToGrid/>
              <w:ind w:firstLine="480" w:firstLineChars="200"/>
              <w:textAlignment w:val="auto"/>
              <w:outlineLvl w:val="9"/>
              <w:rPr>
                <w:rFonts w:eastAsia="宋体"/>
                <w:color w:val="auto"/>
                <w:sz w:val="24"/>
                <w:szCs w:val="24"/>
              </w:rPr>
            </w:pPr>
            <w:r>
              <w:rPr>
                <w:rFonts w:hint="eastAsia" w:eastAsia="宋体"/>
                <w:color w:val="auto"/>
                <w:sz w:val="24"/>
                <w:szCs w:val="24"/>
              </w:rPr>
              <w:t>本项目位于福清融侨经济技术开发区洪宽工业村（福清市阳下街道屿边村160号），隶属于福清融侨经济开发区范围内，</w:t>
            </w:r>
            <w:r>
              <w:rPr>
                <w:rFonts w:hint="eastAsia" w:eastAsia="宋体"/>
                <w:color w:val="auto"/>
                <w:sz w:val="24"/>
                <w:szCs w:val="24"/>
                <w:lang w:val="en-US" w:eastAsia="zh-CN"/>
              </w:rPr>
              <w:t>根据建设单位提供的福清市融侨经济开发区管理委员会出具的证明，项目符合园区准入要求（详见附件4）</w:t>
            </w:r>
            <w:r>
              <w:rPr>
                <w:rFonts w:hint="eastAsia" w:eastAsia="宋体"/>
                <w:color w:val="auto"/>
                <w:sz w:val="24"/>
                <w:szCs w:val="24"/>
              </w:rPr>
              <w:t>。根据建设单位提供《不动产权证》（</w:t>
            </w:r>
            <w:r>
              <w:rPr>
                <w:rFonts w:hint="eastAsia" w:eastAsia="宋体"/>
                <w:color w:val="auto"/>
                <w:sz w:val="24"/>
                <w:szCs w:val="24"/>
                <w:u w:val="single"/>
              </w:rPr>
              <w:t>闽</w:t>
            </w:r>
            <w:r>
              <w:rPr>
                <w:rFonts w:hint="eastAsia" w:eastAsia="宋体"/>
                <w:color w:val="auto"/>
                <w:sz w:val="24"/>
                <w:szCs w:val="24"/>
              </w:rPr>
              <w:t>（2024）</w:t>
            </w:r>
            <w:r>
              <w:rPr>
                <w:rFonts w:hint="eastAsia" w:eastAsia="宋体"/>
                <w:color w:val="auto"/>
                <w:sz w:val="24"/>
                <w:szCs w:val="24"/>
                <w:u w:val="single"/>
              </w:rPr>
              <w:t>福清市</w:t>
            </w:r>
            <w:r>
              <w:rPr>
                <w:rFonts w:hint="eastAsia" w:eastAsia="宋体"/>
                <w:color w:val="auto"/>
                <w:sz w:val="24"/>
                <w:szCs w:val="24"/>
              </w:rPr>
              <w:t>不动产权第</w:t>
            </w:r>
            <w:r>
              <w:rPr>
                <w:rFonts w:hint="eastAsia" w:eastAsia="宋体"/>
                <w:color w:val="auto"/>
                <w:sz w:val="24"/>
                <w:szCs w:val="24"/>
                <w:u w:val="single"/>
              </w:rPr>
              <w:t>0008641</w:t>
            </w:r>
            <w:r>
              <w:rPr>
                <w:rFonts w:hint="eastAsia" w:eastAsia="宋体"/>
                <w:color w:val="auto"/>
                <w:sz w:val="24"/>
                <w:szCs w:val="24"/>
              </w:rPr>
              <w:t>号，</w:t>
            </w:r>
            <w:r>
              <w:rPr>
                <w:rFonts w:hint="eastAsia" w:eastAsia="宋体"/>
                <w:color w:val="auto"/>
                <w:sz w:val="24"/>
                <w:szCs w:val="24"/>
                <w:u w:val="single"/>
              </w:rPr>
              <w:t>闽</w:t>
            </w:r>
            <w:r>
              <w:rPr>
                <w:rFonts w:hint="eastAsia" w:eastAsia="宋体"/>
                <w:color w:val="auto"/>
                <w:sz w:val="24"/>
                <w:szCs w:val="24"/>
              </w:rPr>
              <w:t>（2024）</w:t>
            </w:r>
            <w:r>
              <w:rPr>
                <w:rFonts w:hint="eastAsia" w:eastAsia="宋体"/>
                <w:color w:val="auto"/>
                <w:sz w:val="24"/>
                <w:szCs w:val="24"/>
                <w:u w:val="single"/>
              </w:rPr>
              <w:t>福清市</w:t>
            </w:r>
            <w:r>
              <w:rPr>
                <w:rFonts w:hint="eastAsia" w:eastAsia="宋体"/>
                <w:color w:val="auto"/>
                <w:sz w:val="24"/>
                <w:szCs w:val="24"/>
              </w:rPr>
              <w:t>不动产权第</w:t>
            </w:r>
            <w:r>
              <w:rPr>
                <w:rFonts w:hint="eastAsia" w:eastAsia="宋体"/>
                <w:color w:val="auto"/>
                <w:sz w:val="24"/>
                <w:szCs w:val="24"/>
                <w:u w:val="single"/>
              </w:rPr>
              <w:t>0008643</w:t>
            </w:r>
            <w:r>
              <w:rPr>
                <w:rFonts w:hint="eastAsia" w:eastAsia="宋体"/>
                <w:color w:val="auto"/>
                <w:sz w:val="24"/>
                <w:szCs w:val="24"/>
              </w:rPr>
              <w:t>号，见附件</w:t>
            </w:r>
            <w:r>
              <w:rPr>
                <w:rFonts w:hint="eastAsia" w:eastAsia="宋体"/>
                <w:color w:val="auto"/>
                <w:sz w:val="24"/>
                <w:szCs w:val="24"/>
                <w:lang w:val="en-US" w:eastAsia="zh-CN"/>
              </w:rPr>
              <w:t>5</w:t>
            </w:r>
            <w:r>
              <w:rPr>
                <w:rFonts w:hint="eastAsia" w:eastAsia="宋体"/>
                <w:color w:val="auto"/>
                <w:sz w:val="24"/>
                <w:szCs w:val="24"/>
              </w:rPr>
              <w:t>），用地性质为工业用地，</w:t>
            </w:r>
            <w:r>
              <w:rPr>
                <w:rFonts w:ascii="Segoe UI" w:hAnsi="Segoe UI" w:eastAsia="Segoe UI" w:cs="Segoe UI"/>
                <w:color w:val="auto"/>
                <w:sz w:val="24"/>
                <w:szCs w:val="24"/>
                <w:shd w:val="clear" w:color="auto" w:fill="FCFCFC"/>
              </w:rPr>
              <w:t>与区域土地利用规划相符</w:t>
            </w:r>
            <w:r>
              <w:rPr>
                <w:rFonts w:hint="eastAsia" w:ascii="Segoe UI" w:hAnsi="Segoe UI" w:eastAsia="宋体" w:cs="Segoe UI"/>
                <w:color w:val="auto"/>
                <w:sz w:val="22"/>
                <w:szCs w:val="22"/>
                <w:shd w:val="clear" w:color="auto" w:fill="FCFCFC"/>
              </w:rPr>
              <w:t>。</w:t>
            </w:r>
          </w:p>
          <w:p>
            <w:pPr>
              <w:pStyle w:val="56"/>
              <w:keepNext w:val="0"/>
              <w:keepLines w:val="0"/>
              <w:pageBreakBefore w:val="0"/>
              <w:widowControl w:val="0"/>
              <w:kinsoku/>
              <w:wordWrap/>
              <w:overflowPunct/>
              <w:topLinePunct w:val="0"/>
              <w:autoSpaceDE/>
              <w:autoSpaceDN/>
              <w:bidi w:val="0"/>
              <w:adjustRightInd/>
              <w:snapToGrid/>
              <w:ind w:firstLine="480" w:firstLineChars="200"/>
              <w:textAlignment w:val="auto"/>
              <w:outlineLvl w:val="9"/>
              <w:rPr>
                <w:rFonts w:eastAsia="宋体"/>
                <w:color w:val="auto"/>
                <w:sz w:val="24"/>
                <w:szCs w:val="24"/>
              </w:rPr>
            </w:pPr>
            <w:r>
              <w:rPr>
                <w:rFonts w:hint="eastAsia" w:eastAsia="宋体"/>
                <w:color w:val="auto"/>
                <w:sz w:val="24"/>
                <w:szCs w:val="24"/>
              </w:rPr>
              <w:t>对照《限制用地项目目录（2012年本）》和《禁止用地项目目录（2012年本）》，项目不属于其中的限制、禁止用地项目范围。</w:t>
            </w:r>
          </w:p>
          <w:p>
            <w:pPr>
              <w:pStyle w:val="56"/>
              <w:keepNext w:val="0"/>
              <w:keepLines w:val="0"/>
              <w:pageBreakBefore w:val="0"/>
              <w:widowControl w:val="0"/>
              <w:kinsoku/>
              <w:wordWrap/>
              <w:overflowPunct/>
              <w:topLinePunct w:val="0"/>
              <w:autoSpaceDE/>
              <w:autoSpaceDN/>
              <w:bidi w:val="0"/>
              <w:adjustRightInd/>
              <w:snapToGrid/>
              <w:ind w:firstLine="480" w:firstLineChars="200"/>
              <w:textAlignment w:val="auto"/>
              <w:outlineLvl w:val="9"/>
              <w:rPr>
                <w:rFonts w:eastAsia="宋体"/>
                <w:color w:val="auto"/>
                <w:sz w:val="24"/>
                <w:szCs w:val="24"/>
              </w:rPr>
            </w:pPr>
            <w:r>
              <w:rPr>
                <w:rFonts w:hint="eastAsia" w:eastAsia="宋体"/>
                <w:color w:val="auto"/>
                <w:sz w:val="24"/>
                <w:szCs w:val="24"/>
              </w:rPr>
              <w:t>综上分析可知，本项目选址合理。</w:t>
            </w:r>
          </w:p>
          <w:p>
            <w:pPr>
              <w:pStyle w:val="56"/>
              <w:rPr>
                <w:rFonts w:cs="Times New Roman"/>
                <w:color w:val="auto"/>
              </w:rPr>
            </w:pPr>
            <w:bookmarkStart w:id="8" w:name="_Toc4465"/>
            <w:r>
              <w:rPr>
                <w:rFonts w:cs="Times New Roman"/>
                <w:color w:val="auto"/>
              </w:rPr>
              <w:t>1.</w:t>
            </w:r>
            <w:r>
              <w:rPr>
                <w:rFonts w:hint="eastAsia" w:cs="Times New Roman"/>
                <w:color w:val="auto"/>
                <w:lang w:val="en-US" w:eastAsia="zh-CN"/>
              </w:rPr>
              <w:t>4</w:t>
            </w:r>
            <w:r>
              <w:rPr>
                <w:rFonts w:hint="eastAsia" w:cs="Times New Roman"/>
                <w:color w:val="auto"/>
              </w:rPr>
              <w:t>周围环境相容性分析</w:t>
            </w:r>
            <w:bookmarkEnd w:id="8"/>
          </w:p>
          <w:p>
            <w:pPr>
              <w:pStyle w:val="38"/>
              <w:ind w:firstLine="480"/>
              <w:rPr>
                <w:rFonts w:cs="Times New Roman"/>
                <w:color w:val="auto"/>
                <w:spacing w:val="-2"/>
              </w:rPr>
            </w:pPr>
            <w:r>
              <w:rPr>
                <w:rFonts w:hint="eastAsia" w:cs="Times New Roman"/>
                <w:color w:val="auto"/>
              </w:rPr>
              <w:t>根据</w:t>
            </w:r>
            <w:r>
              <w:rPr>
                <w:rFonts w:hint="eastAsia" w:cs="Times New Roman"/>
                <w:color w:val="auto"/>
                <w:spacing w:val="-2"/>
              </w:rPr>
              <w:t>现场踏勘可知，项目东/东</w:t>
            </w:r>
            <w:r>
              <w:rPr>
                <w:rFonts w:hint="eastAsia"/>
                <w:color w:val="auto"/>
              </w:rPr>
              <w:t>南侧为屿边村（厂界最近敏感目标，距离约21米）</w:t>
            </w:r>
            <w:r>
              <w:rPr>
                <w:rFonts w:hint="eastAsia" w:cs="Times New Roman"/>
                <w:color w:val="auto"/>
                <w:spacing w:val="-2"/>
              </w:rPr>
              <w:t>、南侧为洪宽三路、西侧为大北溪及溪头变电站、北侧为福州七七纸业有限公司（项目周边关系图详见附图2~附图3）。</w:t>
            </w:r>
            <w:r>
              <w:rPr>
                <w:rFonts w:hint="eastAsia"/>
                <w:color w:val="auto"/>
              </w:rPr>
              <w:t>福清地区常年主导风向为东北风，项目最近的环境敏感目标为东南方向21m处的屿边村，</w:t>
            </w:r>
            <w:r>
              <w:rPr>
                <w:rFonts w:hint="eastAsia" w:cs="Times New Roman"/>
                <w:color w:val="auto"/>
              </w:rPr>
              <w:t>处于主导风向侧风向位置。</w:t>
            </w:r>
            <w:r>
              <w:rPr>
                <w:rFonts w:hint="eastAsia"/>
                <w:color w:val="auto"/>
              </w:rPr>
              <w:t>同时，项目将主要产污的1#厂房和4#厂房（设退火工序）远离东侧敏感点布置（厂房距屿边村最近距离约</w:t>
            </w:r>
            <w:r>
              <w:rPr>
                <w:rFonts w:hint="eastAsia"/>
                <w:color w:val="auto"/>
                <w:lang w:eastAsia="zh-CN"/>
              </w:rPr>
              <w:t>80米</w:t>
            </w:r>
            <w:r>
              <w:rPr>
                <w:rFonts w:hint="eastAsia"/>
                <w:color w:val="auto"/>
              </w:rPr>
              <w:t>），</w:t>
            </w:r>
            <w:r>
              <w:rPr>
                <w:rFonts w:hint="eastAsia" w:cs="Times New Roman"/>
                <w:color w:val="auto"/>
              </w:rPr>
              <w:t>减缓废气对敏感点的影响</w:t>
            </w:r>
            <w:r>
              <w:rPr>
                <w:rFonts w:hint="eastAsia"/>
                <w:color w:val="auto"/>
              </w:rPr>
              <w:t>。退火工序产生少量VOCs，根据预测结果，项目厂界外</w:t>
            </w:r>
            <w:r>
              <w:rPr>
                <w:rFonts w:hint="eastAsia"/>
                <w:color w:val="auto"/>
                <w:lang w:val="en-US" w:eastAsia="zh-CN"/>
              </w:rPr>
              <w:t>大气污染物</w:t>
            </w:r>
            <w:r>
              <w:rPr>
                <w:rFonts w:hint="eastAsia"/>
                <w:color w:val="auto"/>
              </w:rPr>
              <w:t>非甲烷总烃可达标排放。</w:t>
            </w:r>
            <w:r>
              <w:rPr>
                <w:rFonts w:hint="eastAsia" w:cs="Times New Roman"/>
                <w:color w:val="auto"/>
                <w:spacing w:val="-2"/>
              </w:rPr>
              <w:t>项目无生产废水，外排生活污水经化粪池处理后排入市政污水管网纳入福清市融元污水处理厂，对周围水环境影响不大；固体分类收集处置；设备产生的噪声</w:t>
            </w:r>
            <w:r>
              <w:rPr>
                <w:rFonts w:hint="eastAsia" w:cs="Times New Roman"/>
                <w:color w:val="auto"/>
              </w:rPr>
              <w:t>采取基础减振、隔声等</w:t>
            </w:r>
            <w:r>
              <w:rPr>
                <w:rFonts w:hint="eastAsia" w:cs="Times New Roman"/>
                <w:color w:val="auto"/>
                <w:spacing w:val="-2"/>
              </w:rPr>
              <w:t>措施。</w:t>
            </w:r>
          </w:p>
          <w:p>
            <w:pPr>
              <w:pStyle w:val="38"/>
              <w:ind w:firstLine="472"/>
              <w:rPr>
                <w:rFonts w:hint="eastAsia" w:cs="Times New Roman"/>
                <w:color w:val="auto"/>
                <w:spacing w:val="-2"/>
              </w:rPr>
            </w:pPr>
            <w:r>
              <w:rPr>
                <w:rFonts w:hint="eastAsia" w:cs="Times New Roman"/>
                <w:color w:val="auto"/>
                <w:spacing w:val="-2"/>
              </w:rPr>
              <w:t>综上，项目运营期产生的“三废”及噪声对周边环境影响较小，项目与周围环境可相容。</w:t>
            </w:r>
          </w:p>
          <w:p>
            <w:pPr>
              <w:pStyle w:val="56"/>
              <w:rPr>
                <w:rFonts w:cs="Times New Roman"/>
                <w:color w:val="auto"/>
              </w:rPr>
            </w:pPr>
            <w:bookmarkStart w:id="9" w:name="_Toc32022"/>
            <w:r>
              <w:rPr>
                <w:rFonts w:cs="Times New Roman"/>
                <w:color w:val="auto"/>
              </w:rPr>
              <w:t>1.</w:t>
            </w:r>
            <w:r>
              <w:rPr>
                <w:rFonts w:hint="eastAsia" w:cs="Times New Roman"/>
                <w:color w:val="auto"/>
                <w:lang w:val="en-US" w:eastAsia="zh-CN"/>
              </w:rPr>
              <w:t>5</w:t>
            </w:r>
            <w:r>
              <w:rPr>
                <w:rFonts w:hint="eastAsia" w:cs="Times New Roman"/>
                <w:color w:val="auto"/>
              </w:rPr>
              <w:t>国土空间“三区三线”符合性分析</w:t>
            </w:r>
            <w:bookmarkEnd w:id="9"/>
          </w:p>
          <w:p>
            <w:pPr>
              <w:pStyle w:val="163"/>
              <w:spacing w:before="34" w:line="350" w:lineRule="auto"/>
              <w:ind w:right="103" w:firstLine="472" w:firstLineChars="200"/>
              <w:rPr>
                <w:rFonts w:ascii="Times New Roman" w:hAnsi="Times New Roman" w:cs="Times New Roman"/>
                <w:color w:val="auto"/>
                <w:spacing w:val="-2"/>
              </w:rPr>
            </w:pPr>
            <w:r>
              <w:rPr>
                <w:rFonts w:hint="eastAsia" w:ascii="Times New Roman" w:hAnsi="Times New Roman" w:cs="Times New Roman"/>
                <w:color w:val="auto"/>
                <w:spacing w:val="-2"/>
              </w:rPr>
              <w:t>《福州市国土空间总体规划（2021-2035年）》指出国土空间开发保护目标与战略为：以山海廊道联通和流域治理为重点，筑强生态功能本底。以多向开放和创新转化为引领，全面提升区域中心城市地位。以陆海联动与“三区”协同为重点，优化全域空间格局。以文化彰显与宜居品质建设为核心，提升城市魅力和宜居吸引力。其中“三区”协同指福州主城区、福州新区、平潭综合实验区协同发展。根据市域国土空间控制线规划图，本项目所在位置属于城镇开发边界，不属于陆域生态保护红线，不属于海洋生态保护红线，不涉及基本农田，符合统筹划定国土空间控制线的要求，符合“三区三线”符合开放式、网络化、集约型、生态化的“一主一副”的国土空间总体格局。</w:t>
            </w:r>
          </w:p>
          <w:p>
            <w:pPr>
              <w:autoSpaceDE w:val="0"/>
              <w:autoSpaceDN w:val="0"/>
              <w:adjustRightInd w:val="0"/>
              <w:snapToGrid w:val="0"/>
              <w:ind w:firstLine="480"/>
              <w:jc w:val="both"/>
              <w:rPr>
                <w:bCs/>
                <w:color w:val="auto"/>
              </w:rPr>
            </w:pPr>
            <w:r>
              <w:rPr>
                <w:rFonts w:hint="eastAsia" w:cs="Times New Roman"/>
                <w:color w:val="auto"/>
              </w:rPr>
              <w:t>对照</w:t>
            </w:r>
            <w:r>
              <w:rPr>
                <w:rFonts w:hint="eastAsia"/>
                <w:color w:val="auto"/>
              </w:rPr>
              <w:t>《福清市国土空间总体规划（2021-2035年）》</w:t>
            </w:r>
            <w:r>
              <w:rPr>
                <w:rFonts w:hint="eastAsia" w:cs="Times New Roman"/>
                <w:color w:val="auto"/>
              </w:rPr>
              <w:t>，</w:t>
            </w:r>
            <w:r>
              <w:rPr>
                <w:rFonts w:hint="eastAsia" w:cs="Times New Roman"/>
                <w:color w:val="auto"/>
                <w:kern w:val="2"/>
              </w:rPr>
              <w:t>本项目位于融侨经济技术产业开发区内，用地不涉及生态保护红线、不涉及永久基本农田、用地位于城镇开发边界范围内，</w:t>
            </w:r>
            <w:r>
              <w:rPr>
                <w:rFonts w:hint="eastAsia"/>
                <w:bCs/>
                <w:color w:val="auto"/>
              </w:rPr>
              <w:t>因此</w:t>
            </w:r>
            <w:r>
              <w:rPr>
                <w:bCs/>
                <w:color w:val="auto"/>
              </w:rPr>
              <w:t>项目建设符合国土空间</w:t>
            </w:r>
            <w:r>
              <w:rPr>
                <w:rFonts w:hint="eastAsia"/>
                <w:bCs/>
                <w:color w:val="auto"/>
              </w:rPr>
              <w:t>“</w:t>
            </w:r>
            <w:r>
              <w:rPr>
                <w:bCs/>
                <w:color w:val="auto"/>
              </w:rPr>
              <w:t>三区三线</w:t>
            </w:r>
            <w:r>
              <w:rPr>
                <w:rFonts w:hint="eastAsia"/>
                <w:bCs/>
                <w:color w:val="auto"/>
              </w:rPr>
              <w:t>”</w:t>
            </w:r>
            <w:r>
              <w:rPr>
                <w:bCs/>
                <w:color w:val="auto"/>
              </w:rPr>
              <w:t>管理要求</w:t>
            </w:r>
            <w:r>
              <w:rPr>
                <w:rFonts w:hint="eastAsia"/>
                <w:bCs/>
                <w:color w:val="auto"/>
              </w:rPr>
              <w:t>。</w:t>
            </w:r>
          </w:p>
          <w:p>
            <w:pPr>
              <w:pStyle w:val="56"/>
              <w:rPr>
                <w:rFonts w:cs="Times New Roman"/>
                <w:color w:val="auto"/>
              </w:rPr>
            </w:pPr>
            <w:bookmarkStart w:id="10" w:name="_Toc10880"/>
            <w:r>
              <w:rPr>
                <w:rFonts w:hint="eastAsia" w:cs="Times New Roman"/>
                <w:color w:val="auto"/>
              </w:rPr>
              <w:t>1.6生态环境分区管控要求的符合性分析</w:t>
            </w:r>
            <w:bookmarkEnd w:id="10"/>
          </w:p>
          <w:p>
            <w:pPr>
              <w:pStyle w:val="38"/>
              <w:spacing w:line="348" w:lineRule="auto"/>
              <w:ind w:firstLine="480"/>
              <w:rPr>
                <w:color w:val="auto"/>
              </w:rPr>
            </w:pPr>
            <w:r>
              <w:rPr>
                <w:rFonts w:hint="eastAsia"/>
                <w:color w:val="auto"/>
              </w:rPr>
              <w:t>根据福州市人民政府办公厅关于印发《福州市生态环境分区管控方案（2023年更新）》的通知（</w:t>
            </w:r>
            <w:r>
              <w:rPr>
                <w:color w:val="auto"/>
              </w:rPr>
              <w:t>榕政办规〔2024〕20号</w:t>
            </w:r>
            <w:r>
              <w:rPr>
                <w:rFonts w:hint="eastAsia"/>
                <w:color w:val="auto"/>
              </w:rPr>
              <w:t>，项目与福州市生态环境分区管控符合性分析如下：</w:t>
            </w:r>
          </w:p>
          <w:p>
            <w:pPr>
              <w:pStyle w:val="38"/>
              <w:spacing w:line="348" w:lineRule="auto"/>
              <w:ind w:firstLine="480"/>
              <w:rPr>
                <w:color w:val="auto"/>
              </w:rPr>
            </w:pPr>
            <w:r>
              <w:rPr>
                <w:color w:val="auto"/>
              </w:rPr>
              <w:t>（1）生态保护红线</w:t>
            </w:r>
            <w:r>
              <w:rPr>
                <w:color w:val="auto"/>
                <w:kern w:val="21"/>
              </w:rPr>
              <w:t>符合性分析</w:t>
            </w:r>
          </w:p>
          <w:p>
            <w:pPr>
              <w:autoSpaceDE w:val="0"/>
              <w:autoSpaceDN w:val="0"/>
              <w:spacing w:line="348" w:lineRule="auto"/>
              <w:ind w:firstLine="480"/>
              <w:rPr>
                <w:color w:val="auto"/>
                <w:kern w:val="21"/>
              </w:rPr>
            </w:pPr>
            <w:r>
              <w:rPr>
                <w:rFonts w:hint="eastAsia"/>
                <w:color w:val="auto"/>
              </w:rPr>
              <w:t>本项目位于福州市</w:t>
            </w:r>
            <w:r>
              <w:rPr>
                <w:rFonts w:hint="eastAsia"/>
                <w:color w:val="auto"/>
                <w:lang w:eastAsia="zh-CN"/>
              </w:rPr>
              <w:t>福清融侨经济技术开发区洪宽工业村</w:t>
            </w:r>
            <w:r>
              <w:rPr>
                <w:rFonts w:hint="eastAsia"/>
                <w:color w:val="auto"/>
              </w:rPr>
              <w:t>（福清市阳下街道屿边村160号），隶属于福清融侨经济开发区范围内。</w:t>
            </w:r>
            <w:r>
              <w:rPr>
                <w:color w:val="auto"/>
                <w:kern w:val="21"/>
              </w:rPr>
              <w:t>项目周边无国家公园、自然保护区、森林公园的生态保育区和核心景观区、风景名胜区的核心景区、地质公园的地质遗迹保护区、世界自然遗产的核心区和缓冲区、湿地公园的湿地保育区和恢复重建区、饮用水水源的一级保护区、水产种质资源保护区的核心区和其他需要特别保护或法律法规禁止开发建设的区域。因此，项目建设符合生态红线控制的要求。</w:t>
            </w:r>
          </w:p>
          <w:p>
            <w:pPr>
              <w:autoSpaceDE w:val="0"/>
              <w:autoSpaceDN w:val="0"/>
              <w:spacing w:line="348" w:lineRule="auto"/>
              <w:ind w:firstLine="480"/>
              <w:rPr>
                <w:color w:val="auto"/>
                <w:kern w:val="21"/>
              </w:rPr>
            </w:pPr>
            <w:r>
              <w:rPr>
                <w:color w:val="auto"/>
              </w:rPr>
              <w:t>（</w:t>
            </w:r>
            <w:r>
              <w:rPr>
                <w:rFonts w:hint="eastAsia"/>
                <w:color w:val="auto"/>
              </w:rPr>
              <w:t>2</w:t>
            </w:r>
            <w:r>
              <w:rPr>
                <w:color w:val="auto"/>
              </w:rPr>
              <w:t>）环境质量底线</w:t>
            </w:r>
            <w:r>
              <w:rPr>
                <w:color w:val="auto"/>
                <w:kern w:val="21"/>
              </w:rPr>
              <w:t>符合性分析</w:t>
            </w:r>
          </w:p>
          <w:p>
            <w:pPr>
              <w:autoSpaceDE w:val="0"/>
              <w:autoSpaceDN w:val="0"/>
              <w:spacing w:line="348" w:lineRule="auto"/>
              <w:ind w:firstLine="480"/>
              <w:rPr>
                <w:ins w:id="0" w:author="微软用户" w:date="2021-04-28T21:11:00Z"/>
                <w:color w:val="auto"/>
                <w:kern w:val="21"/>
              </w:rPr>
            </w:pPr>
            <w:r>
              <w:rPr>
                <w:color w:val="auto"/>
              </w:rPr>
              <w:t>项目所在区域的环境质量底线为：大气环境质量目标为《环境空气质量标准》</w:t>
            </w:r>
            <w:r>
              <w:rPr>
                <w:rFonts w:hint="eastAsia"/>
                <w:color w:val="auto"/>
              </w:rPr>
              <w:t>（</w:t>
            </w:r>
            <w:r>
              <w:rPr>
                <w:color w:val="auto"/>
              </w:rPr>
              <w:t>GB3095-2012</w:t>
            </w:r>
            <w:r>
              <w:rPr>
                <w:rFonts w:hint="eastAsia"/>
                <w:color w:val="auto"/>
              </w:rPr>
              <w:t>）</w:t>
            </w:r>
            <w:r>
              <w:rPr>
                <w:color w:val="auto"/>
              </w:rPr>
              <w:t>及其修改单中二级标准；</w:t>
            </w:r>
            <w:r>
              <w:rPr>
                <w:rFonts w:hint="eastAsia"/>
                <w:color w:val="auto"/>
              </w:rPr>
              <w:t>周</w:t>
            </w:r>
            <w:r>
              <w:rPr>
                <w:rFonts w:hint="eastAsia" w:cs="Times New Roman"/>
                <w:snapToGrid w:val="0"/>
                <w:color w:val="auto"/>
                <w:szCs w:val="22"/>
              </w:rPr>
              <w:t>边水体龙江环境质量目标为《地表水环境质量标准》（</w:t>
            </w:r>
            <w:r>
              <w:rPr>
                <w:rFonts w:cs="Times New Roman"/>
                <w:snapToGrid w:val="0"/>
                <w:color w:val="auto"/>
                <w:szCs w:val="22"/>
              </w:rPr>
              <w:t>GB3838-2002</w:t>
            </w:r>
            <w:r>
              <w:rPr>
                <w:rFonts w:hint="eastAsia" w:cs="Times New Roman"/>
                <w:snapToGrid w:val="0"/>
                <w:color w:val="auto"/>
                <w:szCs w:val="22"/>
              </w:rPr>
              <w:t>）中</w:t>
            </w:r>
            <w:r>
              <w:rPr>
                <w:rFonts w:cs="Times New Roman"/>
                <w:snapToGrid w:val="0"/>
                <w:color w:val="auto"/>
                <w:szCs w:val="22"/>
              </w:rPr>
              <w:t>Ⅴ</w:t>
            </w:r>
            <w:r>
              <w:rPr>
                <w:rFonts w:hint="eastAsia" w:cs="Times New Roman"/>
                <w:snapToGrid w:val="0"/>
                <w:color w:val="auto"/>
                <w:szCs w:val="22"/>
              </w:rPr>
              <w:t>类水质标准</w:t>
            </w:r>
            <w:r>
              <w:rPr>
                <w:rFonts w:cs="Times New Roman"/>
                <w:snapToGrid w:val="0"/>
                <w:color w:val="auto"/>
                <w:szCs w:val="22"/>
              </w:rPr>
              <w:t>；声环境质量目标为《声环境质量标准》（GB3096-2008）</w:t>
            </w:r>
            <w:r>
              <w:rPr>
                <w:color w:val="auto"/>
              </w:rPr>
              <w:t>3类区标准。地下水环境质量目标为《地下水质量标准》</w:t>
            </w:r>
            <w:r>
              <w:rPr>
                <w:rFonts w:hint="eastAsia"/>
                <w:color w:val="auto"/>
              </w:rPr>
              <w:t>（</w:t>
            </w:r>
            <w:r>
              <w:rPr>
                <w:color w:val="auto"/>
              </w:rPr>
              <w:t>GB/T14848-2017</w:t>
            </w:r>
            <w:r>
              <w:rPr>
                <w:rFonts w:hint="eastAsia"/>
                <w:color w:val="auto"/>
              </w:rPr>
              <w:t>）</w:t>
            </w:r>
            <w:r>
              <w:rPr>
                <w:color w:val="auto"/>
              </w:rPr>
              <w:t>Ⅲ类标准；土壤环境为《土壤环境质量建设用地土壤污染风险管控标准</w:t>
            </w:r>
            <w:r>
              <w:rPr>
                <w:rFonts w:hint="eastAsia"/>
                <w:color w:val="auto"/>
              </w:rPr>
              <w:t>（</w:t>
            </w:r>
            <w:r>
              <w:rPr>
                <w:color w:val="auto"/>
              </w:rPr>
              <w:t>试行</w:t>
            </w:r>
            <w:r>
              <w:rPr>
                <w:rFonts w:hint="eastAsia"/>
                <w:color w:val="auto"/>
              </w:rPr>
              <w:t>）</w:t>
            </w:r>
            <w:r>
              <w:rPr>
                <w:color w:val="auto"/>
              </w:rPr>
              <w:t>》</w:t>
            </w:r>
            <w:r>
              <w:rPr>
                <w:rFonts w:hint="eastAsia"/>
                <w:color w:val="auto"/>
              </w:rPr>
              <w:t>（</w:t>
            </w:r>
            <w:r>
              <w:rPr>
                <w:color w:val="auto"/>
              </w:rPr>
              <w:t>GB 36600-2018</w:t>
            </w:r>
            <w:r>
              <w:rPr>
                <w:rFonts w:hint="eastAsia"/>
                <w:color w:val="auto"/>
              </w:rPr>
              <w:t>）</w:t>
            </w:r>
            <w:r>
              <w:rPr>
                <w:color w:val="auto"/>
              </w:rPr>
              <w:t>的第二类用地筛选值的限值要求</w:t>
            </w:r>
            <w:r>
              <w:rPr>
                <w:rFonts w:hint="eastAsia"/>
                <w:color w:val="auto"/>
              </w:rPr>
              <w:t>。</w:t>
            </w:r>
            <w:r>
              <w:rPr>
                <w:color w:val="auto"/>
              </w:rPr>
              <w:t>根据项目所在地环境质量现状调查和污染排放影响预测可知，本项目运营后对区域内环境影响较小，环境质量可以保持现有水平，不会对区域环境质量底线造成冲击。</w:t>
            </w:r>
          </w:p>
          <w:p>
            <w:pPr>
              <w:pStyle w:val="38"/>
              <w:spacing w:line="348" w:lineRule="auto"/>
              <w:ind w:firstLine="480"/>
              <w:rPr>
                <w:color w:val="auto"/>
              </w:rPr>
            </w:pPr>
            <w:r>
              <w:rPr>
                <w:rFonts w:hint="eastAsia"/>
                <w:color w:val="auto"/>
              </w:rPr>
              <w:t>（3）资源利用上线的对照分析</w:t>
            </w:r>
          </w:p>
          <w:p>
            <w:pPr>
              <w:pStyle w:val="38"/>
              <w:spacing w:line="348" w:lineRule="auto"/>
              <w:ind w:firstLine="480"/>
              <w:rPr>
                <w:color w:val="auto"/>
              </w:rPr>
            </w:pPr>
            <w:r>
              <w:rPr>
                <w:color w:val="auto"/>
                <w:kern w:val="21"/>
              </w:rPr>
              <w:t>项目用水、用电为区域集中供应，项目用电能为能源，属清洁能源，项目运行过程通过内部管理、设备选择、原辅材料的选用和管理、废物回收利用、污染治理等多方面采取合理可行的防治措施，以</w:t>
            </w:r>
            <w:r>
              <w:rPr>
                <w:rFonts w:hint="eastAsia"/>
                <w:color w:val="auto"/>
                <w:kern w:val="21"/>
              </w:rPr>
              <w:t>“</w:t>
            </w:r>
            <w:r>
              <w:rPr>
                <w:color w:val="auto"/>
                <w:kern w:val="21"/>
              </w:rPr>
              <w:t>节能、降耗、减污</w:t>
            </w:r>
            <w:r>
              <w:rPr>
                <w:rFonts w:hint="eastAsia"/>
                <w:color w:val="auto"/>
                <w:kern w:val="21"/>
              </w:rPr>
              <w:t>”</w:t>
            </w:r>
            <w:r>
              <w:rPr>
                <w:color w:val="auto"/>
                <w:kern w:val="21"/>
              </w:rPr>
              <w:t>为目标，有效</w:t>
            </w:r>
            <w:r>
              <w:rPr>
                <w:rFonts w:hint="eastAsia"/>
                <w:color w:val="auto"/>
                <w:kern w:val="21"/>
              </w:rPr>
              <w:t>地</w:t>
            </w:r>
            <w:r>
              <w:rPr>
                <w:color w:val="auto"/>
                <w:kern w:val="21"/>
              </w:rPr>
              <w:t>控制污染。项目的水等资源利用不会突破区域的资源利用上线。</w:t>
            </w:r>
          </w:p>
          <w:p>
            <w:pPr>
              <w:pStyle w:val="38"/>
              <w:spacing w:line="348" w:lineRule="auto"/>
              <w:ind w:firstLine="480"/>
              <w:rPr>
                <w:color w:val="auto"/>
              </w:rPr>
            </w:pPr>
            <w:r>
              <w:rPr>
                <w:rFonts w:hint="eastAsia"/>
                <w:color w:val="auto"/>
              </w:rPr>
              <w:t>（4）生态环境分区管控</w:t>
            </w:r>
          </w:p>
          <w:p>
            <w:pPr>
              <w:ind w:firstLine="480"/>
              <w:rPr>
                <w:rFonts w:hint="default" w:eastAsia="宋体"/>
                <w:color w:val="auto"/>
                <w:lang w:val="en-US" w:eastAsia="zh-CN"/>
              </w:rPr>
            </w:pPr>
            <w:r>
              <w:rPr>
                <w:rFonts w:hint="eastAsia"/>
                <w:color w:val="auto"/>
              </w:rPr>
              <w:t>查询福建省生态环境分区管控数据应用平台，本项目用地范围涉及2个生态环境管控单元，其中重点管控单元2个，</w:t>
            </w:r>
            <w:r>
              <w:rPr>
                <w:rFonts w:hint="eastAsia"/>
                <w:color w:val="auto"/>
                <w:lang w:val="en-US" w:eastAsia="zh-CN"/>
              </w:rPr>
              <w:t>分别为福清融侨经济技术开发区</w:t>
            </w:r>
            <w:r>
              <w:rPr>
                <w:rFonts w:hint="eastAsia"/>
                <w:color w:val="auto"/>
              </w:rPr>
              <w:t>（管控单元</w:t>
            </w:r>
            <w:r>
              <w:rPr>
                <w:rFonts w:hint="eastAsia"/>
                <w:color w:val="auto"/>
                <w:lang w:eastAsia="zh-CN"/>
              </w:rPr>
              <w:t>：</w:t>
            </w:r>
            <w:r>
              <w:rPr>
                <w:rFonts w:hint="eastAsia"/>
                <w:color w:val="auto"/>
              </w:rPr>
              <w:t>ZH35018120003）</w:t>
            </w:r>
            <w:r>
              <w:rPr>
                <w:rFonts w:hint="eastAsia"/>
                <w:color w:val="auto"/>
                <w:lang w:eastAsia="zh-CN"/>
              </w:rPr>
              <w:t>、福清市重点管控单元1</w:t>
            </w:r>
            <w:r>
              <w:rPr>
                <w:rFonts w:hint="eastAsia"/>
                <w:color w:val="auto"/>
              </w:rPr>
              <w:t>（管控单元</w:t>
            </w:r>
            <w:r>
              <w:rPr>
                <w:rFonts w:hint="eastAsia"/>
                <w:color w:val="auto"/>
                <w:lang w:eastAsia="zh-CN"/>
              </w:rPr>
              <w:t>：</w:t>
            </w:r>
            <w:r>
              <w:rPr>
                <w:rFonts w:hint="eastAsia"/>
                <w:color w:val="auto"/>
              </w:rPr>
              <w:t>ZH3501812000</w:t>
            </w:r>
            <w:r>
              <w:rPr>
                <w:rFonts w:hint="eastAsia"/>
                <w:color w:val="auto"/>
                <w:lang w:val="en-US" w:eastAsia="zh-CN"/>
              </w:rPr>
              <w:t>8</w:t>
            </w:r>
            <w:r>
              <w:rPr>
                <w:rFonts w:hint="eastAsia"/>
                <w:color w:val="auto"/>
              </w:rPr>
              <w:t>）</w:t>
            </w:r>
            <w:r>
              <w:rPr>
                <w:rFonts w:hint="eastAsia"/>
                <w:color w:val="auto"/>
                <w:lang w:val="en-US" w:eastAsia="zh-CN"/>
              </w:rPr>
              <w:t>。</w:t>
            </w:r>
          </w:p>
          <w:p>
            <w:pPr>
              <w:ind w:firstLine="480"/>
              <w:rPr>
                <w:rFonts w:hint="default" w:eastAsia="宋体"/>
                <w:color w:val="auto"/>
                <w:lang w:val="en-US" w:eastAsia="zh-CN"/>
              </w:rPr>
            </w:pPr>
            <w:r>
              <w:rPr>
                <w:rFonts w:hint="eastAsia"/>
                <w:color w:val="auto"/>
                <w:lang w:val="en-US" w:eastAsia="zh-CN"/>
              </w:rPr>
              <w:t>本项目选址符合</w:t>
            </w:r>
            <w:r>
              <w:rPr>
                <w:rFonts w:hint="eastAsia"/>
                <w:color w:val="auto"/>
              </w:rPr>
              <w:t>福建省生态环境分区管控</w:t>
            </w:r>
            <w:r>
              <w:rPr>
                <w:rFonts w:hint="eastAsia"/>
                <w:color w:val="auto"/>
                <w:lang w:eastAsia="zh-CN"/>
              </w:rPr>
              <w:t>，</w:t>
            </w:r>
            <w:r>
              <w:rPr>
                <w:rFonts w:hint="eastAsia"/>
                <w:color w:val="auto"/>
                <w:lang w:val="en-US" w:eastAsia="zh-CN"/>
              </w:rPr>
              <w:t>详见下表1-4~表1-7。</w:t>
            </w:r>
            <w:r>
              <w:rPr>
                <w:rFonts w:hint="eastAsia"/>
                <w:color w:val="auto"/>
              </w:rPr>
              <w:t>项目与生态环境管控单元位置关系图</w:t>
            </w:r>
            <w:r>
              <w:rPr>
                <w:rFonts w:hint="eastAsia"/>
                <w:color w:val="auto"/>
                <w:lang w:val="en-US" w:eastAsia="zh-CN"/>
              </w:rPr>
              <w:t>见附图8</w:t>
            </w:r>
            <w:r>
              <w:rPr>
                <w:rFonts w:hint="eastAsia"/>
                <w:color w:val="auto"/>
                <w:lang w:eastAsia="zh-CN"/>
              </w:rPr>
              <w:t>，</w:t>
            </w:r>
            <w:r>
              <w:rPr>
                <w:rFonts w:hint="eastAsia"/>
                <w:color w:val="auto"/>
              </w:rPr>
              <w:t>福建省生态环境分区管控综合查询报告详见附件</w:t>
            </w:r>
            <w:r>
              <w:rPr>
                <w:rFonts w:hint="eastAsia"/>
                <w:color w:val="auto"/>
                <w:lang w:val="en-US" w:eastAsia="zh-CN"/>
              </w:rPr>
              <w:t>10</w:t>
            </w:r>
            <w:r>
              <w:rPr>
                <w:rFonts w:hint="eastAsia"/>
                <w:color w:val="auto"/>
              </w:rPr>
              <w:t>。</w:t>
            </w:r>
          </w:p>
          <w:p>
            <w:pPr>
              <w:adjustRightInd w:val="0"/>
              <w:spacing w:line="348" w:lineRule="auto"/>
              <w:ind w:firstLine="480"/>
              <w:contextualSpacing/>
              <w:rPr>
                <w:color w:val="auto"/>
              </w:rPr>
            </w:pPr>
          </w:p>
          <w:p>
            <w:pPr>
              <w:adjustRightInd w:val="0"/>
              <w:spacing w:line="348" w:lineRule="auto"/>
              <w:ind w:firstLine="480"/>
              <w:contextualSpacing/>
              <w:rPr>
                <w:color w:val="auto"/>
              </w:rPr>
            </w:pPr>
          </w:p>
          <w:p>
            <w:pPr>
              <w:adjustRightInd w:val="0"/>
              <w:spacing w:line="348" w:lineRule="auto"/>
              <w:ind w:firstLine="480"/>
              <w:contextualSpacing/>
              <w:rPr>
                <w:color w:val="auto"/>
              </w:rPr>
            </w:pPr>
          </w:p>
          <w:p>
            <w:pPr>
              <w:pStyle w:val="12"/>
              <w:rPr>
                <w:color w:val="auto"/>
              </w:rPr>
            </w:pPr>
          </w:p>
          <w:p>
            <w:pPr>
              <w:pStyle w:val="13"/>
              <w:rPr>
                <w:color w:val="auto"/>
              </w:rPr>
            </w:pPr>
          </w:p>
          <w:p>
            <w:pPr>
              <w:rPr>
                <w:color w:val="auto"/>
              </w:rPr>
            </w:pPr>
          </w:p>
          <w:p>
            <w:pPr>
              <w:pStyle w:val="12"/>
              <w:rPr>
                <w:color w:val="auto"/>
              </w:rPr>
            </w:pPr>
          </w:p>
          <w:p>
            <w:pPr>
              <w:pStyle w:val="13"/>
              <w:rPr>
                <w:color w:val="auto"/>
              </w:rPr>
            </w:pPr>
          </w:p>
          <w:p>
            <w:pPr>
              <w:rPr>
                <w:color w:val="auto"/>
              </w:rPr>
            </w:pPr>
          </w:p>
        </w:tc>
      </w:tr>
    </w:tbl>
    <w:p>
      <w:pPr>
        <w:pStyle w:val="13"/>
        <w:rPr>
          <w:color w:val="auto"/>
        </w:rPr>
        <w:sectPr>
          <w:pgSz w:w="11906" w:h="16838"/>
          <w:pgMar w:top="1417" w:right="1417" w:bottom="1417" w:left="1587" w:header="851" w:footer="850" w:gutter="0"/>
          <w:pgBorders>
            <w:top w:val="none" w:sz="0" w:space="0"/>
            <w:left w:val="none" w:sz="0" w:space="0"/>
            <w:bottom w:val="none" w:sz="0" w:space="0"/>
            <w:right w:val="none" w:sz="0" w:space="0"/>
          </w:pgBorders>
          <w:cols w:space="720" w:num="1"/>
          <w:docGrid w:linePitch="312" w:charSpace="0"/>
        </w:sectPr>
      </w:pPr>
    </w:p>
    <w:tbl>
      <w:tblPr>
        <w:tblStyle w:val="2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742"/>
        <w:gridCol w:w="127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466" w:hRule="atLeast"/>
          <w:jc w:val="center"/>
        </w:trPr>
        <w:tc>
          <w:tcPr>
            <w:tcW w:w="275" w:type="pct"/>
            <w:tcBorders>
              <w:top w:val="single" w:color="auto" w:sz="4" w:space="0"/>
              <w:left w:val="single" w:color="auto" w:sz="4" w:space="0"/>
              <w:bottom w:val="single" w:color="auto" w:sz="4" w:space="0"/>
              <w:right w:val="single" w:color="auto" w:sz="4" w:space="0"/>
            </w:tcBorders>
            <w:vAlign w:val="center"/>
          </w:tcPr>
          <w:p>
            <w:pPr>
              <w:ind w:firstLine="480"/>
              <w:rPr>
                <w:rFonts w:cs="Times New Roman"/>
                <w:color w:val="auto"/>
                <w:sz w:val="24"/>
                <w:szCs w:val="24"/>
              </w:rPr>
            </w:pPr>
            <w:r>
              <w:rPr>
                <w:color w:val="auto"/>
              </w:rPr>
              <w:br w:type="page"/>
            </w:r>
          </w:p>
        </w:tc>
        <w:tc>
          <w:tcPr>
            <w:tcW w:w="4724" w:type="pct"/>
            <w:tcBorders>
              <w:top w:val="single" w:color="auto" w:sz="4" w:space="0"/>
              <w:left w:val="single" w:color="auto" w:sz="4" w:space="0"/>
              <w:bottom w:val="single" w:color="auto" w:sz="4" w:space="0"/>
              <w:right w:val="single" w:color="auto" w:sz="4" w:space="0"/>
            </w:tcBorders>
            <w:vAlign w:val="center"/>
          </w:tcPr>
          <w:p>
            <w:pPr>
              <w:pStyle w:val="37"/>
              <w:rPr>
                <w:rFonts w:hint="default"/>
                <w:color w:val="auto"/>
                <w:lang w:val="en-US" w:eastAsia="zh-CN"/>
              </w:rPr>
            </w:pPr>
            <w:r>
              <w:rPr>
                <w:color w:val="auto"/>
              </w:rPr>
              <w:t>表</w:t>
            </w:r>
            <w:r>
              <w:rPr>
                <w:rFonts w:hint="eastAsia"/>
                <w:color w:val="auto"/>
                <w:lang w:val="en-US"/>
              </w:rPr>
              <w:t>1-</w:t>
            </w:r>
            <w:r>
              <w:rPr>
                <w:rFonts w:hint="eastAsia"/>
                <w:color w:val="auto"/>
                <w:lang w:val="en-US" w:eastAsia="zh-CN"/>
              </w:rPr>
              <w:t>4 与福建省生态环境总体准入要求的符合性分析</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7"/>
              <w:gridCol w:w="713"/>
              <w:gridCol w:w="6457"/>
              <w:gridCol w:w="3927"/>
              <w:gridCol w:w="8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tcPr>
                <w:p>
                  <w:pPr>
                    <w:pStyle w:val="36"/>
                    <w:keepLines/>
                    <w:wordWrap w:val="0"/>
                    <w:rPr>
                      <w:color w:val="auto"/>
                    </w:rPr>
                  </w:pPr>
                  <w:r>
                    <w:rPr>
                      <w:color w:val="auto"/>
                    </w:rPr>
                    <w:t>适用</w:t>
                  </w:r>
                </w:p>
                <w:p>
                  <w:pPr>
                    <w:pStyle w:val="36"/>
                    <w:keepLines/>
                    <w:wordWrap w:val="0"/>
                    <w:rPr>
                      <w:rFonts w:cs="Times New Roman"/>
                      <w:color w:val="auto"/>
                    </w:rPr>
                  </w:pPr>
                  <w:r>
                    <w:rPr>
                      <w:color w:val="auto"/>
                    </w:rPr>
                    <w:t>范围</w:t>
                  </w:r>
                </w:p>
              </w:tc>
              <w:tc>
                <w:tcPr>
                  <w:tcW w:w="7473" w:type="dxa"/>
                  <w:gridSpan w:val="2"/>
                  <w:tcBorders>
                    <w:tl2br w:val="nil"/>
                    <w:tr2bl w:val="nil"/>
                  </w:tcBorders>
                  <w:vAlign w:val="center"/>
                </w:tcPr>
                <w:p>
                  <w:pPr>
                    <w:pStyle w:val="36"/>
                    <w:keepLines/>
                    <w:wordWrap w:val="0"/>
                    <w:rPr>
                      <w:rFonts w:cs="Times New Roman"/>
                      <w:color w:val="auto"/>
                    </w:rPr>
                  </w:pPr>
                  <w:r>
                    <w:rPr>
                      <w:color w:val="auto"/>
                    </w:rPr>
                    <w:t>准入要求</w:t>
                  </w:r>
                </w:p>
              </w:tc>
              <w:tc>
                <w:tcPr>
                  <w:tcW w:w="4094" w:type="dxa"/>
                  <w:tcBorders>
                    <w:tl2br w:val="nil"/>
                    <w:tr2bl w:val="nil"/>
                  </w:tcBorders>
                  <w:vAlign w:val="center"/>
                </w:tcPr>
                <w:p>
                  <w:pPr>
                    <w:pStyle w:val="36"/>
                    <w:keepLines/>
                    <w:wordWrap w:val="0"/>
                    <w:rPr>
                      <w:rFonts w:cs="Times New Roman"/>
                      <w:color w:val="auto"/>
                    </w:rPr>
                  </w:pPr>
                  <w:r>
                    <w:rPr>
                      <w:rFonts w:hint="eastAsia"/>
                      <w:color w:val="auto"/>
                    </w:rPr>
                    <w:t>本项目情况</w:t>
                  </w:r>
                </w:p>
              </w:tc>
              <w:tc>
                <w:tcPr>
                  <w:tcW w:w="907" w:type="dxa"/>
                  <w:tcBorders>
                    <w:tl2br w:val="nil"/>
                    <w:tr2bl w:val="nil"/>
                  </w:tcBorders>
                  <w:vAlign w:val="center"/>
                </w:tcPr>
                <w:p>
                  <w:pPr>
                    <w:pStyle w:val="36"/>
                    <w:keepLines/>
                    <w:wordWrap w:val="0"/>
                    <w:rPr>
                      <w:rFonts w:cs="Times New Roman"/>
                      <w:color w:val="auto"/>
                    </w:rPr>
                  </w:pPr>
                  <w:r>
                    <w:rPr>
                      <w:rFonts w:hint="eastAsia"/>
                      <w:color w:val="auto"/>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restart"/>
                  <w:tcBorders>
                    <w:tl2br w:val="nil"/>
                    <w:tr2bl w:val="nil"/>
                  </w:tcBorders>
                  <w:vAlign w:val="center"/>
                </w:tcPr>
                <w:p>
                  <w:pPr>
                    <w:pStyle w:val="36"/>
                    <w:rPr>
                      <w:color w:val="auto"/>
                    </w:rPr>
                  </w:pPr>
                  <w:r>
                    <w:rPr>
                      <w:rFonts w:hint="eastAsia"/>
                      <w:color w:val="auto"/>
                    </w:rPr>
                    <w:t>全省</w:t>
                  </w:r>
                </w:p>
                <w:p>
                  <w:pPr>
                    <w:pStyle w:val="36"/>
                    <w:rPr>
                      <w:color w:val="auto"/>
                    </w:rPr>
                  </w:pPr>
                  <w:r>
                    <w:rPr>
                      <w:rFonts w:hint="eastAsia"/>
                      <w:color w:val="auto"/>
                    </w:rPr>
                    <w:t>陆域</w:t>
                  </w:r>
                </w:p>
              </w:tc>
              <w:tc>
                <w:tcPr>
                  <w:tcW w:w="743" w:type="dxa"/>
                  <w:tcBorders>
                    <w:tl2br w:val="nil"/>
                    <w:tr2bl w:val="nil"/>
                  </w:tcBorders>
                  <w:vAlign w:val="center"/>
                </w:tcPr>
                <w:p>
                  <w:pPr>
                    <w:pStyle w:val="36"/>
                    <w:rPr>
                      <w:color w:val="auto"/>
                    </w:rPr>
                  </w:pPr>
                </w:p>
                <w:p>
                  <w:pPr>
                    <w:pStyle w:val="36"/>
                    <w:rPr>
                      <w:color w:val="auto"/>
                    </w:rPr>
                  </w:pPr>
                </w:p>
                <w:p>
                  <w:pPr>
                    <w:pStyle w:val="36"/>
                    <w:rPr>
                      <w:color w:val="auto"/>
                    </w:rPr>
                  </w:pPr>
                </w:p>
                <w:p>
                  <w:pPr>
                    <w:pStyle w:val="36"/>
                    <w:rPr>
                      <w:color w:val="auto"/>
                    </w:rPr>
                  </w:pPr>
                </w:p>
                <w:p>
                  <w:pPr>
                    <w:pStyle w:val="36"/>
                    <w:rPr>
                      <w:color w:val="auto"/>
                    </w:rPr>
                  </w:pPr>
                </w:p>
                <w:p>
                  <w:pPr>
                    <w:pStyle w:val="36"/>
                    <w:rPr>
                      <w:color w:val="auto"/>
                    </w:rPr>
                  </w:pPr>
                </w:p>
                <w:p>
                  <w:pPr>
                    <w:pStyle w:val="36"/>
                    <w:rPr>
                      <w:color w:val="auto"/>
                    </w:rPr>
                  </w:pPr>
                </w:p>
                <w:p>
                  <w:pPr>
                    <w:pStyle w:val="36"/>
                    <w:rPr>
                      <w:color w:val="auto"/>
                    </w:rPr>
                  </w:pPr>
                </w:p>
                <w:p>
                  <w:pPr>
                    <w:pStyle w:val="36"/>
                    <w:rPr>
                      <w:color w:val="auto"/>
                    </w:rPr>
                  </w:pPr>
                  <w:r>
                    <w:rPr>
                      <w:color w:val="auto"/>
                    </w:rPr>
                    <w:t>空间布局约束</w:t>
                  </w:r>
                </w:p>
              </w:tc>
              <w:tc>
                <w:tcPr>
                  <w:tcW w:w="6730" w:type="dxa"/>
                  <w:tcBorders>
                    <w:tl2br w:val="nil"/>
                    <w:tr2bl w:val="nil"/>
                  </w:tcBorders>
                  <w:vAlign w:val="center"/>
                </w:tcPr>
                <w:p>
                  <w:pPr>
                    <w:pStyle w:val="36"/>
                    <w:keepLines/>
                    <w:wordWrap w:val="0"/>
                    <w:jc w:val="left"/>
                    <w:rPr>
                      <w:color w:val="auto"/>
                    </w:rPr>
                  </w:pPr>
                  <w:r>
                    <w:rPr>
                      <w:color w:val="auto"/>
                    </w:rPr>
                    <w:t>1.石化、汽车、船舶、冶金、水泥、制浆造纸、印染等重点产业，要符合全省规划布局要求。</w:t>
                  </w:r>
                </w:p>
                <w:p>
                  <w:pPr>
                    <w:pStyle w:val="36"/>
                    <w:keepLines/>
                    <w:wordWrap w:val="0"/>
                    <w:jc w:val="left"/>
                    <w:rPr>
                      <w:color w:val="auto"/>
                    </w:rPr>
                  </w:pPr>
                  <w:r>
                    <w:rPr>
                      <w:color w:val="auto"/>
                    </w:rPr>
                    <w:t>2.严控钢铁、水泥、平板玻璃等产能过剩行业新增产能，新增产能应实施产能等量或减量置换。</w:t>
                  </w:r>
                </w:p>
                <w:p>
                  <w:pPr>
                    <w:pStyle w:val="36"/>
                    <w:keepLines/>
                    <w:wordWrap w:val="0"/>
                    <w:jc w:val="left"/>
                    <w:rPr>
                      <w:color w:val="auto"/>
                    </w:rPr>
                  </w:pPr>
                  <w:r>
                    <w:rPr>
                      <w:color w:val="auto"/>
                    </w:rPr>
                    <w:t>3.除列入国家规划的大型煤电和符合相关要求的等容量替代项目，以及以供热为主的热电联产项目外，原则上不再建设新的煤电项目。</w:t>
                  </w:r>
                </w:p>
                <w:p>
                  <w:pPr>
                    <w:pStyle w:val="36"/>
                    <w:keepLines/>
                    <w:wordWrap w:val="0"/>
                    <w:jc w:val="left"/>
                    <w:rPr>
                      <w:color w:val="auto"/>
                    </w:rPr>
                  </w:pPr>
                  <w:r>
                    <w:rPr>
                      <w:color w:val="auto"/>
                    </w:rPr>
                    <w:t>4.氟化工产业应集中布局在《关于促进我省氟化工产业绿色高效发展的若干意见》中确定的园区，在上述园区之外不再新建氟化工项目，园区之外现有氟化工项目不再扩大规模。</w:t>
                  </w:r>
                </w:p>
                <w:p>
                  <w:pPr>
                    <w:pStyle w:val="36"/>
                    <w:keepLines/>
                    <w:wordWrap w:val="0"/>
                    <w:jc w:val="left"/>
                    <w:rPr>
                      <w:color w:val="auto"/>
                    </w:rPr>
                  </w:pPr>
                  <w:r>
                    <w:rPr>
                      <w:color w:val="auto"/>
                    </w:rPr>
                    <w:t>5.禁止在水环境质量不能稳定达标的区域内，建设新增相应不达标污染物指标排放量的工业项目。</w:t>
                  </w:r>
                </w:p>
                <w:p>
                  <w:pPr>
                    <w:pStyle w:val="36"/>
                    <w:keepLines/>
                    <w:wordWrap w:val="0"/>
                    <w:jc w:val="left"/>
                    <w:rPr>
                      <w:color w:val="auto"/>
                    </w:rPr>
                  </w:pPr>
                  <w:r>
                    <w:rPr>
                      <w:rFonts w:hint="eastAsia"/>
                      <w:color w:val="auto"/>
                    </w:rPr>
                    <w:t>6.禁止在通风廊道和主导风向的上风向布局大气重污染企业，推进建成区大气重污染企业搬迁或升级改造、环境风险企业搬迁或关闭退出。</w:t>
                  </w:r>
                </w:p>
                <w:p>
                  <w:pPr>
                    <w:pStyle w:val="36"/>
                    <w:keepLines/>
                    <w:wordWrap w:val="0"/>
                    <w:jc w:val="left"/>
                    <w:rPr>
                      <w:rFonts w:cs="Times New Roman"/>
                      <w:color w:val="auto"/>
                    </w:rPr>
                  </w:pPr>
                  <w:r>
                    <w:rPr>
                      <w:rFonts w:hint="eastAsia"/>
                      <w:color w:val="auto"/>
                    </w:rPr>
                    <w:t>7.新建、扩建的涉及重点重金属污染物</w:t>
                  </w:r>
                  <w:r>
                    <w:rPr>
                      <w:rFonts w:hint="eastAsia"/>
                      <w:color w:val="auto"/>
                      <w:vertAlign w:val="superscript"/>
                    </w:rPr>
                    <w:t>［1］</w:t>
                  </w:r>
                  <w:r>
                    <w:rPr>
                      <w:rFonts w:hint="eastAsia"/>
                      <w:color w:val="auto"/>
                    </w:rPr>
                    <w:t>的有色金属冶炼、电镀、制革、铅蓄电池制造企业布局应符合《福建省进一步加强重金属污染防控实施方案》（闽环保固体〔2022〕17号）要求。禁止低端落后产能向闽江中上游地区、九龙江北溪江东北引桥闸以上、西溪桥闸以上流域、晋江流域上游转移。禁止新建用汞的电石法（聚）氯乙烯生产工艺。</w:t>
                  </w:r>
                </w:p>
              </w:tc>
              <w:tc>
                <w:tcPr>
                  <w:tcW w:w="4094" w:type="dxa"/>
                  <w:tcBorders>
                    <w:tl2br w:val="nil"/>
                    <w:tr2bl w:val="nil"/>
                  </w:tcBorders>
                  <w:vAlign w:val="center"/>
                </w:tcPr>
                <w:p>
                  <w:pPr>
                    <w:pStyle w:val="36"/>
                    <w:keepLines/>
                    <w:wordWrap w:val="0"/>
                    <w:rPr>
                      <w:color w:val="auto"/>
                    </w:rPr>
                  </w:pPr>
                </w:p>
                <w:p>
                  <w:pPr>
                    <w:pStyle w:val="36"/>
                    <w:keepLines/>
                    <w:wordWrap w:val="0"/>
                    <w:rPr>
                      <w:color w:val="auto"/>
                    </w:rPr>
                  </w:pPr>
                </w:p>
                <w:p>
                  <w:pPr>
                    <w:pStyle w:val="36"/>
                    <w:keepLines/>
                    <w:wordWrap w:val="0"/>
                    <w:rPr>
                      <w:color w:val="auto"/>
                    </w:rPr>
                  </w:pPr>
                </w:p>
                <w:p>
                  <w:pPr>
                    <w:pStyle w:val="36"/>
                    <w:keepLines/>
                    <w:wordWrap w:val="0"/>
                    <w:jc w:val="left"/>
                    <w:rPr>
                      <w:color w:val="auto"/>
                    </w:rPr>
                  </w:pPr>
                  <w:r>
                    <w:rPr>
                      <w:rFonts w:hint="eastAsia"/>
                      <w:color w:val="auto"/>
                    </w:rPr>
                    <w:t>1</w:t>
                  </w:r>
                  <w:r>
                    <w:rPr>
                      <w:color w:val="auto"/>
                    </w:rPr>
                    <w:t>.</w:t>
                  </w:r>
                  <w:r>
                    <w:rPr>
                      <w:rFonts w:hint="eastAsia"/>
                      <w:color w:val="auto"/>
                    </w:rPr>
                    <w:t>本项目主要从事铜排、铜棒、铜丝的生产，属于C3251 铜压延加工，不属于</w:t>
                  </w:r>
                  <w:r>
                    <w:rPr>
                      <w:color w:val="auto"/>
                    </w:rPr>
                    <w:t>石化、汽车、船舶、冶金、水泥、制浆造纸、印染等重点产业</w:t>
                  </w:r>
                  <w:r>
                    <w:rPr>
                      <w:rFonts w:hint="eastAsia"/>
                      <w:color w:val="auto"/>
                    </w:rPr>
                    <w:t>；</w:t>
                  </w:r>
                </w:p>
                <w:p>
                  <w:pPr>
                    <w:pStyle w:val="36"/>
                    <w:keepLines/>
                    <w:wordWrap w:val="0"/>
                    <w:jc w:val="left"/>
                    <w:rPr>
                      <w:color w:val="auto"/>
                    </w:rPr>
                  </w:pPr>
                  <w:r>
                    <w:rPr>
                      <w:rFonts w:hint="eastAsia"/>
                      <w:color w:val="auto"/>
                    </w:rPr>
                    <w:t>2</w:t>
                  </w:r>
                  <w:r>
                    <w:rPr>
                      <w:color w:val="auto"/>
                    </w:rPr>
                    <w:t>.</w:t>
                  </w:r>
                  <w:r>
                    <w:rPr>
                      <w:rFonts w:hint="eastAsia"/>
                      <w:color w:val="auto"/>
                    </w:rPr>
                    <w:t>项目不属于钢铁、水泥、平板玻璃等行业；</w:t>
                  </w:r>
                </w:p>
                <w:p>
                  <w:pPr>
                    <w:pStyle w:val="36"/>
                    <w:keepLines/>
                    <w:wordWrap w:val="0"/>
                    <w:jc w:val="left"/>
                    <w:rPr>
                      <w:color w:val="auto"/>
                    </w:rPr>
                  </w:pPr>
                  <w:r>
                    <w:rPr>
                      <w:rFonts w:hint="eastAsia"/>
                      <w:color w:val="auto"/>
                    </w:rPr>
                    <w:t>3.项目不属于热电联产项目及煤电项目；</w:t>
                  </w:r>
                </w:p>
                <w:p>
                  <w:pPr>
                    <w:pStyle w:val="36"/>
                    <w:keepLines/>
                    <w:wordWrap w:val="0"/>
                    <w:jc w:val="left"/>
                    <w:rPr>
                      <w:color w:val="auto"/>
                    </w:rPr>
                  </w:pPr>
                  <w:r>
                    <w:rPr>
                      <w:rFonts w:hint="eastAsia"/>
                      <w:color w:val="auto"/>
                    </w:rPr>
                    <w:t>4.项目不属于氟化工产业；</w:t>
                  </w:r>
                </w:p>
                <w:p>
                  <w:pPr>
                    <w:pStyle w:val="36"/>
                    <w:keepLines/>
                    <w:wordWrap w:val="0"/>
                    <w:jc w:val="left"/>
                    <w:rPr>
                      <w:color w:val="auto"/>
                    </w:rPr>
                  </w:pPr>
                  <w:r>
                    <w:rPr>
                      <w:rFonts w:hint="eastAsia"/>
                      <w:color w:val="auto"/>
                    </w:rPr>
                    <w:t>5.项目所在区域水环境质量能稳定达标排放，项目外排生产废水经预处理后与生活污水一同排入市政污水管网，送往福清市融元污水处理厂集中处理，污水处理厂尾水排放达一级A排放标准。</w:t>
                  </w:r>
                </w:p>
                <w:p>
                  <w:pPr>
                    <w:pStyle w:val="36"/>
                    <w:keepLines/>
                    <w:wordWrap w:val="0"/>
                    <w:jc w:val="left"/>
                    <w:rPr>
                      <w:color w:val="auto"/>
                    </w:rPr>
                  </w:pPr>
                  <w:r>
                    <w:rPr>
                      <w:rFonts w:hint="eastAsia"/>
                      <w:color w:val="auto"/>
                    </w:rPr>
                    <w:t>6.项目不属于大气重污染企业。</w:t>
                  </w:r>
                </w:p>
                <w:p>
                  <w:pPr>
                    <w:pStyle w:val="36"/>
                    <w:keepLines/>
                    <w:wordWrap w:val="0"/>
                    <w:jc w:val="left"/>
                    <w:rPr>
                      <w:rFonts w:cs="Times New Roman"/>
                      <w:color w:val="auto"/>
                    </w:rPr>
                  </w:pPr>
                  <w:r>
                    <w:rPr>
                      <w:rFonts w:hint="eastAsia"/>
                      <w:color w:val="auto"/>
                    </w:rPr>
                    <w:t>7.项目不涉及重点重金属污染物排放。</w:t>
                  </w:r>
                </w:p>
              </w:tc>
              <w:tc>
                <w:tcPr>
                  <w:tcW w:w="907" w:type="dxa"/>
                  <w:tcBorders>
                    <w:tl2br w:val="nil"/>
                    <w:tr2bl w:val="nil"/>
                  </w:tcBorders>
                  <w:vAlign w:val="center"/>
                </w:tcPr>
                <w:p>
                  <w:pPr>
                    <w:pStyle w:val="36"/>
                    <w:keepLines/>
                    <w:wordWrap w:val="0"/>
                    <w:rPr>
                      <w:rFonts w:cs="Times New Roman"/>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727" w:type="dxa"/>
                  <w:vMerge w:val="continue"/>
                  <w:tcBorders>
                    <w:tl2br w:val="nil"/>
                    <w:tr2bl w:val="nil"/>
                  </w:tcBorders>
                  <w:vAlign w:val="center"/>
                </w:tcPr>
                <w:p>
                  <w:pPr>
                    <w:pStyle w:val="36"/>
                    <w:keepLines/>
                    <w:wordWrap w:val="0"/>
                    <w:rPr>
                      <w:rFonts w:cs="Times New Roman"/>
                      <w:color w:val="auto"/>
                    </w:rPr>
                  </w:pPr>
                </w:p>
              </w:tc>
              <w:tc>
                <w:tcPr>
                  <w:tcW w:w="743" w:type="dxa"/>
                  <w:tcBorders>
                    <w:tl2br w:val="nil"/>
                    <w:tr2bl w:val="nil"/>
                  </w:tcBorders>
                  <w:vAlign w:val="center"/>
                </w:tcPr>
                <w:p>
                  <w:pPr>
                    <w:pStyle w:val="36"/>
                    <w:keepLines/>
                    <w:wordWrap w:val="0"/>
                    <w:rPr>
                      <w:rFonts w:cs="Times New Roman"/>
                      <w:color w:val="auto"/>
                    </w:rPr>
                  </w:pPr>
                  <w:r>
                    <w:rPr>
                      <w:rFonts w:hint="eastAsia"/>
                      <w:color w:val="auto"/>
                    </w:rPr>
                    <w:t>污染物排放管控</w:t>
                  </w:r>
                </w:p>
              </w:tc>
              <w:tc>
                <w:tcPr>
                  <w:tcW w:w="6730" w:type="dxa"/>
                  <w:tcBorders>
                    <w:tl2br w:val="nil"/>
                    <w:tr2bl w:val="nil"/>
                  </w:tcBorders>
                  <w:vAlign w:val="center"/>
                </w:tcPr>
                <w:p>
                  <w:pPr>
                    <w:pStyle w:val="36"/>
                    <w:keepLines/>
                    <w:wordWrap w:val="0"/>
                    <w:jc w:val="left"/>
                    <w:rPr>
                      <w:color w:val="auto"/>
                    </w:rPr>
                  </w:pPr>
                  <w:r>
                    <w:rPr>
                      <w:rFonts w:hint="eastAsia"/>
                      <w:color w:val="auto"/>
                    </w:rPr>
                    <w:t>1.建设项目新增的主要污染物（含VOCs）排放量应按要求实行等量或倍量替代。重点行业建设项目新增的主要污染物排放量应同时满足《关于加强重点行业建设项目区域削减措施监督管理的通知》（环办环评〔2020〕36号）的要求。涉及新增总磷排放的建设项目应符合相关削减替代要求。新、改、扩建重点行业</w:t>
                  </w:r>
                  <w:r>
                    <w:rPr>
                      <w:rFonts w:hint="eastAsia"/>
                      <w:color w:val="auto"/>
                      <w:vertAlign w:val="superscript"/>
                    </w:rPr>
                    <w:t>［2］</w:t>
                  </w:r>
                  <w:r>
                    <w:rPr>
                      <w:rFonts w:hint="eastAsia"/>
                      <w:color w:val="auto"/>
                    </w:rPr>
                    <w:t>建设项目要符合“闽环保固体〔2022〕17号”文件要求。</w:t>
                  </w:r>
                </w:p>
                <w:p>
                  <w:pPr>
                    <w:pStyle w:val="36"/>
                    <w:keepLines/>
                    <w:wordWrap w:val="0"/>
                    <w:jc w:val="left"/>
                    <w:rPr>
                      <w:color w:val="auto"/>
                    </w:rPr>
                  </w:pPr>
                  <w:r>
                    <w:rPr>
                      <w:rFonts w:hint="eastAsia"/>
                      <w:color w:val="auto"/>
                    </w:rPr>
                    <w:t>2.新改扩建钢铁、火电项目应执行超低排放限值，有色项目应当执行大气污染物特别排放限值。水泥行业新改扩建项目严格对照超低排放、能效标杆水平建设实施，现有项目超低排放改造应按“闽环规〔2023〕2号”文件的时限要求分步推进，2025年底前全面完成［</w:t>
                  </w:r>
                  <w:r>
                    <w:rPr>
                      <w:rFonts w:hint="eastAsia"/>
                      <w:color w:val="auto"/>
                      <w:vertAlign w:val="superscript"/>
                    </w:rPr>
                    <w:t>2］［4］</w:t>
                  </w:r>
                  <w:r>
                    <w:rPr>
                      <w:rFonts w:hint="eastAsia"/>
                      <w:color w:val="auto"/>
                    </w:rPr>
                    <w:t>。</w:t>
                  </w:r>
                </w:p>
                <w:p>
                  <w:pPr>
                    <w:pStyle w:val="36"/>
                    <w:keepLines/>
                    <w:wordWrap w:val="0"/>
                    <w:jc w:val="left"/>
                    <w:rPr>
                      <w:color w:val="auto"/>
                    </w:rPr>
                  </w:pPr>
                  <w:r>
                    <w:rPr>
                      <w:rFonts w:hint="eastAsia"/>
                      <w:color w:val="auto"/>
                    </w:rPr>
                    <w:t>3.近岸海域汇水区域、“六江两溪”流域以及排入湖泊、水库等封闭、半封闭水域的城镇污水处理设施执行不低于一级A排放标准。到2025年，省级及以上各类开发区、工业园区完成“污水零直排区”建设，混合处理工业污水和生活污水的污水处理厂达到一级A排放标准。</w:t>
                  </w:r>
                </w:p>
                <w:p>
                  <w:pPr>
                    <w:pStyle w:val="36"/>
                    <w:keepLines/>
                    <w:wordWrap w:val="0"/>
                    <w:jc w:val="left"/>
                    <w:rPr>
                      <w:color w:val="auto"/>
                    </w:rPr>
                  </w:pPr>
                  <w:r>
                    <w:rPr>
                      <w:rFonts w:hint="eastAsia"/>
                      <w:color w:val="auto"/>
                    </w:rPr>
                    <w:t>4.优化调整货物运输方式，提升铁路货运比例，推进钢铁、电力、电解铝、焦化等重点工业企业和工业园区货物由公路运输转向铁路运输。</w:t>
                  </w:r>
                </w:p>
                <w:p>
                  <w:pPr>
                    <w:pStyle w:val="36"/>
                    <w:keepLines/>
                    <w:wordWrap w:val="0"/>
                    <w:jc w:val="left"/>
                    <w:rPr>
                      <w:rFonts w:cs="Times New Roman"/>
                      <w:color w:val="auto"/>
                    </w:rPr>
                  </w:pPr>
                  <w:r>
                    <w:rPr>
                      <w:rFonts w:hint="eastAsia"/>
                      <w:color w:val="auto"/>
                    </w:rPr>
                    <w:t>5.加强石化、涂料、纺织印染、橡胶、医药等行业新污染物环境风险管控。</w:t>
                  </w:r>
                </w:p>
              </w:tc>
              <w:tc>
                <w:tcPr>
                  <w:tcW w:w="4094" w:type="dxa"/>
                  <w:tcBorders>
                    <w:tl2br w:val="nil"/>
                    <w:tr2bl w:val="nil"/>
                  </w:tcBorders>
                  <w:vAlign w:val="center"/>
                </w:tcPr>
                <w:p>
                  <w:pPr>
                    <w:pStyle w:val="116"/>
                    <w:keepLines/>
                    <w:wordWrap w:val="0"/>
                    <w:jc w:val="left"/>
                    <w:rPr>
                      <w:color w:val="auto"/>
                    </w:rPr>
                  </w:pPr>
                </w:p>
                <w:p>
                  <w:pPr>
                    <w:pStyle w:val="116"/>
                    <w:keepLines/>
                    <w:wordWrap w:val="0"/>
                    <w:jc w:val="left"/>
                    <w:rPr>
                      <w:color w:val="auto"/>
                    </w:rPr>
                  </w:pPr>
                  <w:r>
                    <w:rPr>
                      <w:color w:val="auto"/>
                    </w:rPr>
                    <w:t>1、项目位于</w:t>
                  </w:r>
                  <w:r>
                    <w:rPr>
                      <w:rFonts w:hint="eastAsia"/>
                      <w:color w:val="auto"/>
                      <w:lang w:eastAsia="zh-CN"/>
                    </w:rPr>
                    <w:t>福清融侨经济技术开发区洪宽工业村</w:t>
                  </w:r>
                  <w:r>
                    <w:rPr>
                      <w:color w:val="auto"/>
                    </w:rPr>
                    <w:t>，属于规定的污染物管控区域。项目主要污染物（VOCs）排放量实行倍量替代。</w:t>
                  </w:r>
                  <w:r>
                    <w:rPr>
                      <w:rFonts w:hint="eastAsia"/>
                      <w:color w:val="auto"/>
                    </w:rPr>
                    <w:t>项目不属于重点行业建设项目。</w:t>
                  </w:r>
                </w:p>
                <w:p>
                  <w:pPr>
                    <w:pStyle w:val="36"/>
                    <w:keepLines/>
                    <w:wordWrap w:val="0"/>
                    <w:jc w:val="left"/>
                    <w:rPr>
                      <w:color w:val="auto"/>
                    </w:rPr>
                  </w:pPr>
                </w:p>
                <w:p>
                  <w:pPr>
                    <w:pStyle w:val="36"/>
                    <w:keepLines/>
                    <w:wordWrap w:val="0"/>
                    <w:jc w:val="left"/>
                    <w:rPr>
                      <w:color w:val="auto"/>
                    </w:rPr>
                  </w:pPr>
                </w:p>
                <w:p>
                  <w:pPr>
                    <w:pStyle w:val="36"/>
                    <w:keepLines/>
                    <w:wordWrap w:val="0"/>
                    <w:jc w:val="left"/>
                    <w:rPr>
                      <w:color w:val="auto"/>
                    </w:rPr>
                  </w:pPr>
                  <w:r>
                    <w:rPr>
                      <w:rFonts w:hint="eastAsia"/>
                      <w:color w:val="auto"/>
                    </w:rPr>
                    <w:t>2、项目不属于水泥、有色金属、钢铁、火电项目。</w:t>
                  </w:r>
                </w:p>
                <w:p>
                  <w:pPr>
                    <w:pStyle w:val="36"/>
                    <w:keepLines/>
                    <w:wordWrap w:val="0"/>
                    <w:jc w:val="left"/>
                    <w:rPr>
                      <w:color w:val="auto"/>
                    </w:rPr>
                  </w:pPr>
                  <w:r>
                    <w:rPr>
                      <w:rFonts w:hint="eastAsia"/>
                      <w:color w:val="auto"/>
                    </w:rPr>
                    <w:t>3、生产废水经厂内污水站处理、生活污水经化粪池处理后一同排入市政污水管网纳入福清市融元污水处理厂处理，污水处理厂尾水排放达一级A排放标准。</w:t>
                  </w:r>
                </w:p>
                <w:p>
                  <w:pPr>
                    <w:pStyle w:val="36"/>
                    <w:keepLines/>
                    <w:wordWrap w:val="0"/>
                    <w:jc w:val="left"/>
                    <w:rPr>
                      <w:color w:val="auto"/>
                    </w:rPr>
                  </w:pPr>
                  <w:r>
                    <w:rPr>
                      <w:rFonts w:hint="eastAsia"/>
                      <w:color w:val="auto"/>
                    </w:rPr>
                    <w:t>4.项目不属于钢铁、电力、电解铝、焦化项目。</w:t>
                  </w:r>
                </w:p>
                <w:p>
                  <w:pPr>
                    <w:pStyle w:val="36"/>
                    <w:keepLines/>
                    <w:wordWrap w:val="0"/>
                    <w:jc w:val="left"/>
                    <w:rPr>
                      <w:rFonts w:cs="Times New Roman"/>
                      <w:color w:val="auto"/>
                    </w:rPr>
                  </w:pPr>
                  <w:r>
                    <w:rPr>
                      <w:rFonts w:hint="eastAsia"/>
                      <w:color w:val="auto"/>
                    </w:rPr>
                    <w:t>5.项目不属于石化、涂料、纺织印染、橡胶、医药等行业。</w:t>
                  </w:r>
                </w:p>
              </w:tc>
              <w:tc>
                <w:tcPr>
                  <w:tcW w:w="907" w:type="dxa"/>
                  <w:tcBorders>
                    <w:tl2br w:val="nil"/>
                    <w:tr2bl w:val="nil"/>
                  </w:tcBorders>
                  <w:vAlign w:val="center"/>
                </w:tcPr>
                <w:p>
                  <w:pPr>
                    <w:pStyle w:val="36"/>
                    <w:keepLines/>
                    <w:wordWrap w:val="0"/>
                    <w:rPr>
                      <w:rFonts w:cs="Times New Roman"/>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tcBorders>
                    <w:tl2br w:val="nil"/>
                    <w:tr2bl w:val="nil"/>
                  </w:tcBorders>
                  <w:vAlign w:val="center"/>
                </w:tcPr>
                <w:p>
                  <w:pPr>
                    <w:pStyle w:val="36"/>
                    <w:keepLines/>
                    <w:wordWrap w:val="0"/>
                    <w:rPr>
                      <w:rFonts w:cs="Times New Roman"/>
                      <w:color w:val="auto"/>
                    </w:rPr>
                  </w:pPr>
                </w:p>
              </w:tc>
              <w:tc>
                <w:tcPr>
                  <w:tcW w:w="743" w:type="dxa"/>
                  <w:tcBorders>
                    <w:tl2br w:val="nil"/>
                    <w:tr2bl w:val="nil"/>
                  </w:tcBorders>
                  <w:vAlign w:val="center"/>
                </w:tcPr>
                <w:p>
                  <w:pPr>
                    <w:pStyle w:val="36"/>
                    <w:keepLines/>
                    <w:wordWrap w:val="0"/>
                    <w:rPr>
                      <w:rFonts w:cs="Times New Roman"/>
                      <w:color w:val="auto"/>
                    </w:rPr>
                  </w:pPr>
                  <w:r>
                    <w:rPr>
                      <w:rFonts w:hint="eastAsia"/>
                      <w:color w:val="auto"/>
                    </w:rPr>
                    <w:t>资源开发效率要求</w:t>
                  </w:r>
                </w:p>
              </w:tc>
              <w:tc>
                <w:tcPr>
                  <w:tcW w:w="6730" w:type="dxa"/>
                  <w:tcBorders>
                    <w:tl2br w:val="nil"/>
                    <w:tr2bl w:val="nil"/>
                  </w:tcBorders>
                  <w:vAlign w:val="center"/>
                </w:tcPr>
                <w:p>
                  <w:pPr>
                    <w:pStyle w:val="36"/>
                    <w:keepLines/>
                    <w:wordWrap w:val="0"/>
                    <w:jc w:val="left"/>
                    <w:rPr>
                      <w:color w:val="auto"/>
                    </w:rPr>
                  </w:pPr>
                  <w:r>
                    <w:rPr>
                      <w:rFonts w:hint="eastAsia"/>
                      <w:color w:val="auto"/>
                    </w:rPr>
                    <w:t>1.实施能源消耗总量和强度双控。</w:t>
                  </w:r>
                </w:p>
                <w:p>
                  <w:pPr>
                    <w:pStyle w:val="36"/>
                    <w:keepLines/>
                    <w:wordWrap w:val="0"/>
                    <w:jc w:val="left"/>
                    <w:rPr>
                      <w:color w:val="auto"/>
                    </w:rPr>
                  </w:pPr>
                  <w:r>
                    <w:rPr>
                      <w:rFonts w:hint="eastAsia"/>
                      <w:color w:val="auto"/>
                    </w:rPr>
                    <w:t>2.强化产业园区单位土地面积投资强度和效用指标的刚性约束，提高土地利用效率。</w:t>
                  </w:r>
                </w:p>
                <w:p>
                  <w:pPr>
                    <w:pStyle w:val="36"/>
                    <w:keepLines/>
                    <w:wordWrap w:val="0"/>
                    <w:jc w:val="left"/>
                    <w:rPr>
                      <w:color w:val="auto"/>
                    </w:rPr>
                  </w:pPr>
                  <w:r>
                    <w:rPr>
                      <w:rFonts w:hint="eastAsia"/>
                      <w:color w:val="auto"/>
                    </w:rPr>
                    <w:t>3.具备使用再生水条件但未充分利用的钢铁、火电、化工、制浆造纸、印染等项目，不得批准其新增取水许可。在沿海地区电力、化工、石化等行业，推行直接利用海水作为循环冷却等工业用水。</w:t>
                  </w:r>
                </w:p>
                <w:p>
                  <w:pPr>
                    <w:pStyle w:val="36"/>
                    <w:keepLines/>
                    <w:wordWrap w:val="0"/>
                    <w:jc w:val="left"/>
                    <w:rPr>
                      <w:color w:val="auto"/>
                    </w:rPr>
                  </w:pPr>
                  <w:r>
                    <w:rPr>
                      <w:rFonts w:hint="eastAsia"/>
                      <w:color w:val="auto"/>
                    </w:rPr>
                    <w:t>4.落实“闽环规〔2023〕1号”文件要求，不再新建每小时35蒸吨以下燃煤锅炉，以及每小时10蒸吨及以下燃生物质和其他使用高污染燃料的锅炉。集中供热管网覆盖范围内禁止新建、扩建分散燃煤、燃油等供热锅炉。</w:t>
                  </w:r>
                </w:p>
                <w:p>
                  <w:pPr>
                    <w:pStyle w:val="36"/>
                    <w:keepLines/>
                    <w:wordWrap w:val="0"/>
                    <w:jc w:val="left"/>
                    <w:rPr>
                      <w:rFonts w:cs="Times New Roman"/>
                      <w:color w:val="auto"/>
                    </w:rPr>
                  </w:pPr>
                  <w:r>
                    <w:rPr>
                      <w:rFonts w:hint="eastAsia"/>
                      <w:color w:val="auto"/>
                    </w:rPr>
                    <w:t>5.落实“闽环保大气〔2023〕5号”文件要求，按照“提气、转电、控煤”的发展思路，推动陶瓷行业进一步优化用能结构，实现能源消费清洁低碳化。</w:t>
                  </w:r>
                </w:p>
              </w:tc>
              <w:tc>
                <w:tcPr>
                  <w:tcW w:w="4094" w:type="dxa"/>
                  <w:tcBorders>
                    <w:tl2br w:val="nil"/>
                    <w:tr2bl w:val="nil"/>
                  </w:tcBorders>
                  <w:vAlign w:val="center"/>
                </w:tcPr>
                <w:p>
                  <w:pPr>
                    <w:pStyle w:val="36"/>
                    <w:keepLines/>
                    <w:wordWrap w:val="0"/>
                    <w:jc w:val="left"/>
                    <w:rPr>
                      <w:color w:val="auto"/>
                    </w:rPr>
                  </w:pPr>
                  <w:r>
                    <w:rPr>
                      <w:rFonts w:hint="eastAsia"/>
                      <w:color w:val="auto"/>
                    </w:rPr>
                    <w:t>1.项目不属于高耗能、高耗水的项目。</w:t>
                  </w:r>
                </w:p>
                <w:p>
                  <w:pPr>
                    <w:pStyle w:val="36"/>
                    <w:keepLines/>
                    <w:wordWrap w:val="0"/>
                    <w:jc w:val="left"/>
                    <w:rPr>
                      <w:color w:val="auto"/>
                    </w:rPr>
                  </w:pPr>
                  <w:r>
                    <w:rPr>
                      <w:rFonts w:hint="eastAsia"/>
                      <w:color w:val="auto"/>
                    </w:rPr>
                    <w:t>2.项目通过司法拍卖程序，依法取得位于</w:t>
                  </w:r>
                  <w:r>
                    <w:rPr>
                      <w:rFonts w:hint="eastAsia"/>
                      <w:color w:val="auto"/>
                      <w:lang w:eastAsia="zh-CN"/>
                    </w:rPr>
                    <w:t>福清融侨经济技术开发区洪宽工业村</w:t>
                  </w:r>
                  <w:r>
                    <w:rPr>
                      <w:rFonts w:hint="eastAsia"/>
                      <w:color w:val="auto"/>
                    </w:rPr>
                    <w:t>（福清市阳下街道屿边村160号）的不动产权，作为生产经营场所。</w:t>
                  </w:r>
                </w:p>
                <w:p>
                  <w:pPr>
                    <w:pStyle w:val="36"/>
                    <w:keepLines/>
                    <w:wordWrap w:val="0"/>
                    <w:jc w:val="left"/>
                    <w:rPr>
                      <w:color w:val="auto"/>
                    </w:rPr>
                  </w:pPr>
                  <w:r>
                    <w:rPr>
                      <w:rFonts w:hint="eastAsia"/>
                      <w:color w:val="auto"/>
                    </w:rPr>
                    <w:t>3.项目不属于钢铁、火电、化工、制浆造纸、印染等项目，也不属于电力、化工、石化等行业。</w:t>
                  </w:r>
                </w:p>
                <w:p>
                  <w:pPr>
                    <w:pStyle w:val="36"/>
                    <w:keepLines/>
                    <w:wordWrap w:val="0"/>
                    <w:jc w:val="left"/>
                    <w:rPr>
                      <w:color w:val="auto"/>
                    </w:rPr>
                  </w:pPr>
                  <w:r>
                    <w:rPr>
                      <w:rFonts w:hint="eastAsia"/>
                      <w:color w:val="auto"/>
                    </w:rPr>
                    <w:t>4.项目不涉及燃煤、燃油锅炉。</w:t>
                  </w:r>
                </w:p>
                <w:p>
                  <w:pPr>
                    <w:pStyle w:val="36"/>
                    <w:keepLines/>
                    <w:wordWrap w:val="0"/>
                    <w:jc w:val="left"/>
                    <w:rPr>
                      <w:rFonts w:cs="Times New Roman"/>
                      <w:color w:val="auto"/>
                    </w:rPr>
                  </w:pPr>
                  <w:r>
                    <w:rPr>
                      <w:rFonts w:hint="eastAsia"/>
                      <w:color w:val="auto"/>
                    </w:rPr>
                    <w:t>5.项目使用的能源为水、电，为清洁能源。</w:t>
                  </w:r>
                </w:p>
              </w:tc>
              <w:tc>
                <w:tcPr>
                  <w:tcW w:w="907" w:type="dxa"/>
                  <w:tcBorders>
                    <w:tl2br w:val="nil"/>
                    <w:tr2bl w:val="nil"/>
                  </w:tcBorders>
                  <w:vAlign w:val="center"/>
                </w:tcPr>
                <w:p>
                  <w:pPr>
                    <w:pStyle w:val="36"/>
                    <w:keepLines/>
                    <w:wordWrap w:val="0"/>
                    <w:rPr>
                      <w:rFonts w:cs="Times New Roman"/>
                      <w:color w:val="auto"/>
                    </w:rPr>
                  </w:pPr>
                  <w:r>
                    <w:rPr>
                      <w:rFonts w:hint="eastAsia"/>
                      <w:color w:val="auto"/>
                    </w:rPr>
                    <w:t>符合</w:t>
                  </w:r>
                </w:p>
              </w:tc>
            </w:tr>
          </w:tbl>
          <w:p>
            <w:pPr>
              <w:ind w:firstLine="482"/>
              <w:jc w:val="center"/>
              <w:rPr>
                <w:b/>
                <w:bCs/>
                <w:color w:val="auto"/>
              </w:rPr>
            </w:pPr>
          </w:p>
          <w:p>
            <w:pPr>
              <w:ind w:firstLine="482"/>
              <w:jc w:val="center"/>
              <w:rPr>
                <w:b/>
                <w:bCs/>
                <w:color w:val="auto"/>
              </w:rPr>
            </w:pPr>
          </w:p>
          <w:p>
            <w:pPr>
              <w:ind w:firstLine="482"/>
              <w:jc w:val="center"/>
              <w:rPr>
                <w:b/>
                <w:bCs/>
                <w:color w:val="auto"/>
              </w:rPr>
            </w:pPr>
          </w:p>
          <w:p>
            <w:pPr>
              <w:ind w:firstLine="482"/>
              <w:jc w:val="center"/>
              <w:rPr>
                <w:b/>
                <w:bCs/>
                <w:color w:val="auto"/>
              </w:rPr>
            </w:pPr>
          </w:p>
          <w:p>
            <w:pPr>
              <w:pStyle w:val="37"/>
              <w:rPr>
                <w:color w:val="auto"/>
              </w:rPr>
            </w:pPr>
          </w:p>
          <w:p>
            <w:pPr>
              <w:pStyle w:val="37"/>
              <w:spacing w:line="240" w:lineRule="auto"/>
              <w:rPr>
                <w:color w:val="auto"/>
              </w:rPr>
            </w:pPr>
            <w:r>
              <w:rPr>
                <w:color w:val="auto"/>
              </w:rPr>
              <w:t>表</w:t>
            </w:r>
            <w:r>
              <w:rPr>
                <w:rFonts w:hint="eastAsia"/>
                <w:color w:val="auto"/>
              </w:rPr>
              <w:t>1</w:t>
            </w:r>
            <w:r>
              <w:rPr>
                <w:rFonts w:hint="eastAsia"/>
                <w:color w:val="auto"/>
                <w:lang w:val="en-US"/>
              </w:rPr>
              <w:t>-</w:t>
            </w:r>
            <w:r>
              <w:rPr>
                <w:rFonts w:hint="eastAsia"/>
                <w:color w:val="auto"/>
                <w:lang w:val="en-US" w:eastAsia="zh-CN"/>
              </w:rPr>
              <w:t xml:space="preserve">5  </w:t>
            </w:r>
            <w:r>
              <w:rPr>
                <w:rFonts w:hint="eastAsia"/>
                <w:color w:val="auto"/>
              </w:rPr>
              <w:t>项目与</w:t>
            </w:r>
            <w:r>
              <w:rPr>
                <w:rFonts w:hint="eastAsia"/>
                <w:color w:val="auto"/>
                <w:lang w:val="en-US" w:eastAsia="zh-CN"/>
              </w:rPr>
              <w:t>福州市</w:t>
            </w:r>
            <w:r>
              <w:rPr>
                <w:rFonts w:hint="eastAsia"/>
                <w:color w:val="auto"/>
              </w:rPr>
              <w:t>陆域管控要求相符性分析</w:t>
            </w:r>
          </w:p>
          <w:tbl>
            <w:tblPr>
              <w:tblStyle w:val="27"/>
              <w:tblW w:w="499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4"/>
              <w:gridCol w:w="687"/>
              <w:gridCol w:w="8437"/>
              <w:gridCol w:w="2107"/>
              <w:gridCol w:w="7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tblHeader/>
                <w:jc w:val="center"/>
              </w:trPr>
              <w:tc>
                <w:tcPr>
                  <w:tcW w:w="278" w:type="pct"/>
                  <w:tcBorders>
                    <w:tl2br w:val="nil"/>
                    <w:tr2bl w:val="nil"/>
                  </w:tcBorders>
                  <w:tcMar>
                    <w:top w:w="0" w:type="dxa"/>
                    <w:left w:w="28" w:type="dxa"/>
                    <w:bottom w:w="0" w:type="dxa"/>
                    <w:right w:w="28" w:type="dxa"/>
                  </w:tcMar>
                  <w:vAlign w:val="center"/>
                </w:tcPr>
                <w:p>
                  <w:pPr>
                    <w:pStyle w:val="36"/>
                    <w:rPr>
                      <w:color w:val="auto"/>
                    </w:rPr>
                  </w:pPr>
                  <w:r>
                    <w:rPr>
                      <w:color w:val="auto"/>
                    </w:rPr>
                    <w:t>适用</w:t>
                  </w:r>
                </w:p>
                <w:p>
                  <w:pPr>
                    <w:pStyle w:val="36"/>
                    <w:rPr>
                      <w:color w:val="auto"/>
                    </w:rPr>
                  </w:pPr>
                  <w:r>
                    <w:rPr>
                      <w:color w:val="auto"/>
                    </w:rPr>
                    <w:t>范围</w:t>
                  </w:r>
                </w:p>
              </w:tc>
              <w:tc>
                <w:tcPr>
                  <w:tcW w:w="3606" w:type="pct"/>
                  <w:gridSpan w:val="2"/>
                  <w:tcBorders>
                    <w:tl2br w:val="nil"/>
                    <w:tr2bl w:val="nil"/>
                  </w:tcBorders>
                  <w:tcMar>
                    <w:top w:w="0" w:type="dxa"/>
                    <w:left w:w="28" w:type="dxa"/>
                    <w:bottom w:w="0" w:type="dxa"/>
                    <w:right w:w="28" w:type="dxa"/>
                  </w:tcMar>
                  <w:vAlign w:val="center"/>
                </w:tcPr>
                <w:p>
                  <w:pPr>
                    <w:pStyle w:val="36"/>
                    <w:rPr>
                      <w:color w:val="auto"/>
                    </w:rPr>
                  </w:pPr>
                  <w:r>
                    <w:rPr>
                      <w:color w:val="auto"/>
                    </w:rPr>
                    <w:t>准入要求</w:t>
                  </w:r>
                </w:p>
              </w:tc>
              <w:tc>
                <w:tcPr>
                  <w:tcW w:w="832" w:type="pct"/>
                  <w:tcBorders>
                    <w:tl2br w:val="nil"/>
                    <w:tr2bl w:val="nil"/>
                  </w:tcBorders>
                  <w:tcMar>
                    <w:top w:w="0" w:type="dxa"/>
                    <w:left w:w="28" w:type="dxa"/>
                    <w:bottom w:w="0" w:type="dxa"/>
                    <w:right w:w="28" w:type="dxa"/>
                  </w:tcMar>
                  <w:vAlign w:val="center"/>
                </w:tcPr>
                <w:p>
                  <w:pPr>
                    <w:pStyle w:val="36"/>
                    <w:rPr>
                      <w:color w:val="auto"/>
                    </w:rPr>
                  </w:pPr>
                  <w:r>
                    <w:rPr>
                      <w:color w:val="auto"/>
                    </w:rPr>
                    <w:t>本项目情况</w:t>
                  </w:r>
                </w:p>
              </w:tc>
              <w:tc>
                <w:tcPr>
                  <w:tcW w:w="282" w:type="pct"/>
                  <w:tcBorders>
                    <w:tl2br w:val="nil"/>
                    <w:tr2bl w:val="nil"/>
                  </w:tcBorders>
                  <w:tcMar>
                    <w:top w:w="0" w:type="dxa"/>
                    <w:left w:w="28" w:type="dxa"/>
                    <w:bottom w:w="0" w:type="dxa"/>
                    <w:right w:w="28" w:type="dxa"/>
                  </w:tcMar>
                  <w:vAlign w:val="center"/>
                </w:tcPr>
                <w:p>
                  <w:pPr>
                    <w:pStyle w:val="36"/>
                    <w:rPr>
                      <w:color w:val="auto"/>
                    </w:rPr>
                  </w:pPr>
                  <w:r>
                    <w:rPr>
                      <w:color w:val="auto"/>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78" w:type="pct"/>
                  <w:vMerge w:val="restart"/>
                  <w:tcBorders>
                    <w:tl2br w:val="nil"/>
                    <w:tr2bl w:val="nil"/>
                  </w:tcBorders>
                  <w:tcMar>
                    <w:top w:w="0" w:type="dxa"/>
                    <w:left w:w="28" w:type="dxa"/>
                    <w:bottom w:w="0" w:type="dxa"/>
                    <w:right w:w="28" w:type="dxa"/>
                  </w:tcMar>
                  <w:vAlign w:val="center"/>
                </w:tcPr>
                <w:p>
                  <w:pPr>
                    <w:pStyle w:val="36"/>
                    <w:rPr>
                      <w:color w:val="auto"/>
                    </w:rPr>
                  </w:pPr>
                  <w:r>
                    <w:rPr>
                      <w:color w:val="auto"/>
                    </w:rPr>
                    <w:t>福州市陆域</w:t>
                  </w:r>
                </w:p>
              </w:tc>
              <w:tc>
                <w:tcPr>
                  <w:tcW w:w="271" w:type="pct"/>
                  <w:vMerge w:val="restart"/>
                  <w:tcBorders>
                    <w:tl2br w:val="nil"/>
                    <w:tr2bl w:val="nil"/>
                  </w:tcBorders>
                  <w:tcMar>
                    <w:top w:w="0" w:type="dxa"/>
                    <w:left w:w="28" w:type="dxa"/>
                    <w:bottom w:w="0" w:type="dxa"/>
                    <w:right w:w="28" w:type="dxa"/>
                  </w:tcMar>
                  <w:vAlign w:val="center"/>
                </w:tcPr>
                <w:p>
                  <w:pPr>
                    <w:pStyle w:val="36"/>
                    <w:rPr>
                      <w:color w:val="auto"/>
                    </w:rPr>
                  </w:pPr>
                  <w:r>
                    <w:rPr>
                      <w:color w:val="auto"/>
                    </w:rPr>
                    <w:t>空间布局约束</w:t>
                  </w:r>
                </w:p>
              </w:tc>
              <w:tc>
                <w:tcPr>
                  <w:tcW w:w="3335" w:type="pct"/>
                  <w:tcBorders>
                    <w:tl2br w:val="nil"/>
                    <w:tr2bl w:val="nil"/>
                  </w:tcBorders>
                  <w:tcMar>
                    <w:top w:w="0" w:type="dxa"/>
                    <w:left w:w="28" w:type="dxa"/>
                    <w:bottom w:w="0" w:type="dxa"/>
                    <w:right w:w="28" w:type="dxa"/>
                  </w:tcMar>
                  <w:vAlign w:val="center"/>
                </w:tcPr>
                <w:p>
                  <w:pPr>
                    <w:pStyle w:val="36"/>
                    <w:jc w:val="left"/>
                    <w:rPr>
                      <w:color w:val="auto"/>
                    </w:rPr>
                  </w:pPr>
                  <w:r>
                    <w:rPr>
                      <w:rFonts w:hint="eastAsia"/>
                      <w:color w:val="auto"/>
                    </w:rPr>
                    <w:t>一、优先保护单元中的生态保护红线</w:t>
                  </w:r>
                </w:p>
                <w:p>
                  <w:pPr>
                    <w:pStyle w:val="36"/>
                    <w:jc w:val="left"/>
                    <w:rPr>
                      <w:color w:val="auto"/>
                    </w:rPr>
                  </w:pPr>
                  <w:r>
                    <w:rPr>
                      <w:rFonts w:hint="eastAsia"/>
                      <w:color w:val="auto"/>
                    </w:rPr>
                    <w:t>1.根据《关于在国土空间规划中统筹划定落实三条控制线的指导意见》《自然资源部 生态环境部 国家林业和草原局关于加强生态保护红线管理的通知（试行）》，加强生态保护红线管理，严守自然生态安全边界。生态保护红线内，自然保护地核心保护区原则上禁止人为活动，其它区域禁止开发性、生产性建设活动，在符合法律法规的前提下，仅允许以下对生态功能不造成破坏的有限人为活动。生态保护红线内自然保护区、风景名胜区、饮用水水源保护区等区域，依照法律法规执行。</w:t>
                  </w:r>
                </w:p>
                <w:p>
                  <w:pPr>
                    <w:pStyle w:val="36"/>
                    <w:jc w:val="left"/>
                    <w:rPr>
                      <w:color w:val="auto"/>
                    </w:rPr>
                  </w:pPr>
                  <w:r>
                    <w:rPr>
                      <w:rFonts w:hint="eastAsia"/>
                      <w:color w:val="auto"/>
                    </w:rPr>
                    <w:t>（1）管护巡护、保护执法、科学研究、调查监测、测绘导航、防灾减灾救灾、军事国防、疫情防控等活动及相关的必要设施修筑。</w:t>
                  </w:r>
                </w:p>
                <w:p>
                  <w:pPr>
                    <w:pStyle w:val="36"/>
                    <w:jc w:val="left"/>
                    <w:rPr>
                      <w:color w:val="auto"/>
                    </w:rPr>
                  </w:pPr>
                  <w:r>
                    <w:rPr>
                      <w:rFonts w:hint="eastAsia"/>
                      <w:color w:val="auto"/>
                    </w:rPr>
                    <w:t>（2）原住居民和其他合法权益主体，允许在不扩大现有建设用地、用海用岛、耕地、水产养殖规模和放牧强度（符合草畜平衡管理规定）的前提下，开展种植、放牧、捕捞、养殖（不包括投礁型海洋牧场、围海养殖）等活动，修筑生产生活设施。</w:t>
                  </w:r>
                </w:p>
                <w:p>
                  <w:pPr>
                    <w:pStyle w:val="36"/>
                    <w:jc w:val="left"/>
                    <w:rPr>
                      <w:color w:val="auto"/>
                    </w:rPr>
                  </w:pPr>
                  <w:r>
                    <w:rPr>
                      <w:rFonts w:hint="eastAsia"/>
                      <w:color w:val="auto"/>
                    </w:rPr>
                    <w:t>（3）经依法批准的考古调查发掘、古生物化石调查发掘、标本采集和文物保护活动。</w:t>
                  </w:r>
                </w:p>
                <w:p>
                  <w:pPr>
                    <w:pStyle w:val="36"/>
                    <w:jc w:val="left"/>
                    <w:rPr>
                      <w:color w:val="auto"/>
                    </w:rPr>
                  </w:pPr>
                  <w:r>
                    <w:rPr>
                      <w:rFonts w:hint="eastAsia"/>
                      <w:color w:val="auto"/>
                    </w:rPr>
                    <w:t>（4）按规定对人工商品林进行抚育采伐，或以提升森林质量、优化栖息地、建设生物防火隔离带等为目的的树种更新，依法开展的竹林采伐经营。</w:t>
                  </w:r>
                </w:p>
                <w:p>
                  <w:pPr>
                    <w:pStyle w:val="36"/>
                    <w:jc w:val="left"/>
                    <w:rPr>
                      <w:color w:val="auto"/>
                    </w:rPr>
                  </w:pPr>
                  <w:r>
                    <w:rPr>
                      <w:rFonts w:hint="eastAsia"/>
                      <w:color w:val="auto"/>
                    </w:rPr>
                    <w:t>（5）不破坏生态功能的适度参观旅游、科普宣教及符合相关规划的配套性服务设施和相关的必要公共设施建设及维护。</w:t>
                  </w:r>
                </w:p>
                <w:p>
                  <w:pPr>
                    <w:pStyle w:val="36"/>
                    <w:jc w:val="left"/>
                    <w:rPr>
                      <w:color w:val="auto"/>
                    </w:rPr>
                  </w:pPr>
                  <w:r>
                    <w:rPr>
                      <w:rFonts w:hint="eastAsia"/>
                      <w:color w:val="auto"/>
                    </w:rPr>
                    <w:t>（6）必须且无法避让、符合县级以上国土空间规划的线性基础设施、通讯和防洪、供水设施建设和船舶航行、航道疏浚清淤等活动；已有的合法水利、交通运输等设施运行维护改造。</w:t>
                  </w:r>
                </w:p>
                <w:p>
                  <w:pPr>
                    <w:pStyle w:val="36"/>
                    <w:jc w:val="left"/>
                    <w:rPr>
                      <w:color w:val="auto"/>
                    </w:rPr>
                  </w:pPr>
                  <w:r>
                    <w:rPr>
                      <w:rFonts w:hint="eastAsia"/>
                      <w:color w:val="auto"/>
                    </w:rPr>
                    <w:t>（7）地质调查与矿产资源勘查开采。包括：基础地质调查和战略性矿产资源远景调查等公益性工作；铀矿勘查开采活动，可办理矿业权登记；已依法设立的油气探矿权继续勘查活动，可办理探矿权延续、变更（不含扩大勘查区块范围）、保留、注销，当发现可供开采油气资源并探明储量时，可将开采拟占用的地表或海域范围依照国家相关规定调出生态保护红线；已依法设立的油气采矿权不扩大用地用海范围，继续开采，可办理采矿权延续、变更（不含扩大矿区范围）、注销；已依法设立的矿泉水和地热采矿权，在不超出已经核定的生产规模、不新增生产设施的前提下继续开采，可办理采矿权延续、变更（不含扩大矿区范围）、注销；已依法设立和新立铬、铜、镍、锂、钴、锆、钾盐、（中）重稀土矿等战略性矿产探矿权开展勘查活动，可办理探矿权登记，因国家战略需要开展开采活动的，可办理采矿权登记。上述勘查开采活动，应落实减缓生态环境影响措施，严格执行绿色勘查、开采及矿山环境生态修复相关要求。</w:t>
                  </w:r>
                </w:p>
                <w:p>
                  <w:pPr>
                    <w:pStyle w:val="36"/>
                    <w:jc w:val="left"/>
                    <w:rPr>
                      <w:color w:val="auto"/>
                    </w:rPr>
                  </w:pPr>
                  <w:r>
                    <w:rPr>
                      <w:rFonts w:hint="eastAsia"/>
                      <w:color w:val="auto"/>
                    </w:rPr>
                    <w:t>（8）依据县级以上国土空间规划和生态保护修复专项规划开展的生态修复。</w:t>
                  </w:r>
                </w:p>
                <w:p>
                  <w:pPr>
                    <w:pStyle w:val="36"/>
                    <w:jc w:val="left"/>
                    <w:rPr>
                      <w:color w:val="auto"/>
                    </w:rPr>
                  </w:pPr>
                  <w:r>
                    <w:rPr>
                      <w:rFonts w:hint="eastAsia"/>
                      <w:color w:val="auto"/>
                    </w:rPr>
                    <w:t>（9）法律法规规定允许的其他人为活动。</w:t>
                  </w:r>
                </w:p>
                <w:p>
                  <w:pPr>
                    <w:pStyle w:val="36"/>
                    <w:jc w:val="left"/>
                    <w:rPr>
                      <w:color w:val="auto"/>
                    </w:rPr>
                  </w:pPr>
                  <w:r>
                    <w:rPr>
                      <w:rFonts w:hint="eastAsia"/>
                      <w:color w:val="auto"/>
                    </w:rPr>
                    <w:t>2.依据《福建省自然资源厅福建省生态环境厅福建省林业局关于进一步加强生态保护红线监管的通知（试行）》（闽自然资发〔2023〕56号），允许占用生态保护红线的重大项目范围：</w:t>
                  </w:r>
                </w:p>
                <w:p>
                  <w:pPr>
                    <w:pStyle w:val="36"/>
                    <w:jc w:val="left"/>
                    <w:rPr>
                      <w:color w:val="auto"/>
                    </w:rPr>
                  </w:pPr>
                  <w:r>
                    <w:rPr>
                      <w:color w:val="auto"/>
                    </w:rPr>
                    <w:t>（1）党中央、国务院发布文件或批准规划中明确具体名称的项目和国务院批准的项目。</w:t>
                  </w:r>
                </w:p>
                <w:p>
                  <w:pPr>
                    <w:pStyle w:val="36"/>
                    <w:jc w:val="left"/>
                    <w:rPr>
                      <w:color w:val="auto"/>
                    </w:rPr>
                  </w:pPr>
                  <w:r>
                    <w:rPr>
                      <w:color w:val="auto"/>
                    </w:rPr>
                    <w:t>（2）中央军委及其有关部门批准的军事国防项目。</w:t>
                  </w:r>
                </w:p>
                <w:p>
                  <w:pPr>
                    <w:pStyle w:val="36"/>
                    <w:jc w:val="left"/>
                    <w:rPr>
                      <w:color w:val="auto"/>
                    </w:rPr>
                  </w:pPr>
                  <w:r>
                    <w:rPr>
                      <w:color w:val="auto"/>
                    </w:rPr>
                    <w:t>（3）国家级规划（指国务院及其有关部门正式颁布）明确的交通、水利项目。</w:t>
                  </w:r>
                </w:p>
                <w:p>
                  <w:pPr>
                    <w:pStyle w:val="36"/>
                    <w:jc w:val="left"/>
                    <w:rPr>
                      <w:color w:val="auto"/>
                    </w:rPr>
                  </w:pPr>
                  <w:r>
                    <w:rPr>
                      <w:color w:val="auto"/>
                    </w:rPr>
                    <w:t>（4）国家级规划明确的电网项目，国家级规划明确的且符合国家产业政策的能源矿产勘查开采、油气管线、水电、核电项目。</w:t>
                  </w:r>
                </w:p>
                <w:p>
                  <w:pPr>
                    <w:pStyle w:val="36"/>
                    <w:jc w:val="left"/>
                    <w:rPr>
                      <w:color w:val="auto"/>
                    </w:rPr>
                  </w:pPr>
                  <w:r>
                    <w:rPr>
                      <w:color w:val="auto"/>
                    </w:rPr>
                    <w:t>（5）为贯彻落实党中央、国务院重大决策部署，国务院投资主管部门或国务院投资主管部门会同有关部门确认的交通、能源、水利等基础设施项目。</w:t>
                  </w:r>
                </w:p>
                <w:p>
                  <w:pPr>
                    <w:pStyle w:val="36"/>
                    <w:jc w:val="left"/>
                    <w:rPr>
                      <w:color w:val="auto"/>
                    </w:rPr>
                  </w:pPr>
                  <w:r>
                    <w:rPr>
                      <w:color w:val="auto"/>
                    </w:rPr>
                    <w:t>（6）按照国家重大项目用地保障工作机制要求，国家发展</w:t>
                  </w:r>
                  <w:r>
                    <w:rPr>
                      <w:rFonts w:hint="eastAsia"/>
                      <w:color w:val="auto"/>
                      <w:lang w:eastAsia="zh-CN"/>
                    </w:rPr>
                    <w:t>和改革委员会</w:t>
                  </w:r>
                  <w:r>
                    <w:rPr>
                      <w:color w:val="auto"/>
                    </w:rPr>
                    <w:t>同有关部门确认的需中央加大建设用地保障力度，确实难以避让的国家重大项目。</w:t>
                  </w:r>
                </w:p>
              </w:tc>
              <w:tc>
                <w:tcPr>
                  <w:tcW w:w="832" w:type="pct"/>
                  <w:tcBorders>
                    <w:tl2br w:val="nil"/>
                    <w:tr2bl w:val="nil"/>
                  </w:tcBorders>
                  <w:tcMar>
                    <w:top w:w="0" w:type="dxa"/>
                    <w:left w:w="28" w:type="dxa"/>
                    <w:bottom w:w="0" w:type="dxa"/>
                    <w:right w:w="28" w:type="dxa"/>
                  </w:tcMar>
                  <w:vAlign w:val="center"/>
                </w:tcPr>
                <w:p>
                  <w:pPr>
                    <w:pStyle w:val="36"/>
                    <w:wordWrap w:val="0"/>
                    <w:rPr>
                      <w:color w:val="auto"/>
                    </w:rPr>
                  </w:pPr>
                  <w:r>
                    <w:rPr>
                      <w:rFonts w:hint="eastAsia"/>
                      <w:color w:val="auto"/>
                    </w:rPr>
                    <w:t>本项目位于福清市，属于福清融侨经济技术开发区（环境管控单元编码ZH35018120003）和福清市重点管控单元1（环境管控单元编码ZH35018120008），</w:t>
                  </w:r>
                  <w:r>
                    <w:rPr>
                      <w:color w:val="auto"/>
                    </w:rPr>
                    <w:t>不涉及</w:t>
                  </w:r>
                  <w:r>
                    <w:rPr>
                      <w:rFonts w:hint="eastAsia"/>
                      <w:color w:val="auto"/>
                    </w:rPr>
                    <w:t>优先保护单元中的生态保护红线。</w:t>
                  </w:r>
                </w:p>
              </w:tc>
              <w:tc>
                <w:tcPr>
                  <w:tcW w:w="282" w:type="pct"/>
                  <w:tcBorders>
                    <w:tl2br w:val="nil"/>
                    <w:tr2bl w:val="nil"/>
                  </w:tcBorders>
                  <w:tcMar>
                    <w:top w:w="0" w:type="dxa"/>
                    <w:left w:w="28" w:type="dxa"/>
                    <w:bottom w:w="0" w:type="dxa"/>
                    <w:right w:w="28" w:type="dxa"/>
                  </w:tcMar>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821" w:hRule="atLeast"/>
                <w:jc w:val="center"/>
              </w:trPr>
              <w:tc>
                <w:tcPr>
                  <w:tcW w:w="278" w:type="pct"/>
                  <w:vMerge w:val="continue"/>
                  <w:tcBorders>
                    <w:tl2br w:val="nil"/>
                    <w:tr2bl w:val="nil"/>
                  </w:tcBorders>
                  <w:tcMar>
                    <w:top w:w="0" w:type="dxa"/>
                    <w:left w:w="28" w:type="dxa"/>
                    <w:bottom w:w="0" w:type="dxa"/>
                    <w:right w:w="28" w:type="dxa"/>
                  </w:tcMar>
                  <w:vAlign w:val="center"/>
                </w:tcPr>
                <w:p>
                  <w:pPr>
                    <w:pStyle w:val="36"/>
                    <w:rPr>
                      <w:color w:val="auto"/>
                    </w:rPr>
                  </w:pPr>
                </w:p>
              </w:tc>
              <w:tc>
                <w:tcPr>
                  <w:tcW w:w="271" w:type="pct"/>
                  <w:vMerge w:val="continue"/>
                  <w:tcBorders>
                    <w:tl2br w:val="nil"/>
                    <w:tr2bl w:val="nil"/>
                  </w:tcBorders>
                  <w:tcMar>
                    <w:top w:w="0" w:type="dxa"/>
                    <w:left w:w="28" w:type="dxa"/>
                    <w:bottom w:w="0" w:type="dxa"/>
                    <w:right w:w="28" w:type="dxa"/>
                  </w:tcMar>
                  <w:vAlign w:val="center"/>
                </w:tcPr>
                <w:p>
                  <w:pPr>
                    <w:pStyle w:val="36"/>
                    <w:jc w:val="left"/>
                    <w:rPr>
                      <w:color w:val="auto"/>
                    </w:rPr>
                  </w:pPr>
                </w:p>
              </w:tc>
              <w:tc>
                <w:tcPr>
                  <w:tcW w:w="3335" w:type="pct"/>
                  <w:tcBorders>
                    <w:tl2br w:val="nil"/>
                    <w:tr2bl w:val="nil"/>
                  </w:tcBorders>
                  <w:tcMar>
                    <w:top w:w="0" w:type="dxa"/>
                    <w:left w:w="28" w:type="dxa"/>
                    <w:bottom w:w="0" w:type="dxa"/>
                    <w:right w:w="28" w:type="dxa"/>
                  </w:tcMar>
                  <w:vAlign w:val="center"/>
                </w:tcPr>
                <w:p>
                  <w:pPr>
                    <w:pStyle w:val="36"/>
                    <w:jc w:val="left"/>
                    <w:rPr>
                      <w:color w:val="auto"/>
                    </w:rPr>
                  </w:pPr>
                  <w:r>
                    <w:rPr>
                      <w:color w:val="auto"/>
                    </w:rPr>
                    <w:t>二、优先保护单元中的一般生态空间</w:t>
                  </w:r>
                </w:p>
                <w:p>
                  <w:pPr>
                    <w:pStyle w:val="36"/>
                    <w:jc w:val="left"/>
                    <w:rPr>
                      <w:color w:val="auto"/>
                    </w:rPr>
                  </w:pPr>
                  <w:r>
                    <w:rPr>
                      <w:color w:val="auto"/>
                    </w:rPr>
                    <w:t>1.一般生态空间以保护和修复生态环境、提供生态产品和服务为首要任务，因地制宜地发展不影响主体功能定位的适宜产业。</w:t>
                  </w:r>
                </w:p>
                <w:p>
                  <w:pPr>
                    <w:pStyle w:val="36"/>
                    <w:jc w:val="left"/>
                    <w:rPr>
                      <w:color w:val="auto"/>
                    </w:rPr>
                  </w:pPr>
                  <w:r>
                    <w:rPr>
                      <w:color w:val="auto"/>
                    </w:rPr>
                    <w:t>2.一般生态空间内未纳入生态保护红线的饮用水水源保护区等各类法定保护地，其管控要求依照相关法律法规执行。</w:t>
                  </w:r>
                </w:p>
                <w:p>
                  <w:pPr>
                    <w:pStyle w:val="36"/>
                    <w:jc w:val="left"/>
                    <w:rPr>
                      <w:color w:val="auto"/>
                    </w:rPr>
                  </w:pPr>
                  <w:r>
                    <w:rPr>
                      <w:color w:val="auto"/>
                    </w:rPr>
                    <w:t>3.一般生态空间内现有合法的水泥厂、矿山开发等生产性设施及生活垃圾处置等民生工程予以保留，应按照法律法规要求落实污染防治和生态保护措施，避免对生态功能造成破坏。</w:t>
                  </w:r>
                </w:p>
              </w:tc>
              <w:tc>
                <w:tcPr>
                  <w:tcW w:w="832" w:type="pct"/>
                  <w:tcBorders>
                    <w:tl2br w:val="nil"/>
                    <w:tr2bl w:val="nil"/>
                  </w:tcBorders>
                  <w:tcMar>
                    <w:top w:w="0" w:type="dxa"/>
                    <w:left w:w="28" w:type="dxa"/>
                    <w:bottom w:w="0" w:type="dxa"/>
                    <w:right w:w="28" w:type="dxa"/>
                  </w:tcMar>
                  <w:vAlign w:val="center"/>
                </w:tcPr>
                <w:p>
                  <w:pPr>
                    <w:pStyle w:val="36"/>
                    <w:rPr>
                      <w:color w:val="auto"/>
                    </w:rPr>
                  </w:pPr>
                  <w:r>
                    <w:rPr>
                      <w:rFonts w:hint="eastAsia"/>
                      <w:color w:val="auto"/>
                    </w:rPr>
                    <w:t>本项目位于福清市，属于福清融侨经济技术开发区（环境管控单元编码ZH35018120003）和福清市重点管控单元1（环境管控单元编码ZH35018120008），</w:t>
                  </w:r>
                  <w:r>
                    <w:rPr>
                      <w:color w:val="auto"/>
                    </w:rPr>
                    <w:t>不涉及</w:t>
                  </w:r>
                  <w:r>
                    <w:rPr>
                      <w:rFonts w:hint="eastAsia"/>
                      <w:color w:val="auto"/>
                    </w:rPr>
                    <w:t>优先保护单元中的一般生态空间。</w:t>
                  </w:r>
                </w:p>
              </w:tc>
              <w:tc>
                <w:tcPr>
                  <w:tcW w:w="282" w:type="pct"/>
                  <w:tcBorders>
                    <w:tl2br w:val="nil"/>
                    <w:tr2bl w:val="nil"/>
                  </w:tcBorders>
                  <w:tcMar>
                    <w:top w:w="0" w:type="dxa"/>
                    <w:left w:w="28" w:type="dxa"/>
                    <w:bottom w:w="0" w:type="dxa"/>
                    <w:right w:w="28" w:type="dxa"/>
                  </w:tcMar>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278" w:type="pct"/>
                  <w:vMerge w:val="continue"/>
                  <w:tcBorders>
                    <w:tl2br w:val="nil"/>
                    <w:tr2bl w:val="nil"/>
                  </w:tcBorders>
                  <w:tcMar>
                    <w:top w:w="0" w:type="dxa"/>
                    <w:left w:w="28" w:type="dxa"/>
                    <w:bottom w:w="0" w:type="dxa"/>
                    <w:right w:w="28" w:type="dxa"/>
                  </w:tcMar>
                  <w:vAlign w:val="center"/>
                </w:tcPr>
                <w:p>
                  <w:pPr>
                    <w:pStyle w:val="36"/>
                    <w:rPr>
                      <w:color w:val="auto"/>
                    </w:rPr>
                  </w:pPr>
                </w:p>
              </w:tc>
              <w:tc>
                <w:tcPr>
                  <w:tcW w:w="271" w:type="pct"/>
                  <w:vMerge w:val="continue"/>
                  <w:tcBorders>
                    <w:tl2br w:val="nil"/>
                    <w:tr2bl w:val="nil"/>
                  </w:tcBorders>
                  <w:tcMar>
                    <w:top w:w="0" w:type="dxa"/>
                    <w:left w:w="28" w:type="dxa"/>
                    <w:bottom w:w="0" w:type="dxa"/>
                    <w:right w:w="28" w:type="dxa"/>
                  </w:tcMar>
                  <w:vAlign w:val="center"/>
                </w:tcPr>
                <w:p>
                  <w:pPr>
                    <w:pStyle w:val="36"/>
                    <w:jc w:val="left"/>
                    <w:rPr>
                      <w:color w:val="auto"/>
                    </w:rPr>
                  </w:pPr>
                </w:p>
              </w:tc>
              <w:tc>
                <w:tcPr>
                  <w:tcW w:w="3335" w:type="pct"/>
                  <w:tcBorders>
                    <w:tl2br w:val="nil"/>
                    <w:tr2bl w:val="nil"/>
                  </w:tcBorders>
                  <w:tcMar>
                    <w:top w:w="0" w:type="dxa"/>
                    <w:left w:w="28" w:type="dxa"/>
                    <w:bottom w:w="0" w:type="dxa"/>
                    <w:right w:w="28" w:type="dxa"/>
                  </w:tcMar>
                  <w:vAlign w:val="center"/>
                </w:tcPr>
                <w:p>
                  <w:pPr>
                    <w:pStyle w:val="36"/>
                    <w:jc w:val="left"/>
                    <w:rPr>
                      <w:color w:val="auto"/>
                    </w:rPr>
                  </w:pPr>
                  <w:r>
                    <w:rPr>
                      <w:color w:val="auto"/>
                    </w:rPr>
                    <w:t>三、其它要求</w:t>
                  </w:r>
                </w:p>
                <w:p>
                  <w:pPr>
                    <w:pStyle w:val="36"/>
                    <w:jc w:val="left"/>
                    <w:rPr>
                      <w:color w:val="auto"/>
                    </w:rPr>
                  </w:pPr>
                  <w:r>
                    <w:rPr>
                      <w:color w:val="auto"/>
                    </w:rPr>
                    <w:t>1.福州市石化中上游项目重点在福州江阴港城经济区、可门港经济区化工新材料产业园布局。</w:t>
                  </w:r>
                </w:p>
                <w:p>
                  <w:pPr>
                    <w:pStyle w:val="36"/>
                    <w:jc w:val="left"/>
                    <w:rPr>
                      <w:color w:val="auto"/>
                    </w:rPr>
                  </w:pPr>
                  <w:r>
                    <w:rPr>
                      <w:color w:val="auto"/>
                    </w:rPr>
                    <w:t>2.禁止在闽江马尾罗星塔以上流域范围新、扩建制革项目，严控新（扩）建植物制浆、印染、合成革及人造革、电镀项目。</w:t>
                  </w:r>
                </w:p>
                <w:p>
                  <w:pPr>
                    <w:pStyle w:val="36"/>
                    <w:jc w:val="left"/>
                    <w:rPr>
                      <w:color w:val="auto"/>
                    </w:rPr>
                  </w:pPr>
                  <w:r>
                    <w:rPr>
                      <w:color w:val="auto"/>
                    </w:rPr>
                    <w:t>3.禁止在通风廊道和主导风向的上风向布局大气重污染企业，推进建成区大气重污染企业搬迁或升级改造、环境风险企业搬迁或关闭退出。</w:t>
                  </w:r>
                </w:p>
                <w:p>
                  <w:pPr>
                    <w:pStyle w:val="36"/>
                    <w:jc w:val="left"/>
                    <w:rPr>
                      <w:color w:val="auto"/>
                    </w:rPr>
                  </w:pPr>
                  <w:r>
                    <w:rPr>
                      <w:color w:val="auto"/>
                    </w:rPr>
                    <w:t>4.禁止新、改、扩建生产高VOCs含量有机溶剂型涂料、油墨和胶黏剂的项目。</w:t>
                  </w:r>
                </w:p>
                <w:p>
                  <w:pPr>
                    <w:pStyle w:val="36"/>
                    <w:jc w:val="left"/>
                    <w:rPr>
                      <w:color w:val="auto"/>
                    </w:rPr>
                  </w:pPr>
                  <w:r>
                    <w:rPr>
                      <w:color w:val="auto"/>
                    </w:rPr>
                    <w:t>5.持续加强闽清等地建陶产业的环境综合治理，充分衔接国土空间规划和生态环境分区管控，并对照产业政策、城市总体发展规划等要求，进一步明确发展定位，优化产业布局和规模。</w:t>
                  </w:r>
                </w:p>
                <w:p>
                  <w:pPr>
                    <w:pStyle w:val="36"/>
                    <w:jc w:val="left"/>
                    <w:rPr>
                      <w:color w:val="auto"/>
                    </w:rPr>
                  </w:pPr>
                  <w:r>
                    <w:rPr>
                      <w:color w:val="auto"/>
                    </w:rPr>
                    <w:t>6.新建、扩建的涉及重点重金属污染物</w:t>
                  </w:r>
                  <w:r>
                    <w:rPr>
                      <w:color w:val="auto"/>
                      <w:vertAlign w:val="superscript"/>
                    </w:rPr>
                    <w:t>［1］</w:t>
                  </w:r>
                  <w:r>
                    <w:rPr>
                      <w:color w:val="auto"/>
                    </w:rPr>
                    <w:t>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年底专业电镀企业入园率达到90%以上。</w:t>
                  </w:r>
                </w:p>
                <w:p>
                  <w:pPr>
                    <w:pStyle w:val="36"/>
                    <w:jc w:val="left"/>
                    <w:rPr>
                      <w:color w:val="auto"/>
                    </w:rPr>
                  </w:pPr>
                  <w:r>
                    <w:rPr>
                      <w:color w:val="auto"/>
                    </w:rPr>
                    <w:t>7.禁止在流域上游新建、扩建重污染企业和项目。</w:t>
                  </w:r>
                </w:p>
                <w:p>
                  <w:pPr>
                    <w:pStyle w:val="36"/>
                    <w:jc w:val="left"/>
                    <w:rPr>
                      <w:color w:val="auto"/>
                    </w:rPr>
                  </w:pPr>
                  <w:r>
                    <w:rPr>
                      <w:color w:val="auto"/>
                    </w:rPr>
                    <w:t>8.重要敏感水体及富营养化湖库生态缓冲带除相关政府部门批准的科学研究活动外，禁止其它可能对保护区构成危害或不良影响的大规模生产、建设活动。</w:t>
                  </w:r>
                </w:p>
                <w:p>
                  <w:pPr>
                    <w:pStyle w:val="36"/>
                    <w:jc w:val="left"/>
                    <w:rPr>
                      <w:color w:val="auto"/>
                    </w:rPr>
                  </w:pPr>
                  <w:r>
                    <w:rPr>
                      <w:color w:val="auto"/>
                    </w:rPr>
                    <w:t>9.新、改、扩建煤电、钢铁、建材、石化、化工等</w:t>
                  </w:r>
                  <w:r>
                    <w:rPr>
                      <w:rFonts w:hint="eastAsia"/>
                      <w:color w:val="auto"/>
                    </w:rPr>
                    <w:t>“</w:t>
                  </w:r>
                  <w:r>
                    <w:rPr>
                      <w:color w:val="auto"/>
                    </w:rPr>
                    <w:t>两高</w:t>
                  </w:r>
                  <w:r>
                    <w:rPr>
                      <w:rFonts w:hint="eastAsia"/>
                      <w:color w:val="auto"/>
                    </w:rPr>
                    <w:t>”</w:t>
                  </w:r>
                  <w:r>
                    <w:rPr>
                      <w:color w:val="auto"/>
                    </w:rPr>
                    <w:t>项目，严格落实国家、省、市产业规划、产业政策、</w:t>
                  </w:r>
                  <w:r>
                    <w:rPr>
                      <w:rFonts w:hint="eastAsia"/>
                      <w:color w:val="auto"/>
                    </w:rPr>
                    <w:t>“</w:t>
                  </w:r>
                  <w:r>
                    <w:rPr>
                      <w:color w:val="auto"/>
                    </w:rPr>
                    <w:t>三线一单</w:t>
                  </w:r>
                  <w:r>
                    <w:rPr>
                      <w:rFonts w:hint="eastAsia"/>
                      <w:color w:val="auto"/>
                    </w:rPr>
                    <w:t>”</w:t>
                  </w:r>
                  <w:r>
                    <w:rPr>
                      <w:color w:val="auto"/>
                    </w:rPr>
                    <w:t>、规划环评，以及产能置换、煤炭消费减量替代、区域污染削减等相关要求。</w:t>
                  </w:r>
                </w:p>
                <w:p>
                  <w:pPr>
                    <w:pStyle w:val="36"/>
                    <w:jc w:val="left"/>
                    <w:rPr>
                      <w:color w:val="auto"/>
                    </w:rPr>
                  </w:pPr>
                  <w:r>
                    <w:rPr>
                      <w:color w:val="auto"/>
                    </w:rPr>
                    <w:t>10.单元内涉及永久基本农田的，应按照《福建省基本农田保护条例》（2010年修正本）、《国土资源部关于全面实行永久</w:t>
                  </w:r>
                  <w:r>
                    <w:rPr>
                      <w:rFonts w:hint="eastAsia"/>
                      <w:color w:val="auto"/>
                      <w:lang w:eastAsia="zh-CN"/>
                    </w:rPr>
                    <w:t>基本</w:t>
                  </w:r>
                  <w:r>
                    <w:rPr>
                      <w:color w:val="auto"/>
                    </w:rPr>
                    <w:t>农田特殊保护的通知》（国土资规〔2018〕1号）、《</w:t>
                  </w:r>
                  <w:r>
                    <w:rPr>
                      <w:rFonts w:hint="eastAsia"/>
                      <w:color w:val="auto"/>
                    </w:rPr>
                    <w:t>中共中央国务院</w:t>
                  </w:r>
                  <w:r>
                    <w:rPr>
                      <w:color w:val="auto"/>
                    </w:rPr>
                    <w:t>关于加强耕地保护和改进占补平衡的意见》（2017年1月9日）等相关文件要求进</w:t>
                  </w:r>
                  <w:r>
                    <w:rPr>
                      <w:rFonts w:hint="eastAsia"/>
                      <w:color w:val="auto"/>
                    </w:rPr>
                    <w:t>行严</w:t>
                  </w:r>
                  <w:r>
                    <w:rPr>
                      <w:color w:val="auto"/>
                    </w:rPr>
                    <w:t>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832" w:type="pct"/>
                  <w:tcBorders>
                    <w:tl2br w:val="nil"/>
                    <w:tr2bl w:val="nil"/>
                  </w:tcBorders>
                  <w:tcMar>
                    <w:top w:w="0" w:type="dxa"/>
                    <w:left w:w="28" w:type="dxa"/>
                    <w:bottom w:w="0" w:type="dxa"/>
                    <w:right w:w="28" w:type="dxa"/>
                  </w:tcMar>
                  <w:vAlign w:val="center"/>
                </w:tcPr>
                <w:p>
                  <w:pPr>
                    <w:pStyle w:val="36"/>
                    <w:rPr>
                      <w:color w:val="auto"/>
                    </w:rPr>
                  </w:pPr>
                  <w:r>
                    <w:rPr>
                      <w:rFonts w:hint="eastAsia"/>
                      <w:color w:val="auto"/>
                    </w:rPr>
                    <w:t>本项目位于福州市</w:t>
                  </w:r>
                  <w:r>
                    <w:rPr>
                      <w:rFonts w:hint="eastAsia"/>
                      <w:color w:val="auto"/>
                      <w:lang w:eastAsia="zh-CN"/>
                    </w:rPr>
                    <w:t>福清融侨经济技术开发区洪宽工业村</w:t>
                  </w:r>
                  <w:r>
                    <w:rPr>
                      <w:rFonts w:hint="eastAsia"/>
                      <w:color w:val="auto"/>
                    </w:rPr>
                    <w:t>（福清市阳下街道屿边村160号）主要从事铜排、铜棒、铜丝的生产，属于C3251 铜压延加工，不涉及空间</w:t>
                  </w:r>
                  <w:r>
                    <w:rPr>
                      <w:color w:val="auto"/>
                    </w:rPr>
                    <w:t>布局约束</w:t>
                  </w:r>
                  <w:r>
                    <w:rPr>
                      <w:rFonts w:hint="eastAsia"/>
                      <w:color w:val="auto"/>
                    </w:rPr>
                    <w:t>1、2、3、4、5、6、7、8、9、10条款；</w:t>
                  </w:r>
                </w:p>
                <w:p>
                  <w:pPr>
                    <w:pStyle w:val="36"/>
                    <w:rPr>
                      <w:color w:val="auto"/>
                    </w:rPr>
                  </w:pPr>
                </w:p>
              </w:tc>
              <w:tc>
                <w:tcPr>
                  <w:tcW w:w="282" w:type="pct"/>
                  <w:tcBorders>
                    <w:tl2br w:val="nil"/>
                    <w:tr2bl w:val="nil"/>
                  </w:tcBorders>
                  <w:tcMar>
                    <w:top w:w="0" w:type="dxa"/>
                    <w:left w:w="28" w:type="dxa"/>
                    <w:bottom w:w="0" w:type="dxa"/>
                    <w:right w:w="28" w:type="dxa"/>
                  </w:tcMar>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78" w:type="pct"/>
                  <w:vMerge w:val="continue"/>
                  <w:tcBorders>
                    <w:tl2br w:val="nil"/>
                    <w:tr2bl w:val="nil"/>
                  </w:tcBorders>
                  <w:tcMar>
                    <w:top w:w="0" w:type="dxa"/>
                    <w:left w:w="28" w:type="dxa"/>
                    <w:bottom w:w="0" w:type="dxa"/>
                    <w:right w:w="28" w:type="dxa"/>
                  </w:tcMar>
                  <w:vAlign w:val="center"/>
                </w:tcPr>
                <w:p>
                  <w:pPr>
                    <w:pStyle w:val="36"/>
                    <w:rPr>
                      <w:color w:val="auto"/>
                    </w:rPr>
                  </w:pPr>
                </w:p>
              </w:tc>
              <w:tc>
                <w:tcPr>
                  <w:tcW w:w="271" w:type="pct"/>
                  <w:tcBorders>
                    <w:tl2br w:val="nil"/>
                    <w:tr2bl w:val="nil"/>
                  </w:tcBorders>
                  <w:tcMar>
                    <w:top w:w="0" w:type="dxa"/>
                    <w:left w:w="28" w:type="dxa"/>
                    <w:bottom w:w="0" w:type="dxa"/>
                    <w:right w:w="28" w:type="dxa"/>
                  </w:tcMar>
                  <w:vAlign w:val="center"/>
                </w:tcPr>
                <w:p>
                  <w:pPr>
                    <w:pStyle w:val="36"/>
                    <w:jc w:val="left"/>
                    <w:rPr>
                      <w:color w:val="auto"/>
                    </w:rPr>
                  </w:pPr>
                  <w:r>
                    <w:rPr>
                      <w:color w:val="auto"/>
                    </w:rPr>
                    <w:t>污染物排放管控</w:t>
                  </w:r>
                </w:p>
              </w:tc>
              <w:tc>
                <w:tcPr>
                  <w:tcW w:w="3335" w:type="pct"/>
                  <w:tcBorders>
                    <w:tl2br w:val="nil"/>
                    <w:tr2bl w:val="nil"/>
                  </w:tcBorders>
                  <w:tcMar>
                    <w:top w:w="0" w:type="dxa"/>
                    <w:left w:w="28" w:type="dxa"/>
                    <w:bottom w:w="0" w:type="dxa"/>
                    <w:right w:w="28" w:type="dxa"/>
                  </w:tcMar>
                  <w:vAlign w:val="center"/>
                </w:tcPr>
                <w:p>
                  <w:pPr>
                    <w:pStyle w:val="36"/>
                    <w:jc w:val="left"/>
                    <w:rPr>
                      <w:color w:val="auto"/>
                    </w:rPr>
                  </w:pPr>
                  <w:r>
                    <w:rPr>
                      <w:color w:val="auto"/>
                    </w:rPr>
                    <w:t>1.工业类新（改、扩）建项目新增主要污染物（水污染物化学需氧量、氨氮和大气污染物二氧化硫、氮氧化物）排放总量指标应符合区域环境质量和总量控制要求，立足于通过</w:t>
                  </w:r>
                  <w:r>
                    <w:rPr>
                      <w:rFonts w:hint="eastAsia"/>
                      <w:color w:val="auto"/>
                    </w:rPr>
                    <w:t>“</w:t>
                  </w:r>
                  <w:r>
                    <w:rPr>
                      <w:color w:val="auto"/>
                    </w:rPr>
                    <w:t>以新带老</w:t>
                  </w:r>
                  <w:r>
                    <w:rPr>
                      <w:rFonts w:hint="eastAsia"/>
                      <w:color w:val="auto"/>
                    </w:rPr>
                    <w:t>”</w:t>
                  </w:r>
                  <w:r>
                    <w:rPr>
                      <w:color w:val="auto"/>
                    </w:rPr>
                    <w:t>、削减存量，努力实现区域、企业自身总量平衡。总量指标来源、审核和监督管理按照</w:t>
                  </w:r>
                  <w:r>
                    <w:rPr>
                      <w:rFonts w:hint="eastAsia"/>
                      <w:color w:val="auto"/>
                    </w:rPr>
                    <w:t>“</w:t>
                  </w:r>
                  <w:r>
                    <w:rPr>
                      <w:color w:val="auto"/>
                    </w:rPr>
                    <w:t>榕环保综〔2017〕90号</w:t>
                  </w:r>
                  <w:r>
                    <w:rPr>
                      <w:rFonts w:hint="eastAsia"/>
                      <w:color w:val="auto"/>
                    </w:rPr>
                    <w:t>”</w:t>
                  </w:r>
                  <w:r>
                    <w:rPr>
                      <w:color w:val="auto"/>
                    </w:rPr>
                    <w:t>等相关文件执行。</w:t>
                  </w:r>
                </w:p>
                <w:p>
                  <w:pPr>
                    <w:pStyle w:val="36"/>
                    <w:jc w:val="left"/>
                    <w:rPr>
                      <w:color w:val="auto"/>
                    </w:rPr>
                  </w:pPr>
                  <w:r>
                    <w:rPr>
                      <w:color w:val="auto"/>
                    </w:rPr>
                    <w:t xml:space="preserve">2.新、改、扩建涉VOCs排放项目，应从源头加强控制，使用低（无）VOCs含量的原辅材料。 </w:t>
                  </w:r>
                </w:p>
                <w:p>
                  <w:pPr>
                    <w:pStyle w:val="36"/>
                    <w:jc w:val="left"/>
                    <w:rPr>
                      <w:color w:val="auto"/>
                    </w:rPr>
                  </w:pPr>
                  <w:r>
                    <w:rPr>
                      <w:color w:val="auto"/>
                    </w:rPr>
                    <w:t>3.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w:t>
                  </w:r>
                </w:p>
                <w:p>
                  <w:pPr>
                    <w:pStyle w:val="36"/>
                    <w:jc w:val="left"/>
                    <w:rPr>
                      <w:color w:val="auto"/>
                    </w:rPr>
                  </w:pPr>
                  <w:r>
                    <w:rPr>
                      <w:color w:val="auto"/>
                    </w:rPr>
                    <w:t>4.氟化工、印染、电镀等行业企业实行水污染物特别排放限值。</w:t>
                  </w:r>
                </w:p>
                <w:p>
                  <w:pPr>
                    <w:pStyle w:val="36"/>
                    <w:jc w:val="left"/>
                    <w:rPr>
                      <w:color w:val="auto"/>
                    </w:rPr>
                  </w:pPr>
                  <w:r>
                    <w:rPr>
                      <w:color w:val="auto"/>
                    </w:rPr>
                    <w:t>5.新、改、扩建重点行业</w:t>
                  </w:r>
                  <w:r>
                    <w:rPr>
                      <w:color w:val="auto"/>
                      <w:vertAlign w:val="superscript"/>
                    </w:rPr>
                    <w:t>［2］</w:t>
                  </w:r>
                  <w:r>
                    <w:rPr>
                      <w:color w:val="auto"/>
                    </w:rPr>
                    <w:t>建设项目要遵循重点重金属污染物排放</w:t>
                  </w:r>
                  <w:r>
                    <w:rPr>
                      <w:rFonts w:hint="eastAsia"/>
                      <w:color w:val="auto"/>
                    </w:rPr>
                    <w:t>“</w:t>
                  </w:r>
                  <w:r>
                    <w:rPr>
                      <w:color w:val="auto"/>
                    </w:rPr>
                    <w:t>等量替代</w:t>
                  </w:r>
                  <w:r>
                    <w:rPr>
                      <w:rFonts w:hint="eastAsia"/>
                      <w:color w:val="auto"/>
                    </w:rPr>
                    <w:t>”</w:t>
                  </w:r>
                  <w:r>
                    <w:rPr>
                      <w:color w:val="auto"/>
                    </w:rPr>
                    <w:t>原则，总量来源原则上应是同一重点行业内的削减量，当同一重点行业无法满足时可从其他重点行业调剂。</w:t>
                  </w:r>
                </w:p>
                <w:p>
                  <w:pPr>
                    <w:pStyle w:val="36"/>
                    <w:jc w:val="left"/>
                    <w:rPr>
                      <w:color w:val="auto"/>
                    </w:rPr>
                  </w:pPr>
                  <w:r>
                    <w:rPr>
                      <w:color w:val="auto"/>
                    </w:rPr>
                    <w:t>6.每小时35（含）</w:t>
                  </w:r>
                  <w:r>
                    <w:rPr>
                      <w:rFonts w:hint="eastAsia"/>
                      <w:color w:val="auto"/>
                    </w:rPr>
                    <w:t>至</w:t>
                  </w:r>
                  <w:r>
                    <w:rPr>
                      <w:color w:val="auto"/>
                    </w:rPr>
                    <w:t>65蒸吨燃煤锅炉和位于县级及以上城市建成区内保留的燃煤、燃油、燃生物质锅炉，原则上2024年底前必须全面实现超低排放。</w:t>
                  </w:r>
                </w:p>
                <w:p>
                  <w:pPr>
                    <w:pStyle w:val="36"/>
                    <w:jc w:val="left"/>
                    <w:rPr>
                      <w:color w:val="auto"/>
                    </w:rPr>
                  </w:pPr>
                  <w:r>
                    <w:rPr>
                      <w:color w:val="auto"/>
                    </w:rPr>
                    <w:t>7.水泥行业新改扩建项目严格对照超低排放、能效标杆水平建设实施；现有项目超低排放改造应按文件（闽环规〔2023〕2号）的时限要求分步推进，2025年底前全面完成</w:t>
                  </w:r>
                  <w:r>
                    <w:rPr>
                      <w:color w:val="auto"/>
                      <w:vertAlign w:val="superscript"/>
                    </w:rPr>
                    <w:t>［3］［4］</w:t>
                  </w:r>
                  <w:r>
                    <w:rPr>
                      <w:color w:val="auto"/>
                    </w:rPr>
                    <w:t>。</w:t>
                  </w:r>
                </w:p>
                <w:p>
                  <w:pPr>
                    <w:pStyle w:val="36"/>
                    <w:jc w:val="left"/>
                    <w:rPr>
                      <w:color w:val="auto"/>
                    </w:rPr>
                  </w:pPr>
                  <w:r>
                    <w:rPr>
                      <w:color w:val="auto"/>
                    </w:rPr>
                    <w:t>8.化工园区新建项目实施</w:t>
                  </w:r>
                  <w:r>
                    <w:rPr>
                      <w:rFonts w:hint="eastAsia"/>
                      <w:color w:val="auto"/>
                    </w:rPr>
                    <w:t>“</w:t>
                  </w:r>
                  <w:r>
                    <w:rPr>
                      <w:color w:val="auto"/>
                    </w:rPr>
                    <w:t>禁限控</w:t>
                  </w:r>
                  <w:r>
                    <w:rPr>
                      <w:rFonts w:hint="eastAsia"/>
                      <w:color w:val="auto"/>
                    </w:rPr>
                    <w:t>”</w:t>
                  </w:r>
                  <w:r>
                    <w:rPr>
                      <w:color w:val="auto"/>
                    </w:rPr>
                    <w:t>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tc>
              <w:tc>
                <w:tcPr>
                  <w:tcW w:w="832" w:type="pct"/>
                  <w:tcBorders>
                    <w:tl2br w:val="nil"/>
                    <w:tr2bl w:val="nil"/>
                  </w:tcBorders>
                  <w:tcMar>
                    <w:top w:w="0" w:type="dxa"/>
                    <w:left w:w="28" w:type="dxa"/>
                    <w:bottom w:w="0" w:type="dxa"/>
                    <w:right w:w="28" w:type="dxa"/>
                  </w:tcMar>
                  <w:vAlign w:val="center"/>
                </w:tcPr>
                <w:p>
                  <w:pPr>
                    <w:pStyle w:val="36"/>
                    <w:jc w:val="left"/>
                    <w:rPr>
                      <w:rFonts w:hint="eastAsia"/>
                      <w:color w:val="auto"/>
                    </w:rPr>
                  </w:pPr>
                </w:p>
                <w:p>
                  <w:pPr>
                    <w:pStyle w:val="36"/>
                    <w:jc w:val="left"/>
                    <w:rPr>
                      <w:color w:val="auto"/>
                    </w:rPr>
                  </w:pPr>
                  <w:r>
                    <w:rPr>
                      <w:rFonts w:hint="eastAsia"/>
                      <w:color w:val="auto"/>
                    </w:rPr>
                    <w:t>1、</w:t>
                  </w:r>
                  <w:r>
                    <w:rPr>
                      <w:rFonts w:cs="Times New Roman"/>
                      <w:color w:val="auto"/>
                    </w:rPr>
                    <w:t>项目</w:t>
                  </w:r>
                  <w:r>
                    <w:rPr>
                      <w:rFonts w:hint="eastAsia" w:cs="Times New Roman"/>
                      <w:color w:val="auto"/>
                    </w:rPr>
                    <w:t>不涉及工业废水排放，不涉及</w:t>
                  </w:r>
                  <w:r>
                    <w:rPr>
                      <w:color w:val="auto"/>
                    </w:rPr>
                    <w:t>大气污染物二氧化硫、氮氧化物</w:t>
                  </w:r>
                  <w:r>
                    <w:rPr>
                      <w:rFonts w:hint="eastAsia"/>
                      <w:color w:val="auto"/>
                    </w:rPr>
                    <w:t>。</w:t>
                  </w:r>
                </w:p>
                <w:p>
                  <w:pPr>
                    <w:pStyle w:val="36"/>
                    <w:jc w:val="left"/>
                    <w:rPr>
                      <w:rFonts w:hint="default" w:eastAsia="宋体"/>
                      <w:color w:val="auto"/>
                      <w:highlight w:val="none"/>
                      <w:lang w:val="en-US" w:eastAsia="zh-CN"/>
                    </w:rPr>
                  </w:pPr>
                  <w:r>
                    <w:rPr>
                      <w:rFonts w:hint="eastAsia"/>
                      <w:color w:val="auto"/>
                      <w:highlight w:val="none"/>
                    </w:rPr>
                    <w:t>2、项目使用的拉丝液（拉丝油与水的比例=1:15），稀释后拉丝液中VOCs含量为6.3%，</w:t>
                  </w:r>
                  <w:r>
                    <w:rPr>
                      <w:rFonts w:hint="eastAsia"/>
                      <w:color w:val="auto"/>
                      <w:highlight w:val="none"/>
                      <w:lang w:val="en-US" w:eastAsia="zh-CN"/>
                    </w:rPr>
                    <w:t>属于低VOCs含量的原辅材料。</w:t>
                  </w:r>
                </w:p>
                <w:p>
                  <w:pPr>
                    <w:pStyle w:val="36"/>
                    <w:jc w:val="left"/>
                    <w:rPr>
                      <w:color w:val="auto"/>
                    </w:rPr>
                  </w:pPr>
                  <w:r>
                    <w:rPr>
                      <w:rFonts w:hint="eastAsia"/>
                      <w:color w:val="auto"/>
                    </w:rPr>
                    <w:t>3、项目不属于</w:t>
                  </w:r>
                  <w:r>
                    <w:rPr>
                      <w:color w:val="auto"/>
                    </w:rPr>
                    <w:t>钢铁、水泥、平板玻璃、有色金属冶炼、化工</w:t>
                  </w:r>
                  <w:r>
                    <w:rPr>
                      <w:rFonts w:hint="eastAsia"/>
                      <w:color w:val="auto"/>
                    </w:rPr>
                    <w:t>、</w:t>
                  </w:r>
                  <w:r>
                    <w:rPr>
                      <w:color w:val="auto"/>
                    </w:rPr>
                    <w:t>等工业项目</w:t>
                  </w:r>
                  <w:r>
                    <w:rPr>
                      <w:rFonts w:hint="eastAsia"/>
                      <w:color w:val="auto"/>
                    </w:rPr>
                    <w:t>和火电项目。</w:t>
                  </w:r>
                </w:p>
                <w:p>
                  <w:pPr>
                    <w:pStyle w:val="36"/>
                    <w:jc w:val="left"/>
                    <w:rPr>
                      <w:color w:val="auto"/>
                    </w:rPr>
                  </w:pPr>
                  <w:r>
                    <w:rPr>
                      <w:rFonts w:hint="eastAsia"/>
                      <w:color w:val="auto"/>
                    </w:rPr>
                    <w:t>4、项目不属于氟化工、印染、电镀等行业。</w:t>
                  </w:r>
                </w:p>
                <w:p>
                  <w:pPr>
                    <w:pStyle w:val="36"/>
                    <w:jc w:val="left"/>
                    <w:rPr>
                      <w:color w:val="auto"/>
                    </w:rPr>
                  </w:pPr>
                  <w:r>
                    <w:rPr>
                      <w:rFonts w:hint="eastAsia"/>
                      <w:color w:val="auto"/>
                    </w:rPr>
                    <w:t>5、项目不排放重点重金属污染物。</w:t>
                  </w:r>
                </w:p>
                <w:p>
                  <w:pPr>
                    <w:pStyle w:val="36"/>
                    <w:jc w:val="left"/>
                    <w:rPr>
                      <w:color w:val="auto"/>
                    </w:rPr>
                  </w:pPr>
                  <w:r>
                    <w:rPr>
                      <w:rFonts w:hint="eastAsia"/>
                      <w:color w:val="auto"/>
                    </w:rPr>
                    <w:t>6、不涉及锅炉使用。</w:t>
                  </w:r>
                </w:p>
                <w:p>
                  <w:pPr>
                    <w:pStyle w:val="36"/>
                    <w:jc w:val="left"/>
                    <w:rPr>
                      <w:color w:val="auto"/>
                    </w:rPr>
                  </w:pPr>
                  <w:r>
                    <w:rPr>
                      <w:rFonts w:hint="eastAsia"/>
                      <w:color w:val="auto"/>
                    </w:rPr>
                    <w:t>7、不属于水泥行业。</w:t>
                  </w:r>
                </w:p>
                <w:p>
                  <w:pPr>
                    <w:pStyle w:val="36"/>
                    <w:jc w:val="left"/>
                    <w:rPr>
                      <w:color w:val="auto"/>
                    </w:rPr>
                  </w:pPr>
                  <w:r>
                    <w:rPr>
                      <w:rFonts w:hint="eastAsia"/>
                      <w:color w:val="auto"/>
                    </w:rPr>
                    <w:t>8、不涉及“</w:t>
                  </w:r>
                  <w:r>
                    <w:rPr>
                      <w:color w:val="auto"/>
                    </w:rPr>
                    <w:t>禁限控</w:t>
                  </w:r>
                  <w:r>
                    <w:rPr>
                      <w:rFonts w:hint="eastAsia"/>
                      <w:color w:val="auto"/>
                    </w:rPr>
                    <w:t>”</w:t>
                  </w:r>
                  <w:r>
                    <w:rPr>
                      <w:color w:val="auto"/>
                    </w:rPr>
                    <w:t>化学物质</w:t>
                  </w:r>
                  <w:r>
                    <w:rPr>
                      <w:rFonts w:hint="eastAsia"/>
                      <w:color w:val="auto"/>
                    </w:rPr>
                    <w:t>。</w:t>
                  </w:r>
                </w:p>
              </w:tc>
              <w:tc>
                <w:tcPr>
                  <w:tcW w:w="282" w:type="pct"/>
                  <w:tcBorders>
                    <w:tl2br w:val="nil"/>
                    <w:tr2bl w:val="nil"/>
                  </w:tcBorders>
                  <w:tcMar>
                    <w:top w:w="0" w:type="dxa"/>
                    <w:left w:w="28" w:type="dxa"/>
                    <w:bottom w:w="0" w:type="dxa"/>
                    <w:right w:w="28" w:type="dxa"/>
                  </w:tcMar>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78" w:type="pct"/>
                  <w:vMerge w:val="continue"/>
                  <w:tcBorders>
                    <w:tl2br w:val="nil"/>
                    <w:tr2bl w:val="nil"/>
                  </w:tcBorders>
                  <w:tcMar>
                    <w:top w:w="0" w:type="dxa"/>
                    <w:left w:w="28" w:type="dxa"/>
                    <w:bottom w:w="0" w:type="dxa"/>
                    <w:right w:w="28" w:type="dxa"/>
                  </w:tcMar>
                  <w:vAlign w:val="center"/>
                </w:tcPr>
                <w:p>
                  <w:pPr>
                    <w:pStyle w:val="36"/>
                    <w:rPr>
                      <w:color w:val="auto"/>
                    </w:rPr>
                  </w:pPr>
                </w:p>
              </w:tc>
              <w:tc>
                <w:tcPr>
                  <w:tcW w:w="271" w:type="pct"/>
                  <w:tcBorders>
                    <w:tl2br w:val="nil"/>
                    <w:tr2bl w:val="nil"/>
                  </w:tcBorders>
                  <w:tcMar>
                    <w:top w:w="0" w:type="dxa"/>
                    <w:left w:w="28" w:type="dxa"/>
                    <w:bottom w:w="0" w:type="dxa"/>
                    <w:right w:w="28" w:type="dxa"/>
                  </w:tcMar>
                  <w:vAlign w:val="center"/>
                </w:tcPr>
                <w:p>
                  <w:pPr>
                    <w:pStyle w:val="36"/>
                    <w:jc w:val="left"/>
                    <w:rPr>
                      <w:color w:val="auto"/>
                    </w:rPr>
                  </w:pPr>
                  <w:r>
                    <w:rPr>
                      <w:color w:val="auto"/>
                    </w:rPr>
                    <w:t>资源开发效率要求</w:t>
                  </w:r>
                </w:p>
              </w:tc>
              <w:tc>
                <w:tcPr>
                  <w:tcW w:w="3335" w:type="pct"/>
                  <w:tcBorders>
                    <w:tl2br w:val="nil"/>
                    <w:tr2bl w:val="nil"/>
                  </w:tcBorders>
                  <w:tcMar>
                    <w:top w:w="0" w:type="dxa"/>
                    <w:left w:w="28" w:type="dxa"/>
                    <w:bottom w:w="0" w:type="dxa"/>
                    <w:right w:w="28" w:type="dxa"/>
                  </w:tcMar>
                  <w:vAlign w:val="center"/>
                </w:tcPr>
                <w:p>
                  <w:pPr>
                    <w:pStyle w:val="36"/>
                    <w:jc w:val="left"/>
                    <w:rPr>
                      <w:color w:val="auto"/>
                    </w:rPr>
                  </w:pPr>
                  <w:r>
                    <w:rPr>
                      <w:color w:val="auto"/>
                    </w:rPr>
                    <w:t>1.到2024年底，全市范围内每小时10蒸吨及以下燃煤锅炉全面淘汰；到2025年底，全市范围内每小时35蒸吨以下燃煤锅炉通过集中供热、清洁能源替代、深度治理等方式全面实现转型、升级、退出，县级及以上城市建成区在用锅炉（燃煤、燃油、燃生物质）全面改用电能等清洁能源或治理达到超低排放水平；禁止新建每小时35蒸吨以下燃煤锅炉，以及每小时10蒸吨及以下燃生物质和其他使用高污染燃料的锅炉。集中供热管网覆盖范围内禁止新建、扩建分散燃煤、燃油等供热锅炉。</w:t>
                  </w:r>
                </w:p>
                <w:p>
                  <w:pPr>
                    <w:pStyle w:val="36"/>
                    <w:jc w:val="left"/>
                    <w:rPr>
                      <w:color w:val="auto"/>
                    </w:rPr>
                  </w:pPr>
                  <w:r>
                    <w:rPr>
                      <w:color w:val="auto"/>
                    </w:rPr>
                    <w:t>2.按照</w:t>
                  </w:r>
                  <w:r>
                    <w:rPr>
                      <w:rFonts w:hint="eastAsia"/>
                      <w:color w:val="auto"/>
                    </w:rPr>
                    <w:t>“</w:t>
                  </w:r>
                  <w:r>
                    <w:rPr>
                      <w:color w:val="auto"/>
                    </w:rPr>
                    <w:t>提气、转电、控煤</w:t>
                  </w:r>
                  <w:r>
                    <w:rPr>
                      <w:rFonts w:hint="eastAsia"/>
                      <w:color w:val="auto"/>
                    </w:rPr>
                    <w:t>”</w:t>
                  </w:r>
                  <w:r>
                    <w:rPr>
                      <w:color w:val="auto"/>
                    </w:rPr>
                    <w:t>的发展思路，推动陶瓷行业进一步优化用能结构，实现能源消费清洁低碳化。</w:t>
                  </w:r>
                </w:p>
              </w:tc>
              <w:tc>
                <w:tcPr>
                  <w:tcW w:w="832" w:type="pct"/>
                  <w:tcBorders>
                    <w:tl2br w:val="nil"/>
                    <w:tr2bl w:val="nil"/>
                  </w:tcBorders>
                  <w:tcMar>
                    <w:top w:w="0" w:type="dxa"/>
                    <w:left w:w="28" w:type="dxa"/>
                    <w:bottom w:w="0" w:type="dxa"/>
                    <w:right w:w="28" w:type="dxa"/>
                  </w:tcMar>
                  <w:vAlign w:val="center"/>
                </w:tcPr>
                <w:p>
                  <w:pPr>
                    <w:pStyle w:val="36"/>
                    <w:jc w:val="left"/>
                    <w:rPr>
                      <w:color w:val="auto"/>
                    </w:rPr>
                  </w:pPr>
                  <w:r>
                    <w:rPr>
                      <w:rFonts w:hint="eastAsia"/>
                      <w:color w:val="auto"/>
                    </w:rPr>
                    <w:t>本项目不涉及燃煤、燃油锅炉，使用能源为电能。</w:t>
                  </w:r>
                </w:p>
              </w:tc>
              <w:tc>
                <w:tcPr>
                  <w:tcW w:w="282" w:type="pct"/>
                  <w:tcBorders>
                    <w:tl2br w:val="nil"/>
                    <w:tr2bl w:val="nil"/>
                  </w:tcBorders>
                  <w:tcMar>
                    <w:top w:w="0" w:type="dxa"/>
                    <w:left w:w="28" w:type="dxa"/>
                    <w:bottom w:w="0" w:type="dxa"/>
                    <w:right w:w="28" w:type="dxa"/>
                  </w:tcMar>
                  <w:vAlign w:val="center"/>
                </w:tcPr>
                <w:p>
                  <w:pPr>
                    <w:pStyle w:val="36"/>
                    <w:rPr>
                      <w:rFonts w:hint="eastAsia" w:eastAsia="宋体"/>
                      <w:color w:val="auto"/>
                      <w:lang w:eastAsia="zh-CN"/>
                    </w:rPr>
                  </w:pPr>
                  <w:r>
                    <w:rPr>
                      <w:rFonts w:hint="eastAsia"/>
                      <w:color w:val="auto"/>
                      <w:lang w:val="en-US" w:eastAsia="zh-CN"/>
                    </w:rPr>
                    <w:t>符合</w:t>
                  </w:r>
                </w:p>
              </w:tc>
            </w:tr>
          </w:tbl>
          <w:p>
            <w:pPr>
              <w:ind w:firstLine="480"/>
              <w:rPr>
                <w:color w:val="auto"/>
              </w:rPr>
            </w:pPr>
          </w:p>
          <w:p>
            <w:pPr>
              <w:ind w:firstLine="480"/>
              <w:rPr>
                <w:color w:val="auto"/>
              </w:rPr>
            </w:pPr>
          </w:p>
          <w:p>
            <w:pPr>
              <w:rPr>
                <w:color w:val="auto"/>
              </w:rPr>
            </w:pPr>
          </w:p>
          <w:p>
            <w:pPr>
              <w:autoSpaceDE w:val="0"/>
              <w:autoSpaceDN w:val="0"/>
              <w:ind w:firstLine="480"/>
              <w:rPr>
                <w:color w:val="auto"/>
                <w:kern w:val="21"/>
              </w:rPr>
            </w:pPr>
          </w:p>
          <w:p>
            <w:pPr>
              <w:pStyle w:val="37"/>
              <w:rPr>
                <w:rFonts w:hint="eastAsia"/>
                <w:color w:val="auto"/>
                <w:lang w:val="en-US" w:eastAsia="zh-CN"/>
              </w:rPr>
            </w:pPr>
            <w:r>
              <w:rPr>
                <w:color w:val="auto"/>
              </w:rPr>
              <w:t>表</w:t>
            </w:r>
            <w:r>
              <w:rPr>
                <w:rFonts w:hint="eastAsia"/>
                <w:color w:val="auto"/>
              </w:rPr>
              <w:t>1</w:t>
            </w:r>
            <w:r>
              <w:rPr>
                <w:rFonts w:hint="eastAsia"/>
                <w:color w:val="auto"/>
                <w:lang w:val="en-US"/>
              </w:rPr>
              <w:t>-</w:t>
            </w:r>
            <w:r>
              <w:rPr>
                <w:rFonts w:hint="eastAsia"/>
                <w:color w:val="auto"/>
                <w:lang w:val="en-US" w:eastAsia="zh-CN"/>
              </w:rPr>
              <w:t>6  项目与区域总体管控相符性分析</w:t>
            </w:r>
          </w:p>
          <w:tbl>
            <w:tblPr>
              <w:tblStyle w:val="27"/>
              <w:tblW w:w="499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7"/>
              <w:gridCol w:w="990"/>
              <w:gridCol w:w="7095"/>
              <w:gridCol w:w="2715"/>
              <w:gridCol w:w="10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20" w:hRule="atLeast"/>
                <w:tblHeader/>
                <w:jc w:val="center"/>
              </w:trPr>
              <w:tc>
                <w:tcPr>
                  <w:tcW w:w="322" w:type="pct"/>
                  <w:tcBorders>
                    <w:tl2br w:val="nil"/>
                    <w:tr2bl w:val="nil"/>
                  </w:tcBorders>
                  <w:tcMar>
                    <w:top w:w="0" w:type="dxa"/>
                    <w:left w:w="28" w:type="dxa"/>
                    <w:bottom w:w="0" w:type="dxa"/>
                    <w:right w:w="28" w:type="dxa"/>
                  </w:tcMar>
                  <w:vAlign w:val="center"/>
                </w:tcPr>
                <w:p>
                  <w:pPr>
                    <w:pStyle w:val="36"/>
                    <w:rPr>
                      <w:color w:val="auto"/>
                    </w:rPr>
                  </w:pPr>
                  <w:r>
                    <w:rPr>
                      <w:color w:val="auto"/>
                    </w:rPr>
                    <w:t>适用</w:t>
                  </w:r>
                </w:p>
                <w:p>
                  <w:pPr>
                    <w:pStyle w:val="36"/>
                    <w:rPr>
                      <w:color w:val="auto"/>
                    </w:rPr>
                  </w:pPr>
                  <w:r>
                    <w:rPr>
                      <w:color w:val="auto"/>
                    </w:rPr>
                    <w:t>范围</w:t>
                  </w:r>
                </w:p>
              </w:tc>
              <w:tc>
                <w:tcPr>
                  <w:tcW w:w="3195" w:type="pct"/>
                  <w:gridSpan w:val="2"/>
                  <w:tcBorders>
                    <w:tl2br w:val="nil"/>
                    <w:tr2bl w:val="nil"/>
                  </w:tcBorders>
                  <w:tcMar>
                    <w:top w:w="0" w:type="dxa"/>
                    <w:left w:w="28" w:type="dxa"/>
                    <w:bottom w:w="0" w:type="dxa"/>
                    <w:right w:w="28" w:type="dxa"/>
                  </w:tcMar>
                  <w:vAlign w:val="center"/>
                </w:tcPr>
                <w:p>
                  <w:pPr>
                    <w:pStyle w:val="36"/>
                    <w:rPr>
                      <w:color w:val="auto"/>
                    </w:rPr>
                  </w:pPr>
                  <w:r>
                    <w:rPr>
                      <w:color w:val="auto"/>
                    </w:rPr>
                    <w:t>准入要求</w:t>
                  </w:r>
                </w:p>
              </w:tc>
              <w:tc>
                <w:tcPr>
                  <w:tcW w:w="1073" w:type="pct"/>
                  <w:tcBorders>
                    <w:tl2br w:val="nil"/>
                    <w:tr2bl w:val="nil"/>
                  </w:tcBorders>
                  <w:tcMar>
                    <w:top w:w="0" w:type="dxa"/>
                    <w:left w:w="28" w:type="dxa"/>
                    <w:bottom w:w="0" w:type="dxa"/>
                    <w:right w:w="28" w:type="dxa"/>
                  </w:tcMar>
                  <w:vAlign w:val="center"/>
                </w:tcPr>
                <w:p>
                  <w:pPr>
                    <w:pStyle w:val="36"/>
                    <w:rPr>
                      <w:color w:val="auto"/>
                    </w:rPr>
                  </w:pPr>
                  <w:r>
                    <w:rPr>
                      <w:color w:val="auto"/>
                    </w:rPr>
                    <w:t>本项目情况</w:t>
                  </w:r>
                </w:p>
              </w:tc>
              <w:tc>
                <w:tcPr>
                  <w:tcW w:w="407" w:type="pct"/>
                  <w:tcBorders>
                    <w:tl2br w:val="nil"/>
                    <w:tr2bl w:val="nil"/>
                  </w:tcBorders>
                  <w:tcMar>
                    <w:top w:w="0" w:type="dxa"/>
                    <w:left w:w="28" w:type="dxa"/>
                    <w:bottom w:w="0" w:type="dxa"/>
                    <w:right w:w="28" w:type="dxa"/>
                  </w:tcMar>
                  <w:vAlign w:val="center"/>
                </w:tcPr>
                <w:p>
                  <w:pPr>
                    <w:pStyle w:val="36"/>
                    <w:rPr>
                      <w:color w:val="auto"/>
                    </w:rPr>
                  </w:pPr>
                  <w:r>
                    <w:rPr>
                      <w:color w:val="auto"/>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322" w:type="pct"/>
                  <w:vMerge w:val="restart"/>
                  <w:tcBorders>
                    <w:tl2br w:val="nil"/>
                    <w:tr2bl w:val="nil"/>
                  </w:tcBorders>
                  <w:tcMar>
                    <w:top w:w="0" w:type="dxa"/>
                    <w:left w:w="28" w:type="dxa"/>
                    <w:bottom w:w="0" w:type="dxa"/>
                    <w:right w:w="28" w:type="dxa"/>
                  </w:tcMar>
                  <w:vAlign w:val="center"/>
                </w:tcPr>
                <w:p>
                  <w:pPr>
                    <w:pStyle w:val="36"/>
                    <w:rPr>
                      <w:color w:val="auto"/>
                    </w:rPr>
                  </w:pPr>
                  <w:r>
                    <w:rPr>
                      <w:rFonts w:hint="eastAsia"/>
                      <w:color w:val="auto"/>
                    </w:rPr>
                    <w:t>产业集聚类重点管控单元</w:t>
                  </w:r>
                </w:p>
              </w:tc>
              <w:tc>
                <w:tcPr>
                  <w:tcW w:w="391" w:type="pct"/>
                  <w:tcBorders>
                    <w:tl2br w:val="nil"/>
                    <w:tr2bl w:val="nil"/>
                  </w:tcBorders>
                  <w:tcMar>
                    <w:top w:w="0" w:type="dxa"/>
                    <w:left w:w="28" w:type="dxa"/>
                    <w:bottom w:w="0" w:type="dxa"/>
                    <w:right w:w="28" w:type="dxa"/>
                  </w:tcMar>
                  <w:vAlign w:val="center"/>
                </w:tcPr>
                <w:p>
                  <w:pPr>
                    <w:pStyle w:val="36"/>
                    <w:jc w:val="center"/>
                    <w:rPr>
                      <w:color w:val="auto"/>
                    </w:rPr>
                  </w:pPr>
                  <w:r>
                    <w:rPr>
                      <w:color w:val="auto"/>
                    </w:rPr>
                    <w:t>空间布局约束</w:t>
                  </w:r>
                </w:p>
              </w:tc>
              <w:tc>
                <w:tcPr>
                  <w:tcW w:w="2804" w:type="pct"/>
                  <w:tcBorders>
                    <w:tl2br w:val="nil"/>
                    <w:tr2bl w:val="nil"/>
                  </w:tcBorders>
                  <w:tcMar>
                    <w:top w:w="0" w:type="dxa"/>
                    <w:left w:w="28" w:type="dxa"/>
                    <w:bottom w:w="0" w:type="dxa"/>
                    <w:right w:w="28" w:type="dxa"/>
                  </w:tcMar>
                  <w:vAlign w:val="center"/>
                </w:tcPr>
                <w:p>
                  <w:pPr>
                    <w:pStyle w:val="36"/>
                    <w:jc w:val="left"/>
                    <w:rPr>
                      <w:color w:val="auto"/>
                    </w:rPr>
                  </w:pPr>
                  <w:r>
                    <w:rPr>
                      <w:rFonts w:hint="eastAsia"/>
                      <w:color w:val="auto"/>
                    </w:rPr>
                    <w:t>对于存在未依法开展规划环境影响评价或环境风险隐患突出且未完成限期整改或未按期完成污染物排放总量控制计划的工业园区，暂停受理除污染治理、生态恢复建设和循环经济类以外的入园建设项目环境评价文件。</w:t>
                  </w:r>
                </w:p>
              </w:tc>
              <w:tc>
                <w:tcPr>
                  <w:tcW w:w="1073" w:type="pct"/>
                  <w:tcBorders>
                    <w:tl2br w:val="nil"/>
                    <w:tr2bl w:val="nil"/>
                  </w:tcBorders>
                  <w:tcMar>
                    <w:top w:w="0" w:type="dxa"/>
                    <w:left w:w="28" w:type="dxa"/>
                    <w:bottom w:w="0" w:type="dxa"/>
                    <w:right w:w="28" w:type="dxa"/>
                  </w:tcMar>
                  <w:vAlign w:val="center"/>
                </w:tcPr>
                <w:p>
                  <w:pPr>
                    <w:pStyle w:val="36"/>
                    <w:jc w:val="center"/>
                    <w:rPr>
                      <w:rFonts w:hint="default" w:eastAsia="宋体"/>
                      <w:color w:val="auto"/>
                      <w:lang w:val="en-US" w:eastAsia="zh-CN"/>
                    </w:rPr>
                  </w:pPr>
                  <w:r>
                    <w:rPr>
                      <w:rFonts w:hint="eastAsia"/>
                      <w:color w:val="auto"/>
                      <w:lang w:val="en-US" w:eastAsia="zh-CN"/>
                    </w:rPr>
                    <w:t>项目不涉及</w:t>
                  </w:r>
                </w:p>
              </w:tc>
              <w:tc>
                <w:tcPr>
                  <w:tcW w:w="407" w:type="pct"/>
                  <w:tcBorders>
                    <w:tl2br w:val="nil"/>
                    <w:tr2bl w:val="nil"/>
                  </w:tcBorders>
                  <w:tcMar>
                    <w:top w:w="0" w:type="dxa"/>
                    <w:left w:w="28" w:type="dxa"/>
                    <w:bottom w:w="0" w:type="dxa"/>
                    <w:right w:w="28" w:type="dxa"/>
                  </w:tcMar>
                  <w:vAlign w:val="center"/>
                </w:tcPr>
                <w:p>
                  <w:pPr>
                    <w:pStyle w:val="36"/>
                    <w:rPr>
                      <w:color w:val="auto"/>
                    </w:rPr>
                  </w:pPr>
                  <w:r>
                    <w:rPr>
                      <w:rFonts w:hint="eastAsia"/>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322" w:type="pct"/>
                  <w:vMerge w:val="continue"/>
                  <w:tcBorders>
                    <w:tl2br w:val="nil"/>
                    <w:tr2bl w:val="nil"/>
                  </w:tcBorders>
                  <w:tcMar>
                    <w:top w:w="0" w:type="dxa"/>
                    <w:left w:w="28" w:type="dxa"/>
                    <w:bottom w:w="0" w:type="dxa"/>
                    <w:right w:w="28" w:type="dxa"/>
                  </w:tcMar>
                  <w:vAlign w:val="center"/>
                </w:tcPr>
                <w:p>
                  <w:pPr>
                    <w:pStyle w:val="36"/>
                    <w:rPr>
                      <w:rFonts w:hint="eastAsia"/>
                      <w:color w:val="auto"/>
                    </w:rPr>
                  </w:pPr>
                </w:p>
              </w:tc>
              <w:tc>
                <w:tcPr>
                  <w:tcW w:w="391" w:type="pct"/>
                  <w:tcBorders>
                    <w:tl2br w:val="nil"/>
                    <w:tr2bl w:val="nil"/>
                  </w:tcBorders>
                  <w:tcMar>
                    <w:top w:w="0" w:type="dxa"/>
                    <w:left w:w="28" w:type="dxa"/>
                    <w:bottom w:w="0" w:type="dxa"/>
                    <w:right w:w="28" w:type="dxa"/>
                  </w:tcMar>
                  <w:vAlign w:val="center"/>
                </w:tcPr>
                <w:p>
                  <w:pPr>
                    <w:pStyle w:val="36"/>
                    <w:jc w:val="center"/>
                    <w:rPr>
                      <w:color w:val="auto"/>
                    </w:rPr>
                  </w:pPr>
                  <w:r>
                    <w:rPr>
                      <w:color w:val="auto"/>
                    </w:rPr>
                    <w:t>污染物排放管控</w:t>
                  </w:r>
                </w:p>
              </w:tc>
              <w:tc>
                <w:tcPr>
                  <w:tcW w:w="2804" w:type="pct"/>
                  <w:tcBorders>
                    <w:tl2br w:val="nil"/>
                    <w:tr2bl w:val="nil"/>
                  </w:tcBorders>
                  <w:tcMar>
                    <w:top w:w="0" w:type="dxa"/>
                    <w:left w:w="28" w:type="dxa"/>
                    <w:bottom w:w="0" w:type="dxa"/>
                    <w:right w:w="28" w:type="dxa"/>
                  </w:tcMar>
                  <w:vAlign w:val="center"/>
                </w:tcPr>
                <w:p>
                  <w:pPr>
                    <w:pStyle w:val="36"/>
                    <w:numPr>
                      <w:ilvl w:val="0"/>
                      <w:numId w:val="0"/>
                    </w:numPr>
                    <w:ind w:firstLine="0" w:firstLineChars="0"/>
                    <w:jc w:val="left"/>
                    <w:rPr>
                      <w:rFonts w:hint="eastAsia"/>
                      <w:color w:val="auto"/>
                    </w:rPr>
                  </w:pPr>
                  <w:r>
                    <w:rPr>
                      <w:rFonts w:hint="eastAsia" w:ascii="Times New Roman" w:hAnsi="Times New Roman" w:eastAsia="宋体" w:cs="宋体"/>
                      <w:color w:val="auto"/>
                      <w:sz w:val="21"/>
                      <w:szCs w:val="21"/>
                      <w:lang w:val="en-US" w:eastAsia="zh-CN" w:bidi="ar-SA"/>
                    </w:rPr>
                    <w:t>1.</w:t>
                  </w:r>
                  <w:r>
                    <w:rPr>
                      <w:rFonts w:hint="eastAsia"/>
                      <w:color w:val="auto"/>
                    </w:rPr>
                    <w:t>以福州江阴工业区和环罗源湾区域、厦门市岛外工业园区、漳州市周边工业区和台商投资区、泉州市泉港和泉惠石化工业区、莆田华林和西天尾工业园区、宁德漳湾工业区和湾坞钢铁集中区等为重点，削减现有企业氮氧化物和挥发性有机物排放量，新增氮氧化物和挥发性有机物排放应实施区域等量或倍量替代削减。</w:t>
                  </w:r>
                </w:p>
                <w:p>
                  <w:pPr>
                    <w:pStyle w:val="36"/>
                    <w:numPr>
                      <w:ilvl w:val="0"/>
                      <w:numId w:val="0"/>
                    </w:numPr>
                    <w:ind w:firstLine="0" w:firstLineChars="0"/>
                    <w:jc w:val="left"/>
                    <w:rPr>
                      <w:rFonts w:hint="eastAsia"/>
                      <w:color w:val="auto"/>
                    </w:rPr>
                  </w:pPr>
                  <w:r>
                    <w:rPr>
                      <w:rFonts w:hint="eastAsia" w:ascii="Times New Roman" w:hAnsi="Times New Roman" w:eastAsia="宋体" w:cs="宋体"/>
                      <w:color w:val="auto"/>
                      <w:sz w:val="21"/>
                      <w:szCs w:val="21"/>
                      <w:lang w:val="en-US" w:eastAsia="zh-CN" w:bidi="ar-SA"/>
                    </w:rPr>
                    <w:t>2.</w:t>
                  </w:r>
                  <w:r>
                    <w:rPr>
                      <w:rFonts w:hint="eastAsia"/>
                      <w:color w:val="auto"/>
                    </w:rPr>
                    <w:t>各类开发区、工业园区应全面实现污水集中处理并安装自动在线监控装置；现有化工园区、涉重金属工业园区内企业污水接管率必须达到100%。</w:t>
                  </w:r>
                </w:p>
                <w:p>
                  <w:pPr>
                    <w:pStyle w:val="36"/>
                    <w:numPr>
                      <w:ilvl w:val="0"/>
                      <w:numId w:val="0"/>
                    </w:numPr>
                    <w:ind w:firstLine="0" w:firstLineChars="0"/>
                    <w:jc w:val="left"/>
                    <w:rPr>
                      <w:rFonts w:hint="eastAsia"/>
                      <w:color w:val="auto"/>
                    </w:rPr>
                  </w:pPr>
                  <w:r>
                    <w:rPr>
                      <w:rFonts w:hint="eastAsia"/>
                      <w:color w:val="auto"/>
                    </w:rPr>
                    <w:t>3.新建、升级工业园区应同步规划、建设污水、垃圾集中处理等污染治理设施。</w:t>
                  </w:r>
                </w:p>
                <w:p>
                  <w:pPr>
                    <w:pStyle w:val="36"/>
                    <w:numPr>
                      <w:ilvl w:val="0"/>
                      <w:numId w:val="0"/>
                    </w:numPr>
                    <w:ind w:firstLine="0" w:firstLineChars="0"/>
                    <w:jc w:val="left"/>
                    <w:rPr>
                      <w:rFonts w:hint="eastAsia"/>
                      <w:color w:val="auto"/>
                    </w:rPr>
                  </w:pPr>
                  <w:r>
                    <w:rPr>
                      <w:rFonts w:hint="eastAsia"/>
                      <w:color w:val="auto"/>
                    </w:rPr>
                    <w:t>4.大型石化产业基地、以化工为主导行业的工业园区，以及规模化的皮革、合成革、电镀专业集中区，应配套建设危险废物贮存处置设施。5.鼓励国家级和省级开发区在符合依法、合理、集约用地和环境保护的要求下，整合托管区位邻近且产业趋同的各类工业园区及其环境保护设施（包括污水、固废集中治理设施）。</w:t>
                  </w:r>
                </w:p>
                <w:p>
                  <w:pPr>
                    <w:pStyle w:val="36"/>
                    <w:numPr>
                      <w:ilvl w:val="0"/>
                      <w:numId w:val="0"/>
                    </w:numPr>
                    <w:ind w:firstLine="0" w:firstLineChars="0"/>
                    <w:jc w:val="left"/>
                    <w:rPr>
                      <w:rFonts w:hint="eastAsia"/>
                      <w:color w:val="auto"/>
                    </w:rPr>
                  </w:pPr>
                  <w:r>
                    <w:rPr>
                      <w:rFonts w:hint="eastAsia"/>
                      <w:color w:val="auto"/>
                    </w:rPr>
                    <w:t>6.化工园区新建项目实施“禁限控”化学物质管控措施，项目在开展环境影响评价时应严格落实相关要求，严格涉新污染物建设项目源头防控和准入管理。</w:t>
                  </w:r>
                </w:p>
              </w:tc>
              <w:tc>
                <w:tcPr>
                  <w:tcW w:w="1073" w:type="pct"/>
                  <w:tcBorders>
                    <w:tl2br w:val="nil"/>
                    <w:tr2bl w:val="nil"/>
                  </w:tcBorders>
                  <w:tcMar>
                    <w:top w:w="0" w:type="dxa"/>
                    <w:left w:w="28" w:type="dxa"/>
                    <w:bottom w:w="0" w:type="dxa"/>
                    <w:right w:w="28" w:type="dxa"/>
                  </w:tcMar>
                  <w:vAlign w:val="center"/>
                </w:tcPr>
                <w:p>
                  <w:pPr>
                    <w:pStyle w:val="36"/>
                    <w:jc w:val="left"/>
                    <w:rPr>
                      <w:color w:val="auto"/>
                    </w:rPr>
                  </w:pPr>
                  <w:r>
                    <w:rPr>
                      <w:rFonts w:hint="eastAsia"/>
                      <w:color w:val="auto"/>
                    </w:rPr>
                    <w:t>1、</w:t>
                  </w:r>
                  <w:r>
                    <w:rPr>
                      <w:rFonts w:cs="Times New Roman"/>
                      <w:color w:val="auto"/>
                    </w:rPr>
                    <w:t>项目</w:t>
                  </w:r>
                  <w:r>
                    <w:rPr>
                      <w:rFonts w:hint="eastAsia" w:cs="Times New Roman"/>
                      <w:color w:val="auto"/>
                      <w:lang w:val="en-US" w:eastAsia="zh-CN"/>
                    </w:rPr>
                    <w:t>位于福清融侨经济技术开发区，不涉及</w:t>
                  </w:r>
                  <w:r>
                    <w:rPr>
                      <w:rFonts w:hint="eastAsia"/>
                      <w:color w:val="auto"/>
                    </w:rPr>
                    <w:t>。</w:t>
                  </w:r>
                </w:p>
                <w:p>
                  <w:pPr>
                    <w:pStyle w:val="36"/>
                    <w:jc w:val="left"/>
                    <w:rPr>
                      <w:color w:val="auto"/>
                    </w:rPr>
                  </w:pPr>
                  <w:r>
                    <w:rPr>
                      <w:rFonts w:hint="eastAsia"/>
                      <w:color w:val="auto"/>
                    </w:rPr>
                    <w:t>2、</w:t>
                  </w:r>
                  <w:r>
                    <w:rPr>
                      <w:rStyle w:val="34"/>
                      <w:rFonts w:hint="eastAsia"/>
                      <w:color w:val="auto"/>
                    </w:rPr>
                    <w:t>项目</w:t>
                  </w:r>
                  <w:r>
                    <w:rPr>
                      <w:rFonts w:hint="eastAsia"/>
                      <w:color w:val="auto"/>
                    </w:rPr>
                    <w:t>不涉及。</w:t>
                  </w:r>
                </w:p>
                <w:p>
                  <w:pPr>
                    <w:pStyle w:val="36"/>
                    <w:jc w:val="left"/>
                    <w:rPr>
                      <w:color w:val="auto"/>
                    </w:rPr>
                  </w:pPr>
                  <w:r>
                    <w:rPr>
                      <w:rFonts w:hint="eastAsia"/>
                      <w:color w:val="auto"/>
                      <w:lang w:val="en-US" w:eastAsia="zh-CN"/>
                    </w:rPr>
                    <w:t>3</w:t>
                  </w:r>
                  <w:r>
                    <w:rPr>
                      <w:rFonts w:hint="eastAsia"/>
                      <w:color w:val="auto"/>
                    </w:rPr>
                    <w:t>、</w:t>
                  </w:r>
                  <w:r>
                    <w:rPr>
                      <w:rStyle w:val="34"/>
                      <w:rFonts w:hint="eastAsia"/>
                      <w:color w:val="auto"/>
                    </w:rPr>
                    <w:t>项目</w:t>
                  </w:r>
                  <w:r>
                    <w:rPr>
                      <w:rFonts w:hint="eastAsia"/>
                      <w:color w:val="auto"/>
                    </w:rPr>
                    <w:t>不涉及。</w:t>
                  </w:r>
                </w:p>
                <w:p>
                  <w:pPr>
                    <w:pStyle w:val="36"/>
                    <w:jc w:val="left"/>
                    <w:rPr>
                      <w:color w:val="auto"/>
                    </w:rPr>
                  </w:pPr>
                  <w:r>
                    <w:rPr>
                      <w:rFonts w:hint="eastAsia"/>
                      <w:color w:val="auto"/>
                      <w:lang w:val="en-US" w:eastAsia="zh-CN"/>
                    </w:rPr>
                    <w:t>4</w:t>
                  </w:r>
                  <w:r>
                    <w:rPr>
                      <w:rFonts w:hint="eastAsia"/>
                      <w:color w:val="auto"/>
                    </w:rPr>
                    <w:t>、</w:t>
                  </w:r>
                  <w:r>
                    <w:rPr>
                      <w:rStyle w:val="34"/>
                      <w:rFonts w:hint="eastAsia"/>
                      <w:color w:val="auto"/>
                    </w:rPr>
                    <w:t>项目</w:t>
                  </w:r>
                  <w:r>
                    <w:rPr>
                      <w:rFonts w:hint="eastAsia"/>
                      <w:color w:val="auto"/>
                    </w:rPr>
                    <w:t>不涉及。</w:t>
                  </w:r>
                </w:p>
                <w:p>
                  <w:pPr>
                    <w:pStyle w:val="36"/>
                    <w:jc w:val="left"/>
                    <w:rPr>
                      <w:color w:val="auto"/>
                    </w:rPr>
                  </w:pPr>
                  <w:r>
                    <w:rPr>
                      <w:rFonts w:hint="eastAsia"/>
                      <w:color w:val="auto"/>
                      <w:lang w:val="en-US" w:eastAsia="zh-CN"/>
                    </w:rPr>
                    <w:t>5</w:t>
                  </w:r>
                  <w:r>
                    <w:rPr>
                      <w:rFonts w:hint="eastAsia"/>
                      <w:color w:val="auto"/>
                    </w:rPr>
                    <w:t>、</w:t>
                  </w:r>
                  <w:r>
                    <w:rPr>
                      <w:rStyle w:val="34"/>
                      <w:rFonts w:hint="eastAsia"/>
                      <w:color w:val="auto"/>
                    </w:rPr>
                    <w:t>项目</w:t>
                  </w:r>
                  <w:r>
                    <w:rPr>
                      <w:rFonts w:hint="eastAsia"/>
                      <w:color w:val="auto"/>
                    </w:rPr>
                    <w:t>不涉及。</w:t>
                  </w:r>
                </w:p>
                <w:p>
                  <w:pPr>
                    <w:pStyle w:val="36"/>
                    <w:jc w:val="left"/>
                    <w:rPr>
                      <w:rFonts w:hint="eastAsia"/>
                      <w:color w:val="auto"/>
                    </w:rPr>
                  </w:pPr>
                  <w:r>
                    <w:rPr>
                      <w:rFonts w:hint="eastAsia"/>
                      <w:color w:val="auto"/>
                      <w:lang w:val="en-US" w:eastAsia="zh-CN"/>
                    </w:rPr>
                    <w:t>6</w:t>
                  </w:r>
                  <w:r>
                    <w:rPr>
                      <w:rFonts w:hint="eastAsia"/>
                      <w:color w:val="auto"/>
                    </w:rPr>
                    <w:t>、</w:t>
                  </w:r>
                  <w:r>
                    <w:rPr>
                      <w:rStyle w:val="34"/>
                      <w:rFonts w:hint="eastAsia"/>
                      <w:color w:val="auto"/>
                    </w:rPr>
                    <w:t>项目</w:t>
                  </w:r>
                  <w:r>
                    <w:rPr>
                      <w:rFonts w:hint="eastAsia"/>
                      <w:color w:val="auto"/>
                    </w:rPr>
                    <w:t>不涉及。</w:t>
                  </w:r>
                </w:p>
              </w:tc>
              <w:tc>
                <w:tcPr>
                  <w:tcW w:w="407" w:type="pct"/>
                  <w:tcBorders>
                    <w:tl2br w:val="nil"/>
                    <w:tr2bl w:val="nil"/>
                  </w:tcBorders>
                  <w:tcMar>
                    <w:top w:w="0" w:type="dxa"/>
                    <w:left w:w="28" w:type="dxa"/>
                    <w:bottom w:w="0" w:type="dxa"/>
                    <w:right w:w="28" w:type="dxa"/>
                  </w:tcMar>
                  <w:vAlign w:val="center"/>
                </w:tcPr>
                <w:p>
                  <w:pPr>
                    <w:pStyle w:val="36"/>
                    <w:rPr>
                      <w:color w:val="auto"/>
                    </w:rPr>
                  </w:pPr>
                  <w:r>
                    <w:rPr>
                      <w:rFonts w:hint="eastAsia"/>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322" w:type="pct"/>
                  <w:vMerge w:val="continue"/>
                  <w:tcBorders>
                    <w:tl2br w:val="nil"/>
                    <w:tr2bl w:val="nil"/>
                  </w:tcBorders>
                  <w:tcMar>
                    <w:top w:w="0" w:type="dxa"/>
                    <w:left w:w="28" w:type="dxa"/>
                    <w:bottom w:w="0" w:type="dxa"/>
                    <w:right w:w="28" w:type="dxa"/>
                  </w:tcMar>
                  <w:vAlign w:val="center"/>
                </w:tcPr>
                <w:p>
                  <w:pPr>
                    <w:pStyle w:val="36"/>
                    <w:rPr>
                      <w:color w:val="auto"/>
                    </w:rPr>
                  </w:pPr>
                </w:p>
              </w:tc>
              <w:tc>
                <w:tcPr>
                  <w:tcW w:w="391" w:type="pct"/>
                  <w:tcBorders>
                    <w:tl2br w:val="nil"/>
                    <w:tr2bl w:val="nil"/>
                  </w:tcBorders>
                  <w:tcMar>
                    <w:top w:w="0" w:type="dxa"/>
                    <w:left w:w="28" w:type="dxa"/>
                    <w:bottom w:w="0" w:type="dxa"/>
                    <w:right w:w="28" w:type="dxa"/>
                  </w:tcMar>
                  <w:vAlign w:val="center"/>
                </w:tcPr>
                <w:p>
                  <w:pPr>
                    <w:pStyle w:val="36"/>
                    <w:jc w:val="center"/>
                    <w:rPr>
                      <w:rFonts w:hint="eastAsia"/>
                      <w:color w:val="auto"/>
                      <w:lang w:val="en-US" w:eastAsia="zh-CN"/>
                    </w:rPr>
                  </w:pPr>
                  <w:r>
                    <w:rPr>
                      <w:rFonts w:hint="eastAsia"/>
                      <w:color w:val="auto"/>
                      <w:lang w:val="en-US" w:eastAsia="zh-CN"/>
                    </w:rPr>
                    <w:t>环境</w:t>
                  </w:r>
                </w:p>
                <w:p>
                  <w:pPr>
                    <w:pStyle w:val="36"/>
                    <w:jc w:val="center"/>
                    <w:rPr>
                      <w:rFonts w:hint="default" w:eastAsia="宋体"/>
                      <w:color w:val="auto"/>
                      <w:lang w:val="en-US" w:eastAsia="zh-CN"/>
                    </w:rPr>
                  </w:pPr>
                  <w:r>
                    <w:rPr>
                      <w:rFonts w:hint="eastAsia"/>
                      <w:color w:val="auto"/>
                      <w:lang w:val="en-US" w:eastAsia="zh-CN"/>
                    </w:rPr>
                    <w:t>风险</w:t>
                  </w:r>
                </w:p>
              </w:tc>
              <w:tc>
                <w:tcPr>
                  <w:tcW w:w="2804" w:type="pct"/>
                  <w:tcBorders>
                    <w:tl2br w:val="nil"/>
                    <w:tr2bl w:val="nil"/>
                  </w:tcBorders>
                  <w:tcMar>
                    <w:top w:w="0" w:type="dxa"/>
                    <w:left w:w="28" w:type="dxa"/>
                    <w:bottom w:w="0" w:type="dxa"/>
                    <w:right w:w="28" w:type="dxa"/>
                  </w:tcMar>
                  <w:vAlign w:val="center"/>
                </w:tcPr>
                <w:p>
                  <w:pPr>
                    <w:pStyle w:val="36"/>
                    <w:numPr>
                      <w:ilvl w:val="0"/>
                      <w:numId w:val="0"/>
                    </w:numPr>
                    <w:ind w:firstLine="0" w:firstLineChars="0"/>
                    <w:jc w:val="left"/>
                    <w:rPr>
                      <w:color w:val="auto"/>
                    </w:rPr>
                  </w:pPr>
                  <w:r>
                    <w:rPr>
                      <w:rFonts w:hint="eastAsia" w:ascii="Times New Roman" w:hAnsi="Times New Roman" w:eastAsia="宋体" w:cs="宋体"/>
                      <w:color w:val="auto"/>
                      <w:lang w:val="en-US" w:eastAsia="zh-CN"/>
                    </w:rPr>
                    <w:t>所有石化、化工园区均应健全环境风险防控工程，建设公共环境应急池系统，完善事故废水导流措施，建设功率足够的双向动力提升设施，形成企业应急池、企业间应急池共用和园区公共应急池三级应急池体系，提升园区应对环境风险能力。</w:t>
                  </w:r>
                </w:p>
              </w:tc>
              <w:tc>
                <w:tcPr>
                  <w:tcW w:w="1073" w:type="pct"/>
                  <w:tcBorders>
                    <w:tl2br w:val="nil"/>
                    <w:tr2bl w:val="nil"/>
                  </w:tcBorders>
                  <w:tcMar>
                    <w:top w:w="0" w:type="dxa"/>
                    <w:left w:w="28" w:type="dxa"/>
                    <w:bottom w:w="0" w:type="dxa"/>
                    <w:right w:w="28" w:type="dxa"/>
                  </w:tcMar>
                  <w:vAlign w:val="center"/>
                </w:tcPr>
                <w:p>
                  <w:pPr>
                    <w:pStyle w:val="36"/>
                    <w:jc w:val="center"/>
                    <w:rPr>
                      <w:color w:val="auto"/>
                    </w:rPr>
                  </w:pPr>
                  <w:r>
                    <w:rPr>
                      <w:rFonts w:hint="eastAsia"/>
                      <w:color w:val="auto"/>
                    </w:rPr>
                    <w:t>项目不位于石化、化工园区。</w:t>
                  </w:r>
                </w:p>
              </w:tc>
              <w:tc>
                <w:tcPr>
                  <w:tcW w:w="407" w:type="pct"/>
                  <w:tcBorders>
                    <w:tl2br w:val="nil"/>
                    <w:tr2bl w:val="nil"/>
                  </w:tcBorders>
                  <w:tcMar>
                    <w:top w:w="0" w:type="dxa"/>
                    <w:left w:w="28" w:type="dxa"/>
                    <w:bottom w:w="0" w:type="dxa"/>
                    <w:right w:w="28" w:type="dxa"/>
                  </w:tcMar>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20" w:hRule="atLeast"/>
                <w:jc w:val="center"/>
              </w:trPr>
              <w:tc>
                <w:tcPr>
                  <w:tcW w:w="322" w:type="pct"/>
                  <w:vMerge w:val="restart"/>
                  <w:tcBorders>
                    <w:tl2br w:val="nil"/>
                    <w:tr2bl w:val="nil"/>
                  </w:tcBorders>
                  <w:tcMar>
                    <w:top w:w="0" w:type="dxa"/>
                    <w:left w:w="28" w:type="dxa"/>
                    <w:bottom w:w="0" w:type="dxa"/>
                    <w:right w:w="28" w:type="dxa"/>
                  </w:tcMar>
                  <w:vAlign w:val="center"/>
                </w:tcPr>
                <w:p>
                  <w:pPr>
                    <w:pStyle w:val="36"/>
                    <w:rPr>
                      <w:color w:val="auto"/>
                    </w:rPr>
                  </w:pPr>
                  <w:r>
                    <w:rPr>
                      <w:rFonts w:hint="eastAsia"/>
                      <w:color w:val="auto"/>
                    </w:rPr>
                    <w:t>城镇生活类重点管控单元</w:t>
                  </w:r>
                </w:p>
              </w:tc>
              <w:tc>
                <w:tcPr>
                  <w:tcW w:w="391" w:type="pct"/>
                  <w:tcBorders>
                    <w:tl2br w:val="nil"/>
                    <w:tr2bl w:val="nil"/>
                  </w:tcBorders>
                  <w:tcMar>
                    <w:top w:w="0" w:type="dxa"/>
                    <w:left w:w="28" w:type="dxa"/>
                    <w:bottom w:w="0" w:type="dxa"/>
                    <w:right w:w="28" w:type="dxa"/>
                  </w:tcMar>
                  <w:vAlign w:val="center"/>
                </w:tcPr>
                <w:p>
                  <w:pPr>
                    <w:pStyle w:val="36"/>
                    <w:ind w:firstLine="0" w:firstLineChars="0"/>
                    <w:jc w:val="center"/>
                    <w:rPr>
                      <w:color w:val="auto"/>
                    </w:rPr>
                  </w:pPr>
                  <w:r>
                    <w:rPr>
                      <w:color w:val="auto"/>
                    </w:rPr>
                    <w:t>空间布局约束</w:t>
                  </w:r>
                </w:p>
              </w:tc>
              <w:tc>
                <w:tcPr>
                  <w:tcW w:w="2804" w:type="pct"/>
                  <w:tcBorders>
                    <w:tl2br w:val="nil"/>
                    <w:tr2bl w:val="nil"/>
                  </w:tcBorders>
                  <w:tcMar>
                    <w:top w:w="0" w:type="dxa"/>
                    <w:left w:w="28" w:type="dxa"/>
                    <w:bottom w:w="0" w:type="dxa"/>
                    <w:right w:w="28" w:type="dxa"/>
                  </w:tcMar>
                  <w:vAlign w:val="center"/>
                </w:tcPr>
                <w:p>
                  <w:pPr>
                    <w:pStyle w:val="36"/>
                    <w:jc w:val="left"/>
                    <w:rPr>
                      <w:rFonts w:hint="eastAsia"/>
                      <w:color w:val="auto"/>
                      <w:lang w:val="en-US" w:eastAsia="zh-CN"/>
                    </w:rPr>
                  </w:pPr>
                  <w:r>
                    <w:rPr>
                      <w:rFonts w:hint="eastAsia"/>
                      <w:color w:val="auto"/>
                      <w:lang w:val="en-US" w:eastAsia="zh-CN"/>
                    </w:rPr>
                    <w:t>严禁在城镇人口密集区新建危险化学品生产企业；现有不符合安全和卫生防护距离要求的危险化学品生产企业2025年底前完成就地改造达标、搬迁进入规范化工园区或关闭退出。</w:t>
                  </w:r>
                </w:p>
              </w:tc>
              <w:tc>
                <w:tcPr>
                  <w:tcW w:w="1073" w:type="pct"/>
                  <w:tcBorders>
                    <w:tl2br w:val="nil"/>
                    <w:tr2bl w:val="nil"/>
                  </w:tcBorders>
                  <w:tcMar>
                    <w:top w:w="0" w:type="dxa"/>
                    <w:left w:w="28" w:type="dxa"/>
                    <w:bottom w:w="0" w:type="dxa"/>
                    <w:right w:w="28" w:type="dxa"/>
                  </w:tcMar>
                  <w:vAlign w:val="center"/>
                </w:tcPr>
                <w:p>
                  <w:pPr>
                    <w:pStyle w:val="36"/>
                    <w:jc w:val="center"/>
                    <w:rPr>
                      <w:rFonts w:hint="default" w:eastAsia="宋体"/>
                      <w:color w:val="auto"/>
                      <w:lang w:val="en-US" w:eastAsia="zh-CN"/>
                    </w:rPr>
                  </w:pPr>
                  <w:r>
                    <w:rPr>
                      <w:rFonts w:hint="eastAsia"/>
                      <w:color w:val="auto"/>
                    </w:rPr>
                    <w:t>本项目</w:t>
                  </w:r>
                  <w:r>
                    <w:rPr>
                      <w:rFonts w:hint="eastAsia"/>
                      <w:color w:val="auto"/>
                      <w:lang w:val="en-US" w:eastAsia="zh-CN"/>
                    </w:rPr>
                    <w:t>不属于危险化学品生产企业</w:t>
                  </w:r>
                </w:p>
              </w:tc>
              <w:tc>
                <w:tcPr>
                  <w:tcW w:w="407" w:type="pct"/>
                  <w:tcBorders>
                    <w:tl2br w:val="nil"/>
                    <w:tr2bl w:val="nil"/>
                  </w:tcBorders>
                  <w:tcMar>
                    <w:top w:w="0" w:type="dxa"/>
                    <w:left w:w="28" w:type="dxa"/>
                    <w:bottom w:w="0" w:type="dxa"/>
                    <w:right w:w="28" w:type="dxa"/>
                  </w:tcMar>
                  <w:vAlign w:val="center"/>
                </w:tcPr>
                <w:p>
                  <w:pPr>
                    <w:pStyle w:val="36"/>
                    <w:jc w:val="center"/>
                    <w:rPr>
                      <w:rFonts w:hint="eastAsia"/>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322" w:type="pct"/>
                  <w:vMerge w:val="continue"/>
                  <w:tcBorders>
                    <w:tl2br w:val="nil"/>
                    <w:tr2bl w:val="nil"/>
                  </w:tcBorders>
                  <w:tcMar>
                    <w:top w:w="0" w:type="dxa"/>
                    <w:left w:w="28" w:type="dxa"/>
                    <w:bottom w:w="0" w:type="dxa"/>
                    <w:right w:w="28" w:type="dxa"/>
                  </w:tcMar>
                  <w:vAlign w:val="center"/>
                </w:tcPr>
                <w:p>
                  <w:pPr>
                    <w:pStyle w:val="36"/>
                    <w:rPr>
                      <w:color w:val="auto"/>
                    </w:rPr>
                  </w:pPr>
                </w:p>
              </w:tc>
              <w:tc>
                <w:tcPr>
                  <w:tcW w:w="391" w:type="pct"/>
                  <w:tcBorders>
                    <w:tl2br w:val="nil"/>
                    <w:tr2bl w:val="nil"/>
                  </w:tcBorders>
                  <w:tcMar>
                    <w:top w:w="0" w:type="dxa"/>
                    <w:left w:w="28" w:type="dxa"/>
                    <w:bottom w:w="0" w:type="dxa"/>
                    <w:right w:w="28" w:type="dxa"/>
                  </w:tcMar>
                  <w:vAlign w:val="center"/>
                </w:tcPr>
                <w:p>
                  <w:pPr>
                    <w:pStyle w:val="36"/>
                    <w:ind w:firstLine="0" w:firstLineChars="0"/>
                    <w:jc w:val="center"/>
                    <w:rPr>
                      <w:color w:val="auto"/>
                    </w:rPr>
                  </w:pPr>
                  <w:r>
                    <w:rPr>
                      <w:color w:val="auto"/>
                    </w:rPr>
                    <w:t>污染物排放管控</w:t>
                  </w:r>
                </w:p>
              </w:tc>
              <w:tc>
                <w:tcPr>
                  <w:tcW w:w="2804" w:type="pct"/>
                  <w:tcBorders>
                    <w:tl2br w:val="nil"/>
                    <w:tr2bl w:val="nil"/>
                  </w:tcBorders>
                  <w:tcMar>
                    <w:top w:w="0" w:type="dxa"/>
                    <w:left w:w="28" w:type="dxa"/>
                    <w:bottom w:w="0" w:type="dxa"/>
                    <w:right w:w="28" w:type="dxa"/>
                  </w:tcMar>
                  <w:vAlign w:val="center"/>
                </w:tcPr>
                <w:p>
                  <w:pPr>
                    <w:pStyle w:val="36"/>
                    <w:jc w:val="center"/>
                    <w:rPr>
                      <w:rFonts w:hint="eastAsia"/>
                      <w:color w:val="auto"/>
                      <w:lang w:val="en-US" w:eastAsia="zh-CN"/>
                    </w:rPr>
                  </w:pPr>
                  <w:r>
                    <w:rPr>
                      <w:rFonts w:hint="eastAsia"/>
                      <w:color w:val="auto"/>
                      <w:lang w:val="en-US" w:eastAsia="zh-CN"/>
                    </w:rPr>
                    <w:t>在城市建成区新建大气污染型项目，二氧化硫、氮氧化物排放量应实行倍量削减替代。</w:t>
                  </w:r>
                </w:p>
              </w:tc>
              <w:tc>
                <w:tcPr>
                  <w:tcW w:w="1073" w:type="pct"/>
                  <w:tcBorders>
                    <w:tl2br w:val="nil"/>
                    <w:tr2bl w:val="nil"/>
                  </w:tcBorders>
                  <w:tcMar>
                    <w:top w:w="0" w:type="dxa"/>
                    <w:left w:w="28" w:type="dxa"/>
                    <w:bottom w:w="0" w:type="dxa"/>
                    <w:right w:w="28" w:type="dxa"/>
                  </w:tcMar>
                  <w:vAlign w:val="center"/>
                </w:tcPr>
                <w:p>
                  <w:pPr>
                    <w:pStyle w:val="36"/>
                    <w:jc w:val="center"/>
                    <w:rPr>
                      <w:rFonts w:hint="eastAsia"/>
                      <w:color w:val="auto"/>
                    </w:rPr>
                  </w:pPr>
                  <w:r>
                    <w:rPr>
                      <w:rFonts w:hint="eastAsia"/>
                      <w:color w:val="auto"/>
                      <w:lang w:val="en-US" w:eastAsia="zh-CN"/>
                    </w:rPr>
                    <w:t>本</w:t>
                  </w:r>
                  <w:r>
                    <w:rPr>
                      <w:color w:val="auto"/>
                    </w:rPr>
                    <w:t>项目不排放二氧化硫、氮氧化物。</w:t>
                  </w:r>
                </w:p>
              </w:tc>
              <w:tc>
                <w:tcPr>
                  <w:tcW w:w="407" w:type="pct"/>
                  <w:tcBorders>
                    <w:tl2br w:val="nil"/>
                    <w:tr2bl w:val="nil"/>
                  </w:tcBorders>
                  <w:tcMar>
                    <w:top w:w="0" w:type="dxa"/>
                    <w:left w:w="28" w:type="dxa"/>
                    <w:bottom w:w="0" w:type="dxa"/>
                    <w:right w:w="28" w:type="dxa"/>
                  </w:tcMar>
                  <w:vAlign w:val="center"/>
                </w:tcPr>
                <w:p>
                  <w:pPr>
                    <w:pStyle w:val="36"/>
                    <w:jc w:val="center"/>
                    <w:rPr>
                      <w:rFonts w:hint="eastAsia"/>
                      <w:color w:val="auto"/>
                    </w:rPr>
                  </w:pPr>
                  <w:r>
                    <w:rPr>
                      <w:color w:val="auto"/>
                    </w:rPr>
                    <w:t>符合</w:t>
                  </w:r>
                </w:p>
              </w:tc>
            </w:tr>
          </w:tbl>
          <w:p>
            <w:pPr>
              <w:ind w:firstLine="480"/>
              <w:rPr>
                <w:color w:val="auto"/>
              </w:rPr>
            </w:pPr>
          </w:p>
          <w:p>
            <w:pPr>
              <w:pStyle w:val="37"/>
              <w:rPr>
                <w:rFonts w:hint="eastAsia"/>
                <w:color w:val="auto"/>
                <w:lang w:val="en-US" w:eastAsia="zh-CN"/>
              </w:rPr>
            </w:pPr>
            <w:r>
              <w:rPr>
                <w:rFonts w:hint="eastAsia"/>
                <w:color w:val="auto"/>
              </w:rPr>
              <w:t>表1-</w:t>
            </w:r>
            <w:r>
              <w:rPr>
                <w:rFonts w:hint="eastAsia"/>
                <w:color w:val="auto"/>
                <w:lang w:val="en-US"/>
              </w:rPr>
              <w:t>7</w:t>
            </w:r>
            <w:r>
              <w:rPr>
                <w:rFonts w:hint="eastAsia"/>
                <w:color w:val="auto"/>
              </w:rPr>
              <w:t xml:space="preserve"> </w:t>
            </w:r>
            <w:r>
              <w:rPr>
                <w:rFonts w:hint="eastAsia"/>
                <w:color w:val="auto"/>
                <w:lang w:val="en-US" w:eastAsia="zh-CN"/>
              </w:rPr>
              <w:t>项目与生态环境管控单元</w:t>
            </w:r>
            <w:r>
              <w:rPr>
                <w:rFonts w:hint="eastAsia"/>
                <w:color w:val="auto"/>
              </w:rPr>
              <w:t>准入</w:t>
            </w:r>
            <w:r>
              <w:rPr>
                <w:rFonts w:hint="eastAsia"/>
                <w:color w:val="auto"/>
                <w:lang w:val="en-US" w:eastAsia="zh-CN"/>
              </w:rPr>
              <w:t>要求的相符性分析</w:t>
            </w:r>
          </w:p>
          <w:tbl>
            <w:tblPr>
              <w:tblStyle w:val="2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912"/>
              <w:gridCol w:w="750"/>
              <w:gridCol w:w="4860"/>
              <w:gridCol w:w="5358"/>
              <w:gridCol w:w="7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360" w:type="pct"/>
                  <w:tcBorders>
                    <w:tl2br w:val="nil"/>
                    <w:tr2bl w:val="nil"/>
                  </w:tcBorders>
                  <w:vAlign w:val="center"/>
                </w:tcPr>
                <w:p>
                  <w:pPr>
                    <w:pStyle w:val="36"/>
                    <w:rPr>
                      <w:color w:val="auto"/>
                    </w:rPr>
                  </w:pPr>
                  <w:r>
                    <w:rPr>
                      <w:color w:val="auto"/>
                    </w:rPr>
                    <w:t>适用</w:t>
                  </w:r>
                </w:p>
                <w:p>
                  <w:pPr>
                    <w:pStyle w:val="36"/>
                    <w:rPr>
                      <w:color w:val="auto"/>
                    </w:rPr>
                  </w:pPr>
                  <w:r>
                    <w:rPr>
                      <w:color w:val="auto"/>
                    </w:rPr>
                    <w:t>范围</w:t>
                  </w:r>
                </w:p>
              </w:tc>
              <w:tc>
                <w:tcPr>
                  <w:tcW w:w="2215" w:type="pct"/>
                  <w:gridSpan w:val="2"/>
                  <w:tcBorders>
                    <w:tl2br w:val="nil"/>
                    <w:tr2bl w:val="nil"/>
                  </w:tcBorders>
                  <w:vAlign w:val="center"/>
                </w:tcPr>
                <w:p>
                  <w:pPr>
                    <w:pStyle w:val="36"/>
                    <w:rPr>
                      <w:color w:val="auto"/>
                    </w:rPr>
                  </w:pPr>
                  <w:r>
                    <w:rPr>
                      <w:color w:val="auto"/>
                    </w:rPr>
                    <w:t>准入要求</w:t>
                  </w:r>
                </w:p>
              </w:tc>
              <w:tc>
                <w:tcPr>
                  <w:tcW w:w="2116" w:type="pct"/>
                  <w:tcBorders>
                    <w:tl2br w:val="nil"/>
                    <w:tr2bl w:val="nil"/>
                  </w:tcBorders>
                  <w:vAlign w:val="center"/>
                </w:tcPr>
                <w:p>
                  <w:pPr>
                    <w:pStyle w:val="36"/>
                    <w:rPr>
                      <w:color w:val="auto"/>
                    </w:rPr>
                  </w:pPr>
                  <w:r>
                    <w:rPr>
                      <w:rFonts w:hint="eastAsia"/>
                      <w:color w:val="auto"/>
                    </w:rPr>
                    <w:t>本项目</w:t>
                  </w:r>
                  <w:r>
                    <w:rPr>
                      <w:color w:val="auto"/>
                    </w:rPr>
                    <w:t>情况</w:t>
                  </w:r>
                </w:p>
              </w:tc>
              <w:tc>
                <w:tcPr>
                  <w:tcW w:w="308" w:type="pct"/>
                  <w:tcBorders>
                    <w:tl2br w:val="nil"/>
                    <w:tr2bl w:val="nil"/>
                  </w:tcBorders>
                  <w:vAlign w:val="center"/>
                </w:tcPr>
                <w:p>
                  <w:pPr>
                    <w:pStyle w:val="36"/>
                    <w:rPr>
                      <w:color w:val="auto"/>
                    </w:rPr>
                  </w:pPr>
                  <w:r>
                    <w:rPr>
                      <w:color w:val="auto"/>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360" w:type="pct"/>
                  <w:vMerge w:val="restart"/>
                  <w:tcBorders>
                    <w:tl2br w:val="nil"/>
                    <w:tr2bl w:val="nil"/>
                  </w:tcBorders>
                  <w:vAlign w:val="center"/>
                </w:tcPr>
                <w:p>
                  <w:pPr>
                    <w:pStyle w:val="36"/>
                    <w:rPr>
                      <w:color w:val="auto"/>
                    </w:rPr>
                  </w:pPr>
                  <w:r>
                    <w:rPr>
                      <w:rFonts w:hint="eastAsia"/>
                      <w:color w:val="auto"/>
                    </w:rPr>
                    <w:t>福清市重点管控单元1</w:t>
                  </w:r>
                </w:p>
                <w:p>
                  <w:pPr>
                    <w:pStyle w:val="36"/>
                    <w:rPr>
                      <w:color w:val="auto"/>
                    </w:rPr>
                  </w:pPr>
                  <w:r>
                    <w:rPr>
                      <w:rFonts w:hint="eastAsia"/>
                      <w:color w:val="auto"/>
                    </w:rPr>
                    <w:t>ZH35018120003</w:t>
                  </w:r>
                </w:p>
              </w:tc>
              <w:tc>
                <w:tcPr>
                  <w:tcW w:w="296" w:type="pct"/>
                  <w:tcBorders>
                    <w:tl2br w:val="nil"/>
                    <w:tr2bl w:val="nil"/>
                  </w:tcBorders>
                  <w:vAlign w:val="center"/>
                </w:tcPr>
                <w:p>
                  <w:pPr>
                    <w:pStyle w:val="36"/>
                    <w:rPr>
                      <w:color w:val="auto"/>
                    </w:rPr>
                  </w:pPr>
                  <w:r>
                    <w:rPr>
                      <w:color w:val="auto"/>
                    </w:rPr>
                    <w:t>空间布局约束</w:t>
                  </w:r>
                </w:p>
              </w:tc>
              <w:tc>
                <w:tcPr>
                  <w:tcW w:w="1919" w:type="pct"/>
                  <w:tcBorders>
                    <w:tl2br w:val="nil"/>
                    <w:tr2bl w:val="nil"/>
                  </w:tcBorders>
                  <w:vAlign w:val="center"/>
                </w:tcPr>
                <w:p>
                  <w:pPr>
                    <w:pStyle w:val="36"/>
                    <w:jc w:val="left"/>
                    <w:rPr>
                      <w:color w:val="auto"/>
                    </w:rPr>
                  </w:pPr>
                  <w:r>
                    <w:rPr>
                      <w:rFonts w:hint="eastAsia"/>
                      <w:color w:val="auto"/>
                    </w:rPr>
                    <w:t>1.禁止引进纺织业（含印染精加工）、造纸和纸制品业（纸制品制造除外）、化学原料和化学制品制造业（工业气体生产除外）和有色金属冶炼及压延加工业（压延加工除外）；禁止引入含电镀工艺（紧密配套型电镀工艺除外）、冶炼工艺、电解铝的项目；主导产业电气机械和器材制造业禁止类铅酸蓄电池制造。</w:t>
                  </w:r>
                </w:p>
                <w:p>
                  <w:pPr>
                    <w:pStyle w:val="36"/>
                    <w:jc w:val="left"/>
                    <w:rPr>
                      <w:color w:val="auto"/>
                    </w:rPr>
                  </w:pPr>
                  <w:r>
                    <w:rPr>
                      <w:color w:val="auto"/>
                    </w:rPr>
                    <w:t>2.</w:t>
                  </w:r>
                  <w:r>
                    <w:rPr>
                      <w:rFonts w:hint="eastAsia"/>
                      <w:color w:val="auto"/>
                    </w:rPr>
                    <w:t>加强京东方一期、二期工程周边用地规划控制。</w:t>
                  </w:r>
                </w:p>
                <w:p>
                  <w:pPr>
                    <w:pStyle w:val="36"/>
                    <w:jc w:val="left"/>
                    <w:rPr>
                      <w:color w:val="auto"/>
                    </w:rPr>
                  </w:pPr>
                  <w:r>
                    <w:rPr>
                      <w:rFonts w:hint="eastAsia"/>
                      <w:color w:val="auto"/>
                    </w:rPr>
                    <w:t>3.积极推进区内高耗水的印染、造纸等重污染企业的搬迁工作。</w:t>
                  </w:r>
                </w:p>
                <w:p>
                  <w:pPr>
                    <w:pStyle w:val="36"/>
                    <w:jc w:val="left"/>
                    <w:rPr>
                      <w:color w:val="auto"/>
                    </w:rPr>
                  </w:pPr>
                  <w:r>
                    <w:rPr>
                      <w:rFonts w:hint="eastAsia"/>
                      <w:color w:val="auto"/>
                    </w:rPr>
                    <w:t>4.居住用地周边禁止布局潜在废气扰民的建设项目。</w:t>
                  </w:r>
                </w:p>
                <w:p>
                  <w:pPr>
                    <w:pStyle w:val="36"/>
                    <w:jc w:val="left"/>
                    <w:rPr>
                      <w:color w:val="auto"/>
                    </w:rPr>
                  </w:pPr>
                  <w:r>
                    <w:rPr>
                      <w:rFonts w:hint="eastAsia"/>
                      <w:color w:val="auto"/>
                    </w:rPr>
                    <w:t>5.新局调节库周边200米范围内禁止工业企业生产过程中使用危化品，禁止新建排放烟粉尘、VOCs废气的工业项目。</w:t>
                  </w:r>
                </w:p>
              </w:tc>
              <w:tc>
                <w:tcPr>
                  <w:tcW w:w="2116" w:type="pct"/>
                  <w:tcBorders>
                    <w:tl2br w:val="nil"/>
                    <w:tr2bl w:val="nil"/>
                  </w:tcBorders>
                  <w:vAlign w:val="center"/>
                </w:tcPr>
                <w:p>
                  <w:pPr>
                    <w:pStyle w:val="36"/>
                    <w:jc w:val="left"/>
                    <w:rPr>
                      <w:color w:val="auto"/>
                    </w:rPr>
                  </w:pPr>
                  <w:r>
                    <w:rPr>
                      <w:rFonts w:hint="eastAsia"/>
                      <w:color w:val="auto"/>
                    </w:rPr>
                    <w:t>1、项目主要从事铜排、铜棒、铜丝的生产，属于C3251铜压延加工，不属于园区限制以及规划中禁止引进项目；</w:t>
                  </w:r>
                </w:p>
                <w:p>
                  <w:pPr>
                    <w:pStyle w:val="36"/>
                    <w:jc w:val="left"/>
                    <w:rPr>
                      <w:color w:val="auto"/>
                    </w:rPr>
                  </w:pPr>
                  <w:r>
                    <w:rPr>
                      <w:rFonts w:hint="eastAsia"/>
                      <w:color w:val="auto"/>
                    </w:rPr>
                    <w:t>2、项目与京东方一期、二期工程相距4.8km，不在周边规划范围；</w:t>
                  </w:r>
                </w:p>
                <w:p>
                  <w:pPr>
                    <w:pStyle w:val="36"/>
                    <w:jc w:val="left"/>
                    <w:rPr>
                      <w:color w:val="auto"/>
                    </w:rPr>
                  </w:pPr>
                  <w:r>
                    <w:rPr>
                      <w:rFonts w:hint="eastAsia"/>
                      <w:color w:val="auto"/>
                    </w:rPr>
                    <w:t>3、本项目为新建项目，不属于印染、造纸等重污染企业。</w:t>
                  </w:r>
                </w:p>
                <w:p>
                  <w:pPr>
                    <w:pStyle w:val="36"/>
                    <w:jc w:val="left"/>
                    <w:rPr>
                      <w:rFonts w:cs="Times New Roman"/>
                      <w:color w:val="auto"/>
                    </w:rPr>
                  </w:pPr>
                  <w:r>
                    <w:rPr>
                      <w:rFonts w:hint="eastAsia"/>
                      <w:color w:val="auto"/>
                    </w:rPr>
                    <w:t>4、福清地区常年主导风向为东北风，</w:t>
                  </w:r>
                  <w:r>
                    <w:rPr>
                      <w:rFonts w:hint="eastAsia" w:cs="Times New Roman"/>
                      <w:color w:val="auto"/>
                    </w:rPr>
                    <w:t>本项目最近敏感目标屿边村位于厂区东南侧（距离厂界约21米），处于主导风向侧风向位置。</w:t>
                  </w:r>
                  <w:r>
                    <w:rPr>
                      <w:rFonts w:hint="eastAsia"/>
                      <w:color w:val="auto"/>
                    </w:rPr>
                    <w:t>项目将主要产污的1#厂房和4#厂房（设退火工序）远离东侧敏感点布置（厂房距屿边村最近距离约</w:t>
                  </w:r>
                  <w:r>
                    <w:rPr>
                      <w:rFonts w:hint="eastAsia"/>
                      <w:color w:val="auto"/>
                      <w:lang w:eastAsia="zh-CN"/>
                    </w:rPr>
                    <w:t>80米</w:t>
                  </w:r>
                  <w:r>
                    <w:rPr>
                      <w:rFonts w:hint="eastAsia"/>
                      <w:color w:val="auto"/>
                    </w:rPr>
                    <w:t>），</w:t>
                  </w:r>
                  <w:r>
                    <w:rPr>
                      <w:rFonts w:hint="eastAsia" w:cs="Times New Roman"/>
                      <w:color w:val="auto"/>
                    </w:rPr>
                    <w:t>减缓废气对敏感点的影响</w:t>
                  </w:r>
                  <w:r>
                    <w:rPr>
                      <w:rFonts w:hint="eastAsia"/>
                      <w:color w:val="auto"/>
                    </w:rPr>
                    <w:t>。退火工序产生少量VOCs，根据预测结果，</w:t>
                  </w:r>
                  <w:r>
                    <w:rPr>
                      <w:rFonts w:hint="eastAsia"/>
                      <w:color w:val="auto"/>
                      <w:lang w:val="en-US" w:eastAsia="zh-CN"/>
                    </w:rPr>
                    <w:t>本</w:t>
                  </w:r>
                  <w:r>
                    <w:rPr>
                      <w:rFonts w:hint="eastAsia"/>
                      <w:color w:val="auto"/>
                    </w:rPr>
                    <w:t>项目非甲烷总烃可达标排放。</w:t>
                  </w:r>
                </w:p>
                <w:p>
                  <w:pPr>
                    <w:pStyle w:val="36"/>
                    <w:jc w:val="left"/>
                    <w:rPr>
                      <w:color w:val="auto"/>
                    </w:rPr>
                  </w:pPr>
                  <w:r>
                    <w:rPr>
                      <w:rFonts w:hint="eastAsia"/>
                      <w:color w:val="auto"/>
                    </w:rPr>
                    <w:t>5、项目不在新局调节库周边200米范围内。</w:t>
                  </w:r>
                </w:p>
              </w:tc>
              <w:tc>
                <w:tcPr>
                  <w:tcW w:w="308" w:type="pct"/>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7" w:hRule="atLeast"/>
                <w:jc w:val="center"/>
              </w:trPr>
              <w:tc>
                <w:tcPr>
                  <w:tcW w:w="360" w:type="pct"/>
                  <w:vMerge w:val="continue"/>
                  <w:tcBorders>
                    <w:tl2br w:val="nil"/>
                    <w:tr2bl w:val="nil"/>
                  </w:tcBorders>
                  <w:vAlign w:val="center"/>
                </w:tcPr>
                <w:p>
                  <w:pPr>
                    <w:pStyle w:val="36"/>
                    <w:rPr>
                      <w:color w:val="auto"/>
                    </w:rPr>
                  </w:pPr>
                </w:p>
              </w:tc>
              <w:tc>
                <w:tcPr>
                  <w:tcW w:w="296" w:type="pct"/>
                  <w:tcBorders>
                    <w:tl2br w:val="nil"/>
                    <w:tr2bl w:val="nil"/>
                  </w:tcBorders>
                  <w:vAlign w:val="center"/>
                </w:tcPr>
                <w:p>
                  <w:pPr>
                    <w:pStyle w:val="36"/>
                    <w:rPr>
                      <w:color w:val="auto"/>
                    </w:rPr>
                  </w:pPr>
                  <w:r>
                    <w:rPr>
                      <w:color w:val="auto"/>
                    </w:rPr>
                    <w:t>污染物排放管控</w:t>
                  </w:r>
                </w:p>
              </w:tc>
              <w:tc>
                <w:tcPr>
                  <w:tcW w:w="1919" w:type="pct"/>
                  <w:tcBorders>
                    <w:tl2br w:val="nil"/>
                    <w:tr2bl w:val="nil"/>
                  </w:tcBorders>
                  <w:vAlign w:val="center"/>
                </w:tcPr>
                <w:p>
                  <w:pPr>
                    <w:pStyle w:val="36"/>
                    <w:jc w:val="left"/>
                    <w:rPr>
                      <w:color w:val="auto"/>
                    </w:rPr>
                  </w:pPr>
                  <w:r>
                    <w:rPr>
                      <w:rFonts w:hint="eastAsia"/>
                      <w:color w:val="auto"/>
                    </w:rPr>
                    <w:t>1.完善建设污水收集管网，确保园区内所有工业废水、生活污水纳入污水处理厂处理并达标排放。</w:t>
                  </w:r>
                </w:p>
                <w:p>
                  <w:pPr>
                    <w:pStyle w:val="36"/>
                    <w:jc w:val="left"/>
                    <w:rPr>
                      <w:color w:val="auto"/>
                    </w:rPr>
                  </w:pPr>
                  <w:r>
                    <w:rPr>
                      <w:color w:val="auto"/>
                    </w:rPr>
                    <w:t>2.</w:t>
                  </w:r>
                  <w:r>
                    <w:rPr>
                      <w:rFonts w:hint="eastAsia"/>
                      <w:color w:val="auto"/>
                    </w:rPr>
                    <w:t>包装印刷业有机废气排放及控制应符合国家和地方相关标准和规范要求。</w:t>
                  </w:r>
                </w:p>
                <w:p>
                  <w:pPr>
                    <w:pStyle w:val="36"/>
                    <w:jc w:val="left"/>
                    <w:rPr>
                      <w:color w:val="auto"/>
                    </w:rPr>
                  </w:pPr>
                  <w:r>
                    <w:rPr>
                      <w:rFonts w:hint="eastAsia"/>
                      <w:color w:val="auto"/>
                    </w:rPr>
                    <w:t>3.落实新增二氧化硫、氮氧化物和VOCs排放总量控制要求。</w:t>
                  </w:r>
                </w:p>
              </w:tc>
              <w:tc>
                <w:tcPr>
                  <w:tcW w:w="2116" w:type="pct"/>
                  <w:tcBorders>
                    <w:tl2br w:val="nil"/>
                    <w:tr2bl w:val="nil"/>
                  </w:tcBorders>
                  <w:vAlign w:val="center"/>
                </w:tcPr>
                <w:p>
                  <w:pPr>
                    <w:pStyle w:val="36"/>
                    <w:jc w:val="left"/>
                    <w:rPr>
                      <w:color w:val="auto"/>
                    </w:rPr>
                  </w:pPr>
                  <w:r>
                    <w:rPr>
                      <w:rFonts w:hint="eastAsia"/>
                      <w:color w:val="auto"/>
                    </w:rPr>
                    <w:t>项目不涉及</w:t>
                  </w:r>
                  <w:r>
                    <w:rPr>
                      <w:color w:val="auto"/>
                    </w:rPr>
                    <w:t>二氧化硫、氮氧化物</w:t>
                  </w:r>
                  <w:r>
                    <w:rPr>
                      <w:rFonts w:hint="eastAsia"/>
                      <w:color w:val="auto"/>
                    </w:rPr>
                    <w:t>排放，</w:t>
                  </w:r>
                  <w:r>
                    <w:rPr>
                      <w:color w:val="auto"/>
                    </w:rPr>
                    <w:t>新增VOCs指标将按照</w:t>
                  </w:r>
                  <w:r>
                    <w:rPr>
                      <w:rFonts w:hint="eastAsia"/>
                      <w:color w:val="auto"/>
                    </w:rPr>
                    <w:t>生态环境主管部门</w:t>
                  </w:r>
                  <w:r>
                    <w:rPr>
                      <w:color w:val="auto"/>
                    </w:rPr>
                    <w:t>要求申请倍量削减替代</w:t>
                  </w:r>
                  <w:r>
                    <w:rPr>
                      <w:rFonts w:hint="eastAsia"/>
                      <w:color w:val="auto"/>
                    </w:rPr>
                    <w:t>。</w:t>
                  </w:r>
                </w:p>
              </w:tc>
              <w:tc>
                <w:tcPr>
                  <w:tcW w:w="308" w:type="pct"/>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889" w:hRule="atLeast"/>
                <w:jc w:val="center"/>
              </w:trPr>
              <w:tc>
                <w:tcPr>
                  <w:tcW w:w="360" w:type="pct"/>
                  <w:vMerge w:val="continue"/>
                  <w:tcBorders>
                    <w:tl2br w:val="nil"/>
                    <w:tr2bl w:val="nil"/>
                  </w:tcBorders>
                </w:tcPr>
                <w:p>
                  <w:pPr>
                    <w:pStyle w:val="36"/>
                    <w:rPr>
                      <w:color w:val="auto"/>
                    </w:rPr>
                  </w:pPr>
                </w:p>
              </w:tc>
              <w:tc>
                <w:tcPr>
                  <w:tcW w:w="296" w:type="pct"/>
                  <w:tcBorders>
                    <w:tl2br w:val="nil"/>
                    <w:tr2bl w:val="nil"/>
                  </w:tcBorders>
                  <w:vAlign w:val="center"/>
                </w:tcPr>
                <w:p>
                  <w:pPr>
                    <w:pStyle w:val="36"/>
                    <w:rPr>
                      <w:color w:val="auto"/>
                    </w:rPr>
                  </w:pPr>
                  <w:r>
                    <w:rPr>
                      <w:color w:val="auto"/>
                    </w:rPr>
                    <w:t>环境风险防控</w:t>
                  </w:r>
                </w:p>
              </w:tc>
              <w:tc>
                <w:tcPr>
                  <w:tcW w:w="1919" w:type="pct"/>
                  <w:tcBorders>
                    <w:tl2br w:val="nil"/>
                    <w:tr2bl w:val="nil"/>
                  </w:tcBorders>
                  <w:vAlign w:val="center"/>
                </w:tcPr>
                <w:p>
                  <w:pPr>
                    <w:pStyle w:val="36"/>
                    <w:jc w:val="left"/>
                    <w:rPr>
                      <w:color w:val="auto"/>
                    </w:rPr>
                  </w:pPr>
                  <w:r>
                    <w:rPr>
                      <w:rFonts w:hint="eastAsia"/>
                      <w:color w:val="auto"/>
                    </w:rPr>
                    <w:t>1.建立健全环境风险防控体系，制定环境风险应急预案，建设事故应急池，成立应急组织机构，防止在处理安全生产事故过程中产生的可能严重污染水体的消防废水、废液直接排入水体。</w:t>
                  </w:r>
                </w:p>
                <w:p>
                  <w:pPr>
                    <w:pStyle w:val="36"/>
                    <w:jc w:val="left"/>
                    <w:rPr>
                      <w:color w:val="auto"/>
                    </w:rPr>
                  </w:pPr>
                  <w:r>
                    <w:rPr>
                      <w:color w:val="auto"/>
                    </w:rPr>
                    <w:t>2.</w:t>
                  </w:r>
                  <w:r>
                    <w:rPr>
                      <w:rFonts w:hint="eastAsia"/>
                      <w:color w:val="auto"/>
                    </w:rPr>
                    <w:t>应采取有效措施防止园区建设对区域地下水、土壤造成污染。</w:t>
                  </w:r>
                </w:p>
              </w:tc>
              <w:tc>
                <w:tcPr>
                  <w:tcW w:w="2116" w:type="pct"/>
                  <w:tcBorders>
                    <w:tl2br w:val="nil"/>
                    <w:tr2bl w:val="nil"/>
                  </w:tcBorders>
                  <w:vAlign w:val="center"/>
                </w:tcPr>
                <w:p>
                  <w:pPr>
                    <w:pStyle w:val="36"/>
                    <w:jc w:val="left"/>
                    <w:rPr>
                      <w:color w:val="auto"/>
                    </w:rPr>
                  </w:pPr>
                  <w:r>
                    <w:rPr>
                      <w:rFonts w:hint="eastAsia"/>
                      <w:color w:val="auto"/>
                    </w:rPr>
                    <w:t>1.本项目环境风险物质Q值&lt;1，环境风险程度低</w:t>
                  </w:r>
                  <w:r>
                    <w:rPr>
                      <w:rFonts w:hint="eastAsia"/>
                      <w:color w:val="auto"/>
                      <w:lang w:eastAsia="zh-CN"/>
                    </w:rPr>
                    <w:t>。</w:t>
                  </w:r>
                  <w:r>
                    <w:rPr>
                      <w:rFonts w:hint="eastAsia" w:ascii="宋体" w:hAnsi="宋体" w:cs="宋体"/>
                      <w:color w:val="auto"/>
                      <w:sz w:val="21"/>
                      <w:szCs w:val="21"/>
                      <w:lang w:val="en-US" w:eastAsia="zh-CN" w:bidi="ar"/>
                    </w:rPr>
                    <w:t>项目</w:t>
                  </w:r>
                  <w:r>
                    <w:rPr>
                      <w:rFonts w:hint="eastAsia"/>
                      <w:color w:val="auto"/>
                    </w:rPr>
                    <w:t>无生产废水</w:t>
                  </w:r>
                  <w:r>
                    <w:rPr>
                      <w:rFonts w:hint="eastAsia"/>
                      <w:color w:val="auto"/>
                      <w:lang w:val="en-US" w:eastAsia="zh-CN"/>
                    </w:rPr>
                    <w:t>排放</w:t>
                  </w:r>
                  <w:r>
                    <w:rPr>
                      <w:rFonts w:hint="eastAsia"/>
                      <w:color w:val="auto"/>
                    </w:rPr>
                    <w:t>，</w:t>
                  </w:r>
                  <w:r>
                    <w:rPr>
                      <w:rFonts w:hint="eastAsia"/>
                      <w:color w:val="auto"/>
                      <w:lang w:val="en-US" w:eastAsia="zh-CN"/>
                    </w:rPr>
                    <w:t>外排</w:t>
                  </w:r>
                  <w:r>
                    <w:rPr>
                      <w:rFonts w:hint="eastAsia"/>
                      <w:color w:val="auto"/>
                    </w:rPr>
                    <w:t>生活污水经化粪池预处理后纳入福清市融元污水处理厂集中处理</w:t>
                  </w:r>
                  <w:r>
                    <w:rPr>
                      <w:rFonts w:hint="eastAsia"/>
                      <w:color w:val="auto"/>
                      <w:lang w:eastAsia="zh-CN"/>
                    </w:rPr>
                    <w:t>。</w:t>
                  </w:r>
                </w:p>
                <w:p>
                  <w:pPr>
                    <w:pStyle w:val="36"/>
                    <w:jc w:val="left"/>
                    <w:rPr>
                      <w:color w:val="auto"/>
                    </w:rPr>
                  </w:pPr>
                  <w:r>
                    <w:rPr>
                      <w:rFonts w:hint="eastAsia"/>
                      <w:bCs/>
                      <w:color w:val="auto"/>
                    </w:rPr>
                    <w:t>2.项目生产间冷却水循环使用不外排，生活污水经化粪池处理后接入市政污水管网，不会对地下水土壤造成污染</w:t>
                  </w:r>
                  <w:r>
                    <w:rPr>
                      <w:rFonts w:hint="eastAsia"/>
                      <w:color w:val="auto"/>
                    </w:rPr>
                    <w:t>。</w:t>
                  </w:r>
                </w:p>
              </w:tc>
              <w:tc>
                <w:tcPr>
                  <w:tcW w:w="308" w:type="pct"/>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7" w:hRule="atLeast"/>
                <w:jc w:val="center"/>
              </w:trPr>
              <w:tc>
                <w:tcPr>
                  <w:tcW w:w="360" w:type="pct"/>
                  <w:vMerge w:val="continue"/>
                  <w:tcBorders>
                    <w:tl2br w:val="nil"/>
                    <w:tr2bl w:val="nil"/>
                  </w:tcBorders>
                </w:tcPr>
                <w:p>
                  <w:pPr>
                    <w:pStyle w:val="36"/>
                    <w:rPr>
                      <w:color w:val="auto"/>
                    </w:rPr>
                  </w:pPr>
                </w:p>
              </w:tc>
              <w:tc>
                <w:tcPr>
                  <w:tcW w:w="296" w:type="pct"/>
                  <w:tcBorders>
                    <w:tl2br w:val="nil"/>
                    <w:tr2bl w:val="nil"/>
                  </w:tcBorders>
                  <w:vAlign w:val="center"/>
                </w:tcPr>
                <w:p>
                  <w:pPr>
                    <w:pStyle w:val="36"/>
                    <w:rPr>
                      <w:color w:val="auto"/>
                    </w:rPr>
                  </w:pPr>
                  <w:r>
                    <w:rPr>
                      <w:color w:val="auto"/>
                    </w:rPr>
                    <w:t>资源开发效率要求</w:t>
                  </w:r>
                </w:p>
              </w:tc>
              <w:tc>
                <w:tcPr>
                  <w:tcW w:w="1919" w:type="pct"/>
                  <w:tcBorders>
                    <w:tl2br w:val="nil"/>
                    <w:tr2bl w:val="nil"/>
                  </w:tcBorders>
                  <w:vAlign w:val="center"/>
                </w:tcPr>
                <w:p>
                  <w:pPr>
                    <w:pStyle w:val="36"/>
                    <w:jc w:val="left"/>
                    <w:rPr>
                      <w:color w:val="auto"/>
                    </w:rPr>
                  </w:pPr>
                  <w:r>
                    <w:rPr>
                      <w:rFonts w:hint="eastAsia"/>
                      <w:color w:val="auto"/>
                    </w:rPr>
                    <w:t>高污染燃料禁燃区内禁止燃用高污染燃料，禁止新建、扩建燃用高污染燃料的设施。已建的燃用高污染燃料设施，限期改用电、天然气、液化石油气等清洁能源。</w:t>
                  </w:r>
                </w:p>
              </w:tc>
              <w:tc>
                <w:tcPr>
                  <w:tcW w:w="2116" w:type="pct"/>
                  <w:tcBorders>
                    <w:tl2br w:val="nil"/>
                    <w:tr2bl w:val="nil"/>
                  </w:tcBorders>
                  <w:vAlign w:val="center"/>
                </w:tcPr>
                <w:p>
                  <w:pPr>
                    <w:pStyle w:val="36"/>
                    <w:jc w:val="left"/>
                    <w:rPr>
                      <w:color w:val="auto"/>
                    </w:rPr>
                  </w:pPr>
                  <w:r>
                    <w:rPr>
                      <w:rFonts w:hint="eastAsia"/>
                      <w:color w:val="auto"/>
                    </w:rPr>
                    <w:t>项目使用能源为电能，为清洁能源。</w:t>
                  </w:r>
                </w:p>
              </w:tc>
              <w:tc>
                <w:tcPr>
                  <w:tcW w:w="308" w:type="pct"/>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7" w:hRule="atLeast"/>
                <w:jc w:val="center"/>
              </w:trPr>
              <w:tc>
                <w:tcPr>
                  <w:tcW w:w="360" w:type="pct"/>
                  <w:vMerge w:val="restart"/>
                  <w:tcBorders>
                    <w:tl2br w:val="nil"/>
                    <w:tr2bl w:val="nil"/>
                  </w:tcBorders>
                  <w:vAlign w:val="center"/>
                </w:tcPr>
                <w:p>
                  <w:pPr>
                    <w:pStyle w:val="36"/>
                    <w:rPr>
                      <w:color w:val="auto"/>
                    </w:rPr>
                  </w:pPr>
                  <w:r>
                    <w:rPr>
                      <w:rFonts w:hint="eastAsia"/>
                      <w:color w:val="auto"/>
                    </w:rPr>
                    <w:t>福清市重点管控单元1</w:t>
                  </w:r>
                </w:p>
                <w:p>
                  <w:pPr>
                    <w:pStyle w:val="36"/>
                    <w:rPr>
                      <w:color w:val="auto"/>
                    </w:rPr>
                  </w:pPr>
                  <w:r>
                    <w:rPr>
                      <w:rFonts w:hint="eastAsia"/>
                      <w:color w:val="auto"/>
                    </w:rPr>
                    <w:t>ZH35018120008</w:t>
                  </w:r>
                </w:p>
              </w:tc>
              <w:tc>
                <w:tcPr>
                  <w:tcW w:w="296" w:type="pct"/>
                  <w:tcBorders>
                    <w:tl2br w:val="nil"/>
                    <w:tr2bl w:val="nil"/>
                  </w:tcBorders>
                  <w:vAlign w:val="center"/>
                </w:tcPr>
                <w:p>
                  <w:pPr>
                    <w:pStyle w:val="36"/>
                    <w:rPr>
                      <w:color w:val="auto"/>
                    </w:rPr>
                  </w:pPr>
                  <w:r>
                    <w:rPr>
                      <w:color w:val="auto"/>
                    </w:rPr>
                    <w:t>空间布局约束</w:t>
                  </w:r>
                </w:p>
              </w:tc>
              <w:tc>
                <w:tcPr>
                  <w:tcW w:w="1919" w:type="pct"/>
                  <w:tcBorders>
                    <w:tl2br w:val="nil"/>
                    <w:tr2bl w:val="nil"/>
                  </w:tcBorders>
                  <w:vAlign w:val="center"/>
                </w:tcPr>
                <w:p>
                  <w:pPr>
                    <w:pStyle w:val="36"/>
                    <w:jc w:val="left"/>
                    <w:rPr>
                      <w:color w:val="auto"/>
                    </w:rPr>
                  </w:pPr>
                  <w:r>
                    <w:rPr>
                      <w:rFonts w:hint="eastAsia"/>
                      <w:color w:val="auto"/>
                    </w:rPr>
                    <w:t>1.严禁在城镇人口密集区新建危险化学品生产企业；现有不符合安全和卫生防护距离要求的危险化学品生产企业2025年底前完成就地改造达标、搬迁进入规范化工园区或关闭退出。城市建成区内现有有色金属、印染、原料药制造、化工等污染较重的企业应有序搬迁改造或依法关闭。</w:t>
                  </w:r>
                </w:p>
                <w:p>
                  <w:pPr>
                    <w:pStyle w:val="36"/>
                    <w:jc w:val="left"/>
                    <w:rPr>
                      <w:color w:val="auto"/>
                    </w:rPr>
                  </w:pPr>
                  <w:r>
                    <w:rPr>
                      <w:color w:val="auto"/>
                    </w:rPr>
                    <w:t>2.</w:t>
                  </w:r>
                  <w:r>
                    <w:rPr>
                      <w:rFonts w:hint="eastAsia"/>
                      <w:color w:val="auto"/>
                    </w:rPr>
                    <w:t>严格控制包装印刷、工业涂装、制鞋等高VOCs排放的项目建设，相关新建项目必须进入工业园区。</w:t>
                  </w:r>
                </w:p>
                <w:p>
                  <w:pPr>
                    <w:pStyle w:val="36"/>
                    <w:jc w:val="left"/>
                    <w:rPr>
                      <w:color w:val="auto"/>
                    </w:rPr>
                  </w:pPr>
                  <w:r>
                    <w:rPr>
                      <w:rFonts w:hint="eastAsia"/>
                      <w:color w:val="auto"/>
                    </w:rPr>
                    <w:t>3.禁止开发利用未经评估和无害化处理的列入建设用地污染地块名录及开发利用负面清单的土地。</w:t>
                  </w:r>
                </w:p>
              </w:tc>
              <w:tc>
                <w:tcPr>
                  <w:tcW w:w="2116" w:type="pct"/>
                  <w:tcBorders>
                    <w:tl2br w:val="nil"/>
                    <w:tr2bl w:val="nil"/>
                  </w:tcBorders>
                  <w:vAlign w:val="center"/>
                </w:tcPr>
                <w:p>
                  <w:pPr>
                    <w:pStyle w:val="36"/>
                    <w:jc w:val="left"/>
                    <w:rPr>
                      <w:color w:val="auto"/>
                    </w:rPr>
                  </w:pPr>
                  <w:r>
                    <w:rPr>
                      <w:rFonts w:hint="eastAsia"/>
                      <w:color w:val="auto"/>
                    </w:rPr>
                    <w:t>1、项目不属于危险化学品生产企业；</w:t>
                  </w:r>
                </w:p>
                <w:p>
                  <w:pPr>
                    <w:pStyle w:val="36"/>
                    <w:jc w:val="left"/>
                    <w:rPr>
                      <w:color w:val="auto"/>
                    </w:rPr>
                  </w:pPr>
                  <w:r>
                    <w:rPr>
                      <w:rFonts w:hint="eastAsia"/>
                      <w:color w:val="auto"/>
                    </w:rPr>
                    <w:t>2、项目</w:t>
                  </w:r>
                  <w:r>
                    <w:rPr>
                      <w:rFonts w:hint="eastAsia" w:cs="Times New Roman"/>
                      <w:color w:val="auto"/>
                    </w:rPr>
                    <w:t>不属于包装印刷、工业涂装、制鞋等高VOCs排放的项目</w:t>
                  </w:r>
                  <w:r>
                    <w:rPr>
                      <w:rFonts w:hint="eastAsia"/>
                      <w:color w:val="auto"/>
                    </w:rPr>
                    <w:t>；</w:t>
                  </w:r>
                </w:p>
                <w:p>
                  <w:pPr>
                    <w:pStyle w:val="36"/>
                    <w:jc w:val="left"/>
                    <w:rPr>
                      <w:color w:val="auto"/>
                    </w:rPr>
                  </w:pPr>
                  <w:r>
                    <w:rPr>
                      <w:rFonts w:hint="eastAsia"/>
                      <w:color w:val="auto"/>
                    </w:rPr>
                    <w:t>3、项目建设用地未列入建设用地污染地块名录及开发利用负面清单的土地。</w:t>
                  </w:r>
                </w:p>
              </w:tc>
              <w:tc>
                <w:tcPr>
                  <w:tcW w:w="308" w:type="pct"/>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360" w:type="pct"/>
                  <w:vMerge w:val="continue"/>
                  <w:tcBorders>
                    <w:tl2br w:val="nil"/>
                    <w:tr2bl w:val="nil"/>
                  </w:tcBorders>
                  <w:vAlign w:val="center"/>
                </w:tcPr>
                <w:p>
                  <w:pPr>
                    <w:pStyle w:val="36"/>
                    <w:rPr>
                      <w:color w:val="auto"/>
                    </w:rPr>
                  </w:pPr>
                </w:p>
              </w:tc>
              <w:tc>
                <w:tcPr>
                  <w:tcW w:w="296" w:type="pct"/>
                  <w:tcBorders>
                    <w:tl2br w:val="nil"/>
                    <w:tr2bl w:val="nil"/>
                  </w:tcBorders>
                  <w:vAlign w:val="center"/>
                </w:tcPr>
                <w:p>
                  <w:pPr>
                    <w:pStyle w:val="36"/>
                    <w:rPr>
                      <w:color w:val="auto"/>
                    </w:rPr>
                  </w:pPr>
                  <w:r>
                    <w:rPr>
                      <w:color w:val="auto"/>
                    </w:rPr>
                    <w:t>污染物排放管控</w:t>
                  </w:r>
                </w:p>
              </w:tc>
              <w:tc>
                <w:tcPr>
                  <w:tcW w:w="1919" w:type="pct"/>
                  <w:tcBorders>
                    <w:tl2br w:val="nil"/>
                    <w:tr2bl w:val="nil"/>
                  </w:tcBorders>
                  <w:vAlign w:val="center"/>
                </w:tcPr>
                <w:p>
                  <w:pPr>
                    <w:pStyle w:val="36"/>
                    <w:jc w:val="left"/>
                    <w:rPr>
                      <w:color w:val="auto"/>
                    </w:rPr>
                  </w:pPr>
                  <w:r>
                    <w:rPr>
                      <w:color w:val="auto"/>
                    </w:rPr>
                    <w:t>落</w:t>
                  </w:r>
                  <w:r>
                    <w:rPr>
                      <w:rFonts w:hint="eastAsia"/>
                      <w:color w:val="auto"/>
                    </w:rPr>
                    <w:t>实新增二氧化硫、氮氧化物和VOCs排放总量控制要求。</w:t>
                  </w:r>
                </w:p>
              </w:tc>
              <w:tc>
                <w:tcPr>
                  <w:tcW w:w="2116" w:type="pct"/>
                  <w:tcBorders>
                    <w:tl2br w:val="nil"/>
                    <w:tr2bl w:val="nil"/>
                  </w:tcBorders>
                  <w:vAlign w:val="center"/>
                </w:tcPr>
                <w:p>
                  <w:pPr>
                    <w:pStyle w:val="36"/>
                    <w:jc w:val="left"/>
                    <w:rPr>
                      <w:color w:val="auto"/>
                    </w:rPr>
                  </w:pPr>
                  <w:r>
                    <w:rPr>
                      <w:rFonts w:hint="eastAsia"/>
                      <w:color w:val="auto"/>
                    </w:rPr>
                    <w:t>项目不涉及</w:t>
                  </w:r>
                  <w:r>
                    <w:rPr>
                      <w:color w:val="auto"/>
                    </w:rPr>
                    <w:t>二氧化硫、氮氧化物</w:t>
                  </w:r>
                  <w:r>
                    <w:rPr>
                      <w:rFonts w:hint="eastAsia"/>
                      <w:color w:val="auto"/>
                    </w:rPr>
                    <w:t>排放，</w:t>
                  </w:r>
                  <w:r>
                    <w:rPr>
                      <w:color w:val="auto"/>
                    </w:rPr>
                    <w:t>新增VOCs指标将按照</w:t>
                  </w:r>
                  <w:r>
                    <w:rPr>
                      <w:rFonts w:hint="eastAsia"/>
                      <w:color w:val="auto"/>
                    </w:rPr>
                    <w:t>生态环境主管部门</w:t>
                  </w:r>
                  <w:r>
                    <w:rPr>
                      <w:color w:val="auto"/>
                    </w:rPr>
                    <w:t>要求申请倍量削减替代</w:t>
                  </w:r>
                  <w:r>
                    <w:rPr>
                      <w:rFonts w:hint="eastAsia"/>
                      <w:color w:val="auto"/>
                    </w:rPr>
                    <w:t>。</w:t>
                  </w:r>
                </w:p>
              </w:tc>
              <w:tc>
                <w:tcPr>
                  <w:tcW w:w="308" w:type="pct"/>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7" w:hRule="atLeast"/>
                <w:jc w:val="center"/>
              </w:trPr>
              <w:tc>
                <w:tcPr>
                  <w:tcW w:w="360" w:type="pct"/>
                  <w:vMerge w:val="continue"/>
                  <w:tcBorders>
                    <w:tl2br w:val="nil"/>
                    <w:tr2bl w:val="nil"/>
                  </w:tcBorders>
                </w:tcPr>
                <w:p>
                  <w:pPr>
                    <w:pStyle w:val="36"/>
                    <w:rPr>
                      <w:color w:val="auto"/>
                    </w:rPr>
                  </w:pPr>
                </w:p>
              </w:tc>
              <w:tc>
                <w:tcPr>
                  <w:tcW w:w="296" w:type="pct"/>
                  <w:tcBorders>
                    <w:tl2br w:val="nil"/>
                    <w:tr2bl w:val="nil"/>
                  </w:tcBorders>
                  <w:vAlign w:val="center"/>
                </w:tcPr>
                <w:p>
                  <w:pPr>
                    <w:pStyle w:val="36"/>
                    <w:rPr>
                      <w:color w:val="auto"/>
                    </w:rPr>
                  </w:pPr>
                  <w:r>
                    <w:rPr>
                      <w:color w:val="auto"/>
                    </w:rPr>
                    <w:t>环境风险防控</w:t>
                  </w:r>
                </w:p>
              </w:tc>
              <w:tc>
                <w:tcPr>
                  <w:tcW w:w="1919" w:type="pct"/>
                  <w:tcBorders>
                    <w:tl2br w:val="nil"/>
                    <w:tr2bl w:val="nil"/>
                  </w:tcBorders>
                  <w:vAlign w:val="center"/>
                </w:tcPr>
                <w:p>
                  <w:pPr>
                    <w:pStyle w:val="36"/>
                    <w:jc w:val="left"/>
                    <w:rPr>
                      <w:color w:val="auto"/>
                    </w:rPr>
                  </w:pPr>
                  <w:r>
                    <w:rPr>
                      <w:rFonts w:hint="eastAsia"/>
                      <w:color w:val="auto"/>
                    </w:rPr>
                    <w:t>单元内现有化学原料和化学制品制造业、有色金属冶炼和压延加工业等具有潜在土壤污染环境风险的企业退役后，应开展土壤环境状况评估，经评估认为污染地块可能损害人体健康和环境，应当进行修复的，由造成污染的单位和个人负责被污染土壤的修复。</w:t>
                  </w:r>
                </w:p>
              </w:tc>
              <w:tc>
                <w:tcPr>
                  <w:tcW w:w="2116" w:type="pct"/>
                  <w:tcBorders>
                    <w:tl2br w:val="nil"/>
                    <w:tr2bl w:val="nil"/>
                  </w:tcBorders>
                  <w:vAlign w:val="center"/>
                </w:tcPr>
                <w:p>
                  <w:pPr>
                    <w:pStyle w:val="36"/>
                    <w:jc w:val="left"/>
                    <w:rPr>
                      <w:color w:val="auto"/>
                    </w:rPr>
                  </w:pPr>
                  <w:r>
                    <w:rPr>
                      <w:rFonts w:hint="eastAsia"/>
                      <w:color w:val="auto"/>
                    </w:rPr>
                    <w:t>项目属于C3251铜压延加工，企业退役后按要求开展土壤环境状况评估。</w:t>
                  </w:r>
                </w:p>
              </w:tc>
              <w:tc>
                <w:tcPr>
                  <w:tcW w:w="308" w:type="pct"/>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7" w:hRule="atLeast"/>
                <w:jc w:val="center"/>
              </w:trPr>
              <w:tc>
                <w:tcPr>
                  <w:tcW w:w="360" w:type="pct"/>
                  <w:vMerge w:val="continue"/>
                  <w:tcBorders>
                    <w:tl2br w:val="nil"/>
                    <w:tr2bl w:val="nil"/>
                  </w:tcBorders>
                </w:tcPr>
                <w:p>
                  <w:pPr>
                    <w:pStyle w:val="36"/>
                    <w:rPr>
                      <w:color w:val="auto"/>
                    </w:rPr>
                  </w:pPr>
                </w:p>
              </w:tc>
              <w:tc>
                <w:tcPr>
                  <w:tcW w:w="296" w:type="pct"/>
                  <w:tcBorders>
                    <w:tl2br w:val="nil"/>
                    <w:tr2bl w:val="nil"/>
                  </w:tcBorders>
                  <w:vAlign w:val="center"/>
                </w:tcPr>
                <w:p>
                  <w:pPr>
                    <w:pStyle w:val="36"/>
                    <w:rPr>
                      <w:color w:val="auto"/>
                    </w:rPr>
                  </w:pPr>
                  <w:r>
                    <w:rPr>
                      <w:color w:val="auto"/>
                    </w:rPr>
                    <w:t>资源开发效率要求</w:t>
                  </w:r>
                </w:p>
              </w:tc>
              <w:tc>
                <w:tcPr>
                  <w:tcW w:w="1919" w:type="pct"/>
                  <w:tcBorders>
                    <w:tl2br w:val="nil"/>
                    <w:tr2bl w:val="nil"/>
                  </w:tcBorders>
                  <w:vAlign w:val="center"/>
                </w:tcPr>
                <w:p>
                  <w:pPr>
                    <w:pStyle w:val="36"/>
                    <w:jc w:val="left"/>
                    <w:rPr>
                      <w:color w:val="auto"/>
                    </w:rPr>
                  </w:pPr>
                  <w:r>
                    <w:rPr>
                      <w:rFonts w:hint="eastAsia"/>
                      <w:color w:val="auto"/>
                    </w:rPr>
                    <w:t>高污染燃料禁燃区内禁止燃用高污染燃料，禁止新建、扩建燃用高污染燃料的设施。已建的燃用高污染燃料设施，限期改用电、天然气、液化石油气等清洁能源。</w:t>
                  </w:r>
                </w:p>
              </w:tc>
              <w:tc>
                <w:tcPr>
                  <w:tcW w:w="2116" w:type="pct"/>
                  <w:tcBorders>
                    <w:tl2br w:val="nil"/>
                    <w:tr2bl w:val="nil"/>
                  </w:tcBorders>
                  <w:vAlign w:val="center"/>
                </w:tcPr>
                <w:p>
                  <w:pPr>
                    <w:pStyle w:val="36"/>
                    <w:jc w:val="left"/>
                    <w:rPr>
                      <w:color w:val="auto"/>
                    </w:rPr>
                  </w:pPr>
                  <w:r>
                    <w:rPr>
                      <w:rFonts w:hint="eastAsia"/>
                      <w:color w:val="auto"/>
                    </w:rPr>
                    <w:t>项目使用能源为电能，为清洁能源。</w:t>
                  </w:r>
                </w:p>
              </w:tc>
              <w:tc>
                <w:tcPr>
                  <w:tcW w:w="308" w:type="pct"/>
                  <w:tcBorders>
                    <w:tl2br w:val="nil"/>
                    <w:tr2bl w:val="nil"/>
                  </w:tcBorders>
                  <w:vAlign w:val="center"/>
                </w:tcPr>
                <w:p>
                  <w:pPr>
                    <w:pStyle w:val="36"/>
                    <w:rPr>
                      <w:color w:val="auto"/>
                    </w:rPr>
                  </w:pPr>
                  <w:r>
                    <w:rPr>
                      <w:color w:val="auto"/>
                    </w:rPr>
                    <w:t>符合</w:t>
                  </w:r>
                </w:p>
              </w:tc>
            </w:tr>
          </w:tbl>
          <w:p>
            <w:pPr>
              <w:ind w:firstLine="480"/>
              <w:rPr>
                <w:color w:val="auto"/>
              </w:rPr>
            </w:pPr>
          </w:p>
          <w:p>
            <w:pPr>
              <w:ind w:firstLine="480"/>
              <w:rPr>
                <w:color w:val="auto"/>
              </w:rPr>
            </w:pPr>
          </w:p>
          <w:p>
            <w:pPr>
              <w:ind w:firstLine="480"/>
              <w:rPr>
                <w:color w:val="auto"/>
              </w:rPr>
            </w:pPr>
          </w:p>
          <w:p>
            <w:pPr>
              <w:pStyle w:val="2"/>
              <w:rPr>
                <w:color w:val="auto"/>
              </w:rPr>
            </w:pPr>
          </w:p>
          <w:p>
            <w:pPr>
              <w:pStyle w:val="55"/>
              <w:rPr>
                <w:color w:val="auto"/>
              </w:rPr>
            </w:pPr>
            <w:bookmarkStart w:id="11" w:name="_Toc24480"/>
            <w:r>
              <w:rPr>
                <w:rFonts w:hint="eastAsia"/>
                <w:color w:val="auto"/>
              </w:rPr>
              <w:t>1.</w:t>
            </w:r>
            <w:bookmarkStart w:id="12" w:name="_Toc27491709"/>
            <w:bookmarkStart w:id="13" w:name="_Toc21039"/>
            <w:bookmarkStart w:id="14" w:name="_Toc29679554"/>
            <w:bookmarkStart w:id="15" w:name="_Toc3447"/>
            <w:bookmarkStart w:id="16" w:name="_Toc49844506"/>
            <w:bookmarkStart w:id="17" w:name="_Toc3505"/>
            <w:bookmarkStart w:id="18" w:name="_Toc20448"/>
            <w:bookmarkStart w:id="19" w:name="_Toc5778"/>
            <w:bookmarkStart w:id="20" w:name="_Toc9136"/>
            <w:bookmarkStart w:id="21" w:name="_Toc25792"/>
            <w:bookmarkStart w:id="22" w:name="_Toc47946951"/>
            <w:r>
              <w:rPr>
                <w:rFonts w:hint="eastAsia"/>
                <w:color w:val="auto"/>
              </w:rPr>
              <w:t>8与其他技术符合性分析</w:t>
            </w:r>
            <w:bookmarkEnd w:id="11"/>
            <w:bookmarkEnd w:id="12"/>
            <w:bookmarkEnd w:id="13"/>
            <w:bookmarkEnd w:id="14"/>
            <w:bookmarkEnd w:id="15"/>
            <w:bookmarkEnd w:id="16"/>
            <w:bookmarkEnd w:id="17"/>
            <w:bookmarkEnd w:id="18"/>
            <w:bookmarkEnd w:id="19"/>
            <w:bookmarkEnd w:id="20"/>
            <w:bookmarkEnd w:id="21"/>
            <w:bookmarkEnd w:id="22"/>
          </w:p>
          <w:p>
            <w:pPr>
              <w:pStyle w:val="38"/>
              <w:ind w:firstLine="480"/>
              <w:rPr>
                <w:color w:val="auto"/>
              </w:rPr>
            </w:pPr>
            <w:r>
              <w:rPr>
                <w:rFonts w:hint="eastAsia"/>
                <w:color w:val="auto"/>
              </w:rPr>
              <w:t>本项目与挥发性有机污染物相关技术政策相符性分析见表1-8。</w:t>
            </w:r>
          </w:p>
          <w:p>
            <w:pPr>
              <w:pStyle w:val="37"/>
              <w:rPr>
                <w:color w:val="auto"/>
              </w:rPr>
            </w:pPr>
            <w:r>
              <w:rPr>
                <w:color w:val="auto"/>
              </w:rPr>
              <w:t>表</w:t>
            </w:r>
            <w:r>
              <w:rPr>
                <w:rFonts w:hint="eastAsia"/>
                <w:color w:val="auto"/>
              </w:rPr>
              <w:t>1-</w:t>
            </w:r>
            <w:r>
              <w:rPr>
                <w:rFonts w:hint="eastAsia"/>
                <w:color w:val="auto"/>
                <w:lang w:val="en-US"/>
              </w:rPr>
              <w:t xml:space="preserve">8  </w:t>
            </w:r>
            <w:r>
              <w:rPr>
                <w:color w:val="auto"/>
              </w:rPr>
              <w:t>挥发性有机物污染防治政策相关内容</w:t>
            </w:r>
          </w:p>
          <w:tbl>
            <w:tblPr>
              <w:tblStyle w:val="27"/>
              <w:tblW w:w="499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2078"/>
              <w:gridCol w:w="5909"/>
              <w:gridCol w:w="3913"/>
              <w:gridCol w:w="7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821" w:type="pct"/>
                  <w:tcBorders>
                    <w:tl2br w:val="nil"/>
                    <w:tr2bl w:val="nil"/>
                  </w:tcBorders>
                  <w:vAlign w:val="center"/>
                </w:tcPr>
                <w:p>
                  <w:pPr>
                    <w:pStyle w:val="36"/>
                    <w:rPr>
                      <w:color w:val="auto"/>
                    </w:rPr>
                  </w:pPr>
                  <w:r>
                    <w:rPr>
                      <w:color w:val="auto"/>
                    </w:rPr>
                    <w:t>相关文件名称</w:t>
                  </w:r>
                </w:p>
              </w:tc>
              <w:tc>
                <w:tcPr>
                  <w:tcW w:w="2335" w:type="pct"/>
                  <w:tcBorders>
                    <w:tl2br w:val="nil"/>
                    <w:tr2bl w:val="nil"/>
                  </w:tcBorders>
                  <w:vAlign w:val="center"/>
                </w:tcPr>
                <w:p>
                  <w:pPr>
                    <w:pStyle w:val="36"/>
                    <w:rPr>
                      <w:color w:val="auto"/>
                    </w:rPr>
                  </w:pPr>
                  <w:r>
                    <w:rPr>
                      <w:color w:val="auto"/>
                    </w:rPr>
                    <w:t>相关内容</w:t>
                  </w:r>
                </w:p>
              </w:tc>
              <w:tc>
                <w:tcPr>
                  <w:tcW w:w="1546" w:type="pct"/>
                  <w:tcBorders>
                    <w:tl2br w:val="nil"/>
                    <w:tr2bl w:val="nil"/>
                  </w:tcBorders>
                  <w:vAlign w:val="center"/>
                </w:tcPr>
                <w:p>
                  <w:pPr>
                    <w:pStyle w:val="36"/>
                    <w:rPr>
                      <w:color w:val="auto"/>
                    </w:rPr>
                  </w:pPr>
                  <w:r>
                    <w:rPr>
                      <w:color w:val="auto"/>
                    </w:rPr>
                    <w:t>项目情况</w:t>
                  </w:r>
                </w:p>
              </w:tc>
              <w:tc>
                <w:tcPr>
                  <w:tcW w:w="296" w:type="pct"/>
                  <w:tcBorders>
                    <w:tl2br w:val="nil"/>
                    <w:tr2bl w:val="nil"/>
                  </w:tcBorders>
                  <w:vAlign w:val="center"/>
                </w:tcPr>
                <w:p>
                  <w:pPr>
                    <w:pStyle w:val="36"/>
                    <w:rPr>
                      <w:color w:val="auto"/>
                    </w:rPr>
                  </w:pPr>
                  <w:r>
                    <w:rPr>
                      <w:color w:val="auto"/>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1" w:type="pct"/>
                  <w:tcBorders>
                    <w:tl2br w:val="nil"/>
                    <w:tr2bl w:val="nil"/>
                  </w:tcBorders>
                  <w:vAlign w:val="center"/>
                </w:tcPr>
                <w:p>
                  <w:pPr>
                    <w:pStyle w:val="36"/>
                    <w:rPr>
                      <w:color w:val="auto"/>
                    </w:rPr>
                  </w:pPr>
                  <w:r>
                    <w:rPr>
                      <w:color w:val="auto"/>
                    </w:rPr>
                    <w:t>《挥发性有机物无组织排放控制标准（GB37822—2019）》</w:t>
                  </w:r>
                </w:p>
              </w:tc>
              <w:tc>
                <w:tcPr>
                  <w:tcW w:w="2335" w:type="pct"/>
                  <w:tcBorders>
                    <w:tl2br w:val="nil"/>
                    <w:tr2bl w:val="nil"/>
                  </w:tcBorders>
                  <w:vAlign w:val="center"/>
                </w:tcPr>
                <w:p>
                  <w:pPr>
                    <w:pStyle w:val="36"/>
                    <w:jc w:val="left"/>
                    <w:rPr>
                      <w:color w:val="auto"/>
                    </w:rPr>
                  </w:pPr>
                  <w:r>
                    <w:rPr>
                      <w:color w:val="auto"/>
                    </w:rPr>
                    <w:t>VOCs质量占比大于等于10%的含VOCs产品，其使用过程应采用密闭设备或在密闭空间内操作，废气应排至VOCs废气收集处理系统；无法密闭的，应采取局部气体收集措施，废气应排至VOCs废气收集处理系统。</w:t>
                  </w:r>
                </w:p>
              </w:tc>
              <w:tc>
                <w:tcPr>
                  <w:tcW w:w="1546" w:type="pct"/>
                  <w:tcBorders>
                    <w:tl2br w:val="nil"/>
                    <w:tr2bl w:val="nil"/>
                  </w:tcBorders>
                  <w:vAlign w:val="center"/>
                </w:tcPr>
                <w:p>
                  <w:pPr>
                    <w:pStyle w:val="36"/>
                    <w:jc w:val="left"/>
                    <w:rPr>
                      <w:color w:val="auto"/>
                    </w:rPr>
                  </w:pPr>
                  <w:r>
                    <w:rPr>
                      <w:rFonts w:hint="eastAsia"/>
                      <w:color w:val="auto"/>
                      <w:highlight w:val="none"/>
                    </w:rPr>
                    <w:t>项目使用的拉丝液（拉丝油与水的比例=1:15），稀释后拉丝液中VOCs含量为6.3%，</w:t>
                  </w:r>
                  <w:r>
                    <w:rPr>
                      <w:rFonts w:hint="eastAsia"/>
                      <w:color w:val="auto"/>
                      <w:highlight w:val="none"/>
                      <w:lang w:val="en-US" w:eastAsia="zh-CN"/>
                    </w:rPr>
                    <w:t>属于低VOCs含量的原辅材料。</w:t>
                  </w:r>
                  <w:r>
                    <w:rPr>
                      <w:rFonts w:hint="eastAsia"/>
                      <w:color w:val="auto"/>
                    </w:rPr>
                    <w:t>根据《挥发性有机物无组织排放控制标准》（GB</w:t>
                  </w:r>
                  <w:r>
                    <w:rPr>
                      <w:rFonts w:hint="eastAsia"/>
                      <w:color w:val="auto"/>
                      <w:lang w:val="en-US" w:eastAsia="zh-CN"/>
                    </w:rPr>
                    <w:t xml:space="preserve"> </w:t>
                  </w:r>
                  <w:r>
                    <w:rPr>
                      <w:rFonts w:hint="eastAsia"/>
                      <w:color w:val="auto"/>
                    </w:rPr>
                    <w:t>37822-2019）</w:t>
                  </w:r>
                  <w:r>
                    <w:rPr>
                      <w:rFonts w:hint="eastAsia"/>
                      <w:color w:val="auto"/>
                      <w:lang w:val="en-US" w:eastAsia="zh-CN"/>
                    </w:rPr>
                    <w:t>本项目使用的拉丝液VOCs含量</w:t>
                  </w:r>
                  <w:r>
                    <w:rPr>
                      <w:rFonts w:hint="eastAsia"/>
                      <w:color w:val="auto"/>
                    </w:rPr>
                    <w:t>低于10%</w:t>
                  </w:r>
                  <w:r>
                    <w:rPr>
                      <w:rFonts w:hint="eastAsia"/>
                      <w:color w:val="auto"/>
                      <w:lang w:eastAsia="zh-CN"/>
                    </w:rPr>
                    <w:t>，</w:t>
                  </w:r>
                  <w:r>
                    <w:rPr>
                      <w:rFonts w:hint="eastAsia"/>
                      <w:color w:val="auto"/>
                    </w:rPr>
                    <w:t>可不采取</w:t>
                  </w:r>
                  <w:r>
                    <w:rPr>
                      <w:rFonts w:hint="eastAsia"/>
                      <w:color w:val="auto"/>
                      <w:lang w:val="en-US" w:eastAsia="zh-CN"/>
                    </w:rPr>
                    <w:t>废气</w:t>
                  </w:r>
                  <w:r>
                    <w:rPr>
                      <w:rFonts w:hint="eastAsia"/>
                      <w:color w:val="auto"/>
                    </w:rPr>
                    <w:t>收集措施</w:t>
                  </w:r>
                  <w:r>
                    <w:rPr>
                      <w:rFonts w:hint="eastAsia"/>
                      <w:color w:val="auto"/>
                      <w:lang w:eastAsia="zh-CN"/>
                    </w:rPr>
                    <w:t>。</w:t>
                  </w:r>
                </w:p>
              </w:tc>
              <w:tc>
                <w:tcPr>
                  <w:tcW w:w="296" w:type="pct"/>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821" w:type="pct"/>
                  <w:tcBorders>
                    <w:tl2br w:val="nil"/>
                    <w:tr2bl w:val="nil"/>
                  </w:tcBorders>
                  <w:vAlign w:val="center"/>
                </w:tcPr>
                <w:p>
                  <w:pPr>
                    <w:pStyle w:val="36"/>
                    <w:rPr>
                      <w:color w:val="auto"/>
                    </w:rPr>
                  </w:pPr>
                  <w:r>
                    <w:rPr>
                      <w:color w:val="auto"/>
                    </w:rPr>
                    <w:t>《福建省</w:t>
                  </w:r>
                  <w:r>
                    <w:rPr>
                      <w:rFonts w:hint="eastAsia"/>
                      <w:color w:val="auto"/>
                    </w:rPr>
                    <w:t>“</w:t>
                  </w:r>
                  <w:r>
                    <w:rPr>
                      <w:color w:val="auto"/>
                    </w:rPr>
                    <w:t>十四五</w:t>
                  </w:r>
                  <w:r>
                    <w:rPr>
                      <w:rFonts w:hint="eastAsia"/>
                      <w:color w:val="auto"/>
                    </w:rPr>
                    <w:t>”</w:t>
                  </w:r>
                  <w:r>
                    <w:rPr>
                      <w:color w:val="auto"/>
                    </w:rPr>
                    <w:t>空气质量改善规划》</w:t>
                  </w:r>
                </w:p>
                <w:p>
                  <w:pPr>
                    <w:pStyle w:val="36"/>
                    <w:rPr>
                      <w:color w:val="auto"/>
                    </w:rPr>
                  </w:pPr>
                  <w:r>
                    <w:rPr>
                      <w:rFonts w:hint="eastAsia"/>
                      <w:color w:val="auto"/>
                    </w:rPr>
                    <w:t>（</w:t>
                  </w:r>
                  <w:r>
                    <w:rPr>
                      <w:color w:val="auto"/>
                    </w:rPr>
                    <w:t>2022年</w:t>
                  </w:r>
                  <w:r>
                    <w:rPr>
                      <w:rFonts w:hint="eastAsia"/>
                      <w:color w:val="auto"/>
                    </w:rPr>
                    <w:t>）</w:t>
                  </w:r>
                </w:p>
              </w:tc>
              <w:tc>
                <w:tcPr>
                  <w:tcW w:w="2335" w:type="pct"/>
                  <w:tcBorders>
                    <w:tl2br w:val="nil"/>
                    <w:tr2bl w:val="nil"/>
                  </w:tcBorders>
                  <w:vAlign w:val="center"/>
                </w:tcPr>
                <w:p>
                  <w:pPr>
                    <w:pStyle w:val="36"/>
                    <w:jc w:val="left"/>
                    <w:rPr>
                      <w:color w:val="auto"/>
                    </w:rPr>
                  </w:pPr>
                  <w:r>
                    <w:rPr>
                      <w:color w:val="auto"/>
                    </w:rPr>
                    <w:t>推广使用水性、高固体分、无溶剂、粉末等低VOCs含量涂料，......木质家具制造、汽车零部件、工程机械使用比例达到50%以上；......严格执行涂料、油墨、胶粘剂、清洗剂VOCs含量限值标准，加大抽检力度，确保生产、销售、进口、使用符合标准的产品。严格涉VOCs建设项目环境影响评价，VOCs排放实行区域内等量替代，福州、厦门、漳州、泉州、莆田、宁德实施VOCs倍量替代。</w:t>
                  </w:r>
                </w:p>
              </w:tc>
              <w:tc>
                <w:tcPr>
                  <w:tcW w:w="1546" w:type="pct"/>
                  <w:vMerge w:val="restart"/>
                  <w:tcBorders>
                    <w:tl2br w:val="nil"/>
                    <w:tr2bl w:val="nil"/>
                  </w:tcBorders>
                  <w:vAlign w:val="center"/>
                </w:tcPr>
                <w:p>
                  <w:pPr>
                    <w:pStyle w:val="36"/>
                    <w:rPr>
                      <w:color w:val="auto"/>
                    </w:rPr>
                  </w:pPr>
                  <w:r>
                    <w:rPr>
                      <w:rFonts w:cs="Times New Roman"/>
                      <w:color w:val="auto"/>
                    </w:rPr>
                    <w:t>不涉及溶剂型涂料、油墨、胶粘剂、清洗剂等原料。项目VOC</w:t>
                  </w:r>
                  <w:r>
                    <w:rPr>
                      <w:rFonts w:cs="Times New Roman"/>
                      <w:color w:val="auto"/>
                      <w:vertAlign w:val="subscript"/>
                    </w:rPr>
                    <w:t>S</w:t>
                  </w:r>
                  <w:r>
                    <w:rPr>
                      <w:rFonts w:cs="Times New Roman"/>
                      <w:color w:val="auto"/>
                    </w:rPr>
                    <w:t>排放实行区域内倍量替代。</w:t>
                  </w:r>
                </w:p>
              </w:tc>
              <w:tc>
                <w:tcPr>
                  <w:tcW w:w="296" w:type="pct"/>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477" w:hRule="atLeast"/>
                <w:jc w:val="center"/>
              </w:trPr>
              <w:tc>
                <w:tcPr>
                  <w:tcW w:w="821" w:type="pct"/>
                  <w:tcBorders>
                    <w:tl2br w:val="nil"/>
                    <w:tr2bl w:val="nil"/>
                  </w:tcBorders>
                  <w:vAlign w:val="center"/>
                </w:tcPr>
                <w:p>
                  <w:pPr>
                    <w:pStyle w:val="36"/>
                    <w:rPr>
                      <w:color w:val="auto"/>
                    </w:rPr>
                  </w:pPr>
                  <w:r>
                    <w:rPr>
                      <w:color w:val="auto"/>
                    </w:rPr>
                    <w:t>《福州市</w:t>
                  </w:r>
                  <w:r>
                    <w:rPr>
                      <w:rFonts w:hint="eastAsia"/>
                      <w:color w:val="auto"/>
                    </w:rPr>
                    <w:t>“</w:t>
                  </w:r>
                  <w:r>
                    <w:rPr>
                      <w:color w:val="auto"/>
                    </w:rPr>
                    <w:t>十四五</w:t>
                  </w:r>
                  <w:r>
                    <w:rPr>
                      <w:rFonts w:hint="eastAsia"/>
                      <w:color w:val="auto"/>
                    </w:rPr>
                    <w:t>”</w:t>
                  </w:r>
                  <w:r>
                    <w:rPr>
                      <w:color w:val="auto"/>
                    </w:rPr>
                    <w:t>生态环境保护规划》</w:t>
                  </w:r>
                </w:p>
                <w:p>
                  <w:pPr>
                    <w:pStyle w:val="36"/>
                    <w:rPr>
                      <w:color w:val="auto"/>
                    </w:rPr>
                  </w:pPr>
                  <w:r>
                    <w:rPr>
                      <w:rFonts w:hint="eastAsia"/>
                      <w:color w:val="auto"/>
                    </w:rPr>
                    <w:t>（</w:t>
                  </w:r>
                  <w:r>
                    <w:rPr>
                      <w:color w:val="auto"/>
                    </w:rPr>
                    <w:t>榕政办〔2021〕123 号</w:t>
                  </w:r>
                  <w:r>
                    <w:rPr>
                      <w:rFonts w:hint="eastAsia"/>
                      <w:color w:val="auto"/>
                    </w:rPr>
                    <w:t>）</w:t>
                  </w:r>
                </w:p>
              </w:tc>
              <w:tc>
                <w:tcPr>
                  <w:tcW w:w="2335" w:type="pct"/>
                  <w:tcBorders>
                    <w:tl2br w:val="nil"/>
                    <w:tr2bl w:val="nil"/>
                  </w:tcBorders>
                  <w:vAlign w:val="center"/>
                </w:tcPr>
                <w:p>
                  <w:pPr>
                    <w:pStyle w:val="36"/>
                    <w:jc w:val="left"/>
                    <w:rPr>
                      <w:color w:val="auto"/>
                    </w:rPr>
                  </w:pPr>
                  <w:r>
                    <w:rPr>
                      <w:color w:val="auto"/>
                    </w:rPr>
                    <w:t>强化挥发性有机物整治。......实行挥发性有机物排放倍量替代。加大涉VOCs企业源头替代力度，推广使用低</w:t>
                  </w:r>
                  <w:r>
                    <w:rPr>
                      <w:rFonts w:hint="eastAsia"/>
                      <w:color w:val="auto"/>
                    </w:rPr>
                    <w:t>（</w:t>
                  </w:r>
                  <w:r>
                    <w:rPr>
                      <w:color w:val="auto"/>
                    </w:rPr>
                    <w:t>无</w:t>
                  </w:r>
                  <w:r>
                    <w:rPr>
                      <w:rFonts w:hint="eastAsia"/>
                      <w:color w:val="auto"/>
                    </w:rPr>
                    <w:t>）</w:t>
                  </w:r>
                  <w:r>
                    <w:rPr>
                      <w:color w:val="auto"/>
                    </w:rPr>
                    <w:t>VOCs原辅材料替代，禁止生产高VOCs含量有机溶剂型涂料、油墨和胶黏剂的新、改、扩建项目，推进重点企业</w:t>
                  </w:r>
                  <w:r>
                    <w:rPr>
                      <w:rFonts w:hint="eastAsia"/>
                      <w:color w:val="auto"/>
                    </w:rPr>
                    <w:t>“</w:t>
                  </w:r>
                  <w:r>
                    <w:rPr>
                      <w:color w:val="auto"/>
                    </w:rPr>
                    <w:t>油改水</w:t>
                  </w:r>
                  <w:r>
                    <w:rPr>
                      <w:rFonts w:hint="eastAsia"/>
                      <w:color w:val="auto"/>
                    </w:rPr>
                    <w:t>”</w:t>
                  </w:r>
                  <w:r>
                    <w:rPr>
                      <w:color w:val="auto"/>
                    </w:rPr>
                    <w:t>治理，提高有机溶剂回收率。</w:t>
                  </w:r>
                  <w:r>
                    <w:rPr>
                      <w:rFonts w:hint="eastAsia"/>
                      <w:color w:val="auto"/>
                    </w:rPr>
                    <w:t>”</w:t>
                  </w:r>
                </w:p>
              </w:tc>
              <w:tc>
                <w:tcPr>
                  <w:tcW w:w="1546" w:type="pct"/>
                  <w:vMerge w:val="continue"/>
                  <w:tcBorders>
                    <w:tl2br w:val="nil"/>
                    <w:tr2bl w:val="nil"/>
                  </w:tcBorders>
                  <w:vAlign w:val="center"/>
                </w:tcPr>
                <w:p>
                  <w:pPr>
                    <w:pStyle w:val="36"/>
                    <w:rPr>
                      <w:color w:val="auto"/>
                    </w:rPr>
                  </w:pPr>
                </w:p>
              </w:tc>
              <w:tc>
                <w:tcPr>
                  <w:tcW w:w="296" w:type="pct"/>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821" w:type="pct"/>
                  <w:tcBorders>
                    <w:tl2br w:val="nil"/>
                    <w:tr2bl w:val="nil"/>
                  </w:tcBorders>
                  <w:vAlign w:val="center"/>
                </w:tcPr>
                <w:p>
                  <w:pPr>
                    <w:pStyle w:val="36"/>
                    <w:rPr>
                      <w:color w:val="auto"/>
                    </w:rPr>
                  </w:pPr>
                  <w:r>
                    <w:rPr>
                      <w:color w:val="auto"/>
                    </w:rPr>
                    <w:t>《福建省2020年挥发性有机物治理攻坚实施方案》的通知</w:t>
                  </w:r>
                  <w:r>
                    <w:rPr>
                      <w:rFonts w:hint="eastAsia"/>
                      <w:color w:val="auto"/>
                    </w:rPr>
                    <w:t>（</w:t>
                  </w:r>
                  <w:r>
                    <w:rPr>
                      <w:color w:val="auto"/>
                    </w:rPr>
                    <w:t>闽环保大气〔2020〕6号</w:t>
                  </w:r>
                  <w:r>
                    <w:rPr>
                      <w:rFonts w:hint="eastAsia"/>
                      <w:color w:val="auto"/>
                    </w:rPr>
                    <w:t>）</w:t>
                  </w:r>
                </w:p>
              </w:tc>
              <w:tc>
                <w:tcPr>
                  <w:tcW w:w="2335" w:type="pct"/>
                  <w:tcBorders>
                    <w:tl2br w:val="nil"/>
                    <w:tr2bl w:val="nil"/>
                  </w:tcBorders>
                  <w:vAlign w:val="center"/>
                </w:tcPr>
                <w:p>
                  <w:pPr>
                    <w:pStyle w:val="36"/>
                    <w:jc w:val="left"/>
                    <w:rPr>
                      <w:color w:val="auto"/>
                    </w:rPr>
                  </w:pPr>
                  <w:r>
                    <w:rPr>
                      <w:rFonts w:hint="eastAsia"/>
                      <w:color w:val="auto"/>
                    </w:rPr>
                    <w:t>（</w:t>
                  </w:r>
                  <w:r>
                    <w:rPr>
                      <w:color w:val="auto"/>
                    </w:rPr>
                    <w:t>1</w:t>
                  </w:r>
                  <w:r>
                    <w:rPr>
                      <w:rFonts w:hint="eastAsia"/>
                      <w:color w:val="auto"/>
                    </w:rPr>
                    <w:t>）</w:t>
                  </w:r>
                  <w:r>
                    <w:rPr>
                      <w:color w:val="auto"/>
                    </w:rPr>
                    <w:t>大力推进源头替代，有效减少VOCs产生；</w:t>
                  </w:r>
                </w:p>
                <w:p>
                  <w:pPr>
                    <w:pStyle w:val="36"/>
                    <w:jc w:val="left"/>
                    <w:rPr>
                      <w:color w:val="auto"/>
                    </w:rPr>
                  </w:pPr>
                  <w:r>
                    <w:rPr>
                      <w:rFonts w:hint="eastAsia"/>
                      <w:color w:val="auto"/>
                    </w:rPr>
                    <w:t>（</w:t>
                  </w:r>
                  <w:r>
                    <w:rPr>
                      <w:color w:val="auto"/>
                    </w:rPr>
                    <w:t>2</w:t>
                  </w:r>
                  <w:r>
                    <w:rPr>
                      <w:rFonts w:hint="eastAsia"/>
                      <w:color w:val="auto"/>
                    </w:rPr>
                    <w:t>）</w:t>
                  </w:r>
                  <w:r>
                    <w:rPr>
                      <w:color w:val="auto"/>
                    </w:rPr>
                    <w:t>全面落实标准要求，强化无组织排放控制。加强含VOCs物料全方位、全链条、全环节密闭管理........。生产和使用环节应采用密闭设备，或在密闭空间中操作并有效收集废气，或进行局部气体收集；处置环节应将盛装过VOCs物料的包装容器、含VOCs废料</w:t>
                  </w:r>
                  <w:r>
                    <w:rPr>
                      <w:rFonts w:hint="eastAsia"/>
                      <w:color w:val="auto"/>
                    </w:rPr>
                    <w:t>（</w:t>
                  </w:r>
                  <w:r>
                    <w:rPr>
                      <w:color w:val="auto"/>
                    </w:rPr>
                    <w:t>渣、液</w:t>
                  </w:r>
                  <w:r>
                    <w:rPr>
                      <w:rFonts w:hint="eastAsia"/>
                      <w:color w:val="auto"/>
                    </w:rPr>
                    <w:t>）</w:t>
                  </w:r>
                  <w:r>
                    <w:rPr>
                      <w:color w:val="auto"/>
                    </w:rPr>
                    <w:t>、废吸附剂等通过加盖、封装等方式密闭，妥善存放，集中清运，交有资质的单位处置，不得随意丢弃；</w:t>
                  </w:r>
                </w:p>
                <w:p>
                  <w:pPr>
                    <w:pStyle w:val="36"/>
                    <w:jc w:val="left"/>
                    <w:rPr>
                      <w:color w:val="auto"/>
                    </w:rPr>
                  </w:pPr>
                  <w:r>
                    <w:rPr>
                      <w:rFonts w:hint="eastAsia"/>
                      <w:color w:val="auto"/>
                    </w:rPr>
                    <w:t>（</w:t>
                  </w:r>
                  <w:r>
                    <w:rPr>
                      <w:color w:val="auto"/>
                    </w:rPr>
                    <w:t>3</w:t>
                  </w:r>
                  <w:r>
                    <w:rPr>
                      <w:rFonts w:hint="eastAsia"/>
                      <w:color w:val="auto"/>
                    </w:rPr>
                    <w:t>）</w:t>
                  </w:r>
                  <w:r>
                    <w:rPr>
                      <w:color w:val="auto"/>
                    </w:rPr>
                    <w:t>聚焦治污设施</w:t>
                  </w:r>
                  <w:r>
                    <w:rPr>
                      <w:rFonts w:hint="eastAsia"/>
                      <w:color w:val="auto"/>
                    </w:rPr>
                    <w:t>“</w:t>
                  </w:r>
                  <w:r>
                    <w:rPr>
                      <w:color w:val="auto"/>
                    </w:rPr>
                    <w:t>三率</w:t>
                  </w:r>
                  <w:r>
                    <w:rPr>
                      <w:rFonts w:hint="eastAsia"/>
                      <w:color w:val="auto"/>
                    </w:rPr>
                    <w:t>”</w:t>
                  </w:r>
                  <w:r>
                    <w:rPr>
                      <w:color w:val="auto"/>
                    </w:rPr>
                    <w:t>，提升综合治理效率。......除恶臭异味治理外，一般不采用低温等离子、光催化、光氧化等技术。优先采用密闭设备、在密闭空间中操作或采用全密闭集气罩收集方式；......采用活性炭吸附技术的，应选择碘值不低于800毫克/克的活性炭，并按设计要求足量添加、及时更换。</w:t>
                  </w:r>
                </w:p>
              </w:tc>
              <w:tc>
                <w:tcPr>
                  <w:tcW w:w="1546" w:type="pct"/>
                  <w:tcBorders>
                    <w:tl2br w:val="nil"/>
                    <w:tr2bl w:val="nil"/>
                  </w:tcBorders>
                  <w:vAlign w:val="center"/>
                </w:tcPr>
                <w:p>
                  <w:pPr>
                    <w:pStyle w:val="36"/>
                    <w:jc w:val="left"/>
                    <w:rPr>
                      <w:color w:val="auto"/>
                    </w:rPr>
                  </w:pPr>
                  <w:r>
                    <w:rPr>
                      <w:rFonts w:hint="eastAsia"/>
                      <w:color w:val="auto"/>
                      <w:highlight w:val="none"/>
                    </w:rPr>
                    <w:t>项目使用的拉丝液（拉丝油与水的比例=1:15），稀释后拉丝液中VOCs含量为6.3%，</w:t>
                  </w:r>
                  <w:r>
                    <w:rPr>
                      <w:rFonts w:hint="eastAsia"/>
                      <w:color w:val="auto"/>
                      <w:highlight w:val="none"/>
                      <w:lang w:val="en-US" w:eastAsia="zh-CN"/>
                    </w:rPr>
                    <w:t>属于低VOCs含量的原辅材料。</w:t>
                  </w:r>
                  <w:r>
                    <w:rPr>
                      <w:rFonts w:hint="eastAsia"/>
                      <w:color w:val="auto"/>
                    </w:rPr>
                    <w:t>根据《重点行业挥发性有机物综合治理方案》中VOCs含量（质量比）低的工序，可不要求采取无组织的排放收集措施，项目退火工序产生少量VOCs，通过无组织排放。</w:t>
                  </w:r>
                  <w:r>
                    <w:rPr>
                      <w:color w:val="auto"/>
                    </w:rPr>
                    <w:t>非取用状态时VOCs物料的包装容器加盖密闭；废</w:t>
                  </w:r>
                  <w:r>
                    <w:rPr>
                      <w:rFonts w:hint="eastAsia"/>
                      <w:color w:val="auto"/>
                    </w:rPr>
                    <w:t>润滑油</w:t>
                  </w:r>
                  <w:r>
                    <w:rPr>
                      <w:color w:val="auto"/>
                    </w:rPr>
                    <w:t>、废</w:t>
                  </w:r>
                  <w:r>
                    <w:rPr>
                      <w:rFonts w:hint="eastAsia"/>
                      <w:color w:val="auto"/>
                    </w:rPr>
                    <w:t>拉丝油</w:t>
                  </w:r>
                  <w:r>
                    <w:rPr>
                      <w:color w:val="auto"/>
                    </w:rPr>
                    <w:t>容器加盖密闭，按时集中清运，交有资质的单位处置。</w:t>
                  </w:r>
                </w:p>
              </w:tc>
              <w:tc>
                <w:tcPr>
                  <w:tcW w:w="296" w:type="pct"/>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821" w:type="pct"/>
                  <w:tcBorders>
                    <w:tl2br w:val="nil"/>
                    <w:tr2bl w:val="nil"/>
                  </w:tcBorders>
                  <w:vAlign w:val="center"/>
                </w:tcPr>
                <w:p>
                  <w:pPr>
                    <w:pStyle w:val="36"/>
                    <w:rPr>
                      <w:color w:val="auto"/>
                    </w:rPr>
                  </w:pPr>
                  <w:r>
                    <w:rPr>
                      <w:color w:val="auto"/>
                    </w:rPr>
                    <w:t>《福州市生态环境保护委员会办公室关于印发2022年度福州市蓝天碧海净土保卫战行动计划通知》</w:t>
                  </w:r>
                  <w:r>
                    <w:rPr>
                      <w:rFonts w:hint="eastAsia"/>
                      <w:color w:val="auto"/>
                    </w:rPr>
                    <w:t>（</w:t>
                  </w:r>
                  <w:r>
                    <w:rPr>
                      <w:color w:val="auto"/>
                    </w:rPr>
                    <w:t>榕环委办</w:t>
                  </w:r>
                  <w:r>
                    <w:rPr>
                      <w:rFonts w:hint="eastAsia"/>
                      <w:color w:val="auto"/>
                    </w:rPr>
                    <w:t>〔2022〕49号）</w:t>
                  </w:r>
                </w:p>
              </w:tc>
              <w:tc>
                <w:tcPr>
                  <w:tcW w:w="2335" w:type="pct"/>
                  <w:tcBorders>
                    <w:tl2br w:val="nil"/>
                    <w:tr2bl w:val="nil"/>
                  </w:tcBorders>
                  <w:vAlign w:val="center"/>
                </w:tcPr>
                <w:p>
                  <w:pPr>
                    <w:pStyle w:val="36"/>
                    <w:rPr>
                      <w:color w:val="auto"/>
                    </w:rPr>
                  </w:pPr>
                  <w:r>
                    <w:rPr>
                      <w:color w:val="auto"/>
                    </w:rPr>
                    <w:t>四是严格涉VOCs建设项目环境影响评价审批。新、改、扩建涉VOCs排放项目，应使用低</w:t>
                  </w:r>
                  <w:r>
                    <w:rPr>
                      <w:rFonts w:hint="eastAsia"/>
                      <w:color w:val="auto"/>
                    </w:rPr>
                    <w:t>（</w:t>
                  </w:r>
                  <w:r>
                    <w:rPr>
                      <w:color w:val="auto"/>
                    </w:rPr>
                    <w:t>无</w:t>
                  </w:r>
                  <w:r>
                    <w:rPr>
                      <w:rFonts w:hint="eastAsia"/>
                      <w:color w:val="auto"/>
                    </w:rPr>
                    <w:t>）</w:t>
                  </w:r>
                  <w:r>
                    <w:rPr>
                      <w:color w:val="auto"/>
                    </w:rPr>
                    <w:t>VOCs涂料、粘胶剂等，实施新建项目VOCs排放区域内1.2及以上倍量替代。VOCs年排放量大于5吨的新建项目投运前应安装VOCs在线监控设备，并接入市生态云平台。</w:t>
                  </w:r>
                </w:p>
              </w:tc>
              <w:tc>
                <w:tcPr>
                  <w:tcW w:w="1546" w:type="pct"/>
                  <w:vMerge w:val="restart"/>
                  <w:tcBorders>
                    <w:tl2br w:val="nil"/>
                    <w:tr2bl w:val="nil"/>
                  </w:tcBorders>
                  <w:vAlign w:val="center"/>
                </w:tcPr>
                <w:p>
                  <w:pPr>
                    <w:pStyle w:val="36"/>
                    <w:jc w:val="left"/>
                    <w:rPr>
                      <w:rFonts w:hint="eastAsia"/>
                      <w:color w:val="auto"/>
                      <w:highlight w:val="none"/>
                      <w:lang w:val="en-US" w:eastAsia="zh-CN"/>
                    </w:rPr>
                  </w:pPr>
                  <w:r>
                    <w:rPr>
                      <w:rFonts w:hint="eastAsia"/>
                      <w:color w:val="auto"/>
                      <w:highlight w:val="none"/>
                    </w:rPr>
                    <w:t>项目使用的拉丝液（拉丝油与水的比例=1:15），稀释后拉丝液中VOCs含量为6.3%，</w:t>
                  </w:r>
                  <w:r>
                    <w:rPr>
                      <w:rFonts w:hint="eastAsia"/>
                      <w:color w:val="auto"/>
                      <w:highlight w:val="none"/>
                      <w:lang w:val="en-US" w:eastAsia="zh-CN"/>
                    </w:rPr>
                    <w:t>属于低VOCs含量的原辅材料。</w:t>
                  </w:r>
                </w:p>
                <w:p>
                  <w:pPr>
                    <w:pStyle w:val="36"/>
                    <w:jc w:val="left"/>
                    <w:rPr>
                      <w:color w:val="auto"/>
                    </w:rPr>
                  </w:pPr>
                  <w:r>
                    <w:rPr>
                      <w:color w:val="auto"/>
                    </w:rPr>
                    <w:t>项目VOC</w:t>
                  </w:r>
                  <w:r>
                    <w:rPr>
                      <w:color w:val="auto"/>
                      <w:vertAlign w:val="subscript"/>
                    </w:rPr>
                    <w:t>S</w:t>
                  </w:r>
                  <w:r>
                    <w:rPr>
                      <w:color w:val="auto"/>
                    </w:rPr>
                    <w:t>排放实行区域内倍量替代</w:t>
                  </w:r>
                  <w:r>
                    <w:rPr>
                      <w:rFonts w:hint="eastAsia"/>
                      <w:color w:val="auto"/>
                    </w:rPr>
                    <w:t>。</w:t>
                  </w:r>
                </w:p>
                <w:p>
                  <w:pPr>
                    <w:pStyle w:val="36"/>
                    <w:jc w:val="left"/>
                    <w:rPr>
                      <w:color w:val="auto"/>
                    </w:rPr>
                  </w:pPr>
                  <w:r>
                    <w:rPr>
                      <w:color w:val="auto"/>
                    </w:rPr>
                    <w:t>项目VOCs年排放量</w:t>
                  </w:r>
                  <w:r>
                    <w:rPr>
                      <w:rFonts w:hint="eastAsia"/>
                      <w:color w:val="auto"/>
                    </w:rPr>
                    <w:t>0.129t/a</w:t>
                  </w:r>
                  <w:r>
                    <w:rPr>
                      <w:color w:val="auto"/>
                    </w:rPr>
                    <w:t>小于5吨，不需安装VOCs在线监控设备。</w:t>
                  </w:r>
                </w:p>
              </w:tc>
              <w:tc>
                <w:tcPr>
                  <w:tcW w:w="296" w:type="pct"/>
                  <w:tcBorders>
                    <w:tl2br w:val="nil"/>
                    <w:tr2bl w:val="nil"/>
                  </w:tcBorders>
                  <w:vAlign w:val="center"/>
                </w:tcPr>
                <w:p>
                  <w:pPr>
                    <w:pStyle w:val="36"/>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821" w:type="pct"/>
                  <w:tcBorders>
                    <w:tl2br w:val="nil"/>
                    <w:tr2bl w:val="nil"/>
                  </w:tcBorders>
                  <w:vAlign w:val="center"/>
                </w:tcPr>
                <w:p>
                  <w:pPr>
                    <w:pStyle w:val="36"/>
                    <w:rPr>
                      <w:color w:val="auto"/>
                    </w:rPr>
                  </w:pPr>
                  <w:r>
                    <w:rPr>
                      <w:rFonts w:hint="eastAsia"/>
                      <w:color w:val="auto"/>
                    </w:rPr>
                    <w:t>《福州市生态环境局关于开展福州市重点行业挥发性有机物综合治理工作（VOCs2.0）的通知》</w:t>
                  </w:r>
                </w:p>
              </w:tc>
              <w:tc>
                <w:tcPr>
                  <w:tcW w:w="2335" w:type="pct"/>
                  <w:tcBorders>
                    <w:tl2br w:val="nil"/>
                    <w:tr2bl w:val="nil"/>
                  </w:tcBorders>
                  <w:vAlign w:val="center"/>
                </w:tcPr>
                <w:p>
                  <w:pPr>
                    <w:pStyle w:val="36"/>
                    <w:jc w:val="left"/>
                    <w:rPr>
                      <w:color w:val="auto"/>
                    </w:rPr>
                  </w:pPr>
                  <w:r>
                    <w:rPr>
                      <w:rFonts w:hint="eastAsia"/>
                      <w:color w:val="auto"/>
                    </w:rPr>
                    <w:t>（三）严格审批，加强管控</w:t>
                  </w:r>
                </w:p>
                <w:p>
                  <w:pPr>
                    <w:pStyle w:val="36"/>
                    <w:jc w:val="left"/>
                    <w:rPr>
                      <w:color w:val="auto"/>
                    </w:rPr>
                  </w:pPr>
                  <w:r>
                    <w:rPr>
                      <w:rFonts w:hint="eastAsia"/>
                      <w:color w:val="auto"/>
                    </w:rPr>
                    <w:t>1.严格涉挥发性有机物建设项目环境影响评价审批。新、改、扩建排放挥发性有机物的建设项目实行倍量替代。鼓励使用低（无）挥发性有机物含量的原辅材料</w:t>
                  </w:r>
                  <w:r>
                    <w:rPr>
                      <w:rFonts w:hint="eastAsia"/>
                      <w:color w:val="auto"/>
                    </w:rPr>
                    <w:br w:type="textWrapping"/>
                  </w:r>
                </w:p>
              </w:tc>
              <w:tc>
                <w:tcPr>
                  <w:tcW w:w="1546" w:type="pct"/>
                  <w:vMerge w:val="continue"/>
                  <w:tcBorders>
                    <w:tl2br w:val="nil"/>
                    <w:tr2bl w:val="nil"/>
                  </w:tcBorders>
                  <w:vAlign w:val="center"/>
                </w:tcPr>
                <w:p>
                  <w:pPr>
                    <w:pStyle w:val="36"/>
                    <w:rPr>
                      <w:color w:val="auto"/>
                    </w:rPr>
                  </w:pPr>
                </w:p>
              </w:tc>
              <w:tc>
                <w:tcPr>
                  <w:tcW w:w="296" w:type="pct"/>
                  <w:tcBorders>
                    <w:tl2br w:val="nil"/>
                    <w:tr2bl w:val="nil"/>
                  </w:tcBorders>
                  <w:vAlign w:val="center"/>
                </w:tcPr>
                <w:p>
                  <w:pPr>
                    <w:pStyle w:val="36"/>
                    <w:rPr>
                      <w:color w:val="auto"/>
                    </w:rPr>
                  </w:pPr>
                  <w:r>
                    <w:rPr>
                      <w:rFonts w:hint="eastAsia"/>
                      <w:color w:val="auto"/>
                    </w:rPr>
                    <w:t>符合</w:t>
                  </w:r>
                </w:p>
              </w:tc>
            </w:tr>
          </w:tbl>
          <w:p>
            <w:pPr>
              <w:pStyle w:val="38"/>
              <w:ind w:firstLine="0" w:firstLineChars="0"/>
              <w:rPr>
                <w:rFonts w:cs="Times New Roman"/>
                <w:color w:val="auto"/>
              </w:rPr>
            </w:pPr>
          </w:p>
        </w:tc>
      </w:tr>
    </w:tbl>
    <w:p>
      <w:pPr>
        <w:ind w:firstLine="600"/>
        <w:outlineLvl w:val="0"/>
        <w:rPr>
          <w:rFonts w:eastAsia="黑体" w:cs="Times New Roman"/>
          <w:color w:val="auto"/>
          <w:sz w:val="30"/>
        </w:rPr>
        <w:sectPr>
          <w:pgSz w:w="16838" w:h="11906" w:orient="landscape"/>
          <w:pgMar w:top="1531" w:right="1701" w:bottom="1531" w:left="1701" w:header="851" w:footer="1077" w:gutter="0"/>
          <w:pgBorders>
            <w:top w:val="none" w:sz="0" w:space="0"/>
            <w:left w:val="none" w:sz="0" w:space="0"/>
            <w:bottom w:val="none" w:sz="0" w:space="0"/>
            <w:right w:val="none" w:sz="0" w:space="0"/>
          </w:pgBorders>
          <w:cols w:space="720" w:num="1"/>
          <w:docGrid w:linePitch="326" w:charSpace="0"/>
        </w:sectPr>
      </w:pPr>
    </w:p>
    <w:p>
      <w:pPr>
        <w:pStyle w:val="59"/>
        <w:rPr>
          <w:rFonts w:cs="Times New Roman"/>
          <w:snapToGrid w:val="0"/>
          <w:color w:val="auto"/>
        </w:rPr>
      </w:pPr>
      <w:bookmarkStart w:id="23" w:name="_Toc30535"/>
      <w:r>
        <w:rPr>
          <w:rFonts w:hint="eastAsia" w:cs="Times New Roman"/>
          <w:snapToGrid w:val="0"/>
          <w:color w:val="auto"/>
        </w:rPr>
        <w:t>二、建设项目工程分析</w:t>
      </w:r>
      <w:bookmarkEnd w:id="23"/>
    </w:p>
    <w:tbl>
      <w:tblPr>
        <w:tblStyle w:val="27"/>
        <w:tblW w:w="499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9"/>
        <w:gridCol w:w="86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9" w:type="pct"/>
            <w:vAlign w:val="center"/>
          </w:tcPr>
          <w:p>
            <w:pPr>
              <w:pStyle w:val="36"/>
              <w:keepLines/>
              <w:rPr>
                <w:rFonts w:cs="Times New Roman"/>
                <w:color w:val="auto"/>
                <w:sz w:val="24"/>
                <w:szCs w:val="24"/>
              </w:rPr>
            </w:pPr>
            <w:r>
              <w:rPr>
                <w:rFonts w:cs="Times New Roman"/>
                <w:color w:val="auto"/>
                <w:sz w:val="24"/>
                <w:szCs w:val="24"/>
              </w:rPr>
              <w:t>建设</w:t>
            </w:r>
          </w:p>
          <w:p>
            <w:pPr>
              <w:pStyle w:val="36"/>
              <w:keepLines/>
              <w:rPr>
                <w:rFonts w:cs="Times New Roman"/>
                <w:color w:val="auto"/>
                <w:sz w:val="24"/>
                <w:szCs w:val="24"/>
              </w:rPr>
            </w:pPr>
            <w:r>
              <w:rPr>
                <w:rFonts w:cs="Times New Roman"/>
                <w:color w:val="auto"/>
                <w:sz w:val="24"/>
                <w:szCs w:val="24"/>
              </w:rPr>
              <w:t>内容</w:t>
            </w:r>
          </w:p>
        </w:tc>
        <w:tc>
          <w:tcPr>
            <w:tcW w:w="4600" w:type="pct"/>
          </w:tcPr>
          <w:p>
            <w:pPr>
              <w:pStyle w:val="55"/>
              <w:keepLines/>
              <w:rPr>
                <w:rFonts w:cs="Times New Roman"/>
                <w:color w:val="auto"/>
              </w:rPr>
            </w:pPr>
            <w:bookmarkStart w:id="24" w:name="_Toc9067"/>
            <w:r>
              <w:rPr>
                <w:rFonts w:cs="Times New Roman"/>
                <w:color w:val="auto"/>
              </w:rPr>
              <w:t>2.1项目基本情况</w:t>
            </w:r>
            <w:bookmarkEnd w:id="24"/>
          </w:p>
          <w:p>
            <w:pPr>
              <w:pStyle w:val="56"/>
              <w:keepLines/>
              <w:rPr>
                <w:rFonts w:cs="Times New Roman"/>
                <w:color w:val="auto"/>
              </w:rPr>
            </w:pPr>
            <w:bookmarkStart w:id="25" w:name="_Toc15657"/>
            <w:r>
              <w:rPr>
                <w:rFonts w:cs="Times New Roman"/>
                <w:color w:val="auto"/>
              </w:rPr>
              <w:t>2.1.1项目由来</w:t>
            </w:r>
            <w:bookmarkEnd w:id="25"/>
          </w:p>
          <w:p>
            <w:pPr>
              <w:pStyle w:val="38"/>
              <w:ind w:firstLine="480"/>
              <w:rPr>
                <w:color w:val="auto"/>
              </w:rPr>
            </w:pPr>
            <w:r>
              <w:rPr>
                <w:rFonts w:hint="eastAsia"/>
                <w:color w:val="auto"/>
              </w:rPr>
              <w:t>福建鑫晟铜业有限公司</w:t>
            </w:r>
            <w:r>
              <w:rPr>
                <w:rFonts w:hint="eastAsia"/>
                <w:color w:val="auto"/>
                <w:lang w:bidi="he-IL"/>
              </w:rPr>
              <w:t>（以下简称“鑫晟铜业”）</w:t>
            </w:r>
            <w:r>
              <w:rPr>
                <w:rFonts w:hint="eastAsia"/>
                <w:color w:val="auto"/>
              </w:rPr>
              <w:t>成立于2017年9月28日，主要从事新型材料制造，主导产品高性能铜母线材产品（异型铜母线产品、铜棒产品、高紫铜管、紫铜板等。</w:t>
            </w:r>
          </w:p>
          <w:p>
            <w:pPr>
              <w:pStyle w:val="38"/>
              <w:ind w:firstLine="480"/>
              <w:rPr>
                <w:rFonts w:cs="Times New Roman"/>
                <w:color w:val="auto"/>
              </w:rPr>
            </w:pPr>
            <w:r>
              <w:rPr>
                <w:rFonts w:hint="eastAsia"/>
                <w:color w:val="auto"/>
                <w:lang w:bidi="he-IL"/>
              </w:rPr>
              <w:t>鑫晟铜业</w:t>
            </w:r>
            <w:r>
              <w:rPr>
                <w:rFonts w:hint="eastAsia" w:cs="Times New Roman"/>
                <w:color w:val="auto"/>
              </w:rPr>
              <w:t>通过司法拍卖程序，依法取得位于</w:t>
            </w:r>
            <w:r>
              <w:rPr>
                <w:rFonts w:hint="eastAsia" w:cs="Times New Roman"/>
                <w:color w:val="auto"/>
                <w:lang w:eastAsia="zh-CN"/>
              </w:rPr>
              <w:t>福清融侨经济技术开发区洪宽工业村</w:t>
            </w:r>
            <w:r>
              <w:rPr>
                <w:rFonts w:hint="eastAsia" w:cs="Times New Roman"/>
                <w:color w:val="auto"/>
              </w:rPr>
              <w:t>（福清市阳下街道屿边村160号）的不动产权，该不动产原属旭成（福建）科技股份有限公司，包含62195.8平方米土地使用权（产权证见附件</w:t>
            </w:r>
            <w:r>
              <w:rPr>
                <w:rFonts w:hint="eastAsia" w:cs="Times New Roman"/>
                <w:color w:val="auto"/>
                <w:lang w:val="en-US" w:eastAsia="zh-CN"/>
              </w:rPr>
              <w:t>5</w:t>
            </w:r>
            <w:r>
              <w:rPr>
                <w:rFonts w:hint="eastAsia" w:cs="Times New Roman"/>
                <w:color w:val="auto"/>
              </w:rPr>
              <w:t>），其中现有总建筑面积33202.14平方米的地上建筑（包括现有1#厂房和2#厂房、1#和2#宿舍楼、办公楼等），</w:t>
            </w:r>
            <w:r>
              <w:rPr>
                <w:rFonts w:cs="Times New Roman"/>
                <w:color w:val="auto"/>
              </w:rPr>
              <w:t>原权属企业旭成（福建）科技股份有限公司</w:t>
            </w:r>
            <w:r>
              <w:rPr>
                <w:rFonts w:hint="eastAsia" w:cs="Times New Roman"/>
                <w:color w:val="auto"/>
              </w:rPr>
              <w:t>现有厂房（1#和2#厂房）生产线已全部拆除，</w:t>
            </w:r>
            <w:r>
              <w:rPr>
                <w:rStyle w:val="39"/>
                <w:rFonts w:hint="eastAsia"/>
                <w:color w:val="auto"/>
              </w:rPr>
              <w:t>当前处于闲置状态，无任何生产经营活动。</w:t>
            </w:r>
          </w:p>
          <w:p>
            <w:pPr>
              <w:ind w:firstLine="480"/>
              <w:rPr>
                <w:rFonts w:cs="Times New Roman"/>
                <w:color w:val="auto"/>
              </w:rPr>
            </w:pPr>
            <w:r>
              <w:rPr>
                <w:rFonts w:hint="eastAsia"/>
                <w:color w:val="auto"/>
                <w:lang w:bidi="he-IL"/>
              </w:rPr>
              <w:t>鑫晟铜业</w:t>
            </w:r>
            <w:r>
              <w:rPr>
                <w:rFonts w:hint="eastAsia" w:cs="Times New Roman"/>
                <w:color w:val="auto"/>
              </w:rPr>
              <w:t>根据</w:t>
            </w:r>
            <w:r>
              <w:rPr>
                <w:rFonts w:cs="Times New Roman"/>
                <w:color w:val="auto"/>
              </w:rPr>
              <w:t>企业发展规划，拟投资</w:t>
            </w:r>
            <w:r>
              <w:rPr>
                <w:rFonts w:hint="eastAsia" w:cs="Times New Roman"/>
                <w:color w:val="auto"/>
              </w:rPr>
              <w:t>520</w:t>
            </w:r>
            <w:r>
              <w:rPr>
                <w:rFonts w:cs="Times New Roman"/>
                <w:color w:val="auto"/>
              </w:rPr>
              <w:t>00万元，</w:t>
            </w:r>
            <w:r>
              <w:rPr>
                <w:rFonts w:hint="eastAsia" w:cs="Times New Roman"/>
                <w:color w:val="auto"/>
              </w:rPr>
              <w:t>在</w:t>
            </w:r>
            <w:r>
              <w:rPr>
                <w:rFonts w:hint="eastAsia" w:cs="Times New Roman"/>
                <w:color w:val="auto"/>
                <w:lang w:eastAsia="zh-CN"/>
              </w:rPr>
              <w:t>福清融侨经济技术开发区洪宽工业村</w:t>
            </w:r>
            <w:r>
              <w:rPr>
                <w:rFonts w:hint="eastAsia" w:cs="Times New Roman"/>
                <w:color w:val="auto"/>
              </w:rPr>
              <w:t>（福清市阳下街道屿边村160号）改造原有1#厂房、新建3#、4#、5#标准化厂房及公用辅助工程的占地面积为30993.83平方米，房屋建筑面积为58054.13平方米，其他原有建筑保持不变。购置安装铜连续挤压机、拉拔矫直一体机等设备。新增生产能力（或使用功能）：4万吨铜排、3万吨铜丝、2万吨铜棒。</w:t>
            </w:r>
          </w:p>
          <w:p>
            <w:pPr>
              <w:ind w:firstLine="480"/>
              <w:rPr>
                <w:rFonts w:cs="Times New Roman"/>
                <w:color w:val="auto"/>
              </w:rPr>
            </w:pPr>
            <w:r>
              <w:rPr>
                <w:rFonts w:cs="Times New Roman"/>
                <w:color w:val="auto"/>
              </w:rPr>
              <w:t>根据《中华人民共和国环境保护法》《中华人民共和国环境影响评价法》《建设项目环境保护管理条例》以及《建设项目环境影响评价分类管理名录（2021年）》等规定，本项目属于分类管理名录中</w:t>
            </w:r>
            <w:r>
              <w:rPr>
                <w:rFonts w:hint="eastAsia" w:cs="Times New Roman"/>
                <w:color w:val="auto"/>
              </w:rPr>
              <w:t>“二十九有色金属冶炼和压延加工业32、有色金属压延加工325”</w:t>
            </w:r>
            <w:r>
              <w:rPr>
                <w:rFonts w:cs="Times New Roman"/>
                <w:color w:val="auto"/>
              </w:rPr>
              <w:t>，</w:t>
            </w:r>
            <w:r>
              <w:rPr>
                <w:rFonts w:hint="eastAsia" w:cs="Times New Roman"/>
                <w:color w:val="auto"/>
              </w:rPr>
              <w:t>应编制环境影响报告表。</w:t>
            </w:r>
          </w:p>
          <w:p>
            <w:pPr>
              <w:ind w:firstLine="480"/>
              <w:rPr>
                <w:color w:val="auto"/>
              </w:rPr>
            </w:pPr>
            <w:r>
              <w:rPr>
                <w:color w:val="auto"/>
              </w:rPr>
              <w:t>因此，建设单位委托我司编制项目环境影响报告表（附件</w:t>
            </w:r>
            <w:r>
              <w:rPr>
                <w:rFonts w:hint="eastAsia"/>
                <w:color w:val="auto"/>
              </w:rPr>
              <w:t>1</w:t>
            </w:r>
            <w:r>
              <w:rPr>
                <w:color w:val="auto"/>
                <w:spacing w:val="-4"/>
              </w:rPr>
              <w:t>：委托书）。</w:t>
            </w:r>
            <w:r>
              <w:rPr>
                <w:rFonts w:hint="eastAsia"/>
                <w:color w:val="auto"/>
                <w:spacing w:val="-4"/>
              </w:rPr>
              <w:t>我司</w:t>
            </w:r>
            <w:r>
              <w:rPr>
                <w:color w:val="auto"/>
                <w:spacing w:val="-4"/>
              </w:rPr>
              <w:t>接受委托后，派技</w:t>
            </w:r>
            <w:r>
              <w:rPr>
                <w:color w:val="auto"/>
                <w:spacing w:val="2"/>
              </w:rPr>
              <w:t>术人员踏勘现场和收集有关资料，并依照相关规定编写报告表，供建设单位报</w:t>
            </w:r>
            <w:r>
              <w:rPr>
                <w:rFonts w:hint="eastAsia"/>
                <w:color w:val="auto"/>
                <w:spacing w:val="2"/>
              </w:rPr>
              <w:t>生态环境主管部门</w:t>
            </w:r>
            <w:r>
              <w:rPr>
                <w:color w:val="auto"/>
              </w:rPr>
              <w:t>审批和作为污染防治设施建设的依据。</w:t>
            </w:r>
          </w:p>
          <w:p>
            <w:pPr>
              <w:pStyle w:val="37"/>
              <w:keepLines/>
              <w:ind w:firstLine="480"/>
              <w:rPr>
                <w:rFonts w:cs="Times New Roman"/>
                <w:color w:val="auto"/>
              </w:rPr>
            </w:pPr>
            <w:r>
              <w:rPr>
                <w:rFonts w:cs="Times New Roman"/>
                <w:color w:val="auto"/>
              </w:rPr>
              <w:t>表2.1-</w:t>
            </w:r>
            <w:r>
              <w:rPr>
                <w:rFonts w:hint="eastAsia" w:cs="Times New Roman"/>
                <w:color w:val="auto"/>
                <w:lang w:val="en-US"/>
              </w:rPr>
              <w:t>1</w:t>
            </w:r>
            <w:r>
              <w:rPr>
                <w:rFonts w:cs="Times New Roman"/>
                <w:color w:val="auto"/>
              </w:rPr>
              <w:t xml:space="preserve">  </w:t>
            </w:r>
            <w:r>
              <w:rPr>
                <w:rFonts w:hint="eastAsia" w:cs="Times New Roman"/>
                <w:color w:val="auto"/>
              </w:rPr>
              <w:t>《</w:t>
            </w:r>
            <w:r>
              <w:rPr>
                <w:rFonts w:cs="Times New Roman"/>
                <w:color w:val="auto"/>
              </w:rPr>
              <w:t>建设项目环境影响评价分类管理</w:t>
            </w:r>
            <w:r>
              <w:rPr>
                <w:rFonts w:hint="eastAsia" w:cs="Times New Roman"/>
                <w:color w:val="auto"/>
                <w:lang w:val="en-US"/>
              </w:rPr>
              <w:t>名录》（2021年版）</w:t>
            </w:r>
            <w:r>
              <w:rPr>
                <w:rFonts w:cs="Times New Roman"/>
                <w:color w:val="auto"/>
              </w:rPr>
              <w:t>（</w:t>
            </w:r>
            <w:r>
              <w:rPr>
                <w:rFonts w:hint="eastAsia" w:cs="Times New Roman"/>
                <w:color w:val="auto"/>
              </w:rPr>
              <w:t>摘录</w:t>
            </w:r>
            <w:r>
              <w:rPr>
                <w:rFonts w:cs="Times New Roman"/>
                <w:color w:val="auto"/>
              </w:rPr>
              <w:t>）</w:t>
            </w:r>
          </w:p>
          <w:tbl>
            <w:tblPr>
              <w:tblStyle w:val="2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5"/>
              <w:gridCol w:w="2446"/>
              <w:gridCol w:w="1803"/>
              <w:gridCol w:w="1803"/>
              <w:gridCol w:w="18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39" w:hRule="atLeast"/>
              </w:trPr>
              <w:tc>
                <w:tcPr>
                  <w:tcW w:w="1775" w:type="pct"/>
                  <w:gridSpan w:val="2"/>
                  <w:tcBorders>
                    <w:tl2br w:val="single" w:color="auto" w:sz="12" w:space="0"/>
                  </w:tcBorders>
                  <w:vAlign w:val="center"/>
                </w:tcPr>
                <w:p>
                  <w:pPr>
                    <w:pStyle w:val="116"/>
                    <w:adjustRightInd w:val="0"/>
                    <w:snapToGrid w:val="0"/>
                    <w:jc w:val="both"/>
                    <w:rPr>
                      <w:color w:val="auto"/>
                    </w:rPr>
                  </w:pPr>
                  <w:r>
                    <w:rPr>
                      <w:rFonts w:hint="eastAsia"/>
                      <w:color w:val="auto"/>
                    </w:rPr>
                    <w:t xml:space="preserve">               </w:t>
                  </w:r>
                  <w:r>
                    <w:rPr>
                      <w:color w:val="auto"/>
                    </w:rPr>
                    <w:t>项目类</w:t>
                  </w:r>
                  <w:r>
                    <w:rPr>
                      <w:rFonts w:hint="eastAsia"/>
                      <w:color w:val="auto"/>
                    </w:rPr>
                    <w:t xml:space="preserve">别         </w:t>
                  </w:r>
                  <w:r>
                    <w:rPr>
                      <w:color w:val="auto"/>
                    </w:rPr>
                    <w:t>环评类别</w:t>
                  </w:r>
                </w:p>
              </w:tc>
              <w:tc>
                <w:tcPr>
                  <w:tcW w:w="1074" w:type="pct"/>
                  <w:vAlign w:val="center"/>
                </w:tcPr>
                <w:p>
                  <w:pPr>
                    <w:pStyle w:val="116"/>
                    <w:rPr>
                      <w:color w:val="auto"/>
                    </w:rPr>
                  </w:pPr>
                  <w:r>
                    <w:rPr>
                      <w:color w:val="auto"/>
                    </w:rPr>
                    <w:t>报告书</w:t>
                  </w:r>
                </w:p>
              </w:tc>
              <w:tc>
                <w:tcPr>
                  <w:tcW w:w="1074" w:type="pct"/>
                  <w:shd w:val="clear" w:color="auto" w:fill="A5A5A5"/>
                  <w:vAlign w:val="center"/>
                </w:tcPr>
                <w:p>
                  <w:pPr>
                    <w:pStyle w:val="116"/>
                    <w:rPr>
                      <w:color w:val="auto"/>
                    </w:rPr>
                  </w:pPr>
                  <w:r>
                    <w:rPr>
                      <w:color w:val="auto"/>
                    </w:rPr>
                    <w:t>报告表</w:t>
                  </w:r>
                </w:p>
              </w:tc>
              <w:tc>
                <w:tcPr>
                  <w:tcW w:w="1075" w:type="pct"/>
                  <w:vAlign w:val="center"/>
                </w:tcPr>
                <w:p>
                  <w:pPr>
                    <w:pStyle w:val="116"/>
                    <w:rPr>
                      <w:color w:val="auto"/>
                    </w:rPr>
                  </w:pPr>
                  <w:r>
                    <w:rPr>
                      <w:color w:val="auto"/>
                    </w:rPr>
                    <w:t>登记表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5"/>
                  <w:vAlign w:val="center"/>
                </w:tcPr>
                <w:p>
                  <w:pPr>
                    <w:pStyle w:val="116"/>
                    <w:jc w:val="both"/>
                    <w:rPr>
                      <w:b/>
                      <w:color w:val="auto"/>
                    </w:rPr>
                  </w:pPr>
                  <w:r>
                    <w:rPr>
                      <w:rFonts w:hint="eastAsia"/>
                      <w:b/>
                      <w:color w:val="auto"/>
                    </w:rPr>
                    <w:t>二十九 有色金属冶炼和压延加工业32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8" w:type="pct"/>
                  <w:vAlign w:val="center"/>
                </w:tcPr>
                <w:p>
                  <w:pPr>
                    <w:pStyle w:val="116"/>
                    <w:rPr>
                      <w:color w:val="auto"/>
                    </w:rPr>
                  </w:pPr>
                  <w:r>
                    <w:rPr>
                      <w:rFonts w:hint="eastAsia"/>
                      <w:color w:val="auto"/>
                    </w:rPr>
                    <w:t>65</w:t>
                  </w:r>
                </w:p>
              </w:tc>
              <w:tc>
                <w:tcPr>
                  <w:tcW w:w="1456" w:type="pct"/>
                  <w:vAlign w:val="center"/>
                </w:tcPr>
                <w:p>
                  <w:pPr>
                    <w:pStyle w:val="116"/>
                    <w:rPr>
                      <w:color w:val="auto"/>
                    </w:rPr>
                  </w:pPr>
                  <w:r>
                    <w:rPr>
                      <w:rFonts w:hint="eastAsia"/>
                      <w:color w:val="auto"/>
                    </w:rPr>
                    <w:t>有色金属压延加工 325</w:t>
                  </w:r>
                </w:p>
              </w:tc>
              <w:tc>
                <w:tcPr>
                  <w:tcW w:w="1074" w:type="pct"/>
                  <w:vAlign w:val="center"/>
                </w:tcPr>
                <w:p>
                  <w:pPr>
                    <w:pStyle w:val="116"/>
                    <w:rPr>
                      <w:color w:val="auto"/>
                    </w:rPr>
                  </w:pPr>
                  <w:r>
                    <w:rPr>
                      <w:rFonts w:hint="eastAsia"/>
                      <w:color w:val="auto"/>
                    </w:rPr>
                    <w:t>/</w:t>
                  </w:r>
                </w:p>
              </w:tc>
              <w:tc>
                <w:tcPr>
                  <w:tcW w:w="1074" w:type="pct"/>
                  <w:shd w:val="clear" w:color="auto" w:fill="A5A5A5"/>
                  <w:vAlign w:val="center"/>
                </w:tcPr>
                <w:p>
                  <w:pPr>
                    <w:pStyle w:val="116"/>
                    <w:rPr>
                      <w:color w:val="auto"/>
                    </w:rPr>
                  </w:pPr>
                  <w:r>
                    <w:rPr>
                      <w:rFonts w:hint="eastAsia"/>
                      <w:color w:val="auto"/>
                    </w:rPr>
                    <w:t>全部</w:t>
                  </w:r>
                </w:p>
              </w:tc>
              <w:tc>
                <w:tcPr>
                  <w:tcW w:w="1075" w:type="pct"/>
                  <w:vAlign w:val="center"/>
                </w:tcPr>
                <w:p>
                  <w:pPr>
                    <w:pStyle w:val="116"/>
                    <w:rPr>
                      <w:color w:val="auto"/>
                    </w:rPr>
                  </w:pPr>
                  <w:r>
                    <w:rPr>
                      <w:color w:val="auto"/>
                    </w:rPr>
                    <w:t>/</w:t>
                  </w:r>
                </w:p>
              </w:tc>
            </w:tr>
          </w:tbl>
          <w:p>
            <w:pPr>
              <w:pStyle w:val="37"/>
              <w:keepLines/>
              <w:ind w:firstLine="480"/>
              <w:rPr>
                <w:rFonts w:cs="Times New Roman"/>
                <w:color w:val="auto"/>
              </w:rPr>
            </w:pPr>
          </w:p>
          <w:p>
            <w:pPr>
              <w:pStyle w:val="56"/>
              <w:keepLines/>
              <w:rPr>
                <w:rFonts w:cs="Times New Roman"/>
                <w:color w:val="auto"/>
              </w:rPr>
            </w:pPr>
            <w:bookmarkStart w:id="26" w:name="_Toc28448"/>
            <w:r>
              <w:rPr>
                <w:rFonts w:cs="Times New Roman"/>
                <w:color w:val="auto"/>
              </w:rPr>
              <w:t>2.1.2项目概况</w:t>
            </w:r>
            <w:bookmarkEnd w:id="26"/>
          </w:p>
          <w:p>
            <w:pPr>
              <w:keepLines/>
              <w:widowControl w:val="0"/>
              <w:ind w:firstLine="240" w:firstLineChars="100"/>
              <w:rPr>
                <w:rFonts w:cs="Times New Roman"/>
                <w:color w:val="auto"/>
              </w:rPr>
            </w:pPr>
            <w:r>
              <w:rPr>
                <w:rFonts w:cs="Times New Roman"/>
                <w:color w:val="auto"/>
              </w:rPr>
              <w:t>（1）项目名称：</w:t>
            </w:r>
            <w:r>
              <w:rPr>
                <w:rFonts w:hint="eastAsia" w:cs="Times New Roman"/>
                <w:color w:val="auto"/>
              </w:rPr>
              <w:t>福建鑫晟铜业有限公司高性能铜合金材料项目</w:t>
            </w:r>
          </w:p>
          <w:p>
            <w:pPr>
              <w:keepLines/>
              <w:widowControl w:val="0"/>
              <w:ind w:firstLine="240" w:firstLineChars="100"/>
              <w:rPr>
                <w:rFonts w:cs="Times New Roman"/>
                <w:color w:val="auto"/>
              </w:rPr>
            </w:pPr>
            <w:r>
              <w:rPr>
                <w:rFonts w:cs="Times New Roman"/>
                <w:color w:val="auto"/>
              </w:rPr>
              <w:t>（2）建设性质：</w:t>
            </w:r>
            <w:r>
              <w:rPr>
                <w:rFonts w:hint="eastAsia" w:cs="Times New Roman"/>
                <w:color w:val="auto"/>
              </w:rPr>
              <w:t>新建</w:t>
            </w:r>
            <w:r>
              <w:rPr>
                <w:rFonts w:cs="Times New Roman"/>
                <w:color w:val="auto"/>
              </w:rPr>
              <w:t xml:space="preserve"> </w:t>
            </w:r>
          </w:p>
          <w:p>
            <w:pPr>
              <w:ind w:firstLine="240" w:firstLineChars="100"/>
              <w:rPr>
                <w:rFonts w:cs="Times New Roman"/>
                <w:color w:val="auto"/>
              </w:rPr>
            </w:pPr>
            <w:r>
              <w:rPr>
                <w:rFonts w:cs="Times New Roman"/>
                <w:color w:val="auto"/>
              </w:rPr>
              <w:t>（3）建设单位：</w:t>
            </w:r>
            <w:r>
              <w:rPr>
                <w:rFonts w:hint="eastAsia" w:cs="Times New Roman"/>
                <w:color w:val="auto"/>
              </w:rPr>
              <w:t>福建鑫晟铜业有限公司</w:t>
            </w:r>
          </w:p>
          <w:p>
            <w:pPr>
              <w:keepLines/>
              <w:widowControl w:val="0"/>
              <w:ind w:firstLine="240" w:firstLineChars="100"/>
              <w:rPr>
                <w:rFonts w:cs="Times New Roman"/>
                <w:color w:val="auto"/>
              </w:rPr>
            </w:pPr>
            <w:r>
              <w:rPr>
                <w:rFonts w:cs="Times New Roman"/>
                <w:color w:val="auto"/>
              </w:rPr>
              <w:t>（4）建设地点：</w:t>
            </w:r>
            <w:r>
              <w:rPr>
                <w:rFonts w:hint="eastAsia" w:cs="Times New Roman"/>
                <w:color w:val="auto"/>
                <w:lang w:eastAsia="zh-CN"/>
              </w:rPr>
              <w:t>福清融侨经济技术开发区洪宽工业村</w:t>
            </w:r>
            <w:r>
              <w:rPr>
                <w:rFonts w:hint="eastAsia" w:cs="Times New Roman"/>
                <w:color w:val="auto"/>
              </w:rPr>
              <w:t>（福清市阳下街道屿边村160号）</w:t>
            </w:r>
          </w:p>
          <w:p>
            <w:pPr>
              <w:keepLines/>
              <w:widowControl w:val="0"/>
              <w:ind w:firstLine="240" w:firstLineChars="100"/>
              <w:rPr>
                <w:rFonts w:cs="Times New Roman"/>
                <w:color w:val="auto"/>
              </w:rPr>
            </w:pPr>
            <w:r>
              <w:rPr>
                <w:rFonts w:cs="Times New Roman"/>
                <w:color w:val="auto"/>
              </w:rPr>
              <w:t>（5）投资额：总投资</w:t>
            </w:r>
            <w:r>
              <w:rPr>
                <w:rFonts w:hint="eastAsia" w:cs="Times New Roman"/>
                <w:color w:val="auto"/>
              </w:rPr>
              <w:t>52000</w:t>
            </w:r>
            <w:r>
              <w:rPr>
                <w:rFonts w:cs="Times New Roman"/>
                <w:color w:val="auto"/>
              </w:rPr>
              <w:t>万元，环保投资</w:t>
            </w:r>
            <w:r>
              <w:rPr>
                <w:rFonts w:hint="eastAsia" w:cs="Times New Roman"/>
                <w:color w:val="auto"/>
                <w:lang w:val="en-US" w:eastAsia="zh-CN"/>
              </w:rPr>
              <w:t>85</w:t>
            </w:r>
            <w:r>
              <w:rPr>
                <w:rFonts w:cs="Times New Roman"/>
                <w:color w:val="auto"/>
              </w:rPr>
              <w:t>万元</w:t>
            </w:r>
          </w:p>
          <w:p>
            <w:pPr>
              <w:ind w:left="0" w:leftChars="0" w:firstLine="240" w:firstLineChars="100"/>
              <w:rPr>
                <w:rFonts w:cs="Times New Roman"/>
                <w:color w:val="auto"/>
              </w:rPr>
            </w:pPr>
            <w:r>
              <w:rPr>
                <w:rFonts w:cs="Times New Roman"/>
                <w:color w:val="auto"/>
              </w:rPr>
              <w:t>（6）</w:t>
            </w:r>
            <w:r>
              <w:rPr>
                <w:rFonts w:hint="eastAsia" w:cs="Times New Roman"/>
                <w:color w:val="auto"/>
              </w:rPr>
              <w:t>建设内容：本项目厂区占地总面积62195.8平方米，本次改造原有1#厂房</w:t>
            </w:r>
            <w:r>
              <w:rPr>
                <w:rFonts w:hint="eastAsia" w:cs="Times New Roman"/>
                <w:color w:val="auto"/>
                <w:lang w:eastAsia="zh-CN"/>
              </w:rPr>
              <w:t>（</w:t>
            </w:r>
            <w:r>
              <w:rPr>
                <w:rFonts w:hint="eastAsia" w:cs="Times New Roman"/>
                <w:color w:val="auto"/>
                <w:lang w:val="en-US" w:eastAsia="zh-CN"/>
              </w:rPr>
              <w:t>对厂房内部空间布局进行改造）</w:t>
            </w:r>
            <w:r>
              <w:rPr>
                <w:rFonts w:hint="eastAsia" w:cs="Times New Roman"/>
                <w:color w:val="auto"/>
              </w:rPr>
              <w:t>、新建3#、4#、5#标准化厂房及公用辅助工程的占地面积为30993.83平方米，房屋建筑面积为58054.13平方米，其他原有建筑保持不变。年加工4万吨铜排、3万吨铜丝、2万吨铜棒购置安装铜连续挤压机、拉拔矫直一体机等设备，技术水平达到国内先进。新增生产能力（或使用功能）：4万吨铜排、3万吨铜丝、2万吨铜棒。</w:t>
            </w:r>
          </w:p>
          <w:p>
            <w:pPr>
              <w:keepLines/>
              <w:widowControl w:val="0"/>
              <w:ind w:firstLine="240" w:firstLineChars="100"/>
              <w:rPr>
                <w:color w:val="auto"/>
              </w:rPr>
            </w:pPr>
            <w:r>
              <w:rPr>
                <w:rFonts w:cs="Times New Roman"/>
                <w:color w:val="auto"/>
              </w:rPr>
              <w:t>（7）面积：项目红线面积为62195.8平方米。本次改造</w:t>
            </w:r>
            <w:r>
              <w:rPr>
                <w:rFonts w:hint="eastAsia" w:cs="Times New Roman"/>
                <w:color w:val="auto"/>
              </w:rPr>
              <w:t>、新建厂房及配套设施占地面积为30993.83平方米，</w:t>
            </w:r>
            <w:r>
              <w:rPr>
                <w:rFonts w:cs="Times New Roman"/>
                <w:color w:val="auto"/>
              </w:rPr>
              <w:t>总建筑面积58054.13平方米。</w:t>
            </w:r>
            <w:r>
              <w:rPr>
                <w:rFonts w:hint="eastAsia" w:cs="Times New Roman"/>
                <w:color w:val="auto"/>
              </w:rPr>
              <w:br w:type="textWrapping"/>
            </w:r>
            <w:r>
              <w:rPr>
                <w:rFonts w:hint="eastAsia" w:cs="Times New Roman"/>
                <w:color w:val="auto"/>
              </w:rPr>
              <w:t xml:space="preserve">  </w:t>
            </w:r>
            <w:r>
              <w:rPr>
                <w:rFonts w:cs="Times New Roman"/>
                <w:color w:val="auto"/>
              </w:rPr>
              <w:t>（</w:t>
            </w:r>
            <w:r>
              <w:rPr>
                <w:rFonts w:hint="eastAsia" w:cs="Times New Roman"/>
                <w:color w:val="auto"/>
              </w:rPr>
              <w:t>8</w:t>
            </w:r>
            <w:r>
              <w:rPr>
                <w:rFonts w:cs="Times New Roman"/>
                <w:color w:val="auto"/>
              </w:rPr>
              <w:t>）职工人数：</w:t>
            </w:r>
            <w:r>
              <w:rPr>
                <w:rFonts w:hint="eastAsia" w:cs="Times New Roman"/>
                <w:color w:val="auto"/>
              </w:rPr>
              <w:t>定员25</w:t>
            </w:r>
            <w:r>
              <w:rPr>
                <w:rFonts w:cs="Times New Roman"/>
                <w:color w:val="auto"/>
              </w:rPr>
              <w:t>人</w:t>
            </w:r>
            <w:r>
              <w:rPr>
                <w:rFonts w:hint="eastAsia"/>
                <w:color w:val="auto"/>
              </w:rPr>
              <w:t>（其中住厂人数13人）。</w:t>
            </w:r>
          </w:p>
          <w:p>
            <w:pPr>
              <w:keepLines/>
              <w:widowControl w:val="0"/>
              <w:ind w:firstLine="240" w:firstLineChars="100"/>
              <w:rPr>
                <w:rFonts w:cs="Times New Roman"/>
                <w:color w:val="auto"/>
              </w:rPr>
            </w:pPr>
            <w:r>
              <w:rPr>
                <w:rFonts w:cs="Times New Roman"/>
                <w:color w:val="auto"/>
              </w:rPr>
              <w:t>（</w:t>
            </w:r>
            <w:r>
              <w:rPr>
                <w:rFonts w:hint="eastAsia" w:cs="Times New Roman"/>
                <w:color w:val="auto"/>
              </w:rPr>
              <w:t>9</w:t>
            </w:r>
            <w:r>
              <w:rPr>
                <w:rFonts w:cs="Times New Roman"/>
                <w:color w:val="auto"/>
              </w:rPr>
              <w:t>）工作制度：年工作日</w:t>
            </w:r>
            <w:r>
              <w:rPr>
                <w:rFonts w:hint="eastAsia" w:cs="Times New Roman"/>
                <w:color w:val="auto"/>
              </w:rPr>
              <w:t>300</w:t>
            </w:r>
            <w:r>
              <w:rPr>
                <w:rFonts w:cs="Times New Roman"/>
                <w:color w:val="auto"/>
              </w:rPr>
              <w:t>天，每天</w:t>
            </w:r>
            <w:r>
              <w:rPr>
                <w:rFonts w:hint="eastAsia" w:cs="Times New Roman"/>
                <w:color w:val="auto"/>
              </w:rPr>
              <w:t>2班，每班12</w:t>
            </w:r>
            <w:r>
              <w:rPr>
                <w:rFonts w:cs="Times New Roman"/>
                <w:color w:val="auto"/>
              </w:rPr>
              <w:t>小时</w:t>
            </w:r>
            <w:r>
              <w:rPr>
                <w:rFonts w:hint="eastAsia" w:cs="Times New Roman"/>
                <w:color w:val="auto"/>
              </w:rPr>
              <w:t>。</w:t>
            </w:r>
          </w:p>
          <w:p>
            <w:pPr>
              <w:pStyle w:val="56"/>
              <w:keepLines/>
              <w:rPr>
                <w:rFonts w:cs="Times New Roman"/>
                <w:color w:val="auto"/>
              </w:rPr>
            </w:pPr>
            <w:bookmarkStart w:id="27" w:name="_Toc3739"/>
            <w:r>
              <w:rPr>
                <w:rFonts w:hint="eastAsia" w:cs="Times New Roman"/>
                <w:color w:val="auto"/>
              </w:rPr>
              <w:t>2</w:t>
            </w:r>
            <w:r>
              <w:rPr>
                <w:rFonts w:cs="Times New Roman"/>
                <w:color w:val="auto"/>
              </w:rPr>
              <w:t>.1.</w:t>
            </w:r>
            <w:r>
              <w:rPr>
                <w:rFonts w:hint="eastAsia" w:cs="Times New Roman"/>
                <w:color w:val="auto"/>
              </w:rPr>
              <w:t>3</w:t>
            </w:r>
            <w:r>
              <w:rPr>
                <w:rFonts w:cs="Times New Roman"/>
                <w:color w:val="auto"/>
              </w:rPr>
              <w:t>产品方案及规模</w:t>
            </w:r>
            <w:bookmarkEnd w:id="27"/>
          </w:p>
          <w:p>
            <w:pPr>
              <w:pStyle w:val="194"/>
              <w:rPr>
                <w:color w:val="auto"/>
              </w:rPr>
            </w:pPr>
            <w:r>
              <w:rPr>
                <w:color w:val="auto"/>
              </w:rPr>
              <w:t>项目产品方案及规模见表</w:t>
            </w:r>
            <w:r>
              <w:rPr>
                <w:rFonts w:hint="eastAsia"/>
                <w:color w:val="auto"/>
              </w:rPr>
              <w:t>2.1</w:t>
            </w:r>
            <w:r>
              <w:rPr>
                <w:color w:val="auto"/>
              </w:rPr>
              <w:t>-</w:t>
            </w:r>
            <w:r>
              <w:rPr>
                <w:rFonts w:hint="eastAsia"/>
                <w:color w:val="auto"/>
              </w:rPr>
              <w:t>2</w:t>
            </w:r>
            <w:r>
              <w:rPr>
                <w:color w:val="auto"/>
              </w:rPr>
              <w:t>。</w:t>
            </w:r>
          </w:p>
          <w:p>
            <w:pPr>
              <w:pStyle w:val="202"/>
              <w:rPr>
                <w:color w:val="auto"/>
              </w:rPr>
            </w:pPr>
            <w:r>
              <w:rPr>
                <w:snapToGrid w:val="0"/>
                <w:color w:val="auto"/>
              </w:rPr>
              <w:t>表</w:t>
            </w:r>
            <w:r>
              <w:rPr>
                <w:rFonts w:hint="eastAsia"/>
                <w:snapToGrid w:val="0"/>
                <w:color w:val="auto"/>
              </w:rPr>
              <w:t>2</w:t>
            </w:r>
            <w:r>
              <w:rPr>
                <w:snapToGrid w:val="0"/>
                <w:color w:val="auto"/>
              </w:rPr>
              <w:t>.1-</w:t>
            </w:r>
            <w:r>
              <w:rPr>
                <w:rFonts w:hint="eastAsia"/>
                <w:snapToGrid w:val="0"/>
                <w:color w:val="auto"/>
              </w:rPr>
              <w:t>2  本项目</w:t>
            </w:r>
            <w:r>
              <w:rPr>
                <w:color w:val="auto"/>
              </w:rPr>
              <w:t>产品方案及规模一览表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0" w:type="dxa"/>
                <w:bottom w:w="0" w:type="dxa"/>
                <w:right w:w="0" w:type="dxa"/>
              </w:tblCellMar>
            </w:tblPr>
            <w:tblGrid>
              <w:gridCol w:w="772"/>
              <w:gridCol w:w="1489"/>
              <w:gridCol w:w="1797"/>
              <w:gridCol w:w="4337"/>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Ex>
              <w:trPr>
                <w:trHeight w:val="397" w:hRule="atLeast"/>
                <w:jc w:val="center"/>
              </w:trPr>
              <w:tc>
                <w:tcPr>
                  <w:tcW w:w="459" w:type="pct"/>
                  <w:vAlign w:val="center"/>
                </w:tcPr>
                <w:p>
                  <w:pPr>
                    <w:pStyle w:val="36"/>
                    <w:rPr>
                      <w:color w:val="auto"/>
                    </w:rPr>
                  </w:pPr>
                  <w:r>
                    <w:rPr>
                      <w:color w:val="auto"/>
                    </w:rPr>
                    <w:t>序号</w:t>
                  </w:r>
                </w:p>
              </w:tc>
              <w:tc>
                <w:tcPr>
                  <w:tcW w:w="887" w:type="pct"/>
                  <w:tcBorders>
                    <w:right w:val="single" w:color="auto" w:sz="4" w:space="0"/>
                  </w:tcBorders>
                  <w:vAlign w:val="center"/>
                </w:tcPr>
                <w:p>
                  <w:pPr>
                    <w:pStyle w:val="36"/>
                    <w:rPr>
                      <w:color w:val="auto"/>
                    </w:rPr>
                  </w:pPr>
                  <w:r>
                    <w:rPr>
                      <w:color w:val="auto"/>
                    </w:rPr>
                    <w:t>产品名称</w:t>
                  </w:r>
                </w:p>
              </w:tc>
              <w:tc>
                <w:tcPr>
                  <w:tcW w:w="1070" w:type="pct"/>
                  <w:tcBorders>
                    <w:left w:val="single" w:color="auto" w:sz="4" w:space="0"/>
                  </w:tcBorders>
                  <w:vAlign w:val="center"/>
                </w:tcPr>
                <w:p>
                  <w:pPr>
                    <w:pStyle w:val="36"/>
                    <w:rPr>
                      <w:color w:val="auto"/>
                    </w:rPr>
                  </w:pPr>
                  <w:r>
                    <w:rPr>
                      <w:color w:val="auto"/>
                    </w:rPr>
                    <w:t>生产规模</w:t>
                  </w:r>
                </w:p>
              </w:tc>
              <w:tc>
                <w:tcPr>
                  <w:tcW w:w="2582" w:type="pct"/>
                  <w:vAlign w:val="center"/>
                </w:tcPr>
                <w:p>
                  <w:pPr>
                    <w:pStyle w:val="36"/>
                    <w:rPr>
                      <w:color w:val="auto"/>
                    </w:rPr>
                  </w:pPr>
                  <w:r>
                    <w:rPr>
                      <w:rFonts w:hint="eastAsia"/>
                      <w:color w:val="auto"/>
                    </w:rPr>
                    <w:t>规格</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459" w:type="pct"/>
                  <w:vAlign w:val="center"/>
                </w:tcPr>
                <w:p>
                  <w:pPr>
                    <w:pStyle w:val="36"/>
                    <w:rPr>
                      <w:color w:val="auto"/>
                    </w:rPr>
                  </w:pPr>
                  <w:r>
                    <w:rPr>
                      <w:rFonts w:hint="eastAsia"/>
                      <w:color w:val="auto"/>
                    </w:rPr>
                    <w:t>1</w:t>
                  </w:r>
                </w:p>
              </w:tc>
              <w:tc>
                <w:tcPr>
                  <w:tcW w:w="887" w:type="pct"/>
                  <w:tcBorders>
                    <w:right w:val="single" w:color="auto" w:sz="4" w:space="0"/>
                  </w:tcBorders>
                  <w:vAlign w:val="center"/>
                </w:tcPr>
                <w:p>
                  <w:pPr>
                    <w:pStyle w:val="36"/>
                    <w:rPr>
                      <w:color w:val="auto"/>
                    </w:rPr>
                  </w:pPr>
                  <w:r>
                    <w:rPr>
                      <w:rFonts w:hint="eastAsia"/>
                      <w:color w:val="auto"/>
                    </w:rPr>
                    <w:t>铜排</w:t>
                  </w:r>
                </w:p>
              </w:tc>
              <w:tc>
                <w:tcPr>
                  <w:tcW w:w="1070" w:type="pct"/>
                  <w:tcBorders>
                    <w:left w:val="single" w:color="auto" w:sz="4" w:space="0"/>
                  </w:tcBorders>
                  <w:vAlign w:val="center"/>
                </w:tcPr>
                <w:p>
                  <w:pPr>
                    <w:pStyle w:val="36"/>
                    <w:rPr>
                      <w:color w:val="auto"/>
                    </w:rPr>
                  </w:pPr>
                  <w:r>
                    <w:rPr>
                      <w:rFonts w:hint="eastAsia"/>
                      <w:color w:val="auto"/>
                    </w:rPr>
                    <w:t>4万吨/年</w:t>
                  </w:r>
                </w:p>
              </w:tc>
              <w:tc>
                <w:tcPr>
                  <w:tcW w:w="2582" w:type="pct"/>
                  <w:vAlign w:val="center"/>
                </w:tcPr>
                <w:p>
                  <w:pPr>
                    <w:pStyle w:val="36"/>
                    <w:rPr>
                      <w:color w:val="auto"/>
                    </w:rPr>
                  </w:pPr>
                  <w:r>
                    <w:rPr>
                      <w:rFonts w:hint="eastAsia"/>
                      <w:color w:val="auto"/>
                    </w:rPr>
                    <w:t>厚度2.24-50mm，宽度16-400mm</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Ex>
              <w:trPr>
                <w:trHeight w:val="397" w:hRule="atLeast"/>
                <w:jc w:val="center"/>
              </w:trPr>
              <w:tc>
                <w:tcPr>
                  <w:tcW w:w="459" w:type="pct"/>
                  <w:vAlign w:val="center"/>
                </w:tcPr>
                <w:p>
                  <w:pPr>
                    <w:pStyle w:val="36"/>
                    <w:rPr>
                      <w:color w:val="auto"/>
                    </w:rPr>
                  </w:pPr>
                  <w:r>
                    <w:rPr>
                      <w:rFonts w:hint="eastAsia"/>
                      <w:color w:val="auto"/>
                    </w:rPr>
                    <w:t>2</w:t>
                  </w:r>
                </w:p>
              </w:tc>
              <w:tc>
                <w:tcPr>
                  <w:tcW w:w="887" w:type="pct"/>
                  <w:tcBorders>
                    <w:right w:val="single" w:color="auto" w:sz="4" w:space="0"/>
                  </w:tcBorders>
                  <w:vAlign w:val="center"/>
                </w:tcPr>
                <w:p>
                  <w:pPr>
                    <w:pStyle w:val="36"/>
                    <w:rPr>
                      <w:color w:val="auto"/>
                    </w:rPr>
                  </w:pPr>
                  <w:r>
                    <w:rPr>
                      <w:rFonts w:hint="eastAsia"/>
                      <w:color w:val="auto"/>
                    </w:rPr>
                    <w:t>铜丝</w:t>
                  </w:r>
                </w:p>
              </w:tc>
              <w:tc>
                <w:tcPr>
                  <w:tcW w:w="1070" w:type="pct"/>
                  <w:tcBorders>
                    <w:left w:val="single" w:color="auto" w:sz="4" w:space="0"/>
                  </w:tcBorders>
                  <w:vAlign w:val="center"/>
                </w:tcPr>
                <w:p>
                  <w:pPr>
                    <w:pStyle w:val="36"/>
                    <w:rPr>
                      <w:color w:val="auto"/>
                    </w:rPr>
                  </w:pPr>
                  <w:r>
                    <w:rPr>
                      <w:rFonts w:hint="eastAsia"/>
                      <w:color w:val="auto"/>
                    </w:rPr>
                    <w:t>3万吨/年</w:t>
                  </w:r>
                </w:p>
              </w:tc>
              <w:tc>
                <w:tcPr>
                  <w:tcW w:w="2582" w:type="pct"/>
                  <w:vAlign w:val="center"/>
                </w:tcPr>
                <w:p>
                  <w:pPr>
                    <w:pStyle w:val="36"/>
                    <w:rPr>
                      <w:color w:val="auto"/>
                    </w:rPr>
                  </w:pPr>
                  <w:r>
                    <w:rPr>
                      <w:rFonts w:hint="eastAsia"/>
                      <w:color w:val="auto"/>
                    </w:rPr>
                    <w:t>直径0.05~8mm</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Ex>
              <w:trPr>
                <w:trHeight w:val="397" w:hRule="atLeast"/>
                <w:jc w:val="center"/>
              </w:trPr>
              <w:tc>
                <w:tcPr>
                  <w:tcW w:w="459" w:type="pct"/>
                  <w:vAlign w:val="center"/>
                </w:tcPr>
                <w:p>
                  <w:pPr>
                    <w:pStyle w:val="36"/>
                    <w:rPr>
                      <w:color w:val="auto"/>
                    </w:rPr>
                  </w:pPr>
                  <w:r>
                    <w:rPr>
                      <w:rFonts w:hint="eastAsia"/>
                      <w:color w:val="auto"/>
                    </w:rPr>
                    <w:t>3</w:t>
                  </w:r>
                </w:p>
              </w:tc>
              <w:tc>
                <w:tcPr>
                  <w:tcW w:w="887" w:type="pct"/>
                  <w:tcBorders>
                    <w:right w:val="single" w:color="auto" w:sz="4" w:space="0"/>
                  </w:tcBorders>
                  <w:vAlign w:val="center"/>
                </w:tcPr>
                <w:p>
                  <w:pPr>
                    <w:pStyle w:val="36"/>
                    <w:rPr>
                      <w:color w:val="auto"/>
                    </w:rPr>
                  </w:pPr>
                  <w:r>
                    <w:rPr>
                      <w:rFonts w:hint="eastAsia"/>
                      <w:color w:val="auto"/>
                    </w:rPr>
                    <w:t>铜棒</w:t>
                  </w:r>
                </w:p>
              </w:tc>
              <w:tc>
                <w:tcPr>
                  <w:tcW w:w="1070" w:type="pct"/>
                  <w:tcBorders>
                    <w:left w:val="single" w:color="auto" w:sz="4" w:space="0"/>
                  </w:tcBorders>
                  <w:vAlign w:val="center"/>
                </w:tcPr>
                <w:p>
                  <w:pPr>
                    <w:pStyle w:val="36"/>
                    <w:rPr>
                      <w:color w:val="auto"/>
                    </w:rPr>
                  </w:pPr>
                  <w:r>
                    <w:rPr>
                      <w:rFonts w:hint="eastAsia"/>
                      <w:color w:val="auto"/>
                    </w:rPr>
                    <w:t>2万吨/年</w:t>
                  </w:r>
                </w:p>
              </w:tc>
              <w:tc>
                <w:tcPr>
                  <w:tcW w:w="2582" w:type="pct"/>
                  <w:vAlign w:val="center"/>
                </w:tcPr>
                <w:p>
                  <w:pPr>
                    <w:pStyle w:val="36"/>
                    <w:rPr>
                      <w:color w:val="auto"/>
                    </w:rPr>
                  </w:pPr>
                  <w:r>
                    <w:rPr>
                      <w:rFonts w:hint="eastAsia"/>
                      <w:color w:val="auto"/>
                    </w:rPr>
                    <w:t>直径3-80mm</w:t>
                  </w:r>
                </w:p>
              </w:tc>
            </w:tr>
          </w:tbl>
          <w:p>
            <w:pPr>
              <w:pStyle w:val="55"/>
              <w:keepLines/>
              <w:rPr>
                <w:rFonts w:cs="Times New Roman"/>
                <w:color w:val="auto"/>
              </w:rPr>
            </w:pPr>
          </w:p>
          <w:p>
            <w:pPr>
              <w:pStyle w:val="55"/>
              <w:keepLines/>
              <w:rPr>
                <w:rFonts w:cs="Times New Roman"/>
                <w:color w:val="auto"/>
              </w:rPr>
            </w:pPr>
          </w:p>
          <w:p>
            <w:pPr>
              <w:pStyle w:val="55"/>
              <w:keepLines/>
              <w:rPr>
                <w:rFonts w:cs="Times New Roman"/>
                <w:color w:val="auto"/>
              </w:rPr>
            </w:pPr>
          </w:p>
          <w:p>
            <w:pPr>
              <w:pStyle w:val="55"/>
              <w:keepLines/>
              <w:rPr>
                <w:rFonts w:cs="Times New Roman"/>
                <w:color w:val="auto"/>
              </w:rPr>
            </w:pPr>
          </w:p>
          <w:p>
            <w:pPr>
              <w:pStyle w:val="55"/>
              <w:keepLines/>
              <w:rPr>
                <w:rFonts w:cs="Times New Roman"/>
                <w:color w:val="auto"/>
              </w:rPr>
            </w:pPr>
          </w:p>
          <w:p>
            <w:pPr>
              <w:pStyle w:val="55"/>
              <w:keepLines/>
              <w:rPr>
                <w:rFonts w:cs="Times New Roman"/>
                <w:color w:val="auto"/>
              </w:rPr>
            </w:pPr>
          </w:p>
          <w:p>
            <w:pPr>
              <w:pStyle w:val="55"/>
              <w:keepLines/>
              <w:rPr>
                <w:rFonts w:cs="Times New Roman"/>
                <w:color w:val="auto"/>
              </w:rPr>
            </w:pPr>
            <w:bookmarkStart w:id="28" w:name="_Toc14137"/>
            <w:r>
              <w:rPr>
                <w:rFonts w:cs="Times New Roman"/>
                <w:color w:val="auto"/>
              </w:rPr>
              <w:t>2.</w:t>
            </w:r>
            <w:r>
              <w:rPr>
                <w:rFonts w:hint="eastAsia" w:cs="Times New Roman"/>
                <w:color w:val="auto"/>
              </w:rPr>
              <w:t>2</w:t>
            </w:r>
            <w:r>
              <w:rPr>
                <w:rFonts w:cs="Times New Roman"/>
                <w:color w:val="auto"/>
              </w:rPr>
              <w:t>主要工程内容</w:t>
            </w:r>
            <w:bookmarkEnd w:id="28"/>
          </w:p>
          <w:p>
            <w:pPr>
              <w:keepLines/>
              <w:widowControl w:val="0"/>
              <w:ind w:firstLine="480"/>
              <w:rPr>
                <w:rFonts w:cs="Times New Roman"/>
                <w:color w:val="auto"/>
              </w:rPr>
            </w:pPr>
            <w:r>
              <w:rPr>
                <w:rFonts w:hint="eastAsia" w:cs="Times New Roman"/>
                <w:color w:val="auto"/>
              </w:rPr>
              <w:t>本</w:t>
            </w:r>
            <w:r>
              <w:rPr>
                <w:rFonts w:cs="Times New Roman"/>
                <w:color w:val="auto"/>
              </w:rPr>
              <w:t>项目</w:t>
            </w:r>
            <w:r>
              <w:rPr>
                <w:rFonts w:hint="eastAsia" w:cs="Times New Roman"/>
                <w:color w:val="auto"/>
              </w:rPr>
              <w:t>位于</w:t>
            </w:r>
            <w:r>
              <w:rPr>
                <w:rFonts w:hint="eastAsia"/>
                <w:color w:val="auto"/>
                <w:lang w:eastAsia="zh-CN"/>
              </w:rPr>
              <w:t>福清融侨经济技术开发区洪宽工业村</w:t>
            </w:r>
            <w:r>
              <w:rPr>
                <w:rFonts w:hint="eastAsia" w:cs="Times New Roman"/>
                <w:color w:val="auto"/>
              </w:rPr>
              <w:t>（福清市阳下街道屿边村160号），厂区占地总面积62195.8平方米，本次改造原有1#厂房</w:t>
            </w:r>
            <w:r>
              <w:rPr>
                <w:rFonts w:hint="eastAsia" w:cs="Times New Roman"/>
                <w:color w:val="auto"/>
                <w:lang w:eastAsia="zh-CN"/>
              </w:rPr>
              <w:t>（</w:t>
            </w:r>
            <w:r>
              <w:rPr>
                <w:rFonts w:hint="eastAsia" w:cs="Times New Roman"/>
                <w:color w:val="auto"/>
                <w:lang w:val="en-US" w:eastAsia="zh-CN"/>
              </w:rPr>
              <w:t>对厂房内部空间布局进行改造）</w:t>
            </w:r>
            <w:r>
              <w:rPr>
                <w:rFonts w:hint="eastAsia" w:cs="Times New Roman"/>
                <w:color w:val="auto"/>
              </w:rPr>
              <w:t>、新建3#、4#、5#标准化厂房及公用辅助工程的占地面积为30993.83平方米，房屋建筑面积为58054.13平方米，其他原有建筑保持不变。本项目</w:t>
            </w:r>
            <w:r>
              <w:rPr>
                <w:rFonts w:cs="Times New Roman"/>
                <w:color w:val="auto"/>
              </w:rPr>
              <w:t>工程组成</w:t>
            </w:r>
            <w:r>
              <w:rPr>
                <w:rFonts w:hint="eastAsia" w:cs="Times New Roman"/>
                <w:color w:val="auto"/>
              </w:rPr>
              <w:t>一览表</w:t>
            </w:r>
            <w:r>
              <w:rPr>
                <w:rFonts w:cs="Times New Roman"/>
                <w:color w:val="auto"/>
              </w:rPr>
              <w:t>见表2.</w:t>
            </w:r>
            <w:r>
              <w:rPr>
                <w:rFonts w:hint="eastAsia" w:cs="Times New Roman"/>
                <w:color w:val="auto"/>
              </w:rPr>
              <w:t>2</w:t>
            </w:r>
            <w:r>
              <w:rPr>
                <w:rFonts w:cs="Times New Roman"/>
                <w:color w:val="auto"/>
              </w:rPr>
              <w:t>-1。</w:t>
            </w:r>
          </w:p>
          <w:p>
            <w:pPr>
              <w:pStyle w:val="37"/>
              <w:keepLines/>
              <w:rPr>
                <w:rFonts w:cs="Times New Roman"/>
                <w:color w:val="auto"/>
              </w:rPr>
            </w:pPr>
            <w:r>
              <w:rPr>
                <w:rFonts w:cs="Times New Roman"/>
                <w:color w:val="auto"/>
              </w:rPr>
              <w:t>表2.</w:t>
            </w:r>
            <w:r>
              <w:rPr>
                <w:rFonts w:hint="eastAsia" w:cs="Times New Roman"/>
                <w:color w:val="auto"/>
                <w:lang w:val="en-US"/>
              </w:rPr>
              <w:t>2</w:t>
            </w:r>
            <w:r>
              <w:rPr>
                <w:rFonts w:cs="Times New Roman"/>
                <w:color w:val="auto"/>
              </w:rPr>
              <w:t>-1</w:t>
            </w:r>
            <w:r>
              <w:rPr>
                <w:rFonts w:hint="eastAsia" w:cs="Times New Roman"/>
                <w:color w:val="auto"/>
                <w:lang w:val="en-US"/>
              </w:rPr>
              <w:t xml:space="preserve">  本</w:t>
            </w:r>
            <w:r>
              <w:rPr>
                <w:rFonts w:cs="Times New Roman"/>
                <w:color w:val="auto"/>
              </w:rPr>
              <w:t>项目工程组成一览表</w:t>
            </w:r>
          </w:p>
          <w:tbl>
            <w:tblPr>
              <w:tblStyle w:val="2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99"/>
              <w:gridCol w:w="905"/>
              <w:gridCol w:w="1093"/>
              <w:gridCol w:w="4466"/>
              <w:gridCol w:w="10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535" w:type="pct"/>
                  <w:tcBorders>
                    <w:tl2br w:val="nil"/>
                    <w:tr2bl w:val="nil"/>
                  </w:tcBorders>
                  <w:vAlign w:val="center"/>
                </w:tcPr>
                <w:p>
                  <w:pPr>
                    <w:pStyle w:val="36"/>
                    <w:keepLines/>
                    <w:rPr>
                      <w:rFonts w:cs="Times New Roman"/>
                      <w:color w:val="auto"/>
                    </w:rPr>
                  </w:pPr>
                  <w:r>
                    <w:rPr>
                      <w:rFonts w:hint="eastAsia" w:cs="Times New Roman"/>
                      <w:color w:val="auto"/>
                    </w:rPr>
                    <w:t>工程</w:t>
                  </w:r>
                </w:p>
                <w:p>
                  <w:pPr>
                    <w:pStyle w:val="36"/>
                    <w:keepLines/>
                    <w:rPr>
                      <w:rFonts w:cs="Times New Roman"/>
                      <w:color w:val="auto"/>
                    </w:rPr>
                  </w:pPr>
                  <w:r>
                    <w:rPr>
                      <w:rFonts w:hint="eastAsia" w:cs="Times New Roman"/>
                      <w:color w:val="auto"/>
                    </w:rPr>
                    <w:t>类别</w:t>
                  </w:r>
                </w:p>
              </w:tc>
              <w:tc>
                <w:tcPr>
                  <w:tcW w:w="539" w:type="pct"/>
                  <w:tcBorders>
                    <w:tl2br w:val="nil"/>
                    <w:tr2bl w:val="nil"/>
                  </w:tcBorders>
                  <w:vAlign w:val="center"/>
                </w:tcPr>
                <w:p>
                  <w:pPr>
                    <w:pStyle w:val="36"/>
                    <w:keepLines/>
                    <w:rPr>
                      <w:rFonts w:cs="Times New Roman"/>
                      <w:color w:val="auto"/>
                    </w:rPr>
                  </w:pPr>
                  <w:r>
                    <w:rPr>
                      <w:rFonts w:cs="Times New Roman"/>
                      <w:color w:val="auto"/>
                    </w:rPr>
                    <w:t>项目</w:t>
                  </w:r>
                </w:p>
                <w:p>
                  <w:pPr>
                    <w:pStyle w:val="36"/>
                    <w:keepLines/>
                    <w:rPr>
                      <w:rFonts w:cs="Times New Roman"/>
                      <w:color w:val="auto"/>
                    </w:rPr>
                  </w:pPr>
                  <w:r>
                    <w:rPr>
                      <w:rFonts w:cs="Times New Roman"/>
                      <w:color w:val="auto"/>
                    </w:rPr>
                    <w:t>组成</w:t>
                  </w:r>
                </w:p>
              </w:tc>
              <w:tc>
                <w:tcPr>
                  <w:tcW w:w="3312" w:type="pct"/>
                  <w:gridSpan w:val="2"/>
                  <w:tcBorders>
                    <w:tl2br w:val="nil"/>
                    <w:tr2bl w:val="nil"/>
                  </w:tcBorders>
                  <w:vAlign w:val="center"/>
                </w:tcPr>
                <w:p>
                  <w:pPr>
                    <w:pStyle w:val="36"/>
                    <w:keepLines/>
                    <w:rPr>
                      <w:rFonts w:cs="Times New Roman"/>
                      <w:color w:val="auto"/>
                    </w:rPr>
                  </w:pPr>
                  <w:r>
                    <w:rPr>
                      <w:rFonts w:cs="Times New Roman"/>
                      <w:color w:val="auto"/>
                    </w:rPr>
                    <w:t>建设内容</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restart"/>
                  <w:tcBorders>
                    <w:tl2br w:val="nil"/>
                    <w:tr2bl w:val="nil"/>
                  </w:tcBorders>
                  <w:vAlign w:val="center"/>
                </w:tcPr>
                <w:p>
                  <w:pPr>
                    <w:pStyle w:val="36"/>
                    <w:keepLines/>
                    <w:rPr>
                      <w:rFonts w:cs="Times New Roman"/>
                      <w:color w:val="auto"/>
                    </w:rPr>
                  </w:pPr>
                  <w:r>
                    <w:rPr>
                      <w:rFonts w:hint="eastAsia" w:cs="Times New Roman"/>
                      <w:color w:val="auto"/>
                    </w:rPr>
                    <w:t>主体</w:t>
                  </w:r>
                </w:p>
                <w:p>
                  <w:pPr>
                    <w:pStyle w:val="36"/>
                    <w:keepLines/>
                    <w:rPr>
                      <w:rFonts w:cs="Times New Roman"/>
                      <w:color w:val="auto"/>
                    </w:rPr>
                  </w:pPr>
                  <w:r>
                    <w:rPr>
                      <w:rFonts w:cs="Times New Roman"/>
                      <w:color w:val="auto"/>
                    </w:rPr>
                    <w:t>工程</w:t>
                  </w:r>
                </w:p>
              </w:tc>
              <w:tc>
                <w:tcPr>
                  <w:tcW w:w="539" w:type="pct"/>
                  <w:tcBorders>
                    <w:tl2br w:val="nil"/>
                    <w:tr2bl w:val="nil"/>
                  </w:tcBorders>
                  <w:vAlign w:val="center"/>
                </w:tcPr>
                <w:p>
                  <w:pPr>
                    <w:pStyle w:val="36"/>
                    <w:keepLines/>
                    <w:rPr>
                      <w:rFonts w:cs="Times New Roman"/>
                      <w:color w:val="auto"/>
                    </w:rPr>
                  </w:pPr>
                  <w:r>
                    <w:rPr>
                      <w:rFonts w:hint="eastAsia" w:cs="Times New Roman"/>
                      <w:color w:val="auto"/>
                    </w:rPr>
                    <w:t>1#厂房</w:t>
                  </w:r>
                </w:p>
              </w:tc>
              <w:tc>
                <w:tcPr>
                  <w:tcW w:w="3312" w:type="pct"/>
                  <w:gridSpan w:val="2"/>
                  <w:tcBorders>
                    <w:tl2br w:val="nil"/>
                    <w:tr2bl w:val="nil"/>
                  </w:tcBorders>
                  <w:vAlign w:val="center"/>
                </w:tcPr>
                <w:p>
                  <w:pPr>
                    <w:pStyle w:val="36"/>
                    <w:keepLines/>
                    <w:jc w:val="left"/>
                    <w:rPr>
                      <w:rFonts w:hint="eastAsia" w:eastAsia="宋体" w:cs="Times New Roman"/>
                      <w:color w:val="auto"/>
                      <w:lang w:eastAsia="zh-CN"/>
                    </w:rPr>
                  </w:pPr>
                  <w:r>
                    <w:rPr>
                      <w:rFonts w:hint="eastAsia" w:cs="Times New Roman"/>
                      <w:color w:val="auto"/>
                      <w:lang w:val="en-US" w:eastAsia="zh-CN"/>
                    </w:rPr>
                    <w:t>3</w:t>
                  </w:r>
                  <w:r>
                    <w:rPr>
                      <w:rFonts w:hint="eastAsia" w:cs="Times New Roman"/>
                      <w:color w:val="auto"/>
                    </w:rPr>
                    <w:t>F，占地面积8380.54m</w:t>
                  </w:r>
                  <w:r>
                    <w:rPr>
                      <w:rFonts w:hint="eastAsia" w:cs="Times New Roman"/>
                      <w:color w:val="auto"/>
                      <w:vertAlign w:val="superscript"/>
                    </w:rPr>
                    <w:t>2</w:t>
                  </w:r>
                  <w:r>
                    <w:rPr>
                      <w:rFonts w:hint="eastAsia" w:cs="Times New Roman"/>
                      <w:color w:val="auto"/>
                    </w:rPr>
                    <w:t>，</w:t>
                  </w:r>
                  <w:r>
                    <w:rPr>
                      <w:rFonts w:hint="eastAsia" w:cs="Times New Roman"/>
                      <w:color w:val="auto"/>
                      <w:lang w:val="en-US" w:eastAsia="zh-CN"/>
                    </w:rPr>
                    <w:t>1F设置</w:t>
                  </w:r>
                  <w:r>
                    <w:rPr>
                      <w:rFonts w:hint="eastAsia" w:cs="Times New Roman"/>
                      <w:color w:val="auto"/>
                    </w:rPr>
                    <w:t>铜丝生产区，包括原材料区、成品区、半成品区、品检室</w:t>
                  </w:r>
                  <w:r>
                    <w:rPr>
                      <w:rFonts w:hint="eastAsia" w:cs="Times New Roman"/>
                      <w:color w:val="auto"/>
                      <w:lang w:val="en-US" w:eastAsia="zh-CN"/>
                    </w:rPr>
                    <w:t>、</w:t>
                  </w:r>
                  <w:r>
                    <w:rPr>
                      <w:rFonts w:hint="eastAsia" w:cs="Times New Roman"/>
                      <w:color w:val="auto"/>
                    </w:rPr>
                    <w:t>物料模具仓库、拉丝液循环池、生产设备区。主要生产设备为铜线大、中、小拉机、管式退火炉等设备</w:t>
                  </w:r>
                  <w:r>
                    <w:rPr>
                      <w:rFonts w:hint="eastAsia" w:cs="Times New Roman"/>
                      <w:color w:val="auto"/>
                      <w:lang w:eastAsia="zh-CN"/>
                    </w:rPr>
                    <w:t>、</w:t>
                  </w:r>
                  <w:r>
                    <w:rPr>
                      <w:rFonts w:hint="eastAsia" w:cs="Times New Roman"/>
                      <w:color w:val="auto"/>
                      <w:lang w:val="en-US" w:eastAsia="zh-CN"/>
                    </w:rPr>
                    <w:t>2F和3F</w:t>
                  </w:r>
                  <w:r>
                    <w:rPr>
                      <w:rFonts w:hint="eastAsia" w:cs="Times New Roman"/>
                      <w:color w:val="auto"/>
                    </w:rPr>
                    <w:t>闲置</w:t>
                  </w:r>
                  <w:r>
                    <w:rPr>
                      <w:rFonts w:hint="eastAsia" w:cs="Times New Roman"/>
                      <w:color w:val="auto"/>
                      <w:lang w:eastAsia="zh-CN"/>
                    </w:rPr>
                    <w:t>。</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改造原有1#厂房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hint="eastAsia" w:cs="Times New Roman"/>
                      <w:color w:val="auto"/>
                    </w:rPr>
                    <w:t>2#厂房</w:t>
                  </w: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rPr>
                    <w:t>3F，占地面积1673.20m</w:t>
                  </w:r>
                  <w:r>
                    <w:rPr>
                      <w:rFonts w:hint="eastAsia" w:cs="Times New Roman"/>
                      <w:color w:val="auto"/>
                      <w:vertAlign w:val="superscript"/>
                    </w:rPr>
                    <w:t>2</w:t>
                  </w:r>
                  <w:r>
                    <w:rPr>
                      <w:rFonts w:hint="eastAsia" w:cs="Times New Roman"/>
                      <w:color w:val="auto"/>
                    </w:rPr>
                    <w:t>，闲置</w:t>
                  </w:r>
                </w:p>
              </w:tc>
              <w:tc>
                <w:tcPr>
                  <w:tcW w:w="613" w:type="pct"/>
                  <w:tcBorders>
                    <w:tl2br w:val="nil"/>
                    <w:tr2bl w:val="nil"/>
                  </w:tcBorders>
                  <w:vAlign w:val="center"/>
                </w:tcPr>
                <w:p>
                  <w:pPr>
                    <w:pStyle w:val="36"/>
                    <w:keepLines/>
                    <w:adjustRightInd w:val="0"/>
                    <w:snapToGrid w:val="0"/>
                    <w:ind w:left="-48" w:leftChars="-20" w:right="-48" w:rightChars="-20"/>
                    <w:rPr>
                      <w:rStyle w:val="34"/>
                      <w:color w:val="auto"/>
                    </w:rPr>
                  </w:pPr>
                  <w:r>
                    <w:rPr>
                      <w:rStyle w:val="34"/>
                      <w:rFonts w:hint="eastAsia"/>
                      <w:color w:val="auto"/>
                    </w:rPr>
                    <w:t>原有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hint="eastAsia" w:cs="Times New Roman"/>
                      <w:color w:val="auto"/>
                    </w:rPr>
                    <w:t>3#厂房</w:t>
                  </w: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rPr>
                    <w:t>1F，占地面积10081.28m</w:t>
                  </w:r>
                  <w:r>
                    <w:rPr>
                      <w:rFonts w:hint="eastAsia" w:cs="Times New Roman"/>
                      <w:color w:val="auto"/>
                      <w:vertAlign w:val="superscript"/>
                    </w:rPr>
                    <w:t>2</w:t>
                  </w:r>
                  <w:r>
                    <w:rPr>
                      <w:rFonts w:hint="eastAsia" w:cs="Times New Roman"/>
                      <w:color w:val="auto"/>
                    </w:rPr>
                    <w:t>，铜排、铜棒生产区，包括原材料区、成品区、半成品区、品检室、物料模具仓库、一般固废间、危废贮存库、生产设备区。主要生产设备为液压</w:t>
                  </w:r>
                  <w:r>
                    <w:rPr>
                      <w:rFonts w:hint="eastAsia"/>
                      <w:color w:val="auto"/>
                    </w:rPr>
                    <w:t>拉拔矫直一体机、轧头机、连续挤压机、卷拉机等设备。</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hint="eastAsia" w:cs="Times New Roman"/>
                      <w:color w:val="auto"/>
                    </w:rPr>
                    <w:t>4#厂房</w:t>
                  </w: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rPr>
                    <w:t>1F，占地面积7434.25m</w:t>
                  </w:r>
                  <w:r>
                    <w:rPr>
                      <w:rFonts w:hint="eastAsia" w:cs="Times New Roman"/>
                      <w:color w:val="auto"/>
                      <w:vertAlign w:val="superscript"/>
                    </w:rPr>
                    <w:t>2</w:t>
                  </w:r>
                  <w:r>
                    <w:rPr>
                      <w:rFonts w:hint="eastAsia" w:cs="Times New Roman"/>
                      <w:color w:val="auto"/>
                    </w:rPr>
                    <w:t>，铜丝生产区，包括原材料区、成品区、半成品区、品检室、物料模具仓库、一般固废间、危废贮存库、拉丝液循环池、生产设备区。主要生产设备为铜线大、中、小拉机、管式退火炉、</w:t>
                  </w:r>
                  <w:r>
                    <w:rPr>
                      <w:rFonts w:cs="Times New Roman"/>
                      <w:color w:val="auto"/>
                    </w:rPr>
                    <w:t>绞线机</w:t>
                  </w:r>
                  <w:r>
                    <w:rPr>
                      <w:rFonts w:hint="eastAsia" w:cs="Times New Roman"/>
                      <w:color w:val="auto"/>
                    </w:rPr>
                    <w:t>等设备</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hint="eastAsia" w:cs="Times New Roman"/>
                      <w:color w:val="auto"/>
                    </w:rPr>
                    <w:t>5#厂房</w:t>
                  </w:r>
                </w:p>
              </w:tc>
              <w:tc>
                <w:tcPr>
                  <w:tcW w:w="3312" w:type="pct"/>
                  <w:gridSpan w:val="2"/>
                  <w:tcBorders>
                    <w:tl2br w:val="nil"/>
                    <w:tr2bl w:val="nil"/>
                  </w:tcBorders>
                  <w:vAlign w:val="center"/>
                </w:tcPr>
                <w:p>
                  <w:pPr>
                    <w:pStyle w:val="36"/>
                    <w:keepLines/>
                    <w:jc w:val="left"/>
                    <w:rPr>
                      <w:rFonts w:hint="eastAsia" w:eastAsia="宋体" w:cs="Times New Roman"/>
                      <w:color w:val="auto"/>
                      <w:lang w:eastAsia="zh-CN"/>
                    </w:rPr>
                  </w:pPr>
                  <w:r>
                    <w:rPr>
                      <w:rFonts w:hint="eastAsia" w:cs="Times New Roman"/>
                      <w:color w:val="auto"/>
                    </w:rPr>
                    <w:t>4F，占地面积2829.94m</w:t>
                  </w:r>
                  <w:r>
                    <w:rPr>
                      <w:rFonts w:hint="eastAsia" w:cs="Times New Roman"/>
                      <w:color w:val="auto"/>
                      <w:vertAlign w:val="superscript"/>
                    </w:rPr>
                    <w:t>2</w:t>
                  </w:r>
                  <w:r>
                    <w:rPr>
                      <w:rFonts w:hint="eastAsia" w:cs="Times New Roman"/>
                      <w:color w:val="auto"/>
                    </w:rPr>
                    <w:t>，1F展厅</w:t>
                  </w:r>
                  <w:r>
                    <w:rPr>
                      <w:rFonts w:hint="eastAsia" w:cs="Times New Roman"/>
                      <w:color w:val="auto"/>
                      <w:lang w:eastAsia="zh-CN"/>
                    </w:rPr>
                    <w:t>、</w:t>
                  </w:r>
                  <w:r>
                    <w:rPr>
                      <w:rFonts w:hint="eastAsia" w:cs="Times New Roman"/>
                      <w:color w:val="auto"/>
                    </w:rPr>
                    <w:t>2F智能控制中心</w:t>
                  </w:r>
                  <w:r>
                    <w:rPr>
                      <w:rFonts w:hint="eastAsia" w:cs="Times New Roman"/>
                      <w:color w:val="auto"/>
                      <w:lang w:eastAsia="zh-CN"/>
                    </w:rPr>
                    <w:t>、</w:t>
                  </w:r>
                </w:p>
                <w:p>
                  <w:pPr>
                    <w:pStyle w:val="36"/>
                    <w:keepLines/>
                    <w:jc w:val="left"/>
                    <w:rPr>
                      <w:rFonts w:hint="eastAsia" w:eastAsia="宋体" w:cs="Times New Roman"/>
                      <w:color w:val="auto"/>
                      <w:lang w:eastAsia="zh-CN"/>
                    </w:rPr>
                  </w:pPr>
                  <w:r>
                    <w:rPr>
                      <w:rFonts w:hint="eastAsia" w:cs="Times New Roman"/>
                      <w:color w:val="auto"/>
                    </w:rPr>
                    <w:t>3F</w:t>
                  </w:r>
                  <w:r>
                    <w:rPr>
                      <w:rFonts w:hint="eastAsia" w:cs="Times New Roman"/>
                      <w:color w:val="auto"/>
                      <w:lang w:val="en-US" w:eastAsia="zh-CN"/>
                    </w:rPr>
                    <w:t>和</w:t>
                  </w:r>
                  <w:r>
                    <w:rPr>
                      <w:rFonts w:hint="eastAsia" w:cs="Times New Roman"/>
                      <w:color w:val="auto"/>
                    </w:rPr>
                    <w:t>4F闲置</w:t>
                  </w:r>
                  <w:r>
                    <w:rPr>
                      <w:rFonts w:hint="eastAsia" w:cs="Times New Roman"/>
                      <w:color w:val="auto"/>
                      <w:lang w:eastAsia="zh-CN"/>
                    </w:rPr>
                    <w:t>。</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restart"/>
                  <w:tcBorders>
                    <w:tl2br w:val="nil"/>
                    <w:tr2bl w:val="nil"/>
                  </w:tcBorders>
                  <w:vAlign w:val="center"/>
                </w:tcPr>
                <w:p>
                  <w:pPr>
                    <w:pStyle w:val="36"/>
                    <w:keepLines/>
                    <w:rPr>
                      <w:rFonts w:cs="Times New Roman"/>
                      <w:color w:val="auto"/>
                    </w:rPr>
                  </w:pPr>
                  <w:r>
                    <w:rPr>
                      <w:rFonts w:hint="eastAsia" w:cs="Times New Roman"/>
                      <w:color w:val="auto"/>
                    </w:rPr>
                    <w:t>储运</w:t>
                  </w:r>
                </w:p>
                <w:p>
                  <w:pPr>
                    <w:pStyle w:val="36"/>
                    <w:keepLines/>
                    <w:rPr>
                      <w:rFonts w:cs="Times New Roman"/>
                      <w:color w:val="auto"/>
                    </w:rPr>
                  </w:pPr>
                  <w:r>
                    <w:rPr>
                      <w:rFonts w:hint="eastAsia" w:cs="Times New Roman"/>
                      <w:color w:val="auto"/>
                    </w:rPr>
                    <w:t>工程</w:t>
                  </w:r>
                </w:p>
              </w:tc>
              <w:tc>
                <w:tcPr>
                  <w:tcW w:w="539" w:type="pct"/>
                  <w:tcBorders>
                    <w:tl2br w:val="nil"/>
                    <w:tr2bl w:val="nil"/>
                  </w:tcBorders>
                  <w:vAlign w:val="center"/>
                </w:tcPr>
                <w:p>
                  <w:pPr>
                    <w:pStyle w:val="36"/>
                    <w:keepLines/>
                    <w:rPr>
                      <w:rFonts w:cs="Times New Roman"/>
                      <w:color w:val="auto"/>
                    </w:rPr>
                  </w:pPr>
                  <w:r>
                    <w:rPr>
                      <w:rFonts w:hint="eastAsia" w:cs="Times New Roman"/>
                      <w:color w:val="auto"/>
                    </w:rPr>
                    <w:t>原料区</w:t>
                  </w: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rPr>
                    <w:t>1#、3#、4#厂房分别设置原料区</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hint="eastAsia" w:cs="Times New Roman"/>
                      <w:color w:val="auto"/>
                    </w:rPr>
                    <w:t>辅料</w:t>
                  </w:r>
                </w:p>
                <w:p>
                  <w:pPr>
                    <w:pStyle w:val="36"/>
                    <w:keepLines/>
                    <w:rPr>
                      <w:rFonts w:cs="Times New Roman"/>
                      <w:color w:val="auto"/>
                    </w:rPr>
                  </w:pPr>
                  <w:r>
                    <w:rPr>
                      <w:rFonts w:hint="eastAsia" w:cs="Times New Roman"/>
                      <w:color w:val="auto"/>
                    </w:rPr>
                    <w:t>仓库</w:t>
                  </w: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rPr>
                    <w:t>1#厂房内，占地面积25m</w:t>
                  </w:r>
                  <w:r>
                    <w:rPr>
                      <w:rFonts w:hint="eastAsia" w:cs="Times New Roman"/>
                      <w:color w:val="auto"/>
                      <w:vertAlign w:val="superscript"/>
                    </w:rPr>
                    <w:t>2</w:t>
                  </w:r>
                  <w:r>
                    <w:rPr>
                      <w:rFonts w:hint="eastAsia" w:cs="Times New Roman"/>
                      <w:color w:val="auto"/>
                    </w:rPr>
                    <w:t>，用于存放拉丝油、液压油、润滑油等辅料存放区。</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hint="eastAsia" w:cs="Times New Roman"/>
                      <w:color w:val="auto"/>
                    </w:rPr>
                    <w:t>半成</w:t>
                  </w:r>
                </w:p>
                <w:p>
                  <w:pPr>
                    <w:pStyle w:val="36"/>
                    <w:keepLines/>
                    <w:rPr>
                      <w:rFonts w:cs="Times New Roman"/>
                      <w:color w:val="auto"/>
                    </w:rPr>
                  </w:pPr>
                  <w:r>
                    <w:rPr>
                      <w:rFonts w:hint="eastAsia" w:cs="Times New Roman"/>
                      <w:color w:val="auto"/>
                    </w:rPr>
                    <w:t>品区</w:t>
                  </w: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rPr>
                    <w:t>1#、3#、4#厂房分别设置半成品区</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hint="eastAsia" w:cs="Times New Roman"/>
                      <w:color w:val="auto"/>
                    </w:rPr>
                    <w:t>成品区</w:t>
                  </w: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rPr>
                    <w:t>1#、3#、4#厂房分别设置成品区</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restart"/>
                  <w:tcBorders>
                    <w:tl2br w:val="nil"/>
                    <w:tr2bl w:val="nil"/>
                  </w:tcBorders>
                  <w:vAlign w:val="center"/>
                </w:tcPr>
                <w:p>
                  <w:pPr>
                    <w:pStyle w:val="36"/>
                    <w:keepLines/>
                    <w:rPr>
                      <w:rFonts w:cs="Times New Roman"/>
                      <w:color w:val="auto"/>
                    </w:rPr>
                  </w:pPr>
                </w:p>
                <w:p>
                  <w:pPr>
                    <w:pStyle w:val="36"/>
                    <w:keepLines/>
                    <w:rPr>
                      <w:rFonts w:cs="Times New Roman"/>
                      <w:color w:val="auto"/>
                    </w:rPr>
                  </w:pPr>
                  <w:r>
                    <w:rPr>
                      <w:rFonts w:hint="eastAsia" w:cs="Times New Roman"/>
                      <w:color w:val="auto"/>
                    </w:rPr>
                    <w:t>公用</w:t>
                  </w:r>
                </w:p>
                <w:p>
                  <w:pPr>
                    <w:pStyle w:val="36"/>
                    <w:keepLines/>
                    <w:rPr>
                      <w:rFonts w:cs="Times New Roman"/>
                      <w:color w:val="auto"/>
                    </w:rPr>
                  </w:pPr>
                  <w:r>
                    <w:rPr>
                      <w:rFonts w:cs="Times New Roman"/>
                      <w:color w:val="auto"/>
                    </w:rPr>
                    <w:t>工程</w:t>
                  </w:r>
                </w:p>
              </w:tc>
              <w:tc>
                <w:tcPr>
                  <w:tcW w:w="539" w:type="pct"/>
                  <w:tcBorders>
                    <w:tl2br w:val="nil"/>
                    <w:tr2bl w:val="nil"/>
                  </w:tcBorders>
                  <w:vAlign w:val="center"/>
                </w:tcPr>
                <w:p>
                  <w:pPr>
                    <w:pStyle w:val="36"/>
                    <w:keepLines/>
                    <w:rPr>
                      <w:rFonts w:cs="Times New Roman"/>
                      <w:color w:val="auto"/>
                    </w:rPr>
                  </w:pPr>
                  <w:r>
                    <w:rPr>
                      <w:rFonts w:hint="eastAsia" w:cs="Times New Roman"/>
                      <w:color w:val="auto"/>
                    </w:rPr>
                    <w:t>品检室</w:t>
                  </w: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rPr>
                    <w:t>1#、3#、4#厂房分别设置品检室</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vMerge w:val="restart"/>
                  <w:tcBorders>
                    <w:tl2br w:val="nil"/>
                    <w:tr2bl w:val="nil"/>
                  </w:tcBorders>
                  <w:vAlign w:val="center"/>
                </w:tcPr>
                <w:p>
                  <w:pPr>
                    <w:pStyle w:val="36"/>
                    <w:keepLines/>
                    <w:rPr>
                      <w:rFonts w:cs="Times New Roman"/>
                      <w:color w:val="auto"/>
                    </w:rPr>
                  </w:pPr>
                  <w:r>
                    <w:rPr>
                      <w:rFonts w:hint="eastAsia" w:cs="Times New Roman"/>
                      <w:color w:val="auto"/>
                    </w:rPr>
                    <w:t>拉丝液循环池</w:t>
                  </w:r>
                </w:p>
              </w:tc>
              <w:tc>
                <w:tcPr>
                  <w:tcW w:w="3312" w:type="pct"/>
                  <w:gridSpan w:val="2"/>
                  <w:tcBorders>
                    <w:tl2br w:val="nil"/>
                    <w:tr2bl w:val="nil"/>
                  </w:tcBorders>
                  <w:vAlign w:val="center"/>
                </w:tcPr>
                <w:p>
                  <w:pPr>
                    <w:pStyle w:val="36"/>
                    <w:keepLines/>
                    <w:jc w:val="left"/>
                    <w:rPr>
                      <w:rFonts w:cs="Times New Roman"/>
                      <w:color w:val="auto"/>
                    </w:rPr>
                  </w:pPr>
                  <w:r>
                    <w:rPr>
                      <w:rFonts w:cs="Times New Roman"/>
                      <w:color w:val="auto"/>
                    </w:rPr>
                    <w:t>1#拉丝液循环池位于1#厂房北侧，占地面积15m</w:t>
                  </w:r>
                  <w:r>
                    <w:rPr>
                      <w:rFonts w:cs="Times New Roman"/>
                      <w:color w:val="auto"/>
                      <w:vertAlign w:val="superscript"/>
                    </w:rPr>
                    <w:t>2</w:t>
                  </w:r>
                  <w:r>
                    <w:rPr>
                      <w:rFonts w:cs="Times New Roman"/>
                      <w:color w:val="auto"/>
                    </w:rPr>
                    <w:t>，设置2个</w:t>
                  </w:r>
                  <w:r>
                    <w:rPr>
                      <w:rFonts w:hint="eastAsia" w:cs="Times New Roman"/>
                      <w:color w:val="auto"/>
                      <w:lang w:eastAsia="zh-CN"/>
                    </w:rPr>
                    <w:t>拉丝液循环池</w:t>
                  </w:r>
                  <w:r>
                    <w:rPr>
                      <w:rFonts w:cs="Times New Roman"/>
                      <w:color w:val="auto"/>
                    </w:rPr>
                    <w:t>，分别为9.1m</w:t>
                  </w:r>
                  <w:r>
                    <w:rPr>
                      <w:rFonts w:cs="Times New Roman"/>
                      <w:color w:val="auto"/>
                      <w:vertAlign w:val="superscript"/>
                    </w:rPr>
                    <w:t>3</w:t>
                  </w:r>
                  <w:r>
                    <w:rPr>
                      <w:rFonts w:cs="Times New Roman"/>
                      <w:color w:val="auto"/>
                    </w:rPr>
                    <w:t>、13.8m</w:t>
                  </w:r>
                  <w:r>
                    <w:rPr>
                      <w:rFonts w:cs="Times New Roman"/>
                      <w:color w:val="auto"/>
                      <w:vertAlign w:val="superscript"/>
                    </w:rPr>
                    <w:t>3</w:t>
                  </w:r>
                  <w:r>
                    <w:rPr>
                      <w:rFonts w:cs="Times New Roman"/>
                      <w:color w:val="auto"/>
                    </w:rPr>
                    <w:t>。</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vMerge w:val="continue"/>
                  <w:tcBorders>
                    <w:tl2br w:val="nil"/>
                    <w:tr2bl w:val="nil"/>
                  </w:tcBorders>
                  <w:vAlign w:val="center"/>
                </w:tcPr>
                <w:p>
                  <w:pPr>
                    <w:pStyle w:val="36"/>
                    <w:keepLines/>
                    <w:rPr>
                      <w:rFonts w:cs="Times New Roman"/>
                      <w:color w:val="auto"/>
                    </w:rPr>
                  </w:pP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rPr>
                    <w:t>2#拉丝液循环池位于4#厂房北侧，</w:t>
                  </w:r>
                  <w:r>
                    <w:rPr>
                      <w:rFonts w:cs="Times New Roman"/>
                      <w:color w:val="auto"/>
                    </w:rPr>
                    <w:t>占地面积15m</w:t>
                  </w:r>
                  <w:r>
                    <w:rPr>
                      <w:rFonts w:cs="Times New Roman"/>
                      <w:color w:val="auto"/>
                      <w:vertAlign w:val="superscript"/>
                    </w:rPr>
                    <w:t>2</w:t>
                  </w:r>
                  <w:r>
                    <w:rPr>
                      <w:rFonts w:cs="Times New Roman"/>
                      <w:color w:val="auto"/>
                    </w:rPr>
                    <w:t>，设置2个</w:t>
                  </w:r>
                  <w:r>
                    <w:rPr>
                      <w:rFonts w:hint="eastAsia" w:cs="Times New Roman"/>
                      <w:color w:val="auto"/>
                      <w:lang w:eastAsia="zh-CN"/>
                    </w:rPr>
                    <w:t>拉丝液循环池</w:t>
                  </w:r>
                  <w:r>
                    <w:rPr>
                      <w:rFonts w:cs="Times New Roman"/>
                      <w:color w:val="auto"/>
                    </w:rPr>
                    <w:t>，分别为9.1m</w:t>
                  </w:r>
                  <w:r>
                    <w:rPr>
                      <w:rFonts w:cs="Times New Roman"/>
                      <w:color w:val="auto"/>
                      <w:vertAlign w:val="superscript"/>
                    </w:rPr>
                    <w:t>3</w:t>
                  </w:r>
                  <w:r>
                    <w:rPr>
                      <w:rFonts w:cs="Times New Roman"/>
                      <w:color w:val="auto"/>
                    </w:rPr>
                    <w:t>、13.8m</w:t>
                  </w:r>
                  <w:r>
                    <w:rPr>
                      <w:rFonts w:cs="Times New Roman"/>
                      <w:color w:val="auto"/>
                      <w:vertAlign w:val="superscript"/>
                    </w:rPr>
                    <w:t>3</w:t>
                  </w:r>
                  <w:r>
                    <w:rPr>
                      <w:rFonts w:cs="Times New Roman"/>
                      <w:color w:val="auto"/>
                    </w:rPr>
                    <w:t>。</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hint="eastAsia" w:cs="Times New Roman"/>
                      <w:color w:val="auto"/>
                    </w:rPr>
                    <w:t>冷却塔</w:t>
                  </w:r>
                </w:p>
              </w:tc>
              <w:tc>
                <w:tcPr>
                  <w:tcW w:w="3312" w:type="pct"/>
                  <w:gridSpan w:val="2"/>
                  <w:tcBorders>
                    <w:tl2br w:val="nil"/>
                    <w:tr2bl w:val="nil"/>
                  </w:tcBorders>
                  <w:shd w:val="clear" w:color="auto" w:fill="auto"/>
                  <w:vAlign w:val="center"/>
                </w:tcPr>
                <w:p>
                  <w:pPr>
                    <w:pStyle w:val="36"/>
                    <w:keepLines/>
                    <w:ind w:firstLine="0" w:firstLineChars="0"/>
                    <w:jc w:val="left"/>
                    <w:rPr>
                      <w:rFonts w:hint="default" w:ascii="Times New Roman" w:hAnsi="Times New Roman" w:eastAsia="宋体" w:cs="Times New Roman"/>
                      <w:color w:val="auto"/>
                      <w:sz w:val="21"/>
                      <w:szCs w:val="21"/>
                      <w:lang w:val="en-US" w:eastAsia="zh-CN" w:bidi="ar-SA"/>
                    </w:rPr>
                  </w:pPr>
                  <w:r>
                    <w:rPr>
                      <w:rFonts w:hint="eastAsia" w:cs="Times New Roman"/>
                      <w:color w:val="auto"/>
                    </w:rPr>
                    <w:t>全厂设置6个15m</w:t>
                  </w:r>
                  <w:r>
                    <w:rPr>
                      <w:rFonts w:hint="eastAsia" w:cs="Times New Roman"/>
                      <w:color w:val="auto"/>
                      <w:vertAlign w:val="superscript"/>
                    </w:rPr>
                    <w:t>3</w:t>
                  </w:r>
                  <w:r>
                    <w:rPr>
                      <w:rFonts w:hint="eastAsia" w:cs="Times New Roman"/>
                      <w:color w:val="auto"/>
                    </w:rPr>
                    <w:t>/h的循环冷却塔</w:t>
                  </w:r>
                  <w:r>
                    <w:rPr>
                      <w:rFonts w:hint="eastAsia" w:cs="Times New Roman"/>
                      <w:color w:val="auto"/>
                      <w:lang w:eastAsia="zh-CN"/>
                    </w:rPr>
                    <w:t>，</w:t>
                  </w:r>
                  <w:r>
                    <w:rPr>
                      <w:rFonts w:hint="eastAsia" w:cs="Times New Roman"/>
                      <w:color w:val="auto"/>
                      <w:lang w:val="en-US" w:eastAsia="zh-CN"/>
                    </w:rPr>
                    <w:t>1#和2#冷却塔位于3#厂房东侧、3#和4#冷却塔位于1#厂房北侧、5#和6#冷却塔位于4#厂房北侧。</w:t>
                  </w:r>
                </w:p>
              </w:tc>
              <w:tc>
                <w:tcPr>
                  <w:tcW w:w="613" w:type="pct"/>
                  <w:tcBorders>
                    <w:tl2br w:val="nil"/>
                    <w:tr2bl w:val="nil"/>
                  </w:tcBorders>
                  <w:shd w:val="clear" w:color="auto" w:fill="auto"/>
                  <w:vAlign w:val="center"/>
                </w:tcPr>
                <w:p>
                  <w:pPr>
                    <w:pStyle w:val="36"/>
                    <w:keepLines/>
                    <w:adjustRightInd w:val="0"/>
                    <w:snapToGrid w:val="0"/>
                    <w:ind w:left="-48" w:leftChars="-20" w:right="-48" w:rightChars="-20" w:firstLine="0" w:firstLineChars="0"/>
                    <w:rPr>
                      <w:rFonts w:hint="eastAsia" w:ascii="Times New Roman" w:hAnsi="Times New Roman" w:eastAsia="宋体" w:cs="Times New Roman"/>
                      <w:color w:val="auto"/>
                      <w:sz w:val="21"/>
                      <w:szCs w:val="21"/>
                      <w:lang w:val="en-US" w:eastAsia="zh-CN" w:bidi="ar-SA"/>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restart"/>
                  <w:tcBorders>
                    <w:tl2br w:val="nil"/>
                    <w:tr2bl w:val="nil"/>
                  </w:tcBorders>
                  <w:vAlign w:val="center"/>
                </w:tcPr>
                <w:p>
                  <w:pPr>
                    <w:pStyle w:val="36"/>
                    <w:keepLines/>
                    <w:rPr>
                      <w:rFonts w:cs="Times New Roman"/>
                      <w:color w:val="auto"/>
                    </w:rPr>
                  </w:pPr>
                  <w:r>
                    <w:rPr>
                      <w:rFonts w:hint="eastAsia" w:cs="Times New Roman"/>
                      <w:color w:val="auto"/>
                    </w:rPr>
                    <w:t>辅助</w:t>
                  </w:r>
                </w:p>
                <w:p>
                  <w:pPr>
                    <w:pStyle w:val="36"/>
                    <w:keepLines/>
                    <w:rPr>
                      <w:rFonts w:cs="Times New Roman"/>
                      <w:color w:val="auto"/>
                    </w:rPr>
                  </w:pPr>
                  <w:r>
                    <w:rPr>
                      <w:rFonts w:cs="Times New Roman"/>
                      <w:color w:val="auto"/>
                    </w:rPr>
                    <w:t>工程</w:t>
                  </w:r>
                </w:p>
              </w:tc>
              <w:tc>
                <w:tcPr>
                  <w:tcW w:w="539" w:type="pct"/>
                  <w:vMerge w:val="restart"/>
                  <w:tcBorders>
                    <w:tl2br w:val="nil"/>
                    <w:tr2bl w:val="nil"/>
                  </w:tcBorders>
                  <w:vAlign w:val="center"/>
                </w:tcPr>
                <w:p>
                  <w:pPr>
                    <w:pStyle w:val="36"/>
                    <w:keepLines/>
                    <w:rPr>
                      <w:rFonts w:cs="Times New Roman"/>
                      <w:color w:val="auto"/>
                    </w:rPr>
                  </w:pPr>
                  <w:r>
                    <w:rPr>
                      <w:rFonts w:hint="eastAsia"/>
                      <w:color w:val="auto"/>
                    </w:rPr>
                    <w:t>宿舍楼</w:t>
                  </w: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rPr>
                    <w:t>5F，</w:t>
                  </w:r>
                  <w:r>
                    <w:rPr>
                      <w:rFonts w:hint="eastAsia"/>
                      <w:color w:val="auto"/>
                    </w:rPr>
                    <w:t>占地</w:t>
                  </w:r>
                  <w:r>
                    <w:rPr>
                      <w:rFonts w:hint="eastAsia" w:cs="Times New Roman"/>
                      <w:color w:val="auto"/>
                    </w:rPr>
                    <w:t>834.50m</w:t>
                  </w:r>
                  <w:r>
                    <w:rPr>
                      <w:rFonts w:hint="eastAsia" w:cs="Times New Roman"/>
                      <w:color w:val="auto"/>
                      <w:vertAlign w:val="superscript"/>
                    </w:rPr>
                    <w:t>2</w:t>
                  </w:r>
                  <w:r>
                    <w:rPr>
                      <w:rFonts w:hint="eastAsia" w:cs="Times New Roman"/>
                      <w:color w:val="auto"/>
                    </w:rPr>
                    <w:t>，</w:t>
                  </w:r>
                  <w:r>
                    <w:rPr>
                      <w:rFonts w:hint="eastAsia"/>
                      <w:color w:val="auto"/>
                    </w:rPr>
                    <w:t>1#宿舍楼</w:t>
                  </w:r>
                </w:p>
              </w:tc>
              <w:tc>
                <w:tcPr>
                  <w:tcW w:w="613" w:type="pct"/>
                  <w:tcBorders>
                    <w:tl2br w:val="nil"/>
                    <w:tr2bl w:val="nil"/>
                  </w:tcBorders>
                  <w:vAlign w:val="center"/>
                </w:tcPr>
                <w:p>
                  <w:pPr>
                    <w:pStyle w:val="36"/>
                    <w:keepLines/>
                    <w:adjustRightInd w:val="0"/>
                    <w:snapToGrid w:val="0"/>
                    <w:ind w:left="-48" w:leftChars="-20" w:right="-48" w:rightChars="-20"/>
                    <w:rPr>
                      <w:color w:val="auto"/>
                    </w:rPr>
                  </w:pPr>
                  <w:r>
                    <w:rPr>
                      <w:rFonts w:hint="eastAsia"/>
                      <w:color w:val="auto"/>
                    </w:rPr>
                    <w:t>原有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vMerge w:val="continue"/>
                  <w:tcBorders>
                    <w:tl2br w:val="nil"/>
                    <w:tr2bl w:val="nil"/>
                  </w:tcBorders>
                  <w:vAlign w:val="center"/>
                </w:tcPr>
                <w:p>
                  <w:pPr>
                    <w:pStyle w:val="36"/>
                    <w:keepLines/>
                    <w:rPr>
                      <w:color w:val="auto"/>
                    </w:rPr>
                  </w:pPr>
                </w:p>
              </w:tc>
              <w:tc>
                <w:tcPr>
                  <w:tcW w:w="3312" w:type="pct"/>
                  <w:gridSpan w:val="2"/>
                  <w:tcBorders>
                    <w:tl2br w:val="nil"/>
                    <w:tr2bl w:val="nil"/>
                  </w:tcBorders>
                  <w:vAlign w:val="center"/>
                </w:tcPr>
                <w:p>
                  <w:pPr>
                    <w:pStyle w:val="36"/>
                    <w:keepLines/>
                    <w:jc w:val="left"/>
                    <w:rPr>
                      <w:color w:val="auto"/>
                    </w:rPr>
                  </w:pPr>
                  <w:r>
                    <w:rPr>
                      <w:rFonts w:hint="eastAsia" w:cs="Times New Roman"/>
                      <w:color w:val="auto"/>
                    </w:rPr>
                    <w:t>5F，</w:t>
                  </w:r>
                  <w:r>
                    <w:rPr>
                      <w:rFonts w:hint="eastAsia"/>
                      <w:color w:val="auto"/>
                    </w:rPr>
                    <w:t>占地835.06</w:t>
                  </w:r>
                  <w:r>
                    <w:rPr>
                      <w:rFonts w:hint="eastAsia" w:cs="Times New Roman"/>
                      <w:color w:val="auto"/>
                    </w:rPr>
                    <w:t>m</w:t>
                  </w:r>
                  <w:r>
                    <w:rPr>
                      <w:rFonts w:hint="eastAsia" w:cs="Times New Roman"/>
                      <w:color w:val="auto"/>
                      <w:vertAlign w:val="superscript"/>
                    </w:rPr>
                    <w:t>2</w:t>
                  </w:r>
                  <w:r>
                    <w:rPr>
                      <w:rFonts w:hint="eastAsia" w:cs="Times New Roman"/>
                      <w:color w:val="auto"/>
                    </w:rPr>
                    <w:t>，</w:t>
                  </w:r>
                  <w:r>
                    <w:rPr>
                      <w:rFonts w:hint="eastAsia"/>
                      <w:color w:val="auto"/>
                    </w:rPr>
                    <w:t>2#宿舍楼</w:t>
                  </w:r>
                </w:p>
              </w:tc>
              <w:tc>
                <w:tcPr>
                  <w:tcW w:w="613" w:type="pct"/>
                  <w:tcBorders>
                    <w:tl2br w:val="nil"/>
                    <w:tr2bl w:val="nil"/>
                  </w:tcBorders>
                  <w:vAlign w:val="center"/>
                </w:tcPr>
                <w:p>
                  <w:pPr>
                    <w:pStyle w:val="36"/>
                    <w:keepLines/>
                    <w:adjustRightInd w:val="0"/>
                    <w:snapToGrid w:val="0"/>
                    <w:ind w:left="-48" w:leftChars="-20" w:right="-48" w:rightChars="-20"/>
                    <w:rPr>
                      <w:color w:val="auto"/>
                    </w:rPr>
                  </w:pPr>
                  <w:r>
                    <w:rPr>
                      <w:rFonts w:hint="eastAsia"/>
                      <w:color w:val="auto"/>
                    </w:rPr>
                    <w:t>原有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color w:val="auto"/>
                    </w:rPr>
                  </w:pPr>
                  <w:r>
                    <w:rPr>
                      <w:rFonts w:hint="eastAsia"/>
                      <w:color w:val="auto"/>
                    </w:rPr>
                    <w:t>办公楼</w:t>
                  </w:r>
                </w:p>
              </w:tc>
              <w:tc>
                <w:tcPr>
                  <w:tcW w:w="3312" w:type="pct"/>
                  <w:gridSpan w:val="2"/>
                  <w:tcBorders>
                    <w:tl2br w:val="nil"/>
                    <w:tr2bl w:val="nil"/>
                  </w:tcBorders>
                  <w:vAlign w:val="center"/>
                </w:tcPr>
                <w:p>
                  <w:pPr>
                    <w:pStyle w:val="36"/>
                    <w:keepLines/>
                    <w:jc w:val="left"/>
                    <w:rPr>
                      <w:color w:val="auto"/>
                    </w:rPr>
                  </w:pPr>
                  <w:r>
                    <w:rPr>
                      <w:rFonts w:hint="eastAsia" w:cs="Times New Roman"/>
                      <w:color w:val="auto"/>
                    </w:rPr>
                    <w:t>5F，</w:t>
                  </w:r>
                  <w:r>
                    <w:rPr>
                      <w:rFonts w:hint="eastAsia"/>
                      <w:color w:val="auto"/>
                    </w:rPr>
                    <w:t>占地1306.75</w:t>
                  </w:r>
                  <w:r>
                    <w:rPr>
                      <w:rFonts w:hint="eastAsia" w:cs="Times New Roman"/>
                      <w:color w:val="auto"/>
                    </w:rPr>
                    <w:t>m</w:t>
                  </w:r>
                  <w:r>
                    <w:rPr>
                      <w:rFonts w:hint="eastAsia" w:cs="Times New Roman"/>
                      <w:color w:val="auto"/>
                      <w:vertAlign w:val="superscript"/>
                    </w:rPr>
                    <w:t>2</w:t>
                  </w:r>
                  <w:r>
                    <w:rPr>
                      <w:rFonts w:hint="eastAsia" w:cs="Times New Roman"/>
                      <w:color w:val="auto"/>
                    </w:rPr>
                    <w:t>，</w:t>
                  </w:r>
                  <w:r>
                    <w:rPr>
                      <w:rFonts w:hint="eastAsia"/>
                      <w:color w:val="auto"/>
                    </w:rPr>
                    <w:t>1#办公楼</w:t>
                  </w:r>
                </w:p>
              </w:tc>
              <w:tc>
                <w:tcPr>
                  <w:tcW w:w="613" w:type="pct"/>
                  <w:tcBorders>
                    <w:tl2br w:val="nil"/>
                    <w:tr2bl w:val="nil"/>
                  </w:tcBorders>
                  <w:vAlign w:val="center"/>
                </w:tcPr>
                <w:p>
                  <w:pPr>
                    <w:pStyle w:val="36"/>
                    <w:keepLines/>
                    <w:adjustRightInd w:val="0"/>
                    <w:snapToGrid w:val="0"/>
                    <w:ind w:left="-48" w:leftChars="-20" w:right="-48" w:rightChars="-20"/>
                    <w:rPr>
                      <w:color w:val="auto"/>
                    </w:rPr>
                  </w:pPr>
                  <w:r>
                    <w:rPr>
                      <w:rFonts w:hint="eastAsia"/>
                      <w:color w:val="auto"/>
                    </w:rPr>
                    <w:t>原有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color w:val="auto"/>
                    </w:rPr>
                  </w:pPr>
                  <w:r>
                    <w:rPr>
                      <w:rFonts w:hint="eastAsia"/>
                      <w:color w:val="auto"/>
                    </w:rPr>
                    <w:t>门卫</w:t>
                  </w:r>
                </w:p>
              </w:tc>
              <w:tc>
                <w:tcPr>
                  <w:tcW w:w="3312" w:type="pct"/>
                  <w:gridSpan w:val="2"/>
                  <w:tcBorders>
                    <w:tl2br w:val="nil"/>
                    <w:tr2bl w:val="nil"/>
                  </w:tcBorders>
                  <w:vAlign w:val="center"/>
                </w:tcPr>
                <w:p>
                  <w:pPr>
                    <w:pStyle w:val="36"/>
                    <w:keepLines/>
                    <w:jc w:val="left"/>
                    <w:rPr>
                      <w:color w:val="auto"/>
                    </w:rPr>
                  </w:pPr>
                  <w:r>
                    <w:rPr>
                      <w:rFonts w:hint="eastAsia"/>
                      <w:color w:val="auto"/>
                    </w:rPr>
                    <w:t>东侧和南侧门卫</w:t>
                  </w:r>
                </w:p>
              </w:tc>
              <w:tc>
                <w:tcPr>
                  <w:tcW w:w="613" w:type="pct"/>
                  <w:tcBorders>
                    <w:tl2br w:val="nil"/>
                    <w:tr2bl w:val="nil"/>
                  </w:tcBorders>
                  <w:vAlign w:val="center"/>
                </w:tcPr>
                <w:p>
                  <w:pPr>
                    <w:pStyle w:val="36"/>
                    <w:keepLines/>
                    <w:adjustRightInd w:val="0"/>
                    <w:snapToGrid w:val="0"/>
                    <w:ind w:left="-48" w:leftChars="-20" w:right="-48" w:rightChars="-20"/>
                    <w:rPr>
                      <w:color w:val="auto"/>
                    </w:rPr>
                  </w:pPr>
                  <w:r>
                    <w:rPr>
                      <w:rFonts w:hint="eastAsia"/>
                      <w:color w:val="auto"/>
                    </w:rPr>
                    <w:t>原有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cs="Times New Roman"/>
                      <w:color w:val="auto"/>
                    </w:rPr>
                    <w:t>供水</w:t>
                  </w: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rPr>
                    <w:t>由</w:t>
                  </w:r>
                  <w:r>
                    <w:rPr>
                      <w:rFonts w:cs="Times New Roman"/>
                      <w:color w:val="auto"/>
                    </w:rPr>
                    <w:t>市政供水管网供给</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cs="Times New Roman"/>
                      <w:color w:val="auto"/>
                    </w:rPr>
                    <w:t>排水</w:t>
                  </w: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lang w:val="en-GB"/>
                    </w:rPr>
                    <w:t>雨污分流，雨水排入市政雨水管网；</w:t>
                  </w:r>
                  <w:r>
                    <w:rPr>
                      <w:rFonts w:hint="eastAsia" w:cs="Times New Roman"/>
                      <w:color w:val="auto"/>
                    </w:rPr>
                    <w:t>生活污水经化粪池预处理后排入市政管网，最终送往福清市融元污水处理厂。</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cs="Times New Roman"/>
                      <w:color w:val="auto"/>
                    </w:rPr>
                    <w:t>供电</w:t>
                  </w:r>
                </w:p>
              </w:tc>
              <w:tc>
                <w:tcPr>
                  <w:tcW w:w="3312" w:type="pct"/>
                  <w:gridSpan w:val="2"/>
                  <w:tcBorders>
                    <w:tl2br w:val="nil"/>
                    <w:tr2bl w:val="nil"/>
                  </w:tcBorders>
                  <w:vAlign w:val="center"/>
                </w:tcPr>
                <w:p>
                  <w:pPr>
                    <w:pStyle w:val="36"/>
                    <w:keepLines/>
                    <w:jc w:val="left"/>
                    <w:rPr>
                      <w:rFonts w:cs="Times New Roman"/>
                      <w:color w:val="auto"/>
                    </w:rPr>
                  </w:pPr>
                  <w:r>
                    <w:rPr>
                      <w:rFonts w:cs="Times New Roman"/>
                      <w:color w:val="auto"/>
                    </w:rPr>
                    <w:t>市政供电管网供给</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restart"/>
                  <w:tcBorders>
                    <w:tl2br w:val="nil"/>
                    <w:tr2bl w:val="nil"/>
                  </w:tcBorders>
                  <w:vAlign w:val="center"/>
                </w:tcPr>
                <w:p>
                  <w:pPr>
                    <w:pStyle w:val="36"/>
                    <w:keepLines/>
                    <w:rPr>
                      <w:rFonts w:cs="Times New Roman"/>
                      <w:color w:val="auto"/>
                    </w:rPr>
                  </w:pPr>
                  <w:r>
                    <w:rPr>
                      <w:rFonts w:hint="eastAsia" w:cs="Times New Roman"/>
                      <w:color w:val="auto"/>
                    </w:rPr>
                    <w:t>环保</w:t>
                  </w:r>
                </w:p>
                <w:p>
                  <w:pPr>
                    <w:pStyle w:val="36"/>
                    <w:keepLines/>
                    <w:rPr>
                      <w:rFonts w:cs="Times New Roman"/>
                      <w:color w:val="auto"/>
                    </w:rPr>
                  </w:pPr>
                  <w:r>
                    <w:rPr>
                      <w:rFonts w:hint="eastAsia" w:cs="Times New Roman"/>
                      <w:color w:val="auto"/>
                    </w:rPr>
                    <w:t>工程</w:t>
                  </w:r>
                </w:p>
              </w:tc>
              <w:tc>
                <w:tcPr>
                  <w:tcW w:w="539" w:type="pct"/>
                  <w:vMerge w:val="restart"/>
                  <w:tcBorders>
                    <w:tl2br w:val="nil"/>
                    <w:tr2bl w:val="nil"/>
                  </w:tcBorders>
                  <w:vAlign w:val="center"/>
                </w:tcPr>
                <w:p>
                  <w:pPr>
                    <w:pStyle w:val="36"/>
                    <w:keepLines/>
                    <w:rPr>
                      <w:color w:val="auto"/>
                    </w:rPr>
                  </w:pPr>
                  <w:r>
                    <w:rPr>
                      <w:rFonts w:hint="eastAsia"/>
                      <w:color w:val="auto"/>
                    </w:rPr>
                    <w:t>废水</w:t>
                  </w:r>
                </w:p>
                <w:p>
                  <w:pPr>
                    <w:pStyle w:val="36"/>
                    <w:keepLines/>
                    <w:rPr>
                      <w:rFonts w:cs="Times New Roman"/>
                      <w:color w:val="auto"/>
                    </w:rPr>
                  </w:pPr>
                  <w:r>
                    <w:rPr>
                      <w:rFonts w:hint="eastAsia"/>
                      <w:color w:val="auto"/>
                    </w:rPr>
                    <w:t>治理</w:t>
                  </w:r>
                </w:p>
              </w:tc>
              <w:tc>
                <w:tcPr>
                  <w:tcW w:w="3312" w:type="pct"/>
                  <w:gridSpan w:val="2"/>
                  <w:tcBorders>
                    <w:tl2br w:val="nil"/>
                    <w:tr2bl w:val="nil"/>
                  </w:tcBorders>
                  <w:vAlign w:val="center"/>
                </w:tcPr>
                <w:p>
                  <w:pPr>
                    <w:pStyle w:val="36"/>
                    <w:keepLines/>
                    <w:rPr>
                      <w:rFonts w:cs="Times New Roman"/>
                      <w:color w:val="auto"/>
                    </w:rPr>
                  </w:pPr>
                  <w:r>
                    <w:rPr>
                      <w:rFonts w:hint="eastAsia" w:cs="Times New Roman"/>
                      <w:color w:val="auto"/>
                    </w:rPr>
                    <w:t>冷却水循环使用，不外排</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vMerge w:val="continue"/>
                  <w:tcBorders>
                    <w:tl2br w:val="nil"/>
                    <w:tr2bl w:val="nil"/>
                  </w:tcBorders>
                  <w:vAlign w:val="center"/>
                </w:tcPr>
                <w:p>
                  <w:pPr>
                    <w:pStyle w:val="36"/>
                    <w:keepLines/>
                    <w:rPr>
                      <w:rFonts w:cs="Times New Roman"/>
                      <w:color w:val="auto"/>
                    </w:rPr>
                  </w:pP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rPr>
                    <w:t>生活污水经化粪池（容积100m</w:t>
                  </w:r>
                  <w:r>
                    <w:rPr>
                      <w:rFonts w:hint="eastAsia" w:cs="Times New Roman"/>
                      <w:color w:val="auto"/>
                      <w:vertAlign w:val="superscript"/>
                    </w:rPr>
                    <w:t>3</w:t>
                  </w:r>
                  <w:r>
                    <w:rPr>
                      <w:rFonts w:hint="eastAsia" w:cs="Times New Roman"/>
                      <w:color w:val="auto"/>
                    </w:rPr>
                    <w:t>）预处理后排入市政管网，最终送往福清市融元污水处理厂集中处理。</w:t>
                  </w:r>
                </w:p>
              </w:tc>
              <w:tc>
                <w:tcPr>
                  <w:tcW w:w="613" w:type="pct"/>
                  <w:tcBorders>
                    <w:tl2br w:val="nil"/>
                    <w:tr2bl w:val="nil"/>
                  </w:tcBorders>
                  <w:vAlign w:val="center"/>
                </w:tcPr>
                <w:p>
                  <w:pPr>
                    <w:pStyle w:val="36"/>
                    <w:keepLines/>
                    <w:adjustRightInd w:val="0"/>
                    <w:snapToGrid w:val="0"/>
                    <w:ind w:left="-48" w:leftChars="-20" w:right="-48" w:rightChars="-20"/>
                    <w:rPr>
                      <w:rFonts w:cs="Times New Roman"/>
                      <w:color w:val="auto"/>
                    </w:rPr>
                  </w:pPr>
                  <w:r>
                    <w:rPr>
                      <w:rFonts w:hint="eastAsia"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cs="Times New Roman"/>
                      <w:color w:val="auto"/>
                    </w:rPr>
                    <w:t>废气</w:t>
                  </w:r>
                </w:p>
                <w:p>
                  <w:pPr>
                    <w:pStyle w:val="36"/>
                    <w:keepLines/>
                    <w:rPr>
                      <w:rFonts w:cs="Times New Roman"/>
                      <w:color w:val="auto"/>
                    </w:rPr>
                  </w:pPr>
                  <w:r>
                    <w:rPr>
                      <w:rFonts w:hint="eastAsia" w:cs="Times New Roman"/>
                      <w:color w:val="auto"/>
                    </w:rPr>
                    <w:t>治理</w:t>
                  </w:r>
                </w:p>
              </w:tc>
              <w:tc>
                <w:tcPr>
                  <w:tcW w:w="3312" w:type="pct"/>
                  <w:gridSpan w:val="2"/>
                  <w:tcBorders>
                    <w:tl2br w:val="nil"/>
                    <w:tr2bl w:val="nil"/>
                  </w:tcBorders>
                  <w:vAlign w:val="center"/>
                </w:tcPr>
                <w:p>
                  <w:pPr>
                    <w:pStyle w:val="36"/>
                    <w:keepLines/>
                    <w:rPr>
                      <w:rFonts w:cs="Times New Roman"/>
                      <w:color w:val="auto"/>
                    </w:rPr>
                  </w:pPr>
                  <w:r>
                    <w:rPr>
                      <w:rStyle w:val="34"/>
                      <w:rFonts w:hint="eastAsia"/>
                      <w:color w:val="auto"/>
                    </w:rPr>
                    <w:t>车间密闭</w:t>
                  </w:r>
                </w:p>
              </w:tc>
              <w:tc>
                <w:tcPr>
                  <w:tcW w:w="613" w:type="pct"/>
                  <w:tcBorders>
                    <w:tl2br w:val="nil"/>
                    <w:tr2bl w:val="nil"/>
                  </w:tcBorders>
                  <w:vAlign w:val="center"/>
                </w:tcPr>
                <w:p>
                  <w:pPr>
                    <w:pStyle w:val="36"/>
                    <w:keepLines/>
                    <w:rPr>
                      <w:rFonts w:cs="Times New Roman"/>
                      <w:color w:val="auto"/>
                    </w:rPr>
                  </w:pPr>
                  <w:r>
                    <w:rPr>
                      <w:rFonts w:hint="eastAsia"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cs="Times New Roman"/>
                      <w:color w:val="auto"/>
                    </w:rPr>
                    <w:t>噪声</w:t>
                  </w:r>
                </w:p>
              </w:tc>
              <w:tc>
                <w:tcPr>
                  <w:tcW w:w="3312" w:type="pct"/>
                  <w:gridSpan w:val="2"/>
                  <w:tcBorders>
                    <w:tl2br w:val="nil"/>
                    <w:tr2bl w:val="nil"/>
                  </w:tcBorders>
                  <w:vAlign w:val="center"/>
                </w:tcPr>
                <w:p>
                  <w:pPr>
                    <w:pStyle w:val="36"/>
                    <w:keepLines/>
                    <w:jc w:val="left"/>
                    <w:rPr>
                      <w:rFonts w:cs="Times New Roman"/>
                      <w:color w:val="auto"/>
                    </w:rPr>
                  </w:pPr>
                  <w:r>
                    <w:rPr>
                      <w:rFonts w:hint="eastAsia" w:cs="Times New Roman"/>
                      <w:color w:val="auto"/>
                    </w:rPr>
                    <w:t>选取低噪生产设备；合理布局；采用厂房隔声、减振等措施</w:t>
                  </w:r>
                </w:p>
              </w:tc>
              <w:tc>
                <w:tcPr>
                  <w:tcW w:w="613" w:type="pct"/>
                  <w:tcBorders>
                    <w:tl2br w:val="nil"/>
                    <w:tr2bl w:val="nil"/>
                  </w:tcBorders>
                  <w:vAlign w:val="center"/>
                </w:tcPr>
                <w:p>
                  <w:pPr>
                    <w:pStyle w:val="36"/>
                    <w:keepLines/>
                    <w:rPr>
                      <w:rFonts w:cs="Times New Roman"/>
                      <w:color w:val="auto"/>
                    </w:rPr>
                  </w:pPr>
                  <w:r>
                    <w:rPr>
                      <w:rFonts w:hint="eastAsia"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vMerge w:val="restart"/>
                  <w:tcBorders>
                    <w:tl2br w:val="nil"/>
                    <w:tr2bl w:val="nil"/>
                  </w:tcBorders>
                  <w:vAlign w:val="center"/>
                </w:tcPr>
                <w:p>
                  <w:pPr>
                    <w:pStyle w:val="36"/>
                    <w:keepLines/>
                    <w:rPr>
                      <w:rFonts w:cs="Times New Roman"/>
                      <w:color w:val="auto"/>
                    </w:rPr>
                  </w:pPr>
                  <w:r>
                    <w:rPr>
                      <w:rFonts w:cs="Times New Roman"/>
                      <w:color w:val="auto"/>
                    </w:rPr>
                    <w:t>固体</w:t>
                  </w:r>
                </w:p>
                <w:p>
                  <w:pPr>
                    <w:pStyle w:val="36"/>
                    <w:keepLines/>
                    <w:rPr>
                      <w:rFonts w:cs="Times New Roman"/>
                      <w:color w:val="auto"/>
                    </w:rPr>
                  </w:pPr>
                  <w:r>
                    <w:rPr>
                      <w:rFonts w:cs="Times New Roman"/>
                      <w:color w:val="auto"/>
                    </w:rPr>
                    <w:t>废物</w:t>
                  </w:r>
                </w:p>
              </w:tc>
              <w:tc>
                <w:tcPr>
                  <w:tcW w:w="651" w:type="pct"/>
                  <w:tcBorders>
                    <w:tl2br w:val="nil"/>
                    <w:tr2bl w:val="nil"/>
                  </w:tcBorders>
                  <w:vAlign w:val="center"/>
                </w:tcPr>
                <w:p>
                  <w:pPr>
                    <w:pStyle w:val="36"/>
                    <w:keepLines/>
                    <w:rPr>
                      <w:rFonts w:cs="Times New Roman"/>
                      <w:color w:val="auto"/>
                    </w:rPr>
                  </w:pPr>
                  <w:r>
                    <w:rPr>
                      <w:color w:val="auto"/>
                    </w:rPr>
                    <w:t>一般工业固体废物</w:t>
                  </w:r>
                </w:p>
              </w:tc>
              <w:tc>
                <w:tcPr>
                  <w:tcW w:w="2660" w:type="pct"/>
                  <w:tcBorders>
                    <w:tl2br w:val="nil"/>
                    <w:tr2bl w:val="nil"/>
                  </w:tcBorders>
                  <w:vAlign w:val="center"/>
                </w:tcPr>
                <w:p>
                  <w:pPr>
                    <w:pStyle w:val="36"/>
                    <w:keepLines/>
                    <w:rPr>
                      <w:rFonts w:cs="Times New Roman"/>
                      <w:color w:val="auto"/>
                    </w:rPr>
                  </w:pPr>
                  <w:r>
                    <w:rPr>
                      <w:rFonts w:hint="eastAsia" w:cs="Times New Roman"/>
                      <w:color w:val="auto"/>
                    </w:rPr>
                    <w:t>在1#厂房、3#厂房分别设置1个一般工业固体废物暂存间（每个25m</w:t>
                  </w:r>
                  <w:r>
                    <w:rPr>
                      <w:rFonts w:hint="eastAsia" w:cs="Times New Roman"/>
                      <w:color w:val="auto"/>
                      <w:vertAlign w:val="superscript"/>
                    </w:rPr>
                    <w:t>2</w:t>
                  </w:r>
                  <w:r>
                    <w:rPr>
                      <w:rFonts w:hint="eastAsia" w:cs="Times New Roman"/>
                      <w:color w:val="auto"/>
                    </w:rPr>
                    <w:t>，共占地50m</w:t>
                  </w:r>
                  <w:r>
                    <w:rPr>
                      <w:rFonts w:hint="eastAsia" w:cs="Times New Roman"/>
                      <w:color w:val="auto"/>
                      <w:vertAlign w:val="superscript"/>
                    </w:rPr>
                    <w:t>2</w:t>
                  </w:r>
                  <w:r>
                    <w:rPr>
                      <w:rFonts w:hint="eastAsia" w:cs="Times New Roman"/>
                      <w:color w:val="auto"/>
                    </w:rPr>
                    <w:t>）暂存一般固废，外售综合利用或供应商回收。</w:t>
                  </w:r>
                </w:p>
              </w:tc>
              <w:tc>
                <w:tcPr>
                  <w:tcW w:w="613" w:type="pct"/>
                  <w:tcBorders>
                    <w:tl2br w:val="nil"/>
                    <w:tr2bl w:val="nil"/>
                  </w:tcBorders>
                  <w:vAlign w:val="center"/>
                </w:tcPr>
                <w:p>
                  <w:pPr>
                    <w:pStyle w:val="36"/>
                    <w:keepLines/>
                    <w:rPr>
                      <w:rFonts w:cs="Times New Roman"/>
                      <w:color w:val="auto"/>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vMerge w:val="continue"/>
                  <w:tcBorders>
                    <w:tl2br w:val="nil"/>
                    <w:tr2bl w:val="nil"/>
                  </w:tcBorders>
                  <w:vAlign w:val="center"/>
                </w:tcPr>
                <w:p>
                  <w:pPr>
                    <w:pStyle w:val="36"/>
                    <w:keepLines/>
                    <w:rPr>
                      <w:rFonts w:cs="Times New Roman"/>
                      <w:color w:val="auto"/>
                    </w:rPr>
                  </w:pPr>
                </w:p>
              </w:tc>
              <w:tc>
                <w:tcPr>
                  <w:tcW w:w="651" w:type="pct"/>
                  <w:tcBorders>
                    <w:tl2br w:val="nil"/>
                    <w:tr2bl w:val="nil"/>
                  </w:tcBorders>
                  <w:vAlign w:val="center"/>
                </w:tcPr>
                <w:p>
                  <w:pPr>
                    <w:pStyle w:val="36"/>
                    <w:keepLines/>
                    <w:rPr>
                      <w:rFonts w:cs="Times New Roman"/>
                      <w:color w:val="auto"/>
                    </w:rPr>
                  </w:pPr>
                  <w:r>
                    <w:rPr>
                      <w:color w:val="auto"/>
                    </w:rPr>
                    <w:t>危险废物</w:t>
                  </w:r>
                </w:p>
              </w:tc>
              <w:tc>
                <w:tcPr>
                  <w:tcW w:w="2660" w:type="pct"/>
                  <w:tcBorders>
                    <w:tl2br w:val="nil"/>
                    <w:tr2bl w:val="nil"/>
                  </w:tcBorders>
                  <w:vAlign w:val="center"/>
                </w:tcPr>
                <w:p>
                  <w:pPr>
                    <w:pStyle w:val="36"/>
                    <w:keepLines/>
                    <w:rPr>
                      <w:rFonts w:cs="Times New Roman"/>
                      <w:color w:val="auto"/>
                    </w:rPr>
                  </w:pPr>
                  <w:r>
                    <w:rPr>
                      <w:rFonts w:hint="eastAsia" w:cs="Times New Roman"/>
                      <w:color w:val="auto"/>
                    </w:rPr>
                    <w:t>在1#厂房、3#厂房分别设置1个危废贮存库（每个25m</w:t>
                  </w:r>
                  <w:r>
                    <w:rPr>
                      <w:rFonts w:hint="eastAsia" w:cs="Times New Roman"/>
                      <w:color w:val="auto"/>
                      <w:vertAlign w:val="superscript"/>
                    </w:rPr>
                    <w:t>2</w:t>
                  </w:r>
                  <w:r>
                    <w:rPr>
                      <w:rFonts w:hint="eastAsia" w:cs="Times New Roman"/>
                      <w:color w:val="auto"/>
                    </w:rPr>
                    <w:t>，共占地50m</w:t>
                  </w:r>
                  <w:r>
                    <w:rPr>
                      <w:rFonts w:hint="eastAsia" w:cs="Times New Roman"/>
                      <w:color w:val="auto"/>
                      <w:vertAlign w:val="superscript"/>
                    </w:rPr>
                    <w:t>2</w:t>
                  </w:r>
                  <w:r>
                    <w:rPr>
                      <w:rFonts w:hint="eastAsia" w:cs="Times New Roman"/>
                      <w:color w:val="auto"/>
                    </w:rPr>
                    <w:t>）</w:t>
                  </w:r>
                  <w:r>
                    <w:rPr>
                      <w:color w:val="auto"/>
                    </w:rPr>
                    <w:t>暂存危险废物，定期委托有资质的单位集中处置</w:t>
                  </w:r>
                  <w:r>
                    <w:rPr>
                      <w:rFonts w:hint="eastAsia"/>
                      <w:color w:val="auto"/>
                    </w:rPr>
                    <w:t>。</w:t>
                  </w:r>
                </w:p>
              </w:tc>
              <w:tc>
                <w:tcPr>
                  <w:tcW w:w="613" w:type="pct"/>
                  <w:tcBorders>
                    <w:tl2br w:val="nil"/>
                    <w:tr2bl w:val="nil"/>
                  </w:tcBorders>
                  <w:vAlign w:val="center"/>
                </w:tcPr>
                <w:p>
                  <w:pPr>
                    <w:pStyle w:val="36"/>
                    <w:keepLines/>
                    <w:rPr>
                      <w:rFonts w:cs="Times New Roman"/>
                      <w:color w:val="auto"/>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vMerge w:val="continue"/>
                  <w:tcBorders>
                    <w:tl2br w:val="nil"/>
                    <w:tr2bl w:val="nil"/>
                  </w:tcBorders>
                  <w:vAlign w:val="center"/>
                </w:tcPr>
                <w:p>
                  <w:pPr>
                    <w:pStyle w:val="36"/>
                    <w:keepLines/>
                    <w:rPr>
                      <w:rFonts w:cs="Times New Roman"/>
                      <w:color w:val="auto"/>
                    </w:rPr>
                  </w:pPr>
                </w:p>
              </w:tc>
              <w:tc>
                <w:tcPr>
                  <w:tcW w:w="651" w:type="pct"/>
                  <w:tcBorders>
                    <w:tl2br w:val="nil"/>
                    <w:tr2bl w:val="nil"/>
                  </w:tcBorders>
                  <w:vAlign w:val="center"/>
                </w:tcPr>
                <w:p>
                  <w:pPr>
                    <w:pStyle w:val="36"/>
                    <w:keepLines/>
                    <w:rPr>
                      <w:rFonts w:cs="Times New Roman"/>
                      <w:color w:val="auto"/>
                    </w:rPr>
                  </w:pPr>
                  <w:r>
                    <w:rPr>
                      <w:color w:val="auto"/>
                    </w:rPr>
                    <w:t>生活垃圾</w:t>
                  </w:r>
                </w:p>
              </w:tc>
              <w:tc>
                <w:tcPr>
                  <w:tcW w:w="2660" w:type="pct"/>
                  <w:tcBorders>
                    <w:tl2br w:val="nil"/>
                    <w:tr2bl w:val="nil"/>
                  </w:tcBorders>
                  <w:vAlign w:val="center"/>
                </w:tcPr>
                <w:p>
                  <w:pPr>
                    <w:pStyle w:val="36"/>
                    <w:keepLines/>
                    <w:rPr>
                      <w:rFonts w:cs="Times New Roman"/>
                      <w:color w:val="auto"/>
                    </w:rPr>
                  </w:pPr>
                  <w:r>
                    <w:rPr>
                      <w:color w:val="auto"/>
                    </w:rPr>
                    <w:t>生活垃圾收集桶收集后委托环卫部门清运处置</w:t>
                  </w:r>
                </w:p>
              </w:tc>
              <w:tc>
                <w:tcPr>
                  <w:tcW w:w="613" w:type="pct"/>
                  <w:tcBorders>
                    <w:tl2br w:val="nil"/>
                    <w:tr2bl w:val="nil"/>
                  </w:tcBorders>
                  <w:vAlign w:val="center"/>
                </w:tcPr>
                <w:p>
                  <w:pPr>
                    <w:pStyle w:val="36"/>
                    <w:keepLines/>
                    <w:rPr>
                      <w:rFonts w:cs="Times New Roman"/>
                      <w:color w:val="auto"/>
                    </w:rPr>
                  </w:pPr>
                  <w:r>
                    <w:rPr>
                      <w:rFonts w:hint="eastAsia" w:cs="Times New Roman"/>
                      <w:color w:val="auto"/>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535" w:type="pct"/>
                  <w:vMerge w:val="continue"/>
                  <w:tcBorders>
                    <w:tl2br w:val="nil"/>
                    <w:tr2bl w:val="nil"/>
                  </w:tcBorders>
                  <w:vAlign w:val="center"/>
                </w:tcPr>
                <w:p>
                  <w:pPr>
                    <w:pStyle w:val="36"/>
                    <w:keepLines/>
                    <w:rPr>
                      <w:rFonts w:cs="Times New Roman"/>
                      <w:color w:val="auto"/>
                    </w:rPr>
                  </w:pPr>
                </w:p>
              </w:tc>
              <w:tc>
                <w:tcPr>
                  <w:tcW w:w="539" w:type="pct"/>
                  <w:tcBorders>
                    <w:tl2br w:val="nil"/>
                    <w:tr2bl w:val="nil"/>
                  </w:tcBorders>
                  <w:vAlign w:val="center"/>
                </w:tcPr>
                <w:p>
                  <w:pPr>
                    <w:pStyle w:val="36"/>
                    <w:keepLines/>
                    <w:rPr>
                      <w:rFonts w:cs="Times New Roman"/>
                      <w:color w:val="auto"/>
                    </w:rPr>
                  </w:pPr>
                  <w:r>
                    <w:rPr>
                      <w:rFonts w:cs="Times New Roman"/>
                      <w:color w:val="auto"/>
                    </w:rPr>
                    <w:t>环境</w:t>
                  </w:r>
                </w:p>
                <w:p>
                  <w:pPr>
                    <w:pStyle w:val="36"/>
                    <w:keepLines/>
                    <w:rPr>
                      <w:rFonts w:cs="Times New Roman"/>
                      <w:color w:val="auto"/>
                    </w:rPr>
                  </w:pPr>
                  <w:r>
                    <w:rPr>
                      <w:rFonts w:cs="Times New Roman"/>
                      <w:color w:val="auto"/>
                    </w:rPr>
                    <w:t>风险</w:t>
                  </w:r>
                </w:p>
              </w:tc>
              <w:tc>
                <w:tcPr>
                  <w:tcW w:w="3925" w:type="pct"/>
                  <w:gridSpan w:val="3"/>
                  <w:tcBorders>
                    <w:tl2br w:val="nil"/>
                    <w:tr2bl w:val="nil"/>
                  </w:tcBorders>
                  <w:vAlign w:val="center"/>
                </w:tcPr>
                <w:p>
                  <w:pPr>
                    <w:pStyle w:val="36"/>
                    <w:numPr>
                      <w:ilvl w:val="0"/>
                      <w:numId w:val="0"/>
                    </w:numPr>
                    <w:bidi w:val="0"/>
                    <w:ind w:firstLine="0" w:firstLineChars="0"/>
                    <w:jc w:val="left"/>
                    <w:rPr>
                      <w:color w:val="auto"/>
                    </w:rPr>
                  </w:pPr>
                  <w:r>
                    <w:rPr>
                      <w:rFonts w:hint="default" w:ascii="Times New Roman" w:hAnsi="Times New Roman" w:eastAsia="宋体" w:cs="Times New Roman"/>
                      <w:color w:val="auto"/>
                      <w:sz w:val="21"/>
                      <w:szCs w:val="21"/>
                      <w:lang w:val="en-US" w:eastAsia="zh-CN" w:bidi="ar"/>
                    </w:rPr>
                    <w:t>1#厂房</w:t>
                  </w:r>
                  <w:r>
                    <w:rPr>
                      <w:rFonts w:hint="eastAsia"/>
                      <w:color w:val="auto"/>
                    </w:rPr>
                    <w:t>辅料仓库、拉丝液循环池、危险废物贮存库按要求进行重点防渗，</w:t>
                  </w:r>
                  <w:r>
                    <w:rPr>
                      <w:color w:val="auto"/>
                    </w:rPr>
                    <w:t>液态</w:t>
                  </w:r>
                  <w:r>
                    <w:rPr>
                      <w:rFonts w:hint="eastAsia"/>
                      <w:color w:val="auto"/>
                    </w:rPr>
                    <w:t>物料（</w:t>
                  </w:r>
                  <w:r>
                    <w:rPr>
                      <w:color w:val="auto"/>
                    </w:rPr>
                    <w:t>含液态危废</w:t>
                  </w:r>
                  <w:r>
                    <w:rPr>
                      <w:rFonts w:hint="eastAsia"/>
                      <w:color w:val="auto"/>
                    </w:rPr>
                    <w:t>）</w:t>
                  </w:r>
                  <w:r>
                    <w:rPr>
                      <w:color w:val="auto"/>
                    </w:rPr>
                    <w:t>底部</w:t>
                  </w:r>
                  <w:r>
                    <w:rPr>
                      <w:rFonts w:hint="eastAsia"/>
                      <w:color w:val="auto"/>
                    </w:rPr>
                    <w:t>防渗</w:t>
                  </w:r>
                  <w:r>
                    <w:rPr>
                      <w:color w:val="auto"/>
                    </w:rPr>
                    <w:t>托盘</w:t>
                  </w:r>
                  <w:r>
                    <w:rPr>
                      <w:rFonts w:hint="eastAsia"/>
                      <w:color w:val="auto"/>
                    </w:rPr>
                    <w:t>或液体泄漏收集装置</w:t>
                  </w:r>
                  <w:r>
                    <w:rPr>
                      <w:rFonts w:hint="eastAsia"/>
                      <w:color w:val="auto"/>
                      <w:lang w:eastAsia="zh-CN"/>
                    </w:rPr>
                    <w:t>。</w:t>
                  </w:r>
                  <w:r>
                    <w:rPr>
                      <w:rFonts w:hint="eastAsia"/>
                      <w:color w:val="auto"/>
                    </w:rPr>
                    <w:t>定期检查容器及储存装置，发现破损及时处理</w:t>
                  </w:r>
                  <w:r>
                    <w:rPr>
                      <w:rFonts w:hint="eastAsia"/>
                      <w:color w:val="auto"/>
                      <w:lang w:eastAsia="zh-CN"/>
                    </w:rPr>
                    <w:t>。</w:t>
                  </w:r>
                </w:p>
              </w:tc>
            </w:tr>
          </w:tbl>
          <w:p>
            <w:pPr>
              <w:pStyle w:val="55"/>
              <w:keepLines/>
              <w:rPr>
                <w:rFonts w:cs="Times New Roman"/>
                <w:snapToGrid w:val="0"/>
                <w:color w:val="auto"/>
              </w:rPr>
            </w:pPr>
            <w:bookmarkStart w:id="29" w:name="_Toc29344"/>
            <w:r>
              <w:rPr>
                <w:rFonts w:cs="Times New Roman"/>
                <w:color w:val="auto"/>
              </w:rPr>
              <w:t>2.</w:t>
            </w:r>
            <w:r>
              <w:rPr>
                <w:rFonts w:hint="eastAsia" w:cs="Times New Roman"/>
                <w:color w:val="auto"/>
              </w:rPr>
              <w:t>3主要原辅材料及能源消耗</w:t>
            </w:r>
            <w:bookmarkEnd w:id="29"/>
          </w:p>
          <w:p>
            <w:pPr>
              <w:pStyle w:val="38"/>
              <w:keepLines/>
              <w:widowControl w:val="0"/>
              <w:ind w:firstLine="480"/>
              <w:rPr>
                <w:rFonts w:cs="Times New Roman"/>
                <w:snapToGrid w:val="0"/>
                <w:color w:val="auto"/>
              </w:rPr>
            </w:pPr>
            <w:r>
              <w:rPr>
                <w:rFonts w:hint="eastAsia" w:cs="Times New Roman"/>
                <w:snapToGrid w:val="0"/>
                <w:color w:val="auto"/>
              </w:rPr>
              <w:t>（1）原辅材料</w:t>
            </w:r>
            <w:r>
              <w:rPr>
                <w:rFonts w:hint="eastAsia" w:cs="Times New Roman"/>
                <w:color w:val="auto"/>
              </w:rPr>
              <w:t>及能源消耗</w:t>
            </w:r>
          </w:p>
          <w:p>
            <w:pPr>
              <w:pStyle w:val="38"/>
              <w:keepLines/>
              <w:widowControl w:val="0"/>
              <w:ind w:firstLine="480"/>
              <w:rPr>
                <w:rFonts w:cs="Times New Roman"/>
                <w:snapToGrid w:val="0"/>
                <w:color w:val="auto"/>
              </w:rPr>
            </w:pPr>
            <w:r>
              <w:rPr>
                <w:rFonts w:hint="eastAsia" w:cs="Times New Roman"/>
                <w:snapToGrid w:val="0"/>
                <w:color w:val="auto"/>
              </w:rPr>
              <w:t>本项目主要原辅材料消耗情况见表2.3-1。</w:t>
            </w:r>
          </w:p>
          <w:p>
            <w:pPr>
              <w:pStyle w:val="37"/>
              <w:rPr>
                <w:color w:val="auto"/>
              </w:rPr>
            </w:pPr>
            <w:r>
              <w:rPr>
                <w:color w:val="auto"/>
              </w:rPr>
              <w:t>表</w:t>
            </w:r>
            <w:r>
              <w:rPr>
                <w:rFonts w:hint="eastAsia"/>
                <w:color w:val="auto"/>
                <w:lang w:val="en-US"/>
              </w:rPr>
              <w:t>2.3</w:t>
            </w:r>
            <w:r>
              <w:rPr>
                <w:color w:val="auto"/>
              </w:rPr>
              <w:t>-</w:t>
            </w:r>
            <w:r>
              <w:rPr>
                <w:rFonts w:hint="eastAsia"/>
                <w:color w:val="auto"/>
                <w:lang w:val="en-US"/>
              </w:rPr>
              <w:t>1  本项目主要原辅材料及能耗表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38"/>
              <w:gridCol w:w="968"/>
              <w:gridCol w:w="1090"/>
              <w:gridCol w:w="1091"/>
              <w:gridCol w:w="1080"/>
              <w:gridCol w:w="1326"/>
              <w:gridCol w:w="893"/>
              <w:gridCol w:w="14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321" w:type="pct"/>
                  <w:vAlign w:val="center"/>
                </w:tcPr>
                <w:p>
                  <w:pPr>
                    <w:pStyle w:val="36"/>
                    <w:rPr>
                      <w:color w:val="auto"/>
                    </w:rPr>
                  </w:pPr>
                  <w:r>
                    <w:rPr>
                      <w:color w:val="auto"/>
                    </w:rPr>
                    <w:t>序号</w:t>
                  </w:r>
                </w:p>
              </w:tc>
              <w:tc>
                <w:tcPr>
                  <w:tcW w:w="576" w:type="pct"/>
                  <w:vAlign w:val="center"/>
                </w:tcPr>
                <w:p>
                  <w:pPr>
                    <w:pStyle w:val="36"/>
                    <w:rPr>
                      <w:color w:val="auto"/>
                    </w:rPr>
                  </w:pPr>
                  <w:r>
                    <w:rPr>
                      <w:color w:val="auto"/>
                    </w:rPr>
                    <w:t>原料</w:t>
                  </w:r>
                </w:p>
                <w:p>
                  <w:pPr>
                    <w:pStyle w:val="36"/>
                    <w:rPr>
                      <w:color w:val="auto"/>
                    </w:rPr>
                  </w:pPr>
                  <w:r>
                    <w:rPr>
                      <w:color w:val="auto"/>
                    </w:rPr>
                    <w:t>名称</w:t>
                  </w:r>
                </w:p>
              </w:tc>
              <w:tc>
                <w:tcPr>
                  <w:tcW w:w="649" w:type="pct"/>
                  <w:tcBorders>
                    <w:right w:val="single" w:color="000000" w:sz="4" w:space="0"/>
                  </w:tcBorders>
                  <w:vAlign w:val="center"/>
                </w:tcPr>
                <w:p>
                  <w:pPr>
                    <w:pStyle w:val="36"/>
                    <w:rPr>
                      <w:color w:val="auto"/>
                    </w:rPr>
                  </w:pPr>
                  <w:r>
                    <w:rPr>
                      <w:rFonts w:hint="eastAsia"/>
                      <w:color w:val="auto"/>
                    </w:rPr>
                    <w:t>规格</w:t>
                  </w:r>
                </w:p>
              </w:tc>
              <w:tc>
                <w:tcPr>
                  <w:tcW w:w="649" w:type="pct"/>
                  <w:tcBorders>
                    <w:left w:val="single" w:color="000000" w:sz="4" w:space="0"/>
                  </w:tcBorders>
                  <w:vAlign w:val="center"/>
                </w:tcPr>
                <w:p>
                  <w:pPr>
                    <w:pStyle w:val="36"/>
                    <w:rPr>
                      <w:color w:val="auto"/>
                    </w:rPr>
                  </w:pPr>
                  <w:r>
                    <w:rPr>
                      <w:rFonts w:hint="eastAsia"/>
                      <w:color w:val="auto"/>
                    </w:rPr>
                    <w:t>年用量（t/a）</w:t>
                  </w:r>
                </w:p>
              </w:tc>
              <w:tc>
                <w:tcPr>
                  <w:tcW w:w="642" w:type="pct"/>
                  <w:vAlign w:val="center"/>
                </w:tcPr>
                <w:p>
                  <w:pPr>
                    <w:pStyle w:val="36"/>
                    <w:rPr>
                      <w:color w:val="auto"/>
                    </w:rPr>
                  </w:pPr>
                  <w:r>
                    <w:rPr>
                      <w:color w:val="auto"/>
                    </w:rPr>
                    <w:t>贮存场所</w:t>
                  </w:r>
                </w:p>
              </w:tc>
              <w:tc>
                <w:tcPr>
                  <w:tcW w:w="789" w:type="pct"/>
                  <w:vAlign w:val="center"/>
                </w:tcPr>
                <w:p>
                  <w:pPr>
                    <w:pStyle w:val="36"/>
                    <w:rPr>
                      <w:color w:val="auto"/>
                    </w:rPr>
                  </w:pPr>
                  <w:r>
                    <w:rPr>
                      <w:rFonts w:hint="eastAsia"/>
                      <w:color w:val="auto"/>
                    </w:rPr>
                    <w:t>最大储存量</w:t>
                  </w:r>
                </w:p>
                <w:p>
                  <w:pPr>
                    <w:pStyle w:val="36"/>
                    <w:rPr>
                      <w:color w:val="auto"/>
                    </w:rPr>
                  </w:pPr>
                  <w:r>
                    <w:rPr>
                      <w:rFonts w:hint="eastAsia"/>
                      <w:color w:val="auto"/>
                    </w:rPr>
                    <w:t>（t）</w:t>
                  </w:r>
                </w:p>
              </w:tc>
              <w:tc>
                <w:tcPr>
                  <w:tcW w:w="531" w:type="pct"/>
                  <w:vAlign w:val="center"/>
                </w:tcPr>
                <w:p>
                  <w:pPr>
                    <w:pStyle w:val="36"/>
                    <w:rPr>
                      <w:color w:val="auto"/>
                    </w:rPr>
                  </w:pPr>
                  <w:r>
                    <w:rPr>
                      <w:rFonts w:hint="eastAsia"/>
                      <w:color w:val="auto"/>
                    </w:rPr>
                    <w:t>形态</w:t>
                  </w:r>
                </w:p>
              </w:tc>
              <w:tc>
                <w:tcPr>
                  <w:tcW w:w="838" w:type="pct"/>
                  <w:vAlign w:val="center"/>
                </w:tcPr>
                <w:p>
                  <w:pPr>
                    <w:pStyle w:val="36"/>
                    <w:rPr>
                      <w:color w:val="auto"/>
                    </w:rPr>
                  </w:pPr>
                  <w:r>
                    <w:rPr>
                      <w:rFonts w:hint="eastAsia"/>
                      <w:color w:val="auto"/>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21" w:type="pct"/>
                  <w:vAlign w:val="center"/>
                </w:tcPr>
                <w:p>
                  <w:pPr>
                    <w:pStyle w:val="36"/>
                    <w:rPr>
                      <w:color w:val="auto"/>
                    </w:rPr>
                  </w:pPr>
                  <w:r>
                    <w:rPr>
                      <w:rFonts w:hint="eastAsia"/>
                      <w:color w:val="auto"/>
                    </w:rPr>
                    <w:t>1</w:t>
                  </w:r>
                </w:p>
              </w:tc>
              <w:tc>
                <w:tcPr>
                  <w:tcW w:w="576" w:type="pct"/>
                  <w:vAlign w:val="center"/>
                </w:tcPr>
                <w:p>
                  <w:pPr>
                    <w:pStyle w:val="36"/>
                    <w:rPr>
                      <w:color w:val="auto"/>
                    </w:rPr>
                  </w:pPr>
                  <w:r>
                    <w:rPr>
                      <w:rFonts w:hint="eastAsia"/>
                      <w:color w:val="auto"/>
                    </w:rPr>
                    <w:t>铜杆</w:t>
                  </w:r>
                </w:p>
              </w:tc>
              <w:tc>
                <w:tcPr>
                  <w:tcW w:w="649" w:type="pct"/>
                  <w:tcBorders>
                    <w:right w:val="single" w:color="000000" w:sz="4" w:space="0"/>
                  </w:tcBorders>
                  <w:vAlign w:val="center"/>
                </w:tcPr>
                <w:p>
                  <w:pPr>
                    <w:pStyle w:val="36"/>
                    <w:rPr>
                      <w:color w:val="auto"/>
                    </w:rPr>
                  </w:pPr>
                  <w:r>
                    <w:rPr>
                      <w:rFonts w:hint="eastAsia"/>
                      <w:color w:val="auto"/>
                    </w:rPr>
                    <w:t>/</w:t>
                  </w:r>
                </w:p>
              </w:tc>
              <w:tc>
                <w:tcPr>
                  <w:tcW w:w="649" w:type="pct"/>
                  <w:tcBorders>
                    <w:left w:val="single" w:color="000000" w:sz="4" w:space="0"/>
                  </w:tcBorders>
                  <w:vAlign w:val="center"/>
                </w:tcPr>
                <w:p>
                  <w:pPr>
                    <w:pStyle w:val="36"/>
                    <w:bidi w:val="0"/>
                    <w:rPr>
                      <w:color w:val="auto"/>
                    </w:rPr>
                  </w:pPr>
                  <w:r>
                    <w:rPr>
                      <w:rFonts w:hint="eastAsia"/>
                      <w:color w:val="auto"/>
                      <w:lang w:val="en-US" w:eastAsia="zh-CN"/>
                    </w:rPr>
                    <w:t>***</w:t>
                  </w:r>
                </w:p>
              </w:tc>
              <w:tc>
                <w:tcPr>
                  <w:tcW w:w="642" w:type="pct"/>
                  <w:vAlign w:val="center"/>
                </w:tcPr>
                <w:p>
                  <w:pPr>
                    <w:pStyle w:val="36"/>
                    <w:rPr>
                      <w:color w:val="auto"/>
                    </w:rPr>
                  </w:pPr>
                  <w:r>
                    <w:rPr>
                      <w:rFonts w:hint="eastAsia"/>
                      <w:color w:val="auto"/>
                    </w:rPr>
                    <w:t>原料区</w:t>
                  </w:r>
                </w:p>
              </w:tc>
              <w:tc>
                <w:tcPr>
                  <w:tcW w:w="1326" w:type="dxa"/>
                  <w:vAlign w:val="center"/>
                </w:tcPr>
                <w:p>
                  <w:pPr>
                    <w:pStyle w:val="36"/>
                    <w:bidi w:val="0"/>
                    <w:ind w:firstLine="0" w:firstLineChars="0"/>
                    <w:rPr>
                      <w:color w:val="auto"/>
                    </w:rPr>
                  </w:pPr>
                  <w:r>
                    <w:rPr>
                      <w:rFonts w:hint="eastAsia"/>
                      <w:color w:val="auto"/>
                      <w:lang w:val="en-US" w:eastAsia="zh-CN"/>
                    </w:rPr>
                    <w:t>***</w:t>
                  </w:r>
                </w:p>
              </w:tc>
              <w:tc>
                <w:tcPr>
                  <w:tcW w:w="531" w:type="pct"/>
                  <w:vAlign w:val="center"/>
                </w:tcPr>
                <w:p>
                  <w:pPr>
                    <w:pStyle w:val="36"/>
                    <w:rPr>
                      <w:color w:val="auto"/>
                    </w:rPr>
                  </w:pPr>
                  <w:r>
                    <w:rPr>
                      <w:rFonts w:hint="eastAsia"/>
                      <w:color w:val="auto"/>
                    </w:rPr>
                    <w:t>固态</w:t>
                  </w:r>
                </w:p>
              </w:tc>
              <w:tc>
                <w:tcPr>
                  <w:tcW w:w="838" w:type="pct"/>
                  <w:vAlign w:val="center"/>
                </w:tcPr>
                <w:p>
                  <w:pPr>
                    <w:pStyle w:val="36"/>
                    <w:rPr>
                      <w:color w:val="auto"/>
                    </w:rPr>
                  </w:pPr>
                  <w:r>
                    <w:rPr>
                      <w:rFonts w:hint="eastAsia"/>
                      <w:color w:val="auto"/>
                    </w:rPr>
                    <w:t>外购，</w:t>
                  </w:r>
                </w:p>
                <w:p>
                  <w:pPr>
                    <w:pStyle w:val="36"/>
                    <w:rPr>
                      <w:color w:val="auto"/>
                    </w:rPr>
                  </w:pPr>
                  <w:r>
                    <w:rPr>
                      <w:rFonts w:hint="eastAsia"/>
                      <w:color w:val="auto"/>
                    </w:rPr>
                    <w:t>铜≥99.9%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321" w:type="pct"/>
                  <w:vAlign w:val="center"/>
                </w:tcPr>
                <w:p>
                  <w:pPr>
                    <w:pStyle w:val="36"/>
                    <w:rPr>
                      <w:color w:val="auto"/>
                    </w:rPr>
                  </w:pPr>
                  <w:r>
                    <w:rPr>
                      <w:rFonts w:hint="eastAsia"/>
                      <w:color w:val="auto"/>
                    </w:rPr>
                    <w:t>2</w:t>
                  </w:r>
                </w:p>
              </w:tc>
              <w:tc>
                <w:tcPr>
                  <w:tcW w:w="576" w:type="pct"/>
                  <w:vAlign w:val="center"/>
                </w:tcPr>
                <w:p>
                  <w:pPr>
                    <w:pStyle w:val="36"/>
                    <w:rPr>
                      <w:color w:val="auto"/>
                    </w:rPr>
                  </w:pPr>
                  <w:r>
                    <w:rPr>
                      <w:rFonts w:hint="eastAsia"/>
                      <w:color w:val="auto"/>
                    </w:rPr>
                    <w:t>拉丝油</w:t>
                  </w:r>
                </w:p>
              </w:tc>
              <w:tc>
                <w:tcPr>
                  <w:tcW w:w="649" w:type="pct"/>
                  <w:tcBorders>
                    <w:right w:val="single" w:color="000000" w:sz="4" w:space="0"/>
                  </w:tcBorders>
                  <w:vAlign w:val="center"/>
                </w:tcPr>
                <w:p>
                  <w:pPr>
                    <w:pStyle w:val="36"/>
                    <w:rPr>
                      <w:color w:val="auto"/>
                    </w:rPr>
                  </w:pPr>
                  <w:r>
                    <w:rPr>
                      <w:rFonts w:hint="eastAsia"/>
                      <w:color w:val="auto"/>
                    </w:rPr>
                    <w:t>170kg/桶</w:t>
                  </w:r>
                </w:p>
              </w:tc>
              <w:tc>
                <w:tcPr>
                  <w:tcW w:w="649" w:type="pct"/>
                  <w:tcBorders>
                    <w:left w:val="single" w:color="000000" w:sz="4" w:space="0"/>
                  </w:tcBorders>
                  <w:vAlign w:val="center"/>
                </w:tcPr>
                <w:p>
                  <w:pPr>
                    <w:pStyle w:val="36"/>
                    <w:bidi w:val="0"/>
                    <w:rPr>
                      <w:color w:val="auto"/>
                    </w:rPr>
                  </w:pPr>
                  <w:r>
                    <w:rPr>
                      <w:rFonts w:hint="eastAsia"/>
                      <w:color w:val="auto"/>
                      <w:lang w:val="en-US" w:eastAsia="zh-CN"/>
                    </w:rPr>
                    <w:t>***</w:t>
                  </w:r>
                </w:p>
              </w:tc>
              <w:tc>
                <w:tcPr>
                  <w:tcW w:w="642" w:type="pct"/>
                  <w:vAlign w:val="center"/>
                </w:tcPr>
                <w:p>
                  <w:pPr>
                    <w:pStyle w:val="36"/>
                    <w:rPr>
                      <w:color w:val="auto"/>
                    </w:rPr>
                  </w:pPr>
                  <w:r>
                    <w:rPr>
                      <w:rFonts w:hint="eastAsia"/>
                      <w:color w:val="auto"/>
                    </w:rPr>
                    <w:t>辅料仓库</w:t>
                  </w:r>
                </w:p>
              </w:tc>
              <w:tc>
                <w:tcPr>
                  <w:tcW w:w="1326" w:type="dxa"/>
                  <w:vAlign w:val="center"/>
                </w:tcPr>
                <w:p>
                  <w:pPr>
                    <w:pStyle w:val="36"/>
                    <w:bidi w:val="0"/>
                    <w:ind w:firstLine="0" w:firstLineChars="0"/>
                    <w:rPr>
                      <w:color w:val="auto"/>
                    </w:rPr>
                  </w:pPr>
                  <w:r>
                    <w:rPr>
                      <w:rFonts w:hint="eastAsia"/>
                      <w:color w:val="auto"/>
                      <w:lang w:val="en-US" w:eastAsia="zh-CN"/>
                    </w:rPr>
                    <w:t>***</w:t>
                  </w:r>
                </w:p>
              </w:tc>
              <w:tc>
                <w:tcPr>
                  <w:tcW w:w="531" w:type="pct"/>
                  <w:vAlign w:val="center"/>
                </w:tcPr>
                <w:p>
                  <w:pPr>
                    <w:pStyle w:val="36"/>
                    <w:rPr>
                      <w:color w:val="auto"/>
                    </w:rPr>
                  </w:pPr>
                  <w:r>
                    <w:rPr>
                      <w:rFonts w:hint="eastAsia"/>
                      <w:color w:val="auto"/>
                    </w:rPr>
                    <w:t>液态</w:t>
                  </w:r>
                </w:p>
              </w:tc>
              <w:tc>
                <w:tcPr>
                  <w:tcW w:w="838" w:type="pct"/>
                  <w:vAlign w:val="center"/>
                </w:tcPr>
                <w:p>
                  <w:pPr>
                    <w:pStyle w:val="36"/>
                    <w:rPr>
                      <w:color w:val="auto"/>
                    </w:rPr>
                  </w:pPr>
                  <w:r>
                    <w:rPr>
                      <w:rFonts w:hint="eastAsia"/>
                      <w:color w:val="auto"/>
                    </w:rPr>
                    <w:t>外购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21" w:type="pct"/>
                  <w:vAlign w:val="center"/>
                </w:tcPr>
                <w:p>
                  <w:pPr>
                    <w:pStyle w:val="36"/>
                    <w:rPr>
                      <w:color w:val="auto"/>
                    </w:rPr>
                  </w:pPr>
                  <w:r>
                    <w:rPr>
                      <w:rFonts w:hint="eastAsia"/>
                      <w:color w:val="auto"/>
                    </w:rPr>
                    <w:t>3</w:t>
                  </w:r>
                </w:p>
              </w:tc>
              <w:tc>
                <w:tcPr>
                  <w:tcW w:w="576" w:type="pct"/>
                  <w:vAlign w:val="center"/>
                </w:tcPr>
                <w:p>
                  <w:pPr>
                    <w:pStyle w:val="36"/>
                    <w:rPr>
                      <w:color w:val="auto"/>
                    </w:rPr>
                  </w:pPr>
                  <w:r>
                    <w:rPr>
                      <w:rFonts w:hint="eastAsia"/>
                      <w:color w:val="auto"/>
                    </w:rPr>
                    <w:t>液压油</w:t>
                  </w:r>
                </w:p>
              </w:tc>
              <w:tc>
                <w:tcPr>
                  <w:tcW w:w="649" w:type="pct"/>
                  <w:tcBorders>
                    <w:right w:val="single" w:color="000000" w:sz="4" w:space="0"/>
                  </w:tcBorders>
                  <w:vAlign w:val="center"/>
                </w:tcPr>
                <w:p>
                  <w:pPr>
                    <w:pStyle w:val="36"/>
                    <w:rPr>
                      <w:color w:val="auto"/>
                    </w:rPr>
                  </w:pPr>
                  <w:r>
                    <w:rPr>
                      <w:rFonts w:hint="eastAsia"/>
                      <w:color w:val="auto"/>
                    </w:rPr>
                    <w:t>170kg/桶</w:t>
                  </w:r>
                </w:p>
              </w:tc>
              <w:tc>
                <w:tcPr>
                  <w:tcW w:w="649" w:type="pct"/>
                  <w:tcBorders>
                    <w:left w:val="single" w:color="000000" w:sz="4" w:space="0"/>
                  </w:tcBorders>
                  <w:vAlign w:val="center"/>
                </w:tcPr>
                <w:p>
                  <w:pPr>
                    <w:pStyle w:val="36"/>
                    <w:bidi w:val="0"/>
                    <w:rPr>
                      <w:color w:val="auto"/>
                    </w:rPr>
                  </w:pPr>
                  <w:r>
                    <w:rPr>
                      <w:rFonts w:hint="eastAsia"/>
                      <w:color w:val="auto"/>
                      <w:lang w:val="en-US" w:eastAsia="zh-CN"/>
                    </w:rPr>
                    <w:t>***</w:t>
                  </w:r>
                </w:p>
              </w:tc>
              <w:tc>
                <w:tcPr>
                  <w:tcW w:w="642" w:type="pct"/>
                  <w:vAlign w:val="center"/>
                </w:tcPr>
                <w:p>
                  <w:pPr>
                    <w:pStyle w:val="36"/>
                    <w:rPr>
                      <w:color w:val="auto"/>
                    </w:rPr>
                  </w:pPr>
                  <w:r>
                    <w:rPr>
                      <w:rFonts w:hint="eastAsia"/>
                      <w:color w:val="auto"/>
                    </w:rPr>
                    <w:t>辅料仓库</w:t>
                  </w:r>
                </w:p>
              </w:tc>
              <w:tc>
                <w:tcPr>
                  <w:tcW w:w="1326" w:type="dxa"/>
                  <w:vAlign w:val="center"/>
                </w:tcPr>
                <w:p>
                  <w:pPr>
                    <w:pStyle w:val="36"/>
                    <w:bidi w:val="0"/>
                    <w:ind w:firstLine="0" w:firstLineChars="0"/>
                    <w:rPr>
                      <w:color w:val="auto"/>
                    </w:rPr>
                  </w:pPr>
                  <w:r>
                    <w:rPr>
                      <w:rFonts w:hint="eastAsia"/>
                      <w:color w:val="auto"/>
                      <w:lang w:val="en-US" w:eastAsia="zh-CN"/>
                    </w:rPr>
                    <w:t>***</w:t>
                  </w:r>
                </w:p>
              </w:tc>
              <w:tc>
                <w:tcPr>
                  <w:tcW w:w="531" w:type="pct"/>
                  <w:vAlign w:val="center"/>
                </w:tcPr>
                <w:p>
                  <w:pPr>
                    <w:pStyle w:val="36"/>
                    <w:rPr>
                      <w:color w:val="auto"/>
                    </w:rPr>
                  </w:pPr>
                  <w:r>
                    <w:rPr>
                      <w:rFonts w:hint="eastAsia"/>
                      <w:color w:val="auto"/>
                    </w:rPr>
                    <w:t>液态</w:t>
                  </w:r>
                </w:p>
              </w:tc>
              <w:tc>
                <w:tcPr>
                  <w:tcW w:w="838" w:type="pct"/>
                  <w:vAlign w:val="center"/>
                </w:tcPr>
                <w:p>
                  <w:pPr>
                    <w:pStyle w:val="36"/>
                    <w:rPr>
                      <w:color w:val="auto"/>
                    </w:rPr>
                  </w:pPr>
                  <w:r>
                    <w:rPr>
                      <w:rFonts w:hint="eastAsia"/>
                      <w:color w:val="auto"/>
                    </w:rPr>
                    <w:t>外购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321" w:type="pct"/>
                  <w:vAlign w:val="center"/>
                </w:tcPr>
                <w:p>
                  <w:pPr>
                    <w:pStyle w:val="36"/>
                    <w:rPr>
                      <w:color w:val="auto"/>
                    </w:rPr>
                  </w:pPr>
                  <w:r>
                    <w:rPr>
                      <w:rFonts w:hint="eastAsia"/>
                      <w:color w:val="auto"/>
                    </w:rPr>
                    <w:t>4</w:t>
                  </w:r>
                </w:p>
              </w:tc>
              <w:tc>
                <w:tcPr>
                  <w:tcW w:w="576" w:type="pct"/>
                  <w:vAlign w:val="center"/>
                </w:tcPr>
                <w:p>
                  <w:pPr>
                    <w:pStyle w:val="36"/>
                    <w:rPr>
                      <w:color w:val="auto"/>
                    </w:rPr>
                  </w:pPr>
                  <w:r>
                    <w:rPr>
                      <w:rFonts w:hint="eastAsia"/>
                      <w:color w:val="auto"/>
                    </w:rPr>
                    <w:t>润滑油</w:t>
                  </w:r>
                </w:p>
              </w:tc>
              <w:tc>
                <w:tcPr>
                  <w:tcW w:w="649" w:type="pct"/>
                  <w:tcBorders>
                    <w:right w:val="single" w:color="000000" w:sz="4" w:space="0"/>
                  </w:tcBorders>
                  <w:vAlign w:val="center"/>
                </w:tcPr>
                <w:p>
                  <w:pPr>
                    <w:pStyle w:val="36"/>
                    <w:rPr>
                      <w:color w:val="auto"/>
                    </w:rPr>
                  </w:pPr>
                  <w:r>
                    <w:rPr>
                      <w:rFonts w:hint="eastAsia"/>
                      <w:color w:val="auto"/>
                    </w:rPr>
                    <w:t>170kg/桶</w:t>
                  </w:r>
                </w:p>
              </w:tc>
              <w:tc>
                <w:tcPr>
                  <w:tcW w:w="649" w:type="pct"/>
                  <w:tcBorders>
                    <w:left w:val="single" w:color="000000" w:sz="4" w:space="0"/>
                  </w:tcBorders>
                  <w:vAlign w:val="center"/>
                </w:tcPr>
                <w:p>
                  <w:pPr>
                    <w:pStyle w:val="36"/>
                    <w:bidi w:val="0"/>
                    <w:rPr>
                      <w:color w:val="auto"/>
                    </w:rPr>
                  </w:pPr>
                  <w:r>
                    <w:rPr>
                      <w:rFonts w:hint="eastAsia"/>
                      <w:color w:val="auto"/>
                      <w:lang w:val="en-US" w:eastAsia="zh-CN"/>
                    </w:rPr>
                    <w:t>***</w:t>
                  </w:r>
                </w:p>
              </w:tc>
              <w:tc>
                <w:tcPr>
                  <w:tcW w:w="642" w:type="pct"/>
                  <w:vAlign w:val="center"/>
                </w:tcPr>
                <w:p>
                  <w:pPr>
                    <w:pStyle w:val="36"/>
                    <w:rPr>
                      <w:color w:val="auto"/>
                    </w:rPr>
                  </w:pPr>
                  <w:r>
                    <w:rPr>
                      <w:rFonts w:hint="eastAsia"/>
                      <w:color w:val="auto"/>
                    </w:rPr>
                    <w:t>辅料仓库</w:t>
                  </w:r>
                </w:p>
              </w:tc>
              <w:tc>
                <w:tcPr>
                  <w:tcW w:w="1326" w:type="dxa"/>
                  <w:vAlign w:val="center"/>
                </w:tcPr>
                <w:p>
                  <w:pPr>
                    <w:pStyle w:val="36"/>
                    <w:bidi w:val="0"/>
                    <w:ind w:firstLine="0" w:firstLineChars="0"/>
                    <w:rPr>
                      <w:color w:val="auto"/>
                    </w:rPr>
                  </w:pPr>
                  <w:r>
                    <w:rPr>
                      <w:rFonts w:hint="eastAsia"/>
                      <w:color w:val="auto"/>
                      <w:lang w:val="en-US" w:eastAsia="zh-CN"/>
                    </w:rPr>
                    <w:t>***</w:t>
                  </w:r>
                </w:p>
              </w:tc>
              <w:tc>
                <w:tcPr>
                  <w:tcW w:w="531" w:type="pct"/>
                  <w:vAlign w:val="center"/>
                </w:tcPr>
                <w:p>
                  <w:pPr>
                    <w:pStyle w:val="36"/>
                    <w:rPr>
                      <w:color w:val="auto"/>
                    </w:rPr>
                  </w:pPr>
                  <w:r>
                    <w:rPr>
                      <w:rFonts w:hint="eastAsia"/>
                      <w:color w:val="auto"/>
                    </w:rPr>
                    <w:t>液态</w:t>
                  </w:r>
                </w:p>
              </w:tc>
              <w:tc>
                <w:tcPr>
                  <w:tcW w:w="838" w:type="pct"/>
                  <w:vAlign w:val="center"/>
                </w:tcPr>
                <w:p>
                  <w:pPr>
                    <w:pStyle w:val="36"/>
                    <w:rPr>
                      <w:color w:val="auto"/>
                    </w:rPr>
                  </w:pPr>
                  <w:r>
                    <w:rPr>
                      <w:rFonts w:hint="eastAsia"/>
                      <w:color w:val="auto"/>
                    </w:rPr>
                    <w:t>外购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538" w:type="dxa"/>
                  <w:vAlign w:val="center"/>
                </w:tcPr>
                <w:p>
                  <w:pPr>
                    <w:pStyle w:val="36"/>
                    <w:rPr>
                      <w:color w:val="auto"/>
                    </w:rPr>
                  </w:pPr>
                  <w:r>
                    <w:rPr>
                      <w:rFonts w:hint="eastAsia"/>
                      <w:color w:val="auto"/>
                    </w:rPr>
                    <w:t>5</w:t>
                  </w:r>
                </w:p>
              </w:tc>
              <w:tc>
                <w:tcPr>
                  <w:tcW w:w="576" w:type="pct"/>
                  <w:vAlign w:val="center"/>
                </w:tcPr>
                <w:p>
                  <w:pPr>
                    <w:pStyle w:val="36"/>
                    <w:rPr>
                      <w:color w:val="auto"/>
                    </w:rPr>
                  </w:pPr>
                  <w:r>
                    <w:rPr>
                      <w:rFonts w:hint="eastAsia"/>
                      <w:color w:val="auto"/>
                    </w:rPr>
                    <w:t>模具</w:t>
                  </w:r>
                </w:p>
              </w:tc>
              <w:tc>
                <w:tcPr>
                  <w:tcW w:w="649" w:type="pct"/>
                  <w:tcBorders>
                    <w:right w:val="single" w:color="000000" w:sz="4" w:space="0"/>
                  </w:tcBorders>
                  <w:vAlign w:val="center"/>
                </w:tcPr>
                <w:p>
                  <w:pPr>
                    <w:pStyle w:val="36"/>
                    <w:rPr>
                      <w:color w:val="auto"/>
                    </w:rPr>
                  </w:pPr>
                  <w:r>
                    <w:rPr>
                      <w:rFonts w:hint="eastAsia"/>
                      <w:color w:val="auto"/>
                    </w:rPr>
                    <w:t>35kg/个</w:t>
                  </w:r>
                </w:p>
              </w:tc>
              <w:tc>
                <w:tcPr>
                  <w:tcW w:w="649" w:type="pct"/>
                  <w:tcBorders>
                    <w:left w:val="single" w:color="000000" w:sz="4" w:space="0"/>
                  </w:tcBorders>
                  <w:vAlign w:val="center"/>
                </w:tcPr>
                <w:p>
                  <w:pPr>
                    <w:pStyle w:val="36"/>
                    <w:bidi w:val="0"/>
                    <w:rPr>
                      <w:color w:val="auto"/>
                    </w:rPr>
                  </w:pPr>
                  <w:r>
                    <w:rPr>
                      <w:rFonts w:hint="eastAsia"/>
                      <w:color w:val="auto"/>
                      <w:lang w:val="en-US" w:eastAsia="zh-CN"/>
                    </w:rPr>
                    <w:t>***</w:t>
                  </w:r>
                </w:p>
              </w:tc>
              <w:tc>
                <w:tcPr>
                  <w:tcW w:w="642" w:type="pct"/>
                  <w:vAlign w:val="center"/>
                </w:tcPr>
                <w:p>
                  <w:pPr>
                    <w:pStyle w:val="36"/>
                    <w:rPr>
                      <w:color w:val="auto"/>
                    </w:rPr>
                  </w:pPr>
                  <w:r>
                    <w:rPr>
                      <w:rFonts w:hint="eastAsia"/>
                      <w:color w:val="auto"/>
                    </w:rPr>
                    <w:t>模具仓库</w:t>
                  </w:r>
                </w:p>
              </w:tc>
              <w:tc>
                <w:tcPr>
                  <w:tcW w:w="1326" w:type="dxa"/>
                  <w:vAlign w:val="center"/>
                </w:tcPr>
                <w:p>
                  <w:pPr>
                    <w:pStyle w:val="36"/>
                    <w:bidi w:val="0"/>
                    <w:ind w:firstLine="0" w:firstLineChars="0"/>
                    <w:rPr>
                      <w:color w:val="auto"/>
                    </w:rPr>
                  </w:pPr>
                  <w:r>
                    <w:rPr>
                      <w:rFonts w:hint="eastAsia"/>
                      <w:color w:val="auto"/>
                      <w:lang w:val="en-US" w:eastAsia="zh-CN"/>
                    </w:rPr>
                    <w:t>***</w:t>
                  </w:r>
                </w:p>
              </w:tc>
              <w:tc>
                <w:tcPr>
                  <w:tcW w:w="531" w:type="pct"/>
                  <w:vAlign w:val="center"/>
                </w:tcPr>
                <w:p>
                  <w:pPr>
                    <w:pStyle w:val="36"/>
                    <w:rPr>
                      <w:color w:val="auto"/>
                    </w:rPr>
                  </w:pPr>
                  <w:r>
                    <w:rPr>
                      <w:rFonts w:hint="eastAsia"/>
                      <w:color w:val="auto"/>
                    </w:rPr>
                    <w:t>固态</w:t>
                  </w:r>
                </w:p>
              </w:tc>
              <w:tc>
                <w:tcPr>
                  <w:tcW w:w="838" w:type="pct"/>
                  <w:vAlign w:val="center"/>
                </w:tcPr>
                <w:p>
                  <w:pPr>
                    <w:pStyle w:val="36"/>
                    <w:rPr>
                      <w:color w:val="auto"/>
                    </w:rPr>
                  </w:pPr>
                  <w:r>
                    <w:rPr>
                      <w:rFonts w:hint="eastAsia"/>
                      <w:color w:val="auto"/>
                    </w:rPr>
                    <w:t>外购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538" w:type="dxa"/>
                  <w:vAlign w:val="center"/>
                </w:tcPr>
                <w:p>
                  <w:pPr>
                    <w:pStyle w:val="36"/>
                    <w:rPr>
                      <w:color w:val="auto"/>
                    </w:rPr>
                  </w:pPr>
                  <w:r>
                    <w:rPr>
                      <w:rFonts w:hint="eastAsia"/>
                      <w:color w:val="auto"/>
                    </w:rPr>
                    <w:t>6</w:t>
                  </w:r>
                </w:p>
              </w:tc>
              <w:tc>
                <w:tcPr>
                  <w:tcW w:w="576" w:type="pct"/>
                  <w:vAlign w:val="center"/>
                </w:tcPr>
                <w:p>
                  <w:pPr>
                    <w:pStyle w:val="36"/>
                    <w:rPr>
                      <w:color w:val="auto"/>
                    </w:rPr>
                  </w:pPr>
                  <w:r>
                    <w:rPr>
                      <w:rFonts w:hint="eastAsia"/>
                      <w:color w:val="auto"/>
                    </w:rPr>
                    <w:t>毛毡</w:t>
                  </w:r>
                </w:p>
              </w:tc>
              <w:tc>
                <w:tcPr>
                  <w:tcW w:w="649" w:type="pct"/>
                  <w:tcBorders>
                    <w:right w:val="single" w:color="000000" w:sz="4" w:space="0"/>
                  </w:tcBorders>
                  <w:vAlign w:val="center"/>
                </w:tcPr>
                <w:p>
                  <w:pPr>
                    <w:pStyle w:val="36"/>
                    <w:rPr>
                      <w:color w:val="auto"/>
                    </w:rPr>
                  </w:pPr>
                  <w:r>
                    <w:rPr>
                      <w:rFonts w:hint="eastAsia"/>
                      <w:color w:val="auto"/>
                    </w:rPr>
                    <w:t>/</w:t>
                  </w:r>
                </w:p>
              </w:tc>
              <w:tc>
                <w:tcPr>
                  <w:tcW w:w="649" w:type="pct"/>
                  <w:tcBorders>
                    <w:left w:val="single" w:color="000000" w:sz="4" w:space="0"/>
                  </w:tcBorders>
                  <w:vAlign w:val="center"/>
                </w:tcPr>
                <w:p>
                  <w:pPr>
                    <w:pStyle w:val="36"/>
                    <w:bidi w:val="0"/>
                    <w:rPr>
                      <w:color w:val="auto"/>
                    </w:rPr>
                  </w:pPr>
                  <w:r>
                    <w:rPr>
                      <w:rFonts w:hint="eastAsia"/>
                      <w:color w:val="auto"/>
                      <w:lang w:val="en-US" w:eastAsia="zh-CN"/>
                    </w:rPr>
                    <w:t>***</w:t>
                  </w:r>
                </w:p>
              </w:tc>
              <w:tc>
                <w:tcPr>
                  <w:tcW w:w="642" w:type="pct"/>
                  <w:vAlign w:val="center"/>
                </w:tcPr>
                <w:p>
                  <w:pPr>
                    <w:pStyle w:val="36"/>
                    <w:rPr>
                      <w:color w:val="auto"/>
                    </w:rPr>
                  </w:pPr>
                  <w:r>
                    <w:rPr>
                      <w:rFonts w:hint="eastAsia"/>
                      <w:color w:val="auto"/>
                    </w:rPr>
                    <w:t>辅料仓库</w:t>
                  </w:r>
                </w:p>
              </w:tc>
              <w:tc>
                <w:tcPr>
                  <w:tcW w:w="1326" w:type="dxa"/>
                  <w:vAlign w:val="center"/>
                </w:tcPr>
                <w:p>
                  <w:pPr>
                    <w:pStyle w:val="36"/>
                    <w:bidi w:val="0"/>
                    <w:ind w:firstLine="0" w:firstLineChars="0"/>
                    <w:rPr>
                      <w:color w:val="auto"/>
                    </w:rPr>
                  </w:pPr>
                  <w:r>
                    <w:rPr>
                      <w:rFonts w:hint="eastAsia"/>
                      <w:color w:val="auto"/>
                      <w:lang w:val="en-US" w:eastAsia="zh-CN"/>
                    </w:rPr>
                    <w:t>***</w:t>
                  </w:r>
                </w:p>
              </w:tc>
              <w:tc>
                <w:tcPr>
                  <w:tcW w:w="531" w:type="pct"/>
                  <w:vAlign w:val="center"/>
                </w:tcPr>
                <w:p>
                  <w:pPr>
                    <w:pStyle w:val="36"/>
                    <w:rPr>
                      <w:color w:val="auto"/>
                    </w:rPr>
                  </w:pPr>
                  <w:r>
                    <w:rPr>
                      <w:rFonts w:hint="eastAsia"/>
                      <w:color w:val="auto"/>
                    </w:rPr>
                    <w:t>固态</w:t>
                  </w:r>
                </w:p>
              </w:tc>
              <w:tc>
                <w:tcPr>
                  <w:tcW w:w="838" w:type="pct"/>
                  <w:vAlign w:val="center"/>
                </w:tcPr>
                <w:p>
                  <w:pPr>
                    <w:pStyle w:val="36"/>
                    <w:rPr>
                      <w:color w:val="auto"/>
                    </w:rPr>
                  </w:pPr>
                  <w:r>
                    <w:rPr>
                      <w:rFonts w:hint="eastAsia"/>
                      <w:color w:val="auto"/>
                    </w:rPr>
                    <w:t>外购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538" w:type="dxa"/>
                  <w:vAlign w:val="center"/>
                </w:tcPr>
                <w:p>
                  <w:pPr>
                    <w:pStyle w:val="36"/>
                    <w:rPr>
                      <w:color w:val="auto"/>
                    </w:rPr>
                  </w:pPr>
                  <w:r>
                    <w:rPr>
                      <w:rFonts w:hint="eastAsia"/>
                      <w:color w:val="auto"/>
                    </w:rPr>
                    <w:t>7</w:t>
                  </w:r>
                </w:p>
              </w:tc>
              <w:tc>
                <w:tcPr>
                  <w:tcW w:w="576" w:type="pct"/>
                  <w:vAlign w:val="center"/>
                </w:tcPr>
                <w:p>
                  <w:pPr>
                    <w:pStyle w:val="36"/>
                    <w:rPr>
                      <w:color w:val="auto"/>
                    </w:rPr>
                  </w:pPr>
                  <w:r>
                    <w:rPr>
                      <w:rFonts w:hint="eastAsia"/>
                      <w:color w:val="auto"/>
                    </w:rPr>
                    <w:t>水</w:t>
                  </w:r>
                </w:p>
              </w:tc>
              <w:tc>
                <w:tcPr>
                  <w:tcW w:w="649" w:type="pct"/>
                  <w:tcBorders>
                    <w:right w:val="single" w:color="000000" w:sz="4" w:space="0"/>
                  </w:tcBorders>
                  <w:vAlign w:val="center"/>
                </w:tcPr>
                <w:p>
                  <w:pPr>
                    <w:pStyle w:val="36"/>
                    <w:rPr>
                      <w:color w:val="auto"/>
                    </w:rPr>
                  </w:pPr>
                  <w:r>
                    <w:rPr>
                      <w:rFonts w:hint="eastAsia"/>
                      <w:color w:val="auto"/>
                    </w:rPr>
                    <w:t>t/a</w:t>
                  </w:r>
                </w:p>
              </w:tc>
              <w:tc>
                <w:tcPr>
                  <w:tcW w:w="649" w:type="pct"/>
                  <w:tcBorders>
                    <w:left w:val="single" w:color="000000" w:sz="4" w:space="0"/>
                  </w:tcBorders>
                  <w:vAlign w:val="center"/>
                </w:tcPr>
                <w:p>
                  <w:pPr>
                    <w:pStyle w:val="36"/>
                    <w:rPr>
                      <w:rFonts w:hint="default" w:eastAsia="宋体"/>
                      <w:color w:val="auto"/>
                      <w:lang w:val="en-US" w:eastAsia="zh-CN"/>
                    </w:rPr>
                  </w:pPr>
                  <w:r>
                    <w:rPr>
                      <w:rFonts w:hint="eastAsia"/>
                      <w:color w:val="auto"/>
                      <w:lang w:val="en-US" w:eastAsia="zh-CN"/>
                    </w:rPr>
                    <w:t>7405</w:t>
                  </w:r>
                </w:p>
              </w:tc>
              <w:tc>
                <w:tcPr>
                  <w:tcW w:w="642" w:type="pct"/>
                  <w:vAlign w:val="center"/>
                </w:tcPr>
                <w:p>
                  <w:pPr>
                    <w:pStyle w:val="36"/>
                    <w:rPr>
                      <w:color w:val="auto"/>
                    </w:rPr>
                  </w:pPr>
                  <w:r>
                    <w:rPr>
                      <w:rFonts w:hint="eastAsia"/>
                      <w:color w:val="auto"/>
                    </w:rPr>
                    <w:t>/</w:t>
                  </w:r>
                </w:p>
              </w:tc>
              <w:tc>
                <w:tcPr>
                  <w:tcW w:w="789" w:type="pct"/>
                  <w:vAlign w:val="center"/>
                </w:tcPr>
                <w:p>
                  <w:pPr>
                    <w:pStyle w:val="36"/>
                    <w:rPr>
                      <w:color w:val="auto"/>
                    </w:rPr>
                  </w:pPr>
                  <w:r>
                    <w:rPr>
                      <w:rFonts w:hint="eastAsia"/>
                      <w:color w:val="auto"/>
                    </w:rPr>
                    <w:t>/</w:t>
                  </w:r>
                </w:p>
              </w:tc>
              <w:tc>
                <w:tcPr>
                  <w:tcW w:w="531" w:type="pct"/>
                  <w:vAlign w:val="center"/>
                </w:tcPr>
                <w:p>
                  <w:pPr>
                    <w:pStyle w:val="36"/>
                    <w:rPr>
                      <w:color w:val="auto"/>
                    </w:rPr>
                  </w:pPr>
                  <w:r>
                    <w:rPr>
                      <w:rFonts w:hint="eastAsia"/>
                      <w:color w:val="auto"/>
                    </w:rPr>
                    <w:t>/</w:t>
                  </w:r>
                </w:p>
              </w:tc>
              <w:tc>
                <w:tcPr>
                  <w:tcW w:w="838" w:type="pct"/>
                  <w:vAlign w:val="center"/>
                </w:tcPr>
                <w:p>
                  <w:pPr>
                    <w:pStyle w:val="36"/>
                    <w:rPr>
                      <w:color w:val="auto"/>
                    </w:rPr>
                  </w:pPr>
                  <w:r>
                    <w:rPr>
                      <w:rFonts w:hint="eastAsia"/>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321" w:type="pct"/>
                  <w:vAlign w:val="center"/>
                </w:tcPr>
                <w:p>
                  <w:pPr>
                    <w:pStyle w:val="36"/>
                    <w:rPr>
                      <w:color w:val="auto"/>
                    </w:rPr>
                  </w:pPr>
                  <w:r>
                    <w:rPr>
                      <w:rFonts w:hint="eastAsia"/>
                      <w:color w:val="auto"/>
                    </w:rPr>
                    <w:t>8</w:t>
                  </w:r>
                </w:p>
              </w:tc>
              <w:tc>
                <w:tcPr>
                  <w:tcW w:w="576" w:type="pct"/>
                  <w:vAlign w:val="center"/>
                </w:tcPr>
                <w:p>
                  <w:pPr>
                    <w:pStyle w:val="36"/>
                    <w:rPr>
                      <w:color w:val="auto"/>
                    </w:rPr>
                  </w:pPr>
                  <w:r>
                    <w:rPr>
                      <w:rFonts w:hint="eastAsia"/>
                      <w:color w:val="auto"/>
                    </w:rPr>
                    <w:t>电</w:t>
                  </w:r>
                </w:p>
              </w:tc>
              <w:tc>
                <w:tcPr>
                  <w:tcW w:w="649" w:type="pct"/>
                  <w:tcBorders>
                    <w:right w:val="single" w:color="000000" w:sz="4" w:space="0"/>
                  </w:tcBorders>
                  <w:vAlign w:val="center"/>
                </w:tcPr>
                <w:p>
                  <w:pPr>
                    <w:pStyle w:val="36"/>
                    <w:rPr>
                      <w:color w:val="auto"/>
                    </w:rPr>
                  </w:pPr>
                  <w:r>
                    <w:rPr>
                      <w:rFonts w:hint="eastAsia"/>
                      <w:color w:val="auto"/>
                    </w:rPr>
                    <w:t>kwh/a</w:t>
                  </w:r>
                </w:p>
              </w:tc>
              <w:tc>
                <w:tcPr>
                  <w:tcW w:w="649" w:type="pct"/>
                  <w:tcBorders>
                    <w:left w:val="single" w:color="000000" w:sz="4" w:space="0"/>
                  </w:tcBorders>
                  <w:vAlign w:val="center"/>
                </w:tcPr>
                <w:p>
                  <w:pPr>
                    <w:pStyle w:val="36"/>
                    <w:rPr>
                      <w:color w:val="auto"/>
                    </w:rPr>
                  </w:pPr>
                  <w:r>
                    <w:rPr>
                      <w:rFonts w:hint="eastAsia"/>
                      <w:color w:val="auto"/>
                    </w:rPr>
                    <w:t xml:space="preserve">427.09万 </w:t>
                  </w:r>
                </w:p>
              </w:tc>
              <w:tc>
                <w:tcPr>
                  <w:tcW w:w="642" w:type="pct"/>
                  <w:vAlign w:val="center"/>
                </w:tcPr>
                <w:p>
                  <w:pPr>
                    <w:pStyle w:val="36"/>
                    <w:rPr>
                      <w:color w:val="auto"/>
                    </w:rPr>
                  </w:pPr>
                  <w:r>
                    <w:rPr>
                      <w:rFonts w:hint="eastAsia"/>
                      <w:color w:val="auto"/>
                    </w:rPr>
                    <w:t>/</w:t>
                  </w:r>
                </w:p>
              </w:tc>
              <w:tc>
                <w:tcPr>
                  <w:tcW w:w="789" w:type="pct"/>
                  <w:vAlign w:val="center"/>
                </w:tcPr>
                <w:p>
                  <w:pPr>
                    <w:pStyle w:val="36"/>
                    <w:rPr>
                      <w:color w:val="auto"/>
                    </w:rPr>
                  </w:pPr>
                  <w:r>
                    <w:rPr>
                      <w:rFonts w:hint="eastAsia"/>
                      <w:color w:val="auto"/>
                    </w:rPr>
                    <w:t>/</w:t>
                  </w:r>
                </w:p>
              </w:tc>
              <w:tc>
                <w:tcPr>
                  <w:tcW w:w="531" w:type="pct"/>
                  <w:vAlign w:val="center"/>
                </w:tcPr>
                <w:p>
                  <w:pPr>
                    <w:pStyle w:val="36"/>
                    <w:rPr>
                      <w:color w:val="auto"/>
                    </w:rPr>
                  </w:pPr>
                  <w:r>
                    <w:rPr>
                      <w:rFonts w:hint="eastAsia"/>
                      <w:color w:val="auto"/>
                    </w:rPr>
                    <w:t>/</w:t>
                  </w:r>
                </w:p>
              </w:tc>
              <w:tc>
                <w:tcPr>
                  <w:tcW w:w="838" w:type="pct"/>
                  <w:vAlign w:val="center"/>
                </w:tcPr>
                <w:p>
                  <w:pPr>
                    <w:pStyle w:val="36"/>
                    <w:rPr>
                      <w:color w:val="auto"/>
                    </w:rPr>
                  </w:pPr>
                  <w:r>
                    <w:rPr>
                      <w:rFonts w:hint="eastAsia"/>
                      <w:color w:val="auto"/>
                    </w:rPr>
                    <w:t>/</w:t>
                  </w:r>
                </w:p>
              </w:tc>
            </w:tr>
          </w:tbl>
          <w:p>
            <w:pPr>
              <w:pStyle w:val="38"/>
              <w:ind w:firstLine="480"/>
              <w:rPr>
                <w:color w:val="auto"/>
              </w:rPr>
            </w:pPr>
            <w:r>
              <w:rPr>
                <w:rFonts w:hint="eastAsia"/>
                <w:color w:val="auto"/>
              </w:rPr>
              <w:t>（2）理化性质</w:t>
            </w:r>
          </w:p>
          <w:p>
            <w:pPr>
              <w:pStyle w:val="38"/>
              <w:ind w:firstLine="480"/>
              <w:rPr>
                <w:color w:val="auto"/>
              </w:rPr>
            </w:pPr>
            <w:r>
              <w:rPr>
                <w:rFonts w:hint="eastAsia"/>
                <w:color w:val="auto"/>
              </w:rPr>
              <w:t>①铜拉丝油</w:t>
            </w:r>
            <w:r>
              <w:rPr>
                <w:color w:val="auto"/>
              </w:rPr>
              <w:t>主要成分一览表</w:t>
            </w:r>
          </w:p>
          <w:p>
            <w:pPr>
              <w:pStyle w:val="128"/>
              <w:ind w:firstLine="480"/>
              <w:rPr>
                <w:color w:val="auto"/>
              </w:rPr>
            </w:pPr>
            <w:r>
              <w:rPr>
                <w:color w:val="auto"/>
              </w:rPr>
              <w:t>根据建设单位提供的《</w:t>
            </w:r>
            <w:r>
              <w:rPr>
                <w:rFonts w:hint="eastAsia"/>
                <w:color w:val="auto"/>
              </w:rPr>
              <w:t>HT铜拉丝油</w:t>
            </w:r>
            <w:r>
              <w:rPr>
                <w:color w:val="auto"/>
              </w:rPr>
              <w:t>化学品安全技术说明书》</w:t>
            </w:r>
            <w:r>
              <w:rPr>
                <w:rFonts w:hint="eastAsia"/>
                <w:color w:val="auto"/>
              </w:rPr>
              <w:t>（</w:t>
            </w:r>
            <w:r>
              <w:rPr>
                <w:color w:val="auto"/>
              </w:rPr>
              <w:t>见附件</w:t>
            </w:r>
            <w:r>
              <w:rPr>
                <w:rFonts w:hint="eastAsia"/>
                <w:color w:val="auto"/>
                <w:lang w:val="en-US" w:eastAsia="zh-CN"/>
              </w:rPr>
              <w:t>9</w:t>
            </w:r>
            <w:r>
              <w:rPr>
                <w:rFonts w:hint="eastAsia"/>
                <w:color w:val="auto"/>
              </w:rPr>
              <w:t>），</w:t>
            </w:r>
            <w:r>
              <w:rPr>
                <w:color w:val="auto"/>
              </w:rPr>
              <w:t>主要成分见表</w:t>
            </w:r>
            <w:r>
              <w:rPr>
                <w:rFonts w:hint="eastAsia"/>
                <w:color w:val="auto"/>
              </w:rPr>
              <w:t>2.3</w:t>
            </w:r>
            <w:r>
              <w:rPr>
                <w:color w:val="auto"/>
              </w:rPr>
              <w:t>-</w:t>
            </w:r>
            <w:r>
              <w:rPr>
                <w:rFonts w:hint="eastAsia"/>
                <w:color w:val="auto"/>
              </w:rPr>
              <w:t>2</w:t>
            </w:r>
            <w:r>
              <w:rPr>
                <w:color w:val="auto"/>
              </w:rPr>
              <w:t>。</w:t>
            </w:r>
          </w:p>
          <w:p>
            <w:pPr>
              <w:pStyle w:val="37"/>
              <w:rPr>
                <w:color w:val="auto"/>
              </w:rPr>
            </w:pPr>
          </w:p>
          <w:p>
            <w:pPr>
              <w:pStyle w:val="37"/>
              <w:rPr>
                <w:color w:val="auto"/>
              </w:rPr>
            </w:pPr>
            <w:r>
              <w:rPr>
                <w:color w:val="auto"/>
              </w:rPr>
              <w:t>表</w:t>
            </w:r>
            <w:r>
              <w:rPr>
                <w:rFonts w:hint="eastAsia"/>
                <w:color w:val="auto"/>
                <w:lang w:val="en-US"/>
              </w:rPr>
              <w:t>2.3-2</w:t>
            </w:r>
            <w:r>
              <w:rPr>
                <w:color w:val="auto"/>
              </w:rPr>
              <w:t xml:space="preserve">  </w:t>
            </w:r>
            <w:r>
              <w:rPr>
                <w:rFonts w:hint="eastAsia"/>
                <w:color w:val="auto"/>
              </w:rPr>
              <w:t>铜拉丝油</w:t>
            </w:r>
            <w:r>
              <w:rPr>
                <w:color w:val="auto"/>
              </w:rPr>
              <w:t>主要成分一览表</w:t>
            </w:r>
          </w:p>
          <w:tbl>
            <w:tblPr>
              <w:tblStyle w:val="2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86"/>
              <w:gridCol w:w="2320"/>
              <w:gridCol w:w="2712"/>
              <w:gridCol w:w="22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646" w:type="pct"/>
                  <w:vAlign w:val="center"/>
                </w:tcPr>
                <w:p>
                  <w:pPr>
                    <w:pStyle w:val="36"/>
                    <w:rPr>
                      <w:color w:val="auto"/>
                    </w:rPr>
                  </w:pPr>
                  <w:r>
                    <w:rPr>
                      <w:rFonts w:hint="eastAsia"/>
                      <w:color w:val="auto"/>
                    </w:rPr>
                    <w:t>名称</w:t>
                  </w:r>
                </w:p>
              </w:tc>
              <w:tc>
                <w:tcPr>
                  <w:tcW w:w="1382" w:type="pct"/>
                  <w:vAlign w:val="center"/>
                </w:tcPr>
                <w:p>
                  <w:pPr>
                    <w:pStyle w:val="36"/>
                    <w:rPr>
                      <w:color w:val="auto"/>
                    </w:rPr>
                  </w:pPr>
                  <w:r>
                    <w:rPr>
                      <w:rFonts w:hint="eastAsia"/>
                      <w:color w:val="auto"/>
                    </w:rPr>
                    <w:t>组成</w:t>
                  </w:r>
                  <w:r>
                    <w:rPr>
                      <w:color w:val="auto"/>
                    </w:rPr>
                    <w:t>成分</w:t>
                  </w:r>
                </w:p>
              </w:tc>
              <w:tc>
                <w:tcPr>
                  <w:tcW w:w="1615" w:type="pct"/>
                  <w:tcBorders>
                    <w:right w:val="single" w:color="000000" w:sz="2" w:space="0"/>
                  </w:tcBorders>
                  <w:vAlign w:val="center"/>
                </w:tcPr>
                <w:p>
                  <w:pPr>
                    <w:pStyle w:val="36"/>
                    <w:rPr>
                      <w:color w:val="auto"/>
                    </w:rPr>
                  </w:pPr>
                  <w:r>
                    <w:rPr>
                      <w:rFonts w:hint="eastAsia"/>
                      <w:color w:val="auto"/>
                    </w:rPr>
                    <w:t>CAS号</w:t>
                  </w:r>
                </w:p>
              </w:tc>
              <w:tc>
                <w:tcPr>
                  <w:tcW w:w="1355" w:type="pct"/>
                  <w:tcBorders>
                    <w:left w:val="single" w:color="000000" w:sz="2" w:space="0"/>
                  </w:tcBorders>
                  <w:vAlign w:val="center"/>
                </w:tcPr>
                <w:p>
                  <w:pPr>
                    <w:pStyle w:val="36"/>
                    <w:rPr>
                      <w:color w:val="auto"/>
                    </w:rPr>
                  </w:pPr>
                  <w:r>
                    <w:rPr>
                      <w:color w:val="auto"/>
                    </w:rPr>
                    <w:t>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Merge w:val="restart"/>
                  <w:vAlign w:val="center"/>
                </w:tcPr>
                <w:p>
                  <w:pPr>
                    <w:pStyle w:val="36"/>
                    <w:rPr>
                      <w:color w:val="auto"/>
                    </w:rPr>
                  </w:pPr>
                  <w:r>
                    <w:rPr>
                      <w:rFonts w:hint="eastAsia"/>
                      <w:color w:val="auto"/>
                    </w:rPr>
                    <w:t>铜拉丝油</w:t>
                  </w:r>
                </w:p>
              </w:tc>
              <w:tc>
                <w:tcPr>
                  <w:tcW w:w="1382" w:type="pct"/>
                  <w:vAlign w:val="center"/>
                </w:tcPr>
                <w:p>
                  <w:pPr>
                    <w:pStyle w:val="36"/>
                    <w:rPr>
                      <w:color w:val="auto"/>
                    </w:rPr>
                  </w:pPr>
                  <w:r>
                    <w:rPr>
                      <w:rFonts w:hint="eastAsia"/>
                      <w:color w:val="auto"/>
                    </w:rPr>
                    <w:t>石油</w:t>
                  </w:r>
                </w:p>
              </w:tc>
              <w:tc>
                <w:tcPr>
                  <w:tcW w:w="1615" w:type="pct"/>
                  <w:tcBorders>
                    <w:right w:val="single" w:color="000000" w:sz="2" w:space="0"/>
                  </w:tcBorders>
                  <w:vAlign w:val="center"/>
                </w:tcPr>
                <w:p>
                  <w:pPr>
                    <w:pStyle w:val="36"/>
                    <w:rPr>
                      <w:color w:val="auto"/>
                    </w:rPr>
                  </w:pPr>
                  <w:r>
                    <w:rPr>
                      <w:rFonts w:hint="eastAsia"/>
                      <w:color w:val="auto"/>
                    </w:rPr>
                    <w:t>8002-05-9</w:t>
                  </w:r>
                </w:p>
              </w:tc>
              <w:tc>
                <w:tcPr>
                  <w:tcW w:w="1355" w:type="pct"/>
                  <w:tcBorders>
                    <w:left w:val="single" w:color="000000" w:sz="2" w:space="0"/>
                  </w:tcBorders>
                  <w:vAlign w:val="center"/>
                </w:tcPr>
                <w:p>
                  <w:pPr>
                    <w:pStyle w:val="36"/>
                    <w:rPr>
                      <w:color w:val="auto"/>
                    </w:rPr>
                  </w:pPr>
                  <w:r>
                    <w:rPr>
                      <w:rFonts w:hint="eastAsia"/>
                      <w:color w:val="auto"/>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646" w:type="pct"/>
                  <w:vMerge w:val="continue"/>
                  <w:vAlign w:val="center"/>
                </w:tcPr>
                <w:p>
                  <w:pPr>
                    <w:pStyle w:val="36"/>
                    <w:rPr>
                      <w:color w:val="auto"/>
                    </w:rPr>
                  </w:pPr>
                </w:p>
              </w:tc>
              <w:tc>
                <w:tcPr>
                  <w:tcW w:w="1382" w:type="pct"/>
                  <w:vAlign w:val="center"/>
                </w:tcPr>
                <w:p>
                  <w:pPr>
                    <w:pStyle w:val="36"/>
                    <w:rPr>
                      <w:color w:val="auto"/>
                    </w:rPr>
                  </w:pPr>
                  <w:r>
                    <w:rPr>
                      <w:rFonts w:hint="eastAsia"/>
                      <w:color w:val="auto"/>
                    </w:rPr>
                    <w:t>水</w:t>
                  </w:r>
                </w:p>
              </w:tc>
              <w:tc>
                <w:tcPr>
                  <w:tcW w:w="1615" w:type="pct"/>
                  <w:tcBorders>
                    <w:right w:val="single" w:color="000000" w:sz="2" w:space="0"/>
                  </w:tcBorders>
                  <w:vAlign w:val="center"/>
                </w:tcPr>
                <w:p>
                  <w:pPr>
                    <w:pStyle w:val="36"/>
                    <w:rPr>
                      <w:color w:val="auto"/>
                    </w:rPr>
                  </w:pPr>
                  <w:r>
                    <w:rPr>
                      <w:rFonts w:hint="eastAsia"/>
                      <w:color w:val="auto"/>
                    </w:rPr>
                    <w:t>7732-18-5</w:t>
                  </w:r>
                </w:p>
              </w:tc>
              <w:tc>
                <w:tcPr>
                  <w:tcW w:w="1355" w:type="pct"/>
                  <w:tcBorders>
                    <w:left w:val="single" w:color="000000" w:sz="2" w:space="0"/>
                  </w:tcBorders>
                  <w:vAlign w:val="center"/>
                </w:tcPr>
                <w:p>
                  <w:pPr>
                    <w:pStyle w:val="36"/>
                    <w:rPr>
                      <w:color w:val="auto"/>
                    </w:rPr>
                  </w:pPr>
                  <w:r>
                    <w:rPr>
                      <w:rFonts w:hint="eastAsia"/>
                      <w:color w:val="auto"/>
                    </w:rPr>
                    <w:t>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646" w:type="pct"/>
                  <w:vMerge w:val="continue"/>
                  <w:vAlign w:val="center"/>
                </w:tcPr>
                <w:p>
                  <w:pPr>
                    <w:pStyle w:val="36"/>
                    <w:rPr>
                      <w:color w:val="auto"/>
                    </w:rPr>
                  </w:pPr>
                </w:p>
              </w:tc>
              <w:tc>
                <w:tcPr>
                  <w:tcW w:w="1382" w:type="pct"/>
                  <w:vAlign w:val="center"/>
                </w:tcPr>
                <w:p>
                  <w:pPr>
                    <w:pStyle w:val="36"/>
                    <w:rPr>
                      <w:color w:val="auto"/>
                    </w:rPr>
                  </w:pPr>
                  <w:r>
                    <w:rPr>
                      <w:rFonts w:hint="eastAsia"/>
                      <w:color w:val="auto"/>
                    </w:rPr>
                    <w:t>Fatty acid methyl esters（混合脂肪酸甲酯）</w:t>
                  </w:r>
                </w:p>
              </w:tc>
              <w:tc>
                <w:tcPr>
                  <w:tcW w:w="1615" w:type="pct"/>
                  <w:tcBorders>
                    <w:right w:val="single" w:color="000000" w:sz="2" w:space="0"/>
                  </w:tcBorders>
                  <w:vAlign w:val="center"/>
                </w:tcPr>
                <w:p>
                  <w:pPr>
                    <w:pStyle w:val="36"/>
                    <w:rPr>
                      <w:color w:val="auto"/>
                    </w:rPr>
                  </w:pPr>
                  <w:r>
                    <w:rPr>
                      <w:rFonts w:hint="eastAsia"/>
                      <w:color w:val="auto"/>
                    </w:rPr>
                    <w:t>71076-49-8</w:t>
                  </w:r>
                </w:p>
              </w:tc>
              <w:tc>
                <w:tcPr>
                  <w:tcW w:w="1355" w:type="pct"/>
                  <w:tcBorders>
                    <w:left w:val="single" w:color="000000" w:sz="2" w:space="0"/>
                  </w:tcBorders>
                  <w:vAlign w:val="center"/>
                </w:tcPr>
                <w:p>
                  <w:pPr>
                    <w:pStyle w:val="36"/>
                    <w:rPr>
                      <w:color w:val="auto"/>
                    </w:rPr>
                  </w:pPr>
                  <w:r>
                    <w:rPr>
                      <w:rFonts w:hint="eastAsia"/>
                      <w:color w:val="auto"/>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646" w:type="pct"/>
                  <w:vMerge w:val="continue"/>
                  <w:vAlign w:val="center"/>
                </w:tcPr>
                <w:p>
                  <w:pPr>
                    <w:pStyle w:val="36"/>
                    <w:rPr>
                      <w:color w:val="auto"/>
                    </w:rPr>
                  </w:pPr>
                </w:p>
              </w:tc>
              <w:tc>
                <w:tcPr>
                  <w:tcW w:w="1382" w:type="pct"/>
                  <w:vAlign w:val="center"/>
                </w:tcPr>
                <w:p>
                  <w:pPr>
                    <w:pStyle w:val="36"/>
                    <w:rPr>
                      <w:color w:val="auto"/>
                    </w:rPr>
                  </w:pPr>
                  <w:r>
                    <w:rPr>
                      <w:rFonts w:hint="eastAsia"/>
                      <w:color w:val="auto"/>
                    </w:rPr>
                    <w:t>菜油</w:t>
                  </w:r>
                </w:p>
              </w:tc>
              <w:tc>
                <w:tcPr>
                  <w:tcW w:w="1615" w:type="pct"/>
                  <w:tcBorders>
                    <w:right w:val="single" w:color="000000" w:sz="2" w:space="0"/>
                  </w:tcBorders>
                  <w:vAlign w:val="center"/>
                </w:tcPr>
                <w:p>
                  <w:pPr>
                    <w:pStyle w:val="36"/>
                    <w:rPr>
                      <w:color w:val="auto"/>
                    </w:rPr>
                  </w:pPr>
                  <w:r>
                    <w:rPr>
                      <w:rFonts w:hint="eastAsia"/>
                      <w:color w:val="auto"/>
                    </w:rPr>
                    <w:t>8002-13-9</w:t>
                  </w:r>
                </w:p>
              </w:tc>
              <w:tc>
                <w:tcPr>
                  <w:tcW w:w="1355" w:type="pct"/>
                  <w:tcBorders>
                    <w:left w:val="single" w:color="000000" w:sz="2" w:space="0"/>
                  </w:tcBorders>
                  <w:vAlign w:val="center"/>
                </w:tcPr>
                <w:p>
                  <w:pPr>
                    <w:pStyle w:val="36"/>
                    <w:rPr>
                      <w:color w:val="auto"/>
                    </w:rPr>
                  </w:pPr>
                  <w:r>
                    <w:rPr>
                      <w:rFonts w:hint="eastAsia"/>
                      <w:color w:val="auto"/>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646" w:type="pct"/>
                  <w:vMerge w:val="continue"/>
                  <w:vAlign w:val="center"/>
                </w:tcPr>
                <w:p>
                  <w:pPr>
                    <w:pStyle w:val="36"/>
                    <w:rPr>
                      <w:color w:val="auto"/>
                    </w:rPr>
                  </w:pPr>
                </w:p>
              </w:tc>
              <w:tc>
                <w:tcPr>
                  <w:tcW w:w="1382" w:type="pct"/>
                  <w:vAlign w:val="center"/>
                </w:tcPr>
                <w:p>
                  <w:pPr>
                    <w:pStyle w:val="36"/>
                    <w:rPr>
                      <w:color w:val="auto"/>
                    </w:rPr>
                  </w:pPr>
                  <w:r>
                    <w:rPr>
                      <w:rFonts w:hint="eastAsia"/>
                      <w:color w:val="auto"/>
                    </w:rPr>
                    <w:t xml:space="preserve">十二烷基苯磺酸钠 </w:t>
                  </w:r>
                </w:p>
              </w:tc>
              <w:tc>
                <w:tcPr>
                  <w:tcW w:w="1615" w:type="pct"/>
                  <w:tcBorders>
                    <w:right w:val="single" w:color="000000" w:sz="2" w:space="0"/>
                  </w:tcBorders>
                  <w:vAlign w:val="center"/>
                </w:tcPr>
                <w:p>
                  <w:pPr>
                    <w:pStyle w:val="36"/>
                    <w:rPr>
                      <w:color w:val="auto"/>
                    </w:rPr>
                  </w:pPr>
                  <w:r>
                    <w:rPr>
                      <w:rFonts w:hint="eastAsia"/>
                      <w:color w:val="auto"/>
                    </w:rPr>
                    <w:t>25155-30-0</w:t>
                  </w:r>
                </w:p>
              </w:tc>
              <w:tc>
                <w:tcPr>
                  <w:tcW w:w="1355" w:type="pct"/>
                  <w:tcBorders>
                    <w:left w:val="single" w:color="000000" w:sz="2" w:space="0"/>
                  </w:tcBorders>
                  <w:vAlign w:val="center"/>
                </w:tcPr>
                <w:p>
                  <w:pPr>
                    <w:pStyle w:val="36"/>
                    <w:rPr>
                      <w:color w:val="auto"/>
                    </w:rPr>
                  </w:pPr>
                  <w:r>
                    <w:rPr>
                      <w:rFonts w:hint="eastAsia"/>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646" w:type="pct"/>
                  <w:vMerge w:val="continue"/>
                  <w:vAlign w:val="center"/>
                </w:tcPr>
                <w:p>
                  <w:pPr>
                    <w:pStyle w:val="36"/>
                    <w:rPr>
                      <w:color w:val="auto"/>
                    </w:rPr>
                  </w:pPr>
                </w:p>
              </w:tc>
              <w:tc>
                <w:tcPr>
                  <w:tcW w:w="1382" w:type="pct"/>
                  <w:vAlign w:val="center"/>
                </w:tcPr>
                <w:p>
                  <w:pPr>
                    <w:pStyle w:val="36"/>
                    <w:rPr>
                      <w:color w:val="auto"/>
                    </w:rPr>
                  </w:pPr>
                  <w:r>
                    <w:rPr>
                      <w:rFonts w:hint="eastAsia"/>
                      <w:color w:val="auto"/>
                    </w:rPr>
                    <w:t>o-Cresol-d8</w:t>
                  </w:r>
                </w:p>
                <w:p>
                  <w:pPr>
                    <w:pStyle w:val="36"/>
                    <w:rPr>
                      <w:color w:val="auto"/>
                    </w:rPr>
                  </w:pPr>
                  <w:r>
                    <w:rPr>
                      <w:rFonts w:hint="eastAsia"/>
                      <w:color w:val="auto"/>
                    </w:rPr>
                    <w:t>（邻甲酚-d8）</w:t>
                  </w:r>
                </w:p>
              </w:tc>
              <w:tc>
                <w:tcPr>
                  <w:tcW w:w="1615" w:type="pct"/>
                  <w:tcBorders>
                    <w:right w:val="single" w:color="000000" w:sz="2" w:space="0"/>
                  </w:tcBorders>
                  <w:vAlign w:val="center"/>
                </w:tcPr>
                <w:p>
                  <w:pPr>
                    <w:pStyle w:val="36"/>
                    <w:rPr>
                      <w:color w:val="auto"/>
                    </w:rPr>
                  </w:pPr>
                  <w:r>
                    <w:rPr>
                      <w:rFonts w:hint="eastAsia"/>
                      <w:color w:val="auto"/>
                    </w:rPr>
                    <w:t>203645-65-2</w:t>
                  </w:r>
                </w:p>
              </w:tc>
              <w:tc>
                <w:tcPr>
                  <w:tcW w:w="1355" w:type="pct"/>
                  <w:tcBorders>
                    <w:left w:val="single" w:color="000000" w:sz="2" w:space="0"/>
                  </w:tcBorders>
                  <w:vAlign w:val="center"/>
                </w:tcPr>
                <w:p>
                  <w:pPr>
                    <w:pStyle w:val="36"/>
                    <w:rPr>
                      <w:color w:val="auto"/>
                    </w:rPr>
                  </w:pPr>
                  <w:r>
                    <w:rPr>
                      <w:rFonts w:hint="eastAsia"/>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646" w:type="pct"/>
                  <w:vMerge w:val="continue"/>
                  <w:vAlign w:val="center"/>
                </w:tcPr>
                <w:p>
                  <w:pPr>
                    <w:pStyle w:val="36"/>
                    <w:rPr>
                      <w:color w:val="auto"/>
                    </w:rPr>
                  </w:pPr>
                </w:p>
              </w:tc>
              <w:tc>
                <w:tcPr>
                  <w:tcW w:w="4353" w:type="pct"/>
                  <w:gridSpan w:val="3"/>
                  <w:vAlign w:val="center"/>
                </w:tcPr>
                <w:p>
                  <w:pPr>
                    <w:pStyle w:val="36"/>
                    <w:jc w:val="both"/>
                    <w:rPr>
                      <w:color w:val="auto"/>
                    </w:rPr>
                  </w:pPr>
                  <w:r>
                    <w:rPr>
                      <w:rFonts w:hint="eastAsia"/>
                      <w:color w:val="auto"/>
                    </w:rPr>
                    <w:t>根据MSDS的理化性质描述：棕色液体混合物，气味：稍有气味，沸点：≥100</w:t>
                  </w:r>
                  <w:r>
                    <w:rPr>
                      <w:color w:val="auto"/>
                    </w:rPr>
                    <w:t>℃</w:t>
                  </w:r>
                  <w:r>
                    <w:rPr>
                      <w:rFonts w:hint="eastAsia"/>
                      <w:color w:val="auto"/>
                    </w:rPr>
                    <w:t>（水），闪点</w:t>
                  </w:r>
                  <w:r>
                    <w:rPr>
                      <w:rFonts w:cs="Times New Roman"/>
                      <w:color w:val="auto"/>
                    </w:rPr>
                    <w:t>≥-7~30℃</w:t>
                  </w:r>
                  <w:r>
                    <w:rPr>
                      <w:rFonts w:hint="eastAsia"/>
                      <w:color w:val="auto"/>
                    </w:rPr>
                    <w:t>（8002-05-9石油），易燃性：高度可燃。</w:t>
                  </w:r>
                </w:p>
              </w:tc>
            </w:tr>
          </w:tbl>
          <w:p>
            <w:pPr>
              <w:pStyle w:val="38"/>
              <w:ind w:firstLine="480"/>
              <w:rPr>
                <w:color w:val="auto"/>
              </w:rPr>
            </w:pPr>
            <w:r>
              <w:rPr>
                <w:rFonts w:hint="eastAsia"/>
                <w:color w:val="auto"/>
              </w:rPr>
              <w:t>②原辅材料理化性质</w:t>
            </w:r>
          </w:p>
          <w:p>
            <w:pPr>
              <w:pStyle w:val="37"/>
              <w:rPr>
                <w:color w:val="auto"/>
              </w:rPr>
            </w:pPr>
            <w:r>
              <w:rPr>
                <w:color w:val="auto"/>
              </w:rPr>
              <w:t>表</w:t>
            </w:r>
            <w:r>
              <w:rPr>
                <w:rFonts w:hint="eastAsia"/>
                <w:color w:val="auto"/>
                <w:lang w:val="en-US"/>
              </w:rPr>
              <w:t>2.3-3</w:t>
            </w:r>
            <w:r>
              <w:rPr>
                <w:color w:val="auto"/>
              </w:rPr>
              <w:t xml:space="preserve">  </w:t>
            </w:r>
            <w:r>
              <w:rPr>
                <w:rFonts w:hint="eastAsia"/>
                <w:color w:val="auto"/>
                <w:lang w:val="en-US"/>
              </w:rPr>
              <w:t>项目原辅材料</w:t>
            </w:r>
            <w:r>
              <w:rPr>
                <w:rFonts w:hint="eastAsia"/>
                <w:color w:val="auto"/>
              </w:rPr>
              <w:t>理化性质</w:t>
            </w:r>
            <w:r>
              <w:rPr>
                <w:color w:val="auto"/>
              </w:rPr>
              <w:t>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69"/>
              <w:gridCol w:w="69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Align w:val="center"/>
                </w:tcPr>
                <w:p>
                  <w:pPr>
                    <w:pStyle w:val="36"/>
                    <w:rPr>
                      <w:color w:val="auto"/>
                    </w:rPr>
                  </w:pPr>
                  <w:r>
                    <w:rPr>
                      <w:rFonts w:hint="eastAsia"/>
                      <w:color w:val="auto"/>
                    </w:rPr>
                    <w:t>组成</w:t>
                  </w:r>
                  <w:r>
                    <w:rPr>
                      <w:color w:val="auto"/>
                    </w:rPr>
                    <w:t>成分</w:t>
                  </w:r>
                </w:p>
              </w:tc>
              <w:tc>
                <w:tcPr>
                  <w:tcW w:w="4124" w:type="pct"/>
                  <w:vAlign w:val="center"/>
                </w:tcPr>
                <w:p>
                  <w:pPr>
                    <w:pStyle w:val="36"/>
                    <w:rPr>
                      <w:color w:val="auto"/>
                    </w:rPr>
                  </w:pPr>
                  <w:r>
                    <w:rPr>
                      <w:rFonts w:hint="eastAsia"/>
                      <w:color w:val="auto"/>
                    </w:rPr>
                    <w:t>理化性质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Align w:val="center"/>
                </w:tcPr>
                <w:p>
                  <w:pPr>
                    <w:pStyle w:val="36"/>
                    <w:rPr>
                      <w:color w:val="auto"/>
                    </w:rPr>
                  </w:pPr>
                  <w:r>
                    <w:rPr>
                      <w:rFonts w:hint="eastAsia"/>
                      <w:color w:val="auto"/>
                    </w:rPr>
                    <w:t>润滑油</w:t>
                  </w:r>
                </w:p>
              </w:tc>
              <w:tc>
                <w:tcPr>
                  <w:tcW w:w="4124" w:type="pct"/>
                  <w:vAlign w:val="center"/>
                </w:tcPr>
                <w:p>
                  <w:pPr>
                    <w:pStyle w:val="36"/>
                    <w:jc w:val="left"/>
                    <w:rPr>
                      <w:rFonts w:cs="Times New Roman"/>
                      <w:color w:val="auto"/>
                    </w:rPr>
                  </w:pPr>
                  <w:r>
                    <w:rPr>
                      <w:rFonts w:cs="Times New Roman"/>
                      <w:color w:val="auto"/>
                    </w:rPr>
                    <w:t>浅黄色至深棕色透明油状液体，闪点160-300℃，</w:t>
                  </w:r>
                  <w:r>
                    <w:rPr>
                      <w:rFonts w:hint="eastAsia" w:cs="Times New Roman"/>
                      <w:color w:val="auto"/>
                    </w:rPr>
                    <w:t>燃烧性：</w:t>
                  </w:r>
                  <w:r>
                    <w:rPr>
                      <w:rFonts w:cs="Times New Roman"/>
                      <w:color w:val="auto"/>
                    </w:rPr>
                    <w:t>可燃，密度0.86-0.91g/cm³(15℃)。溶解性：不溶于水，与多数有机溶剂互溶。作用：在相对运动的零件表面形成润滑膜，主要起减少摩擦、降低磨损、冷却降温、防锈防腐及密封清洁的作用。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Align w:val="center"/>
                </w:tcPr>
                <w:p>
                  <w:pPr>
                    <w:pStyle w:val="36"/>
                    <w:rPr>
                      <w:color w:val="auto"/>
                    </w:rPr>
                  </w:pPr>
                  <w:r>
                    <w:rPr>
                      <w:rFonts w:hint="eastAsia"/>
                      <w:color w:val="auto"/>
                    </w:rPr>
                    <w:t>液压油</w:t>
                  </w:r>
                </w:p>
              </w:tc>
              <w:tc>
                <w:tcPr>
                  <w:tcW w:w="4124" w:type="pct"/>
                  <w:vAlign w:val="center"/>
                </w:tcPr>
                <w:p>
                  <w:pPr>
                    <w:pStyle w:val="36"/>
                    <w:jc w:val="left"/>
                    <w:rPr>
                      <w:rFonts w:cs="Times New Roman"/>
                      <w:color w:val="auto"/>
                    </w:rPr>
                  </w:pPr>
                  <w:r>
                    <w:rPr>
                      <w:rFonts w:cs="Times New Roman"/>
                      <w:color w:val="auto"/>
                    </w:rPr>
                    <w:t>黄色或琥珀色透明液体</w:t>
                  </w:r>
                  <w:r>
                    <w:rPr>
                      <w:rFonts w:hint="eastAsia" w:cs="Times New Roman"/>
                      <w:color w:val="auto"/>
                    </w:rPr>
                    <w:t>,</w:t>
                  </w:r>
                  <w:r>
                    <w:rPr>
                      <w:rFonts w:cs="Times New Roman"/>
                      <w:color w:val="auto"/>
                    </w:rPr>
                    <w:t>闪点≥180℃，</w:t>
                  </w:r>
                  <w:r>
                    <w:rPr>
                      <w:rFonts w:hint="eastAsia" w:cs="Times New Roman"/>
                      <w:color w:val="auto"/>
                    </w:rPr>
                    <w:t>燃烧性：</w:t>
                  </w:r>
                  <w:r>
                    <w:rPr>
                      <w:rFonts w:cs="Times New Roman"/>
                      <w:color w:val="auto"/>
                    </w:rPr>
                    <w:t>可燃</w:t>
                  </w:r>
                  <w:r>
                    <w:rPr>
                      <w:rFonts w:hint="eastAsia" w:cs="Times New Roman"/>
                      <w:color w:val="auto"/>
                    </w:rPr>
                    <w:t>，</w:t>
                  </w:r>
                  <w:r>
                    <w:rPr>
                      <w:rFonts w:cs="Times New Roman"/>
                      <w:color w:val="auto"/>
                    </w:rPr>
                    <w:t>倾点-15℃至-30℃，密度：0.86-0.88g/cm³(15℃)。溶解性：不溶于水</w:t>
                  </w:r>
                  <w:r>
                    <w:rPr>
                      <w:rFonts w:hint="eastAsia" w:cs="Times New Roman"/>
                      <w:color w:val="auto"/>
                    </w:rPr>
                    <w:t>。</w:t>
                  </w:r>
                  <w:r>
                    <w:rPr>
                      <w:rFonts w:cs="Times New Roman"/>
                      <w:color w:val="auto"/>
                    </w:rPr>
                    <w:t>作用：作为液压系统的工作介质，主要利用其不可压缩性来传递动力和能量，同时兼有润滑、冷却、防锈和密封系统的作用。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Align w:val="center"/>
                </w:tcPr>
                <w:p>
                  <w:pPr>
                    <w:pStyle w:val="36"/>
                    <w:rPr>
                      <w:color w:val="auto"/>
                    </w:rPr>
                  </w:pPr>
                  <w:r>
                    <w:rPr>
                      <w:rFonts w:hint="eastAsia"/>
                      <w:color w:val="auto"/>
                    </w:rPr>
                    <w:t>石油</w:t>
                  </w:r>
                </w:p>
              </w:tc>
              <w:tc>
                <w:tcPr>
                  <w:tcW w:w="4124" w:type="pct"/>
                  <w:vAlign w:val="center"/>
                </w:tcPr>
                <w:p>
                  <w:pPr>
                    <w:pStyle w:val="36"/>
                    <w:jc w:val="left"/>
                    <w:rPr>
                      <w:rFonts w:cs="Times New Roman"/>
                      <w:color w:val="auto"/>
                    </w:rPr>
                  </w:pPr>
                  <w:r>
                    <w:rPr>
                      <w:rFonts w:cs="Times New Roman"/>
                      <w:color w:val="auto"/>
                    </w:rPr>
                    <w:t>粘稠液体混合物，闪点＞-7~30℃，</w:t>
                  </w:r>
                  <w:r>
                    <w:rPr>
                      <w:rFonts w:hint="eastAsia" w:cs="Times New Roman"/>
                      <w:color w:val="auto"/>
                    </w:rPr>
                    <w:t>燃烧性：易燃，</w:t>
                  </w:r>
                  <w:r>
                    <w:rPr>
                      <w:rFonts w:cs="Times New Roman"/>
                      <w:color w:val="auto"/>
                    </w:rPr>
                    <w:t>沸点：＞250℃（蒸馏范围宽），密度：0.82–0.95g/cm³（25℃），溶解性：不溶于水，与脂肪烃、芳香烃互溶，作用：基础润滑介质，减少铜丝与模具摩擦，传递冷却效果。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875" w:type="pct"/>
                  <w:vAlign w:val="center"/>
                </w:tcPr>
                <w:p>
                  <w:pPr>
                    <w:pStyle w:val="36"/>
                    <w:rPr>
                      <w:color w:val="auto"/>
                    </w:rPr>
                  </w:pPr>
                  <w:r>
                    <w:rPr>
                      <w:rFonts w:hint="eastAsia"/>
                      <w:color w:val="auto"/>
                    </w:rPr>
                    <w:t>Fatty acid methyl esters（混合脂肪酸甲酯）</w:t>
                  </w:r>
                </w:p>
              </w:tc>
              <w:tc>
                <w:tcPr>
                  <w:tcW w:w="4124" w:type="pct"/>
                  <w:vAlign w:val="center"/>
                </w:tcPr>
                <w:p>
                  <w:pPr>
                    <w:pStyle w:val="36"/>
                    <w:jc w:val="left"/>
                    <w:rPr>
                      <w:rFonts w:cs="Times New Roman"/>
                      <w:color w:val="auto"/>
                    </w:rPr>
                  </w:pPr>
                  <w:r>
                    <w:rPr>
                      <w:rFonts w:cs="Times New Roman"/>
                      <w:color w:val="auto"/>
                    </w:rPr>
                    <w:t>混合脂肪酸甲酯，淡黄色油状液体，分子量：270–310g/mol（依碳链长度），</w:t>
                  </w:r>
                </w:p>
                <w:p>
                  <w:pPr>
                    <w:pStyle w:val="36"/>
                    <w:jc w:val="left"/>
                    <w:rPr>
                      <w:rFonts w:cs="Times New Roman"/>
                      <w:color w:val="auto"/>
                    </w:rPr>
                  </w:pPr>
                  <w:r>
                    <w:rPr>
                      <w:rFonts w:hint="eastAsia" w:cs="Times New Roman"/>
                      <w:color w:val="auto"/>
                    </w:rPr>
                    <w:t>可燃性：</w:t>
                  </w:r>
                  <w:r>
                    <w:rPr>
                      <w:rFonts w:cs="Times New Roman"/>
                      <w:color w:val="auto"/>
                    </w:rPr>
                    <w:t>成分不同燃烧特性差异大</w:t>
                  </w:r>
                  <w:r>
                    <w:rPr>
                      <w:rFonts w:hint="eastAsia" w:cs="Times New Roman"/>
                      <w:color w:val="auto"/>
                    </w:rPr>
                    <w:t>，</w:t>
                  </w:r>
                  <w:r>
                    <w:rPr>
                      <w:rFonts w:cs="Times New Roman"/>
                      <w:color w:val="auto"/>
                    </w:rPr>
                    <w:t>可燃</w:t>
                  </w:r>
                  <w:r>
                    <w:rPr>
                      <w:rFonts w:hint="eastAsia" w:cs="Times New Roman"/>
                      <w:color w:val="auto"/>
                    </w:rPr>
                    <w:t>，</w:t>
                  </w:r>
                  <w:r>
                    <w:rPr>
                      <w:rFonts w:cs="Times New Roman"/>
                      <w:color w:val="auto"/>
                    </w:rPr>
                    <w:t>熔点：-5℃至10℃，</w:t>
                  </w:r>
                  <w:r>
                    <w:rPr>
                      <w:rFonts w:hint="eastAsia" w:cs="Times New Roman"/>
                      <w:color w:val="auto"/>
                    </w:rPr>
                    <w:t>沸点</w:t>
                  </w:r>
                  <w:r>
                    <w:rPr>
                      <w:rFonts w:cs="Times New Roman"/>
                      <w:color w:val="auto"/>
                    </w:rPr>
                    <w:t>：150–350℃，密度：0.86–0.90g/cm</w:t>
                  </w:r>
                  <w:r>
                    <w:rPr>
                      <w:rFonts w:cs="Times New Roman"/>
                      <w:color w:val="auto"/>
                      <w:vertAlign w:val="superscript"/>
                    </w:rPr>
                    <w:t>3</w:t>
                  </w:r>
                  <w:r>
                    <w:rPr>
                      <w:rFonts w:cs="Times New Roman"/>
                      <w:color w:val="auto"/>
                    </w:rPr>
                    <w:t>（20℃），溶解性：微溶于水，与醇、醚、烃类溶剂互溶，作用：具有良好表面活性，工业应用中作乳化剂基础。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Align w:val="center"/>
                </w:tcPr>
                <w:p>
                  <w:pPr>
                    <w:pStyle w:val="36"/>
                    <w:rPr>
                      <w:color w:val="auto"/>
                    </w:rPr>
                  </w:pPr>
                  <w:r>
                    <w:rPr>
                      <w:rFonts w:hint="eastAsia"/>
                      <w:color w:val="auto"/>
                    </w:rPr>
                    <w:t>菜油</w:t>
                  </w:r>
                </w:p>
              </w:tc>
              <w:tc>
                <w:tcPr>
                  <w:tcW w:w="4124" w:type="pct"/>
                  <w:vAlign w:val="center"/>
                </w:tcPr>
                <w:p>
                  <w:pPr>
                    <w:pStyle w:val="36"/>
                    <w:jc w:val="left"/>
                    <w:rPr>
                      <w:rFonts w:cs="Times New Roman"/>
                      <w:color w:val="auto"/>
                    </w:rPr>
                  </w:pPr>
                  <w:r>
                    <w:rPr>
                      <w:rFonts w:cs="Times New Roman"/>
                      <w:color w:val="auto"/>
                    </w:rPr>
                    <w:t>浅黄色至淡黄色透明液体，分子量：约875g/mol（主成分甘油三酯），</w:t>
                  </w:r>
                  <w:r>
                    <w:rPr>
                      <w:rFonts w:hint="eastAsia" w:cs="Times New Roman"/>
                      <w:color w:val="auto"/>
                    </w:rPr>
                    <w:t>闪点</w:t>
                  </w:r>
                  <w:r>
                    <w:rPr>
                      <w:rFonts w:cs="Times New Roman"/>
                      <w:color w:val="auto"/>
                    </w:rPr>
                    <w:t>：290℃-330℃，</w:t>
                  </w:r>
                  <w:r>
                    <w:rPr>
                      <w:rFonts w:hint="eastAsia" w:cs="Times New Roman"/>
                      <w:color w:val="auto"/>
                    </w:rPr>
                    <w:t>燃烧性：不易点燃，沸点</w:t>
                  </w:r>
                  <w:r>
                    <w:rPr>
                      <w:rFonts w:cs="Times New Roman"/>
                      <w:color w:val="auto"/>
                    </w:rPr>
                    <w:t>：150–350℃，密度：0.91–0.92g/cm³（25℃），皂化值：168–178 mg KOH/g，溶解性：不溶于水，与醇、酯类互溶，作用：天然的极压润滑性能，能在金属拉拔过程中形成强韧的吸附油膜，有效降低模具与线材间的摩擦系数。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Align w:val="center"/>
                </w:tcPr>
                <w:p>
                  <w:pPr>
                    <w:pStyle w:val="36"/>
                    <w:rPr>
                      <w:color w:val="auto"/>
                    </w:rPr>
                  </w:pPr>
                  <w:r>
                    <w:rPr>
                      <w:rFonts w:hint="eastAsia"/>
                      <w:color w:val="auto"/>
                    </w:rPr>
                    <w:t xml:space="preserve">十二烷基苯磺酸钠 </w:t>
                  </w:r>
                </w:p>
              </w:tc>
              <w:tc>
                <w:tcPr>
                  <w:tcW w:w="4124" w:type="pct"/>
                  <w:vAlign w:val="center"/>
                </w:tcPr>
                <w:p>
                  <w:pPr>
                    <w:pStyle w:val="36"/>
                    <w:jc w:val="left"/>
                    <w:rPr>
                      <w:rFonts w:cs="Times New Roman"/>
                      <w:color w:val="auto"/>
                    </w:rPr>
                  </w:pPr>
                  <w:r>
                    <w:rPr>
                      <w:rFonts w:cs="Times New Roman"/>
                      <w:color w:val="auto"/>
                    </w:rPr>
                    <w:t>白色至淡黄色固体，分子量：348.48g/mol，熔点：300℃（分解），沸点：N/A（分解温度前升华），密度：1.03–1.07g/cm³（20℃），溶解性：易溶于水（形成胶束），微溶于乙醇，作用：乳化油水体系，清除金属碎屑，降低表面张力以增强润湿性</w:t>
                  </w:r>
                  <w:r>
                    <w:rPr>
                      <w:rFonts w:hint="eastAsia"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Align w:val="center"/>
                </w:tcPr>
                <w:p>
                  <w:pPr>
                    <w:pStyle w:val="36"/>
                    <w:rPr>
                      <w:color w:val="auto"/>
                    </w:rPr>
                  </w:pPr>
                  <w:r>
                    <w:rPr>
                      <w:rFonts w:hint="eastAsia"/>
                      <w:color w:val="auto"/>
                    </w:rPr>
                    <w:t>o-Cresol-d8</w:t>
                  </w:r>
                  <w:r>
                    <w:rPr>
                      <w:rFonts w:hint="eastAsia"/>
                      <w:color w:val="auto"/>
                    </w:rPr>
                    <w:br w:type="textWrapping"/>
                  </w:r>
                  <w:r>
                    <w:rPr>
                      <w:rFonts w:hint="eastAsia"/>
                      <w:color w:val="auto"/>
                    </w:rPr>
                    <w:t>（邻甲酚-d8）</w:t>
                  </w:r>
                </w:p>
              </w:tc>
              <w:tc>
                <w:tcPr>
                  <w:tcW w:w="4124" w:type="pct"/>
                  <w:vAlign w:val="center"/>
                </w:tcPr>
                <w:p>
                  <w:pPr>
                    <w:pStyle w:val="36"/>
                    <w:jc w:val="left"/>
                    <w:rPr>
                      <w:color w:val="auto"/>
                    </w:rPr>
                  </w:pPr>
                  <w:r>
                    <w:rPr>
                      <w:color w:val="auto"/>
                    </w:rPr>
                    <w:t>无色至淡黄色液体</w:t>
                  </w:r>
                  <w:r>
                    <w:rPr>
                      <w:rFonts w:hint="eastAsia"/>
                      <w:color w:val="auto"/>
                    </w:rPr>
                    <w:t>，</w:t>
                  </w:r>
                  <w:r>
                    <w:rPr>
                      <w:color w:val="auto"/>
                    </w:rPr>
                    <w:t>分子量：114.18g/mol</w:t>
                  </w:r>
                  <w:r>
                    <w:rPr>
                      <w:rFonts w:hint="eastAsia"/>
                      <w:color w:val="auto"/>
                    </w:rPr>
                    <w:t>，闪点</w:t>
                  </w:r>
                  <w:r>
                    <w:rPr>
                      <w:color w:val="auto"/>
                    </w:rPr>
                    <w:t>：</w:t>
                  </w:r>
                  <w:r>
                    <w:rPr>
                      <w:rFonts w:hint="eastAsia"/>
                      <w:color w:val="auto"/>
                    </w:rPr>
                    <w:t>81</w:t>
                  </w:r>
                  <w:r>
                    <w:rPr>
                      <w:color w:val="auto"/>
                    </w:rPr>
                    <w:t>℃</w:t>
                  </w:r>
                  <w:r>
                    <w:rPr>
                      <w:rFonts w:hint="eastAsia"/>
                      <w:color w:val="auto"/>
                    </w:rPr>
                    <w:t>，</w:t>
                  </w:r>
                  <w:r>
                    <w:rPr>
                      <w:rFonts w:hint="eastAsia" w:cs="Times New Roman"/>
                      <w:color w:val="auto"/>
                    </w:rPr>
                    <w:t>燃烧性：可燃，沸点</w:t>
                  </w:r>
                  <w:r>
                    <w:rPr>
                      <w:color w:val="auto"/>
                    </w:rPr>
                    <w:t>：191-192℃</w:t>
                  </w:r>
                  <w:r>
                    <w:rPr>
                      <w:rFonts w:hint="eastAsia"/>
                      <w:color w:val="auto"/>
                    </w:rPr>
                    <w:t>，</w:t>
                  </w:r>
                  <w:r>
                    <w:rPr>
                      <w:color w:val="auto"/>
                    </w:rPr>
                    <w:t>密度：1.07g/cm³（25℃）</w:t>
                  </w:r>
                  <w:r>
                    <w:rPr>
                      <w:rFonts w:hint="eastAsia"/>
                      <w:color w:val="auto"/>
                    </w:rPr>
                    <w:t>，</w:t>
                  </w:r>
                  <w:r>
                    <w:rPr>
                      <w:color w:val="auto"/>
                    </w:rPr>
                    <w:t>溶解性：微溶于水，易溶于乙醇、乙醚、苯、甲苯</w:t>
                  </w:r>
                  <w:r>
                    <w:rPr>
                      <w:rFonts w:hint="eastAsia"/>
                      <w:color w:val="auto"/>
                    </w:rPr>
                    <w:t>，</w:t>
                  </w:r>
                  <w:r>
                    <w:rPr>
                      <w:color w:val="auto"/>
                    </w:rPr>
                    <w:t>作用：抗氧化剂，抑制油品氧化劣化；酚羟基吸附金属表面辅助润滑，抑制短期锈蚀</w:t>
                  </w:r>
                  <w:r>
                    <w:rPr>
                      <w:rFonts w:hint="eastAsia"/>
                      <w:color w:val="auto"/>
                    </w:rPr>
                    <w:t>。</w:t>
                  </w:r>
                </w:p>
              </w:tc>
            </w:tr>
          </w:tbl>
          <w:p>
            <w:pPr>
              <w:pStyle w:val="55"/>
              <w:keepLines/>
              <w:rPr>
                <w:rFonts w:eastAsia="宋体" w:cs="Times New Roman"/>
                <w:color w:val="auto"/>
                <w:sz w:val="24"/>
                <w:szCs w:val="24"/>
                <w:shd w:val="clear" w:color="auto" w:fill="FFFFFF"/>
              </w:rPr>
            </w:pPr>
            <w:r>
              <w:rPr>
                <w:rFonts w:hint="eastAsia" w:eastAsia="宋体" w:cs="Times New Roman"/>
                <w:color w:val="auto"/>
                <w:sz w:val="24"/>
                <w:szCs w:val="24"/>
                <w:shd w:val="clear" w:color="auto" w:fill="FFFFFF"/>
              </w:rPr>
              <w:t xml:space="preserve"> </w:t>
            </w:r>
          </w:p>
          <w:p>
            <w:pPr>
              <w:pStyle w:val="55"/>
              <w:keepLines/>
              <w:rPr>
                <w:rFonts w:cs="Times New Roman"/>
                <w:color w:val="auto"/>
              </w:rPr>
            </w:pPr>
            <w:bookmarkStart w:id="30" w:name="_Toc344"/>
            <w:r>
              <w:rPr>
                <w:rFonts w:hint="eastAsia" w:cs="Times New Roman"/>
                <w:color w:val="auto"/>
              </w:rPr>
              <w:t>2</w:t>
            </w:r>
            <w:r>
              <w:rPr>
                <w:rFonts w:cs="Times New Roman"/>
                <w:color w:val="auto"/>
              </w:rPr>
              <w:t>.</w:t>
            </w:r>
            <w:r>
              <w:rPr>
                <w:rFonts w:hint="eastAsia" w:cs="Times New Roman"/>
                <w:color w:val="auto"/>
              </w:rPr>
              <w:t>4</w:t>
            </w:r>
            <w:r>
              <w:rPr>
                <w:rFonts w:cs="Times New Roman"/>
                <w:color w:val="auto"/>
              </w:rPr>
              <w:t>主要生产设备</w:t>
            </w:r>
            <w:bookmarkEnd w:id="30"/>
          </w:p>
          <w:p>
            <w:pPr>
              <w:pStyle w:val="38"/>
              <w:ind w:firstLine="480"/>
              <w:rPr>
                <w:color w:val="auto"/>
              </w:rPr>
            </w:pPr>
            <w:r>
              <w:rPr>
                <w:color w:val="auto"/>
              </w:rPr>
              <w:t>项目主要设备清单见表</w:t>
            </w:r>
            <w:r>
              <w:rPr>
                <w:rFonts w:hint="eastAsia"/>
                <w:color w:val="auto"/>
              </w:rPr>
              <w:t>2.4</w:t>
            </w:r>
            <w:r>
              <w:rPr>
                <w:color w:val="auto"/>
              </w:rPr>
              <w:t>-</w:t>
            </w:r>
            <w:r>
              <w:rPr>
                <w:rFonts w:hint="eastAsia"/>
                <w:color w:val="auto"/>
              </w:rPr>
              <w:t>1</w:t>
            </w:r>
            <w:r>
              <w:rPr>
                <w:color w:val="auto"/>
              </w:rPr>
              <w:t>。</w:t>
            </w:r>
          </w:p>
          <w:p>
            <w:pPr>
              <w:pStyle w:val="37"/>
              <w:rPr>
                <w:color w:val="auto"/>
              </w:rPr>
            </w:pPr>
            <w:r>
              <w:rPr>
                <w:color w:val="auto"/>
              </w:rPr>
              <w:t>表</w:t>
            </w:r>
            <w:r>
              <w:rPr>
                <w:rFonts w:hint="eastAsia"/>
                <w:color w:val="auto"/>
                <w:lang w:val="en-US"/>
              </w:rPr>
              <w:t>2.4</w:t>
            </w:r>
            <w:r>
              <w:rPr>
                <w:color w:val="auto"/>
              </w:rPr>
              <w:t>-</w:t>
            </w:r>
            <w:r>
              <w:rPr>
                <w:rFonts w:hint="eastAsia"/>
                <w:color w:val="auto"/>
                <w:lang w:val="en-US"/>
              </w:rPr>
              <w:t>1</w:t>
            </w:r>
            <w:r>
              <w:rPr>
                <w:color w:val="auto"/>
              </w:rPr>
              <w:t xml:space="preserve">  </w:t>
            </w:r>
            <w:r>
              <w:rPr>
                <w:rFonts w:hint="eastAsia"/>
                <w:color w:val="auto"/>
                <w:lang w:val="en-US"/>
              </w:rPr>
              <w:t>本项目</w:t>
            </w:r>
            <w:r>
              <w:rPr>
                <w:color w:val="auto"/>
              </w:rPr>
              <w:t>主要生产设备一览表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60"/>
              <w:gridCol w:w="1853"/>
              <w:gridCol w:w="1590"/>
              <w:gridCol w:w="686"/>
              <w:gridCol w:w="651"/>
              <w:gridCol w:w="1762"/>
              <w:gridCol w:w="129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序号</w:t>
                  </w:r>
                </w:p>
              </w:tc>
              <w:tc>
                <w:tcPr>
                  <w:tcW w:w="1853" w:type="dxa"/>
                  <w:tcBorders>
                    <w:tl2br w:val="nil"/>
                    <w:tr2bl w:val="nil"/>
                  </w:tcBorders>
                  <w:vAlign w:val="center"/>
                </w:tcPr>
                <w:p>
                  <w:pPr>
                    <w:pStyle w:val="36"/>
                    <w:ind w:left="-48" w:leftChars="-20" w:right="-48" w:rightChars="-20"/>
                    <w:rPr>
                      <w:color w:val="auto"/>
                    </w:rPr>
                  </w:pPr>
                  <w:r>
                    <w:rPr>
                      <w:rFonts w:hint="eastAsia"/>
                      <w:color w:val="auto"/>
                    </w:rPr>
                    <w:t>设备名称</w:t>
                  </w:r>
                </w:p>
              </w:tc>
              <w:tc>
                <w:tcPr>
                  <w:tcW w:w="1590" w:type="dxa"/>
                  <w:tcBorders>
                    <w:tl2br w:val="nil"/>
                    <w:tr2bl w:val="nil"/>
                  </w:tcBorders>
                  <w:vAlign w:val="center"/>
                </w:tcPr>
                <w:p>
                  <w:pPr>
                    <w:pStyle w:val="36"/>
                    <w:ind w:left="-48" w:leftChars="-20" w:right="-48" w:rightChars="-20"/>
                    <w:rPr>
                      <w:color w:val="auto"/>
                    </w:rPr>
                  </w:pPr>
                  <w:r>
                    <w:rPr>
                      <w:rFonts w:hint="eastAsia"/>
                      <w:color w:val="auto"/>
                    </w:rPr>
                    <w:t>规格/型号</w:t>
                  </w:r>
                </w:p>
              </w:tc>
              <w:tc>
                <w:tcPr>
                  <w:tcW w:w="686" w:type="dxa"/>
                  <w:tcBorders>
                    <w:tl2br w:val="nil"/>
                    <w:tr2bl w:val="nil"/>
                  </w:tcBorders>
                  <w:vAlign w:val="center"/>
                </w:tcPr>
                <w:p>
                  <w:pPr>
                    <w:pStyle w:val="36"/>
                    <w:ind w:left="-48" w:leftChars="-20" w:right="-48" w:rightChars="-20"/>
                    <w:rPr>
                      <w:color w:val="auto"/>
                    </w:rPr>
                  </w:pPr>
                  <w:r>
                    <w:rPr>
                      <w:rFonts w:hint="eastAsia"/>
                      <w:color w:val="auto"/>
                    </w:rPr>
                    <w:t>单位</w:t>
                  </w:r>
                </w:p>
              </w:tc>
              <w:tc>
                <w:tcPr>
                  <w:tcW w:w="651" w:type="dxa"/>
                  <w:tcBorders>
                    <w:tl2br w:val="nil"/>
                    <w:tr2bl w:val="nil"/>
                  </w:tcBorders>
                  <w:vAlign w:val="center"/>
                </w:tcPr>
                <w:p>
                  <w:pPr>
                    <w:pStyle w:val="36"/>
                    <w:ind w:left="-48" w:leftChars="-20" w:right="-48" w:rightChars="-20"/>
                    <w:rPr>
                      <w:color w:val="auto"/>
                    </w:rPr>
                  </w:pPr>
                  <w:r>
                    <w:rPr>
                      <w:rFonts w:hint="eastAsia"/>
                      <w:color w:val="auto"/>
                    </w:rPr>
                    <w:t>数量</w:t>
                  </w:r>
                </w:p>
              </w:tc>
              <w:tc>
                <w:tcPr>
                  <w:tcW w:w="1762" w:type="dxa"/>
                  <w:tcBorders>
                    <w:tl2br w:val="nil"/>
                    <w:tr2bl w:val="nil"/>
                  </w:tcBorders>
                  <w:vAlign w:val="center"/>
                </w:tcPr>
                <w:p>
                  <w:pPr>
                    <w:pStyle w:val="36"/>
                    <w:ind w:left="-48" w:leftChars="-20" w:right="-48" w:rightChars="-20"/>
                    <w:rPr>
                      <w:color w:val="auto"/>
                    </w:rPr>
                  </w:pPr>
                  <w:r>
                    <w:rPr>
                      <w:rFonts w:hint="eastAsia"/>
                      <w:color w:val="auto"/>
                    </w:rPr>
                    <w:t>使用工序</w:t>
                  </w:r>
                </w:p>
              </w:tc>
              <w:tc>
                <w:tcPr>
                  <w:tcW w:w="1293" w:type="dxa"/>
                  <w:tcBorders>
                    <w:tl2br w:val="nil"/>
                    <w:tr2bl w:val="nil"/>
                  </w:tcBorders>
                  <w:vAlign w:val="center"/>
                </w:tcPr>
                <w:p>
                  <w:pPr>
                    <w:pStyle w:val="36"/>
                    <w:ind w:left="-48" w:leftChars="-20" w:right="-48" w:rightChars="-20"/>
                    <w:rPr>
                      <w:color w:val="auto"/>
                    </w:rPr>
                  </w:pPr>
                  <w:r>
                    <w:rPr>
                      <w:rFonts w:hint="eastAsia"/>
                      <w:color w:val="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1</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1</w:t>
                  </w:r>
                </w:p>
              </w:tc>
              <w:tc>
                <w:tcPr>
                  <w:tcW w:w="1762" w:type="dxa"/>
                  <w:tcBorders>
                    <w:tl2br w:val="nil"/>
                    <w:tr2bl w:val="nil"/>
                  </w:tcBorders>
                  <w:vAlign w:val="center"/>
                </w:tcPr>
                <w:p>
                  <w:pPr>
                    <w:pStyle w:val="36"/>
                    <w:ind w:left="-48" w:leftChars="-20" w:right="-48" w:rightChars="-20"/>
                    <w:rPr>
                      <w:color w:val="auto"/>
                    </w:rPr>
                  </w:pPr>
                  <w:r>
                    <w:rPr>
                      <w:rFonts w:hint="eastAsia"/>
                      <w:color w:val="auto"/>
                    </w:rPr>
                    <w:t>拉拔、矫直、锯切</w:t>
                  </w:r>
                </w:p>
              </w:tc>
              <w:tc>
                <w:tcPr>
                  <w:tcW w:w="1293" w:type="dxa"/>
                  <w:vMerge w:val="restart"/>
                  <w:tcBorders>
                    <w:tl2br w:val="nil"/>
                    <w:tr2bl w:val="nil"/>
                  </w:tcBorders>
                  <w:vAlign w:val="center"/>
                </w:tcPr>
                <w:p>
                  <w:pPr>
                    <w:pStyle w:val="36"/>
                    <w:ind w:left="-48" w:leftChars="-20" w:right="-48" w:rightChars="-20"/>
                    <w:rPr>
                      <w:color w:val="auto"/>
                    </w:rPr>
                  </w:pPr>
                  <w:r>
                    <w:rPr>
                      <w:rFonts w:hint="eastAsia"/>
                      <w:color w:val="auto"/>
                    </w:rPr>
                    <w:t>布置3#厂房，用于生产铜排及铜棒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2</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2</w:t>
                  </w:r>
                </w:p>
              </w:tc>
              <w:tc>
                <w:tcPr>
                  <w:tcW w:w="1762" w:type="dxa"/>
                  <w:tcBorders>
                    <w:tl2br w:val="nil"/>
                    <w:tr2bl w:val="nil"/>
                  </w:tcBorders>
                  <w:vAlign w:val="center"/>
                </w:tcPr>
                <w:p>
                  <w:pPr>
                    <w:pStyle w:val="36"/>
                    <w:ind w:left="-48" w:leftChars="-20" w:right="-48" w:rightChars="-20"/>
                    <w:rPr>
                      <w:color w:val="auto"/>
                    </w:rPr>
                  </w:pPr>
                  <w:r>
                    <w:rPr>
                      <w:rFonts w:hint="eastAsia"/>
                      <w:color w:val="auto"/>
                    </w:rPr>
                    <w:t>‌轧制</w:t>
                  </w:r>
                </w:p>
              </w:tc>
              <w:tc>
                <w:tcPr>
                  <w:tcW w:w="1293" w:type="dxa"/>
                  <w:vMerge w:val="continue"/>
                  <w:tcBorders>
                    <w:tl2br w:val="nil"/>
                    <w:tr2bl w:val="nil"/>
                  </w:tcBorders>
                  <w:vAlign w:val="center"/>
                </w:tcPr>
                <w:p>
                  <w:pPr>
                    <w:pStyle w:val="36"/>
                    <w:ind w:left="-48" w:leftChars="-20" w:right="-48" w:rightChars="-2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3</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1</w:t>
                  </w:r>
                </w:p>
              </w:tc>
              <w:tc>
                <w:tcPr>
                  <w:tcW w:w="1762" w:type="dxa"/>
                  <w:tcBorders>
                    <w:tl2br w:val="nil"/>
                    <w:tr2bl w:val="nil"/>
                  </w:tcBorders>
                  <w:vAlign w:val="center"/>
                </w:tcPr>
                <w:p>
                  <w:pPr>
                    <w:pStyle w:val="36"/>
                    <w:ind w:left="-48" w:leftChars="-20" w:right="-48" w:rightChars="-20"/>
                    <w:rPr>
                      <w:color w:val="auto"/>
                    </w:rPr>
                  </w:pPr>
                  <w:r>
                    <w:rPr>
                      <w:rFonts w:hint="eastAsia"/>
                      <w:color w:val="auto"/>
                    </w:rPr>
                    <w:t>挤压</w:t>
                  </w:r>
                </w:p>
              </w:tc>
              <w:tc>
                <w:tcPr>
                  <w:tcW w:w="1293" w:type="dxa"/>
                  <w:vMerge w:val="continue"/>
                  <w:tcBorders>
                    <w:tl2br w:val="nil"/>
                    <w:tr2bl w:val="nil"/>
                  </w:tcBorders>
                  <w:vAlign w:val="center"/>
                </w:tcPr>
                <w:p>
                  <w:pPr>
                    <w:pStyle w:val="36"/>
                    <w:ind w:left="-48" w:leftChars="-20" w:right="-48" w:rightChars="-2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4</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1</w:t>
                  </w:r>
                </w:p>
              </w:tc>
              <w:tc>
                <w:tcPr>
                  <w:tcW w:w="1762" w:type="dxa"/>
                  <w:tcBorders>
                    <w:tl2br w:val="nil"/>
                    <w:tr2bl w:val="nil"/>
                  </w:tcBorders>
                  <w:vAlign w:val="center"/>
                </w:tcPr>
                <w:p>
                  <w:pPr>
                    <w:pStyle w:val="36"/>
                    <w:ind w:left="-48" w:leftChars="-20" w:right="-48" w:rightChars="-20"/>
                    <w:rPr>
                      <w:color w:val="auto"/>
                    </w:rPr>
                  </w:pPr>
                  <w:r>
                    <w:rPr>
                      <w:rFonts w:hint="eastAsia"/>
                      <w:color w:val="auto"/>
                    </w:rPr>
                    <w:t>挤压</w:t>
                  </w:r>
                </w:p>
              </w:tc>
              <w:tc>
                <w:tcPr>
                  <w:tcW w:w="1293" w:type="dxa"/>
                  <w:vMerge w:val="continue"/>
                  <w:tcBorders>
                    <w:tl2br w:val="nil"/>
                    <w:tr2bl w:val="nil"/>
                  </w:tcBorders>
                  <w:vAlign w:val="center"/>
                </w:tcPr>
                <w:p>
                  <w:pPr>
                    <w:pStyle w:val="36"/>
                    <w:ind w:left="-48" w:leftChars="-20" w:right="-48" w:rightChars="-2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5</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1</w:t>
                  </w:r>
                </w:p>
              </w:tc>
              <w:tc>
                <w:tcPr>
                  <w:tcW w:w="1762" w:type="dxa"/>
                  <w:tcBorders>
                    <w:tl2br w:val="nil"/>
                    <w:tr2bl w:val="nil"/>
                  </w:tcBorders>
                  <w:vAlign w:val="center"/>
                </w:tcPr>
                <w:p>
                  <w:pPr>
                    <w:pStyle w:val="36"/>
                    <w:ind w:left="-48" w:leftChars="-20" w:right="-48" w:rightChars="-20"/>
                    <w:rPr>
                      <w:color w:val="auto"/>
                    </w:rPr>
                  </w:pPr>
                  <w:r>
                    <w:rPr>
                      <w:rFonts w:hint="eastAsia"/>
                      <w:color w:val="auto"/>
                    </w:rPr>
                    <w:t>挤压</w:t>
                  </w:r>
                </w:p>
              </w:tc>
              <w:tc>
                <w:tcPr>
                  <w:tcW w:w="1293" w:type="dxa"/>
                  <w:vMerge w:val="continue"/>
                  <w:tcBorders>
                    <w:tl2br w:val="nil"/>
                    <w:tr2bl w:val="nil"/>
                  </w:tcBorders>
                  <w:vAlign w:val="center"/>
                </w:tcPr>
                <w:p>
                  <w:pPr>
                    <w:pStyle w:val="36"/>
                    <w:ind w:left="-48" w:leftChars="-20" w:right="-48" w:rightChars="-2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6</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1</w:t>
                  </w:r>
                </w:p>
              </w:tc>
              <w:tc>
                <w:tcPr>
                  <w:tcW w:w="1762" w:type="dxa"/>
                  <w:tcBorders>
                    <w:tl2br w:val="nil"/>
                    <w:tr2bl w:val="nil"/>
                  </w:tcBorders>
                  <w:vAlign w:val="center"/>
                </w:tcPr>
                <w:p>
                  <w:pPr>
                    <w:pStyle w:val="36"/>
                    <w:ind w:left="-48" w:leftChars="-20" w:right="-48" w:rightChars="-20"/>
                    <w:rPr>
                      <w:color w:val="auto"/>
                    </w:rPr>
                  </w:pPr>
                  <w:r>
                    <w:rPr>
                      <w:rFonts w:hint="eastAsia"/>
                      <w:color w:val="auto"/>
                    </w:rPr>
                    <w:t>挤压</w:t>
                  </w:r>
                </w:p>
              </w:tc>
              <w:tc>
                <w:tcPr>
                  <w:tcW w:w="1293" w:type="dxa"/>
                  <w:vMerge w:val="continue"/>
                  <w:tcBorders>
                    <w:tl2br w:val="nil"/>
                    <w:tr2bl w:val="nil"/>
                  </w:tcBorders>
                  <w:vAlign w:val="center"/>
                </w:tcPr>
                <w:p>
                  <w:pPr>
                    <w:pStyle w:val="36"/>
                    <w:ind w:left="-48" w:leftChars="-20" w:right="-48" w:rightChars="-2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7</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1</w:t>
                  </w:r>
                </w:p>
              </w:tc>
              <w:tc>
                <w:tcPr>
                  <w:tcW w:w="1762" w:type="dxa"/>
                  <w:tcBorders>
                    <w:tl2br w:val="nil"/>
                    <w:tr2bl w:val="nil"/>
                  </w:tcBorders>
                  <w:vAlign w:val="center"/>
                </w:tcPr>
                <w:p>
                  <w:pPr>
                    <w:pStyle w:val="36"/>
                    <w:ind w:left="-48" w:leftChars="-20" w:right="-48" w:rightChars="-20"/>
                    <w:rPr>
                      <w:color w:val="auto"/>
                    </w:rPr>
                  </w:pPr>
                  <w:r>
                    <w:rPr>
                      <w:rFonts w:hint="eastAsia"/>
                      <w:color w:val="auto"/>
                    </w:rPr>
                    <w:t>打包</w:t>
                  </w:r>
                </w:p>
              </w:tc>
              <w:tc>
                <w:tcPr>
                  <w:tcW w:w="1293" w:type="dxa"/>
                  <w:vMerge w:val="continue"/>
                  <w:tcBorders>
                    <w:tl2br w:val="nil"/>
                    <w:tr2bl w:val="nil"/>
                  </w:tcBorders>
                  <w:vAlign w:val="center"/>
                </w:tcPr>
                <w:p>
                  <w:pPr>
                    <w:pStyle w:val="36"/>
                    <w:ind w:left="-48" w:leftChars="-20" w:right="-48" w:rightChars="-2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8</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4</w:t>
                  </w:r>
                </w:p>
              </w:tc>
              <w:tc>
                <w:tcPr>
                  <w:tcW w:w="1762" w:type="dxa"/>
                  <w:tcBorders>
                    <w:tl2br w:val="nil"/>
                    <w:tr2bl w:val="nil"/>
                  </w:tcBorders>
                  <w:vAlign w:val="center"/>
                </w:tcPr>
                <w:p>
                  <w:pPr>
                    <w:pStyle w:val="36"/>
                    <w:ind w:left="-48" w:leftChars="-20" w:right="-48" w:rightChars="-20"/>
                    <w:rPr>
                      <w:color w:val="auto"/>
                    </w:rPr>
                  </w:pPr>
                  <w:r>
                    <w:rPr>
                      <w:rFonts w:hint="eastAsia"/>
                      <w:color w:val="auto"/>
                    </w:rPr>
                    <w:t>绞合</w:t>
                  </w:r>
                </w:p>
              </w:tc>
              <w:tc>
                <w:tcPr>
                  <w:tcW w:w="1293" w:type="dxa"/>
                  <w:vMerge w:val="continue"/>
                  <w:tcBorders>
                    <w:tl2br w:val="nil"/>
                    <w:tr2bl w:val="nil"/>
                  </w:tcBorders>
                  <w:vAlign w:val="center"/>
                </w:tcPr>
                <w:p>
                  <w:pPr>
                    <w:pStyle w:val="36"/>
                    <w:ind w:left="-48" w:leftChars="-20" w:right="-48" w:rightChars="-2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9</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4</w:t>
                  </w:r>
                </w:p>
              </w:tc>
              <w:tc>
                <w:tcPr>
                  <w:tcW w:w="1762" w:type="dxa"/>
                  <w:tcBorders>
                    <w:tl2br w:val="nil"/>
                    <w:tr2bl w:val="nil"/>
                  </w:tcBorders>
                  <w:vAlign w:val="center"/>
                </w:tcPr>
                <w:p>
                  <w:pPr>
                    <w:pStyle w:val="36"/>
                    <w:ind w:left="-48" w:leftChars="-20" w:right="-48" w:rightChars="-20"/>
                    <w:rPr>
                      <w:color w:val="auto"/>
                    </w:rPr>
                  </w:pPr>
                  <w:r>
                    <w:rPr>
                      <w:rFonts w:hint="eastAsia"/>
                      <w:color w:val="auto"/>
                    </w:rPr>
                    <w:t>退火</w:t>
                  </w:r>
                </w:p>
              </w:tc>
              <w:tc>
                <w:tcPr>
                  <w:tcW w:w="1293" w:type="dxa"/>
                  <w:vMerge w:val="restart"/>
                  <w:tcBorders>
                    <w:tl2br w:val="nil"/>
                    <w:tr2bl w:val="nil"/>
                  </w:tcBorders>
                  <w:vAlign w:val="center"/>
                </w:tcPr>
                <w:p>
                  <w:pPr>
                    <w:pStyle w:val="36"/>
                    <w:ind w:left="-48" w:leftChars="-20" w:right="-48" w:rightChars="-20"/>
                    <w:rPr>
                      <w:color w:val="auto"/>
                    </w:rPr>
                  </w:pPr>
                  <w:r>
                    <w:rPr>
                      <w:rFonts w:hint="eastAsia"/>
                      <w:color w:val="auto"/>
                    </w:rPr>
                    <w:t>布置1#厂房和4#厂房，用于铜丝</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10</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4</w:t>
                  </w:r>
                </w:p>
              </w:tc>
              <w:tc>
                <w:tcPr>
                  <w:tcW w:w="1762" w:type="dxa"/>
                  <w:tcBorders>
                    <w:tl2br w:val="nil"/>
                    <w:tr2bl w:val="nil"/>
                  </w:tcBorders>
                  <w:vAlign w:val="center"/>
                </w:tcPr>
                <w:p>
                  <w:pPr>
                    <w:pStyle w:val="36"/>
                    <w:ind w:left="-48" w:leftChars="-20" w:right="-48" w:rightChars="-20"/>
                    <w:rPr>
                      <w:color w:val="auto"/>
                    </w:rPr>
                  </w:pPr>
                  <w:r>
                    <w:rPr>
                      <w:rFonts w:hint="eastAsia"/>
                      <w:color w:val="auto"/>
                    </w:rPr>
                    <w:t>拉丝</w:t>
                  </w:r>
                </w:p>
              </w:tc>
              <w:tc>
                <w:tcPr>
                  <w:tcW w:w="1293" w:type="dxa"/>
                  <w:vMerge w:val="continue"/>
                  <w:tcBorders>
                    <w:tl2br w:val="nil"/>
                    <w:tr2bl w:val="nil"/>
                  </w:tcBorders>
                  <w:vAlign w:val="center"/>
                </w:tcPr>
                <w:p>
                  <w:pPr>
                    <w:pStyle w:val="36"/>
                    <w:ind w:left="-48" w:leftChars="-20" w:right="-48" w:rightChars="-2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11</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4</w:t>
                  </w:r>
                </w:p>
              </w:tc>
              <w:tc>
                <w:tcPr>
                  <w:tcW w:w="1762" w:type="dxa"/>
                  <w:tcBorders>
                    <w:tl2br w:val="nil"/>
                    <w:tr2bl w:val="nil"/>
                  </w:tcBorders>
                  <w:vAlign w:val="center"/>
                </w:tcPr>
                <w:p>
                  <w:pPr>
                    <w:pStyle w:val="36"/>
                    <w:ind w:left="-48" w:leftChars="-20" w:right="-48" w:rightChars="-20"/>
                    <w:rPr>
                      <w:color w:val="auto"/>
                    </w:rPr>
                  </w:pPr>
                  <w:r>
                    <w:rPr>
                      <w:rFonts w:hint="eastAsia"/>
                      <w:color w:val="auto"/>
                    </w:rPr>
                    <w:t>拉丝</w:t>
                  </w:r>
                </w:p>
              </w:tc>
              <w:tc>
                <w:tcPr>
                  <w:tcW w:w="1293" w:type="dxa"/>
                  <w:vMerge w:val="continue"/>
                  <w:tcBorders>
                    <w:tl2br w:val="nil"/>
                    <w:tr2bl w:val="nil"/>
                  </w:tcBorders>
                  <w:vAlign w:val="center"/>
                </w:tcPr>
                <w:p>
                  <w:pPr>
                    <w:pStyle w:val="36"/>
                    <w:ind w:left="-48" w:leftChars="-20" w:right="-48" w:rightChars="-2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12</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2</w:t>
                  </w:r>
                </w:p>
              </w:tc>
              <w:tc>
                <w:tcPr>
                  <w:tcW w:w="1762" w:type="dxa"/>
                  <w:tcBorders>
                    <w:tl2br w:val="nil"/>
                    <w:tr2bl w:val="nil"/>
                  </w:tcBorders>
                  <w:vAlign w:val="center"/>
                </w:tcPr>
                <w:p>
                  <w:pPr>
                    <w:pStyle w:val="36"/>
                    <w:ind w:left="-48" w:leftChars="-20" w:right="-48" w:rightChars="-20"/>
                    <w:rPr>
                      <w:color w:val="auto"/>
                    </w:rPr>
                  </w:pPr>
                  <w:r>
                    <w:rPr>
                      <w:rFonts w:hint="eastAsia"/>
                      <w:color w:val="auto"/>
                    </w:rPr>
                    <w:t>拉丝</w:t>
                  </w:r>
                </w:p>
              </w:tc>
              <w:tc>
                <w:tcPr>
                  <w:tcW w:w="1293" w:type="dxa"/>
                  <w:vMerge w:val="continue"/>
                  <w:tcBorders>
                    <w:tl2br w:val="nil"/>
                    <w:tr2bl w:val="nil"/>
                  </w:tcBorders>
                  <w:vAlign w:val="center"/>
                </w:tcPr>
                <w:p>
                  <w:pPr>
                    <w:pStyle w:val="36"/>
                    <w:ind w:left="-48" w:leftChars="-20" w:right="-48" w:rightChars="-2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13</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1</w:t>
                  </w:r>
                </w:p>
              </w:tc>
              <w:tc>
                <w:tcPr>
                  <w:tcW w:w="1762" w:type="dxa"/>
                  <w:tcBorders>
                    <w:tl2br w:val="nil"/>
                    <w:tr2bl w:val="nil"/>
                  </w:tcBorders>
                  <w:vAlign w:val="center"/>
                </w:tcPr>
                <w:p>
                  <w:pPr>
                    <w:pStyle w:val="36"/>
                    <w:ind w:left="-48" w:leftChars="-20" w:right="-48" w:rightChars="-20"/>
                    <w:rPr>
                      <w:color w:val="auto"/>
                    </w:rPr>
                  </w:pPr>
                  <w:r>
                    <w:rPr>
                      <w:rFonts w:hint="eastAsia"/>
                      <w:color w:val="auto"/>
                    </w:rPr>
                    <w:t>绞合</w:t>
                  </w:r>
                </w:p>
              </w:tc>
              <w:tc>
                <w:tcPr>
                  <w:tcW w:w="1293" w:type="dxa"/>
                  <w:vMerge w:val="continue"/>
                  <w:tcBorders>
                    <w:tl2br w:val="nil"/>
                    <w:tr2bl w:val="nil"/>
                  </w:tcBorders>
                  <w:vAlign w:val="center"/>
                </w:tcPr>
                <w:p>
                  <w:pPr>
                    <w:pStyle w:val="36"/>
                    <w:ind w:left="-48" w:leftChars="-20" w:right="-48" w:rightChars="-2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14</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1</w:t>
                  </w:r>
                </w:p>
              </w:tc>
              <w:tc>
                <w:tcPr>
                  <w:tcW w:w="1762" w:type="dxa"/>
                  <w:tcBorders>
                    <w:tl2br w:val="nil"/>
                    <w:tr2bl w:val="nil"/>
                  </w:tcBorders>
                  <w:vAlign w:val="center"/>
                </w:tcPr>
                <w:p>
                  <w:pPr>
                    <w:pStyle w:val="36"/>
                    <w:ind w:left="-48" w:leftChars="-20" w:right="-48" w:rightChars="-20"/>
                    <w:rPr>
                      <w:color w:val="auto"/>
                    </w:rPr>
                  </w:pPr>
                  <w:r>
                    <w:rPr>
                      <w:rFonts w:hint="eastAsia"/>
                      <w:color w:val="auto"/>
                    </w:rPr>
                    <w:t>绞合</w:t>
                  </w:r>
                </w:p>
              </w:tc>
              <w:tc>
                <w:tcPr>
                  <w:tcW w:w="1293" w:type="dxa"/>
                  <w:vMerge w:val="continue"/>
                  <w:tcBorders>
                    <w:tl2br w:val="nil"/>
                    <w:tr2bl w:val="nil"/>
                  </w:tcBorders>
                  <w:vAlign w:val="center"/>
                </w:tcPr>
                <w:p>
                  <w:pPr>
                    <w:pStyle w:val="36"/>
                    <w:ind w:left="-48" w:leftChars="-20" w:right="-48" w:rightChars="-2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15</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台</w:t>
                  </w:r>
                </w:p>
              </w:tc>
              <w:tc>
                <w:tcPr>
                  <w:tcW w:w="651" w:type="dxa"/>
                  <w:tcBorders>
                    <w:tl2br w:val="nil"/>
                    <w:tr2bl w:val="nil"/>
                  </w:tcBorders>
                  <w:vAlign w:val="center"/>
                </w:tcPr>
                <w:p>
                  <w:pPr>
                    <w:pStyle w:val="36"/>
                    <w:ind w:left="-48" w:leftChars="-20" w:right="-48" w:rightChars="-20"/>
                    <w:rPr>
                      <w:color w:val="auto"/>
                    </w:rPr>
                  </w:pPr>
                  <w:r>
                    <w:rPr>
                      <w:color w:val="auto"/>
                    </w:rPr>
                    <w:t>2</w:t>
                  </w:r>
                </w:p>
              </w:tc>
              <w:tc>
                <w:tcPr>
                  <w:tcW w:w="1762" w:type="dxa"/>
                  <w:tcBorders>
                    <w:tl2br w:val="nil"/>
                    <w:tr2bl w:val="nil"/>
                  </w:tcBorders>
                  <w:vAlign w:val="center"/>
                </w:tcPr>
                <w:p>
                  <w:pPr>
                    <w:pStyle w:val="36"/>
                    <w:ind w:left="-48" w:leftChars="-20" w:right="-48" w:rightChars="-20"/>
                    <w:rPr>
                      <w:color w:val="auto"/>
                    </w:rPr>
                  </w:pPr>
                  <w:r>
                    <w:rPr>
                      <w:rFonts w:hint="eastAsia"/>
                      <w:color w:val="auto"/>
                    </w:rPr>
                    <w:t>放线</w:t>
                  </w:r>
                </w:p>
              </w:tc>
              <w:tc>
                <w:tcPr>
                  <w:tcW w:w="1293" w:type="dxa"/>
                  <w:vMerge w:val="continue"/>
                  <w:tcBorders>
                    <w:tl2br w:val="nil"/>
                    <w:tr2bl w:val="nil"/>
                  </w:tcBorders>
                  <w:vAlign w:val="center"/>
                </w:tcPr>
                <w:p>
                  <w:pPr>
                    <w:pStyle w:val="36"/>
                    <w:ind w:left="-48" w:leftChars="-20" w:right="-48" w:rightChars="-2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vAlign w:val="center"/>
                </w:tcPr>
                <w:p>
                  <w:pPr>
                    <w:pStyle w:val="36"/>
                    <w:ind w:left="-48" w:leftChars="-20" w:right="-48" w:rightChars="-20"/>
                    <w:rPr>
                      <w:color w:val="auto"/>
                    </w:rPr>
                  </w:pPr>
                  <w:r>
                    <w:rPr>
                      <w:rFonts w:hint="eastAsia"/>
                      <w:color w:val="auto"/>
                    </w:rPr>
                    <w:t>16</w:t>
                  </w:r>
                </w:p>
              </w:tc>
              <w:tc>
                <w:tcPr>
                  <w:tcW w:w="1853"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1590" w:type="dxa"/>
                  <w:tcBorders>
                    <w:tl2br w:val="nil"/>
                    <w:tr2bl w:val="nil"/>
                  </w:tcBorders>
                  <w:vAlign w:val="center"/>
                </w:tcPr>
                <w:p>
                  <w:pPr>
                    <w:pStyle w:val="36"/>
                    <w:bidi w:val="0"/>
                    <w:ind w:firstLine="0" w:firstLineChars="0"/>
                    <w:rPr>
                      <w:color w:val="auto"/>
                    </w:rPr>
                  </w:pPr>
                  <w:r>
                    <w:rPr>
                      <w:rFonts w:hint="eastAsia"/>
                      <w:color w:val="auto"/>
                      <w:lang w:val="en-US" w:eastAsia="zh-CN"/>
                    </w:rPr>
                    <w:t>***</w:t>
                  </w:r>
                </w:p>
              </w:tc>
              <w:tc>
                <w:tcPr>
                  <w:tcW w:w="686" w:type="dxa"/>
                  <w:tcBorders>
                    <w:tl2br w:val="nil"/>
                    <w:tr2bl w:val="nil"/>
                  </w:tcBorders>
                  <w:vAlign w:val="center"/>
                </w:tcPr>
                <w:p>
                  <w:pPr>
                    <w:pStyle w:val="36"/>
                    <w:ind w:left="-48" w:leftChars="-20" w:right="-48" w:rightChars="-20"/>
                    <w:rPr>
                      <w:color w:val="auto"/>
                    </w:rPr>
                  </w:pPr>
                  <w:r>
                    <w:rPr>
                      <w:rFonts w:hint="eastAsia"/>
                      <w:color w:val="auto"/>
                    </w:rPr>
                    <w:t>座</w:t>
                  </w:r>
                </w:p>
              </w:tc>
              <w:tc>
                <w:tcPr>
                  <w:tcW w:w="651" w:type="dxa"/>
                  <w:tcBorders>
                    <w:tl2br w:val="nil"/>
                    <w:tr2bl w:val="nil"/>
                  </w:tcBorders>
                  <w:vAlign w:val="center"/>
                </w:tcPr>
                <w:p>
                  <w:pPr>
                    <w:pStyle w:val="36"/>
                    <w:ind w:left="-48" w:leftChars="-20" w:right="-48" w:rightChars="-20"/>
                    <w:rPr>
                      <w:color w:val="auto"/>
                    </w:rPr>
                  </w:pPr>
                  <w:r>
                    <w:rPr>
                      <w:rFonts w:hint="eastAsia"/>
                      <w:color w:val="auto"/>
                    </w:rPr>
                    <w:t>6</w:t>
                  </w:r>
                </w:p>
              </w:tc>
              <w:tc>
                <w:tcPr>
                  <w:tcW w:w="1762" w:type="dxa"/>
                  <w:tcBorders>
                    <w:tl2br w:val="nil"/>
                    <w:tr2bl w:val="nil"/>
                  </w:tcBorders>
                  <w:vAlign w:val="center"/>
                </w:tcPr>
                <w:p>
                  <w:pPr>
                    <w:pStyle w:val="36"/>
                    <w:ind w:left="-48" w:leftChars="-20" w:right="-48" w:rightChars="-20"/>
                    <w:rPr>
                      <w:color w:val="auto"/>
                    </w:rPr>
                  </w:pPr>
                  <w:r>
                    <w:rPr>
                      <w:rFonts w:hint="eastAsia"/>
                      <w:color w:val="auto"/>
                    </w:rPr>
                    <w:t>冷却</w:t>
                  </w:r>
                </w:p>
              </w:tc>
              <w:tc>
                <w:tcPr>
                  <w:tcW w:w="1293" w:type="dxa"/>
                  <w:tcBorders>
                    <w:tl2br w:val="nil"/>
                    <w:tr2bl w:val="nil"/>
                  </w:tcBorders>
                  <w:vAlign w:val="center"/>
                </w:tcPr>
                <w:p>
                  <w:pPr>
                    <w:pStyle w:val="36"/>
                    <w:ind w:left="-48" w:leftChars="-20" w:right="-48" w:rightChars="-20"/>
                    <w:rPr>
                      <w:color w:val="auto"/>
                    </w:rPr>
                  </w:pPr>
                  <w:r>
                    <w:rPr>
                      <w:rFonts w:hint="eastAsia"/>
                      <w:color w:val="auto"/>
                    </w:rPr>
                    <w:t>挤压工序及退火机设备冷却</w:t>
                  </w:r>
                </w:p>
              </w:tc>
            </w:tr>
          </w:tbl>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37"/>
              <w:rPr>
                <w:color w:val="auto"/>
              </w:rPr>
            </w:pPr>
          </w:p>
          <w:p>
            <w:pPr>
              <w:pStyle w:val="55"/>
              <w:keepLines/>
              <w:rPr>
                <w:rFonts w:cs="Times New Roman"/>
                <w:color w:val="auto"/>
              </w:rPr>
            </w:pPr>
            <w:bookmarkStart w:id="31" w:name="_Toc12372"/>
            <w:r>
              <w:rPr>
                <w:rFonts w:cs="Times New Roman"/>
                <w:color w:val="auto"/>
              </w:rPr>
              <w:t>2.</w:t>
            </w:r>
            <w:r>
              <w:rPr>
                <w:rFonts w:hint="eastAsia" w:cs="Times New Roman"/>
                <w:color w:val="auto"/>
              </w:rPr>
              <w:t>5</w:t>
            </w:r>
            <w:r>
              <w:rPr>
                <w:rFonts w:cs="Times New Roman"/>
                <w:color w:val="auto"/>
              </w:rPr>
              <w:t>平衡</w:t>
            </w:r>
            <w:r>
              <w:rPr>
                <w:rFonts w:hint="eastAsia" w:cs="Times New Roman"/>
                <w:color w:val="auto"/>
              </w:rPr>
              <w:t>分析</w:t>
            </w:r>
            <w:bookmarkEnd w:id="31"/>
          </w:p>
          <w:p>
            <w:pPr>
              <w:pStyle w:val="56"/>
              <w:rPr>
                <w:color w:val="auto"/>
              </w:rPr>
            </w:pPr>
            <w:bookmarkStart w:id="32" w:name="_Toc30757"/>
            <w:r>
              <w:rPr>
                <w:rFonts w:hint="eastAsia"/>
                <w:color w:val="auto"/>
              </w:rPr>
              <w:t>2.5.1本项目水平衡</w:t>
            </w:r>
            <w:bookmarkEnd w:id="32"/>
          </w:p>
          <w:p>
            <w:pPr>
              <w:pStyle w:val="38"/>
              <w:ind w:firstLine="480"/>
              <w:rPr>
                <w:rFonts w:cs="Times New Roman"/>
                <w:color w:val="auto"/>
              </w:rPr>
            </w:pPr>
            <w:r>
              <w:rPr>
                <w:rFonts w:hint="eastAsia" w:cs="Times New Roman"/>
                <w:color w:val="auto"/>
              </w:rPr>
              <w:t>本项目主要用水为</w:t>
            </w:r>
            <w:r>
              <w:rPr>
                <w:rFonts w:cs="Times New Roman"/>
                <w:color w:val="auto"/>
              </w:rPr>
              <w:t>生活用水、</w:t>
            </w:r>
            <w:r>
              <w:rPr>
                <w:rFonts w:hint="eastAsia" w:cs="Times New Roman"/>
                <w:color w:val="auto"/>
              </w:rPr>
              <w:t>拉丝液用水</w:t>
            </w:r>
            <w:r>
              <w:rPr>
                <w:rFonts w:cs="Times New Roman"/>
                <w:color w:val="auto"/>
              </w:rPr>
              <w:t>、冷却塔补水。</w:t>
            </w:r>
            <w:r>
              <w:rPr>
                <w:rFonts w:hint="eastAsia" w:cs="Times New Roman"/>
                <w:color w:val="auto"/>
              </w:rPr>
              <w:t>项目</w:t>
            </w:r>
            <w:r>
              <w:rPr>
                <w:rFonts w:cs="Times New Roman"/>
                <w:color w:val="auto"/>
              </w:rPr>
              <w:t>冷却塔</w:t>
            </w:r>
            <w:r>
              <w:rPr>
                <w:rFonts w:hint="eastAsia" w:cs="Times New Roman"/>
                <w:color w:val="auto"/>
              </w:rPr>
              <w:t>定期</w:t>
            </w:r>
            <w:r>
              <w:rPr>
                <w:rFonts w:cs="Times New Roman"/>
                <w:color w:val="auto"/>
              </w:rPr>
              <w:t>补水</w:t>
            </w:r>
            <w:r>
              <w:rPr>
                <w:rFonts w:hint="eastAsia" w:cs="Times New Roman"/>
                <w:color w:val="auto"/>
              </w:rPr>
              <w:t>不外排，拉丝液用水定期补充，进入固废和定期更换废液均作为危废处置，无生产废水排放，仅排放生活污水。</w:t>
            </w:r>
          </w:p>
          <w:p>
            <w:pPr>
              <w:pStyle w:val="38"/>
              <w:ind w:firstLine="480"/>
              <w:rPr>
                <w:rFonts w:cs="Times New Roman"/>
                <w:color w:val="auto"/>
              </w:rPr>
            </w:pPr>
            <w:r>
              <w:rPr>
                <w:rFonts w:cs="Times New Roman"/>
                <w:color w:val="auto"/>
              </w:rPr>
              <w:t>（1）生活用水</w:t>
            </w:r>
          </w:p>
          <w:p>
            <w:pPr>
              <w:pStyle w:val="38"/>
              <w:ind w:firstLine="480"/>
              <w:rPr>
                <w:rFonts w:cs="Times New Roman"/>
                <w:color w:val="auto"/>
              </w:rPr>
            </w:pPr>
            <w:r>
              <w:rPr>
                <w:rFonts w:cs="Times New Roman"/>
                <w:color w:val="auto"/>
              </w:rPr>
              <w:t>项目全厂员工25人，其中住厂员工13人，年生产</w:t>
            </w:r>
            <w:r>
              <w:rPr>
                <w:rFonts w:hint="eastAsia" w:cs="Times New Roman"/>
                <w:color w:val="auto"/>
                <w:lang w:val="en-US" w:eastAsia="zh-CN"/>
              </w:rPr>
              <w:t>300</w:t>
            </w:r>
            <w:r>
              <w:rPr>
                <w:rFonts w:cs="Times New Roman"/>
                <w:color w:val="auto"/>
              </w:rPr>
              <w:t>天。根据《建筑给水排水设计标准》（GB</w:t>
            </w:r>
            <w:r>
              <w:rPr>
                <w:rFonts w:hint="eastAsia" w:cs="Times New Roman"/>
                <w:color w:val="auto"/>
              </w:rPr>
              <w:t xml:space="preserve"> </w:t>
            </w:r>
            <w:r>
              <w:rPr>
                <w:rFonts w:cs="Times New Roman"/>
                <w:color w:val="auto"/>
              </w:rPr>
              <w:t>50015-2019）及《福建省地方标准行业用水定额》（DB35/T 772-2023）等标准，不住厂员工生活用水定额取50L/（人·d），住厂员工用水定额取180L/（人·d），则项目职工生活用水量为2.94t/d（</w:t>
            </w:r>
            <w:r>
              <w:rPr>
                <w:rFonts w:hint="eastAsia" w:cs="Times New Roman"/>
                <w:color w:val="auto"/>
                <w:lang w:val="en-US" w:eastAsia="zh-CN"/>
              </w:rPr>
              <w:t>882</w:t>
            </w:r>
            <w:r>
              <w:rPr>
                <w:rFonts w:cs="Times New Roman"/>
                <w:color w:val="auto"/>
              </w:rPr>
              <w:t>t/a）。生活污水产污系数按80%计算，则项目生活污水排放量为2.35t/d（</w:t>
            </w:r>
            <w:r>
              <w:rPr>
                <w:rFonts w:hint="eastAsia" w:cs="Times New Roman"/>
                <w:color w:val="auto"/>
                <w:lang w:val="en-US" w:eastAsia="zh-CN"/>
              </w:rPr>
              <w:t>705.6</w:t>
            </w:r>
            <w:r>
              <w:rPr>
                <w:rFonts w:cs="Times New Roman"/>
                <w:color w:val="auto"/>
              </w:rPr>
              <w:t>t/a），经化粪池处理后排入福清市融元污水处理厂统一处理。</w:t>
            </w:r>
          </w:p>
          <w:p>
            <w:pPr>
              <w:pStyle w:val="38"/>
              <w:ind w:firstLine="480"/>
              <w:rPr>
                <w:rFonts w:cs="Times New Roman"/>
                <w:color w:val="auto"/>
              </w:rPr>
            </w:pPr>
            <w:r>
              <w:rPr>
                <w:rFonts w:cs="Times New Roman"/>
                <w:color w:val="auto"/>
              </w:rPr>
              <w:t>（2）生产用水</w:t>
            </w:r>
          </w:p>
          <w:p>
            <w:pPr>
              <w:pStyle w:val="38"/>
              <w:ind w:firstLine="480"/>
              <w:rPr>
                <w:rFonts w:cs="Times New Roman"/>
                <w:color w:val="auto"/>
              </w:rPr>
            </w:pPr>
            <w:r>
              <w:rPr>
                <w:rFonts w:cs="Times New Roman"/>
                <w:color w:val="auto"/>
              </w:rPr>
              <w:t>①拉丝液用水</w:t>
            </w:r>
          </w:p>
          <w:p>
            <w:pPr>
              <w:ind w:firstLine="480"/>
              <w:rPr>
                <w:rFonts w:cs="Times New Roman"/>
                <w:color w:val="auto"/>
              </w:rPr>
            </w:pPr>
            <w:r>
              <w:rPr>
                <w:rFonts w:hint="eastAsia" w:cs="Times New Roman"/>
                <w:color w:val="auto"/>
              </w:rPr>
              <w:t>本项目生产过程中使用拉丝液进行冷却与润滑，该拉丝液由拉丝油与水按1:15的比例调配而成。拉丝油年用量约为2.55t，配置用水量为38.25t，调配后拉丝液总量为40.8t/a。根据建设单位提供资料，拉丝液在退火过程中挥发量约5%，即2.0t/a（其中拉丝油0.12t/a、水1.88t/a），废拉丝液每年更换</w:t>
            </w:r>
            <w:r>
              <w:rPr>
                <w:rFonts w:hint="eastAsia" w:cs="Times New Roman"/>
                <w:color w:val="auto"/>
                <w:lang w:val="en-US" w:eastAsia="zh-CN"/>
              </w:rPr>
              <w:t>1次</w:t>
            </w:r>
            <w:r>
              <w:rPr>
                <w:rFonts w:hint="eastAsia" w:cs="Times New Roman"/>
                <w:color w:val="auto"/>
              </w:rPr>
              <w:t>均作为危险废物处置约38.8t/a（其中拉丝油2.43t/a、水36.37t/a）。拉丝液在系统中循环使用</w:t>
            </w:r>
            <w:r>
              <w:rPr>
                <w:rFonts w:cs="Times New Roman"/>
                <w:color w:val="auto"/>
              </w:rPr>
              <w:t>，因工件带走、自然蒸发而发生损耗</w:t>
            </w:r>
            <w:r>
              <w:rPr>
                <w:rFonts w:hint="eastAsia" w:cs="Times New Roman"/>
                <w:color w:val="auto"/>
                <w:lang w:eastAsia="zh-CN"/>
              </w:rPr>
              <w:t>按</w:t>
            </w:r>
            <w:r>
              <w:rPr>
                <w:rFonts w:hint="eastAsia" w:cs="Times New Roman"/>
                <w:color w:val="auto"/>
              </w:rPr>
              <w:t>10%计，年损失量约为4.08t，需定期补充。</w:t>
            </w:r>
          </w:p>
          <w:p>
            <w:pPr>
              <w:ind w:firstLine="480"/>
              <w:rPr>
                <w:rFonts w:cs="Times New Roman"/>
                <w:color w:val="auto"/>
              </w:rPr>
            </w:pPr>
            <w:r>
              <w:rPr>
                <w:rFonts w:hint="eastAsia" w:cs="Times New Roman"/>
                <w:color w:val="auto"/>
              </w:rPr>
              <w:t>综上，拉丝液总用水量为42.33t/a，其中蒸发水量为5.96t/a，进入危废的水量为36.37t/a。</w:t>
            </w:r>
          </w:p>
          <w:p>
            <w:pPr>
              <w:pStyle w:val="38"/>
              <w:ind w:firstLine="480"/>
              <w:rPr>
                <w:rFonts w:cs="Times New Roman"/>
                <w:color w:val="auto"/>
              </w:rPr>
            </w:pPr>
            <w:r>
              <w:rPr>
                <w:rFonts w:cs="Times New Roman"/>
                <w:color w:val="auto"/>
              </w:rPr>
              <w:t>②冷却塔补充用水</w:t>
            </w:r>
          </w:p>
          <w:p>
            <w:pPr>
              <w:ind w:firstLine="480"/>
              <w:rPr>
                <w:rFonts w:cs="Times New Roman"/>
                <w:color w:val="auto"/>
              </w:rPr>
            </w:pPr>
            <w:r>
              <w:rPr>
                <w:rFonts w:cs="Times New Roman"/>
                <w:color w:val="auto"/>
              </w:rPr>
              <w:t>本项目挤压</w:t>
            </w:r>
            <w:r>
              <w:rPr>
                <w:rFonts w:hint="eastAsia" w:cs="Times New Roman"/>
                <w:color w:val="auto"/>
              </w:rPr>
              <w:t>及退火炉设备</w:t>
            </w:r>
            <w:r>
              <w:rPr>
                <w:rFonts w:cs="Times New Roman"/>
                <w:color w:val="auto"/>
              </w:rPr>
              <w:t>，使用新鲜水进行间接冷却，</w:t>
            </w:r>
            <w:r>
              <w:rPr>
                <w:rFonts w:cs="Times New Roman"/>
                <w:color w:val="auto"/>
                <w:lang w:bidi="ar"/>
              </w:rPr>
              <w:t>通过冷却塔对接的冷却管道对铜液及工件进行冷却。建设单位</w:t>
            </w:r>
            <w:r>
              <w:rPr>
                <w:rFonts w:cs="Times New Roman"/>
                <w:color w:val="auto"/>
              </w:rPr>
              <w:t>设置6座冷却塔，</w:t>
            </w:r>
            <w:r>
              <w:rPr>
                <w:rFonts w:cs="Times New Roman"/>
                <w:color w:val="auto"/>
                <w:lang w:bidi="ar"/>
              </w:rPr>
              <w:t>冷却水循环使用，仅需及时补充损失的水量，根据建设单位提供的资料，</w:t>
            </w:r>
            <w:r>
              <w:rPr>
                <w:rFonts w:hint="eastAsia" w:cs="Times New Roman"/>
                <w:color w:val="auto"/>
                <w:lang w:bidi="ar"/>
              </w:rPr>
              <w:t>冷却塔根据工作温度需要自动开启，每台</w:t>
            </w:r>
            <w:r>
              <w:rPr>
                <w:rFonts w:cs="Times New Roman"/>
                <w:color w:val="auto"/>
                <w:lang w:bidi="ar"/>
              </w:rPr>
              <w:t>冷却塔循环水量为</w:t>
            </w:r>
            <w:r>
              <w:rPr>
                <w:rFonts w:hint="eastAsia" w:cs="Times New Roman"/>
                <w:color w:val="auto"/>
              </w:rPr>
              <w:t>15</w:t>
            </w:r>
            <w:r>
              <w:rPr>
                <w:rFonts w:cs="Times New Roman"/>
                <w:color w:val="auto"/>
              </w:rPr>
              <w:t>m</w:t>
            </w:r>
            <w:r>
              <w:rPr>
                <w:rFonts w:cs="Times New Roman"/>
                <w:color w:val="auto"/>
                <w:vertAlign w:val="superscript"/>
              </w:rPr>
              <w:t>3</w:t>
            </w:r>
            <w:r>
              <w:rPr>
                <w:rFonts w:cs="Times New Roman"/>
                <w:color w:val="auto"/>
              </w:rPr>
              <w:t>/</w:t>
            </w:r>
            <w:r>
              <w:rPr>
                <w:rFonts w:hint="eastAsia" w:cs="Times New Roman"/>
                <w:color w:val="auto"/>
              </w:rPr>
              <w:t>h，日开启时间约12h/台，则冷却水</w:t>
            </w:r>
            <w:r>
              <w:rPr>
                <w:rFonts w:cs="Times New Roman"/>
                <w:color w:val="auto"/>
                <w:lang w:bidi="ar"/>
              </w:rPr>
              <w:t>循环量</w:t>
            </w:r>
            <w:r>
              <w:rPr>
                <w:rFonts w:hint="eastAsia" w:cs="Times New Roman"/>
                <w:color w:val="auto"/>
                <w:lang w:bidi="ar"/>
              </w:rPr>
              <w:t>约</w:t>
            </w:r>
            <w:r>
              <w:rPr>
                <w:rFonts w:cs="Times New Roman"/>
                <w:color w:val="auto"/>
                <w:lang w:bidi="ar"/>
              </w:rPr>
              <w:t>为</w:t>
            </w:r>
            <w:r>
              <w:rPr>
                <w:rFonts w:hint="eastAsia" w:cs="Times New Roman"/>
                <w:color w:val="auto"/>
              </w:rPr>
              <w:t>1080t</w:t>
            </w:r>
            <w:r>
              <w:rPr>
                <w:rFonts w:cs="Times New Roman"/>
                <w:color w:val="auto"/>
              </w:rPr>
              <w:t>/d</w:t>
            </w:r>
            <w:r>
              <w:rPr>
                <w:rFonts w:cs="Times New Roman"/>
                <w:color w:val="auto"/>
                <w:lang w:bidi="ar"/>
              </w:rPr>
              <w:t>，冷却用水循环使用不外排，因蒸发等因素需定期补充，蒸发量按</w:t>
            </w:r>
            <w:r>
              <w:rPr>
                <w:rFonts w:hint="eastAsia" w:cs="Times New Roman"/>
                <w:color w:val="auto"/>
                <w:lang w:bidi="ar"/>
              </w:rPr>
              <w:t>循环</w:t>
            </w:r>
            <w:r>
              <w:rPr>
                <w:rFonts w:cs="Times New Roman"/>
                <w:color w:val="auto"/>
                <w:lang w:bidi="ar"/>
              </w:rPr>
              <w:t>量的</w:t>
            </w:r>
            <w:r>
              <w:rPr>
                <w:rFonts w:hint="eastAsia" w:cs="Times New Roman"/>
                <w:color w:val="auto"/>
                <w:lang w:bidi="ar"/>
              </w:rPr>
              <w:t>2</w:t>
            </w:r>
            <w:r>
              <w:rPr>
                <w:rFonts w:cs="Times New Roman"/>
                <w:color w:val="auto"/>
                <w:lang w:bidi="ar"/>
              </w:rPr>
              <w:t>%计算，即每日新鲜水补充量为</w:t>
            </w:r>
            <w:r>
              <w:rPr>
                <w:rFonts w:hint="eastAsia" w:cs="Times New Roman"/>
                <w:color w:val="auto"/>
                <w:lang w:bidi="ar"/>
              </w:rPr>
              <w:t>21.6</w:t>
            </w:r>
            <w:r>
              <w:rPr>
                <w:rFonts w:hint="eastAsia" w:cs="Times New Roman"/>
                <w:color w:val="auto"/>
              </w:rPr>
              <w:t>t</w:t>
            </w:r>
            <w:r>
              <w:rPr>
                <w:rFonts w:cs="Times New Roman"/>
                <w:color w:val="auto"/>
              </w:rPr>
              <w:t>/d</w:t>
            </w:r>
            <w:r>
              <w:rPr>
                <w:rFonts w:cs="Times New Roman"/>
                <w:color w:val="auto"/>
                <w:lang w:bidi="ar"/>
              </w:rPr>
              <w:t>（</w:t>
            </w:r>
            <w:r>
              <w:rPr>
                <w:rFonts w:hint="eastAsia" w:cs="Times New Roman"/>
                <w:color w:val="auto"/>
                <w:lang w:bidi="ar"/>
              </w:rPr>
              <w:t>6480</w:t>
            </w:r>
            <w:r>
              <w:rPr>
                <w:rFonts w:cs="Times New Roman"/>
                <w:color w:val="auto"/>
                <w:lang w:bidi="ar"/>
              </w:rPr>
              <w:t>t/a）。</w:t>
            </w:r>
          </w:p>
          <w:p>
            <w:pPr>
              <w:pStyle w:val="38"/>
              <w:ind w:firstLine="480"/>
              <w:rPr>
                <w:color w:val="auto"/>
              </w:rPr>
            </w:pPr>
            <w:r>
              <w:rPr>
                <w:rFonts w:hint="eastAsia"/>
                <w:color w:val="auto"/>
              </w:rPr>
              <w:t>本项目</w:t>
            </w:r>
            <w:r>
              <w:rPr>
                <w:color w:val="auto"/>
              </w:rPr>
              <w:t>用排情况见表</w:t>
            </w:r>
            <w:r>
              <w:rPr>
                <w:rFonts w:hint="eastAsia"/>
                <w:color w:val="auto"/>
              </w:rPr>
              <w:t>2.5</w:t>
            </w:r>
            <w:r>
              <w:rPr>
                <w:color w:val="auto"/>
              </w:rPr>
              <w:t>-1，水平衡图见图</w:t>
            </w:r>
            <w:r>
              <w:rPr>
                <w:rFonts w:hint="eastAsia"/>
                <w:color w:val="auto"/>
              </w:rPr>
              <w:t>2.5</w:t>
            </w:r>
            <w:r>
              <w:rPr>
                <w:color w:val="auto"/>
              </w:rPr>
              <w:t>-1。</w:t>
            </w:r>
          </w:p>
          <w:p>
            <w:pPr>
              <w:pStyle w:val="37"/>
              <w:rPr>
                <w:color w:val="auto"/>
              </w:rPr>
            </w:pPr>
            <w:r>
              <w:rPr>
                <w:color w:val="auto"/>
              </w:rPr>
              <w:t>表</w:t>
            </w:r>
            <w:r>
              <w:rPr>
                <w:rFonts w:hint="eastAsia"/>
                <w:color w:val="auto"/>
                <w:lang w:val="en-US"/>
              </w:rPr>
              <w:t>2.5</w:t>
            </w:r>
            <w:r>
              <w:rPr>
                <w:color w:val="auto"/>
              </w:rPr>
              <w:t xml:space="preserve">-1  </w:t>
            </w:r>
            <w:r>
              <w:rPr>
                <w:rFonts w:hint="eastAsia"/>
                <w:color w:val="auto"/>
                <w:lang w:val="en-US"/>
              </w:rPr>
              <w:t>本项目</w:t>
            </w:r>
            <w:r>
              <w:rPr>
                <w:color w:val="auto"/>
              </w:rPr>
              <w:t>用排情况一览表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17"/>
              <w:gridCol w:w="1397"/>
              <w:gridCol w:w="1300"/>
              <w:gridCol w:w="1283"/>
              <w:gridCol w:w="1474"/>
              <w:gridCol w:w="23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8" w:type="pct"/>
                  <w:vMerge w:val="restart"/>
                  <w:vAlign w:val="center"/>
                </w:tcPr>
                <w:p>
                  <w:pPr>
                    <w:pStyle w:val="36"/>
                    <w:rPr>
                      <w:color w:val="auto"/>
                    </w:rPr>
                  </w:pPr>
                  <w:r>
                    <w:rPr>
                      <w:color w:val="auto"/>
                    </w:rPr>
                    <w:t>序号</w:t>
                  </w:r>
                </w:p>
              </w:tc>
              <w:tc>
                <w:tcPr>
                  <w:tcW w:w="832" w:type="pct"/>
                  <w:vMerge w:val="restart"/>
                  <w:vAlign w:val="center"/>
                </w:tcPr>
                <w:p>
                  <w:pPr>
                    <w:pStyle w:val="36"/>
                    <w:rPr>
                      <w:color w:val="auto"/>
                    </w:rPr>
                  </w:pPr>
                  <w:r>
                    <w:rPr>
                      <w:color w:val="auto"/>
                    </w:rPr>
                    <w:t>用水系统</w:t>
                  </w:r>
                </w:p>
              </w:tc>
              <w:tc>
                <w:tcPr>
                  <w:tcW w:w="774" w:type="pct"/>
                  <w:vMerge w:val="restart"/>
                  <w:vAlign w:val="center"/>
                </w:tcPr>
                <w:p>
                  <w:pPr>
                    <w:pStyle w:val="36"/>
                    <w:rPr>
                      <w:color w:val="auto"/>
                    </w:rPr>
                  </w:pPr>
                  <w:r>
                    <w:rPr>
                      <w:color w:val="auto"/>
                    </w:rPr>
                    <w:t>新鲜水量</w:t>
                  </w:r>
                  <w:r>
                    <w:rPr>
                      <w:rFonts w:hint="eastAsia"/>
                      <w:color w:val="auto"/>
                    </w:rPr>
                    <w:t>t/a</w:t>
                  </w:r>
                </w:p>
              </w:tc>
              <w:tc>
                <w:tcPr>
                  <w:tcW w:w="1642" w:type="pct"/>
                  <w:gridSpan w:val="2"/>
                  <w:vAlign w:val="center"/>
                </w:tcPr>
                <w:p>
                  <w:pPr>
                    <w:pStyle w:val="36"/>
                    <w:rPr>
                      <w:color w:val="auto"/>
                    </w:rPr>
                  </w:pPr>
                  <w:r>
                    <w:rPr>
                      <w:color w:val="auto"/>
                    </w:rPr>
                    <w:t>其中</w:t>
                  </w:r>
                </w:p>
              </w:tc>
              <w:tc>
                <w:tcPr>
                  <w:tcW w:w="1382" w:type="pct"/>
                  <w:vMerge w:val="restart"/>
                  <w:vAlign w:val="center"/>
                </w:tcPr>
                <w:p>
                  <w:pPr>
                    <w:pStyle w:val="36"/>
                    <w:rPr>
                      <w:color w:val="auto"/>
                    </w:rPr>
                  </w:pPr>
                  <w:r>
                    <w:rPr>
                      <w:color w:val="auto"/>
                    </w:rPr>
                    <w:t>废水去向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8" w:type="pct"/>
                  <w:vMerge w:val="continue"/>
                  <w:vAlign w:val="center"/>
                </w:tcPr>
                <w:p>
                  <w:pPr>
                    <w:pStyle w:val="36"/>
                    <w:rPr>
                      <w:color w:val="auto"/>
                    </w:rPr>
                  </w:pPr>
                </w:p>
              </w:tc>
              <w:tc>
                <w:tcPr>
                  <w:tcW w:w="832" w:type="pct"/>
                  <w:vMerge w:val="continue"/>
                  <w:vAlign w:val="center"/>
                </w:tcPr>
                <w:p>
                  <w:pPr>
                    <w:pStyle w:val="36"/>
                    <w:rPr>
                      <w:color w:val="auto"/>
                    </w:rPr>
                  </w:pPr>
                </w:p>
              </w:tc>
              <w:tc>
                <w:tcPr>
                  <w:tcW w:w="774" w:type="pct"/>
                  <w:vMerge w:val="continue"/>
                  <w:vAlign w:val="center"/>
                </w:tcPr>
                <w:p>
                  <w:pPr>
                    <w:pStyle w:val="36"/>
                    <w:rPr>
                      <w:color w:val="auto"/>
                    </w:rPr>
                  </w:pPr>
                </w:p>
              </w:tc>
              <w:tc>
                <w:tcPr>
                  <w:tcW w:w="764" w:type="pct"/>
                  <w:vAlign w:val="center"/>
                </w:tcPr>
                <w:p>
                  <w:pPr>
                    <w:pStyle w:val="36"/>
                    <w:rPr>
                      <w:color w:val="auto"/>
                    </w:rPr>
                  </w:pPr>
                  <w:r>
                    <w:rPr>
                      <w:color w:val="auto"/>
                    </w:rPr>
                    <w:t>损耗量</w:t>
                  </w:r>
                  <w:r>
                    <w:rPr>
                      <w:rFonts w:hint="eastAsia"/>
                      <w:color w:val="auto"/>
                    </w:rPr>
                    <w:t>t/a</w:t>
                  </w:r>
                </w:p>
              </w:tc>
              <w:tc>
                <w:tcPr>
                  <w:tcW w:w="877" w:type="pct"/>
                  <w:vAlign w:val="center"/>
                </w:tcPr>
                <w:p>
                  <w:pPr>
                    <w:pStyle w:val="36"/>
                    <w:rPr>
                      <w:color w:val="auto"/>
                    </w:rPr>
                  </w:pPr>
                  <w:r>
                    <w:rPr>
                      <w:color w:val="auto"/>
                    </w:rPr>
                    <w:t>排水量</w:t>
                  </w:r>
                  <w:r>
                    <w:rPr>
                      <w:rFonts w:hint="eastAsia"/>
                      <w:color w:val="auto"/>
                    </w:rPr>
                    <w:t>t/a</w:t>
                  </w:r>
                </w:p>
              </w:tc>
              <w:tc>
                <w:tcPr>
                  <w:tcW w:w="1382" w:type="pct"/>
                  <w:vMerge w:val="continue"/>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8" w:type="pct"/>
                  <w:vAlign w:val="center"/>
                </w:tcPr>
                <w:p>
                  <w:pPr>
                    <w:pStyle w:val="36"/>
                    <w:rPr>
                      <w:color w:val="auto"/>
                    </w:rPr>
                  </w:pPr>
                  <w:r>
                    <w:rPr>
                      <w:rFonts w:hint="eastAsia"/>
                      <w:color w:val="auto"/>
                    </w:rPr>
                    <w:t>1</w:t>
                  </w:r>
                </w:p>
              </w:tc>
              <w:tc>
                <w:tcPr>
                  <w:tcW w:w="832" w:type="pct"/>
                  <w:vAlign w:val="center"/>
                </w:tcPr>
                <w:p>
                  <w:pPr>
                    <w:pStyle w:val="36"/>
                    <w:rPr>
                      <w:color w:val="auto"/>
                    </w:rPr>
                  </w:pPr>
                  <w:r>
                    <w:rPr>
                      <w:color w:val="auto"/>
                    </w:rPr>
                    <w:t>生活用水</w:t>
                  </w:r>
                </w:p>
              </w:tc>
              <w:tc>
                <w:tcPr>
                  <w:tcW w:w="774" w:type="pct"/>
                  <w:vAlign w:val="center"/>
                </w:tcPr>
                <w:p>
                  <w:pPr>
                    <w:pStyle w:val="36"/>
                    <w:rPr>
                      <w:rFonts w:hint="default" w:eastAsia="宋体"/>
                      <w:color w:val="auto"/>
                      <w:lang w:val="en-US" w:eastAsia="zh-CN"/>
                    </w:rPr>
                  </w:pPr>
                  <w:r>
                    <w:rPr>
                      <w:rFonts w:hint="eastAsia"/>
                      <w:color w:val="auto"/>
                      <w:lang w:val="en-US" w:eastAsia="zh-CN"/>
                    </w:rPr>
                    <w:t>882</w:t>
                  </w:r>
                </w:p>
              </w:tc>
              <w:tc>
                <w:tcPr>
                  <w:tcW w:w="764" w:type="pct"/>
                  <w:vAlign w:val="center"/>
                </w:tcPr>
                <w:p>
                  <w:pPr>
                    <w:pStyle w:val="36"/>
                    <w:rPr>
                      <w:rFonts w:hint="default" w:eastAsia="宋体"/>
                      <w:color w:val="auto"/>
                      <w:lang w:val="en-US" w:eastAsia="zh-CN"/>
                    </w:rPr>
                  </w:pPr>
                  <w:r>
                    <w:rPr>
                      <w:rFonts w:hint="eastAsia"/>
                      <w:color w:val="auto"/>
                      <w:lang w:val="en-US" w:eastAsia="zh-CN"/>
                    </w:rPr>
                    <w:t>176.4</w:t>
                  </w:r>
                </w:p>
              </w:tc>
              <w:tc>
                <w:tcPr>
                  <w:tcW w:w="877" w:type="pct"/>
                  <w:vAlign w:val="center"/>
                </w:tcPr>
                <w:p>
                  <w:pPr>
                    <w:pStyle w:val="36"/>
                    <w:rPr>
                      <w:rFonts w:hint="default" w:eastAsia="宋体"/>
                      <w:color w:val="auto"/>
                      <w:lang w:val="en-US" w:eastAsia="zh-CN"/>
                    </w:rPr>
                  </w:pPr>
                  <w:r>
                    <w:rPr>
                      <w:rFonts w:hint="eastAsia"/>
                      <w:color w:val="auto"/>
                      <w:lang w:val="en-US" w:eastAsia="zh-CN"/>
                    </w:rPr>
                    <w:t>705.6</w:t>
                  </w:r>
                </w:p>
              </w:tc>
              <w:tc>
                <w:tcPr>
                  <w:tcW w:w="1382" w:type="pct"/>
                  <w:vAlign w:val="center"/>
                </w:tcPr>
                <w:p>
                  <w:pPr>
                    <w:pStyle w:val="36"/>
                    <w:rPr>
                      <w:color w:val="auto"/>
                    </w:rPr>
                  </w:pPr>
                  <w:r>
                    <w:rPr>
                      <w:color w:val="auto"/>
                    </w:rPr>
                    <w:t>福清市融元污水处理厂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9" w:hRule="atLeast"/>
                <w:tblHeader/>
                <w:jc w:val="center"/>
              </w:trPr>
              <w:tc>
                <w:tcPr>
                  <w:tcW w:w="368" w:type="pct"/>
                  <w:vAlign w:val="center"/>
                </w:tcPr>
                <w:p>
                  <w:pPr>
                    <w:pStyle w:val="36"/>
                    <w:rPr>
                      <w:color w:val="auto"/>
                    </w:rPr>
                  </w:pPr>
                  <w:r>
                    <w:rPr>
                      <w:rFonts w:hint="eastAsia"/>
                      <w:color w:val="auto"/>
                    </w:rPr>
                    <w:t>2</w:t>
                  </w:r>
                </w:p>
              </w:tc>
              <w:tc>
                <w:tcPr>
                  <w:tcW w:w="832" w:type="pct"/>
                  <w:vAlign w:val="center"/>
                </w:tcPr>
                <w:p>
                  <w:pPr>
                    <w:pStyle w:val="36"/>
                    <w:rPr>
                      <w:color w:val="auto"/>
                    </w:rPr>
                  </w:pPr>
                  <w:r>
                    <w:rPr>
                      <w:rFonts w:hint="eastAsia"/>
                      <w:color w:val="auto"/>
                    </w:rPr>
                    <w:t>拉丝液用水</w:t>
                  </w:r>
                </w:p>
              </w:tc>
              <w:tc>
                <w:tcPr>
                  <w:tcW w:w="774" w:type="pct"/>
                  <w:vAlign w:val="center"/>
                </w:tcPr>
                <w:p>
                  <w:pPr>
                    <w:pStyle w:val="36"/>
                    <w:rPr>
                      <w:color w:val="auto"/>
                    </w:rPr>
                  </w:pPr>
                  <w:r>
                    <w:rPr>
                      <w:rFonts w:hint="eastAsia"/>
                      <w:color w:val="auto"/>
                    </w:rPr>
                    <w:t>42.33</w:t>
                  </w:r>
                </w:p>
              </w:tc>
              <w:tc>
                <w:tcPr>
                  <w:tcW w:w="764" w:type="pct"/>
                  <w:vAlign w:val="center"/>
                </w:tcPr>
                <w:p>
                  <w:pPr>
                    <w:pStyle w:val="36"/>
                    <w:rPr>
                      <w:color w:val="auto"/>
                    </w:rPr>
                  </w:pPr>
                  <w:r>
                    <w:rPr>
                      <w:rFonts w:hint="eastAsia"/>
                      <w:color w:val="auto"/>
                    </w:rPr>
                    <w:t>5.96</w:t>
                  </w:r>
                </w:p>
              </w:tc>
              <w:tc>
                <w:tcPr>
                  <w:tcW w:w="877" w:type="pct"/>
                  <w:vAlign w:val="center"/>
                </w:tcPr>
                <w:p>
                  <w:pPr>
                    <w:pStyle w:val="36"/>
                    <w:rPr>
                      <w:color w:val="auto"/>
                    </w:rPr>
                  </w:pPr>
                  <w:r>
                    <w:rPr>
                      <w:rStyle w:val="34"/>
                      <w:rFonts w:hint="eastAsia"/>
                      <w:color w:val="auto"/>
                    </w:rPr>
                    <w:t>36.37</w:t>
                  </w:r>
                </w:p>
              </w:tc>
              <w:tc>
                <w:tcPr>
                  <w:tcW w:w="1382" w:type="pct"/>
                  <w:vAlign w:val="center"/>
                </w:tcPr>
                <w:p>
                  <w:pPr>
                    <w:pStyle w:val="36"/>
                    <w:rPr>
                      <w:color w:val="auto"/>
                    </w:rPr>
                  </w:pPr>
                  <w:r>
                    <w:rPr>
                      <w:rFonts w:hint="eastAsia" w:cs="Times New Roman"/>
                      <w:color w:val="auto"/>
                    </w:rPr>
                    <w:t>废液，作为危废处置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8" w:type="pct"/>
                  <w:vAlign w:val="center"/>
                </w:tcPr>
                <w:p>
                  <w:pPr>
                    <w:pStyle w:val="36"/>
                    <w:rPr>
                      <w:color w:val="auto"/>
                    </w:rPr>
                  </w:pPr>
                  <w:r>
                    <w:rPr>
                      <w:rFonts w:hint="eastAsia"/>
                      <w:color w:val="auto"/>
                    </w:rPr>
                    <w:t>3</w:t>
                  </w:r>
                </w:p>
              </w:tc>
              <w:tc>
                <w:tcPr>
                  <w:tcW w:w="832" w:type="pct"/>
                  <w:vAlign w:val="center"/>
                </w:tcPr>
                <w:p>
                  <w:pPr>
                    <w:pStyle w:val="36"/>
                    <w:rPr>
                      <w:color w:val="auto"/>
                    </w:rPr>
                  </w:pPr>
                  <w:r>
                    <w:rPr>
                      <w:rFonts w:hint="eastAsia"/>
                      <w:color w:val="auto"/>
                    </w:rPr>
                    <w:t>冷却塔补水</w:t>
                  </w:r>
                </w:p>
              </w:tc>
              <w:tc>
                <w:tcPr>
                  <w:tcW w:w="774" w:type="pct"/>
                  <w:vAlign w:val="center"/>
                </w:tcPr>
                <w:p>
                  <w:pPr>
                    <w:pStyle w:val="36"/>
                    <w:rPr>
                      <w:color w:val="auto"/>
                    </w:rPr>
                  </w:pPr>
                  <w:r>
                    <w:rPr>
                      <w:color w:val="auto"/>
                    </w:rPr>
                    <w:t>6480</w:t>
                  </w:r>
                </w:p>
              </w:tc>
              <w:tc>
                <w:tcPr>
                  <w:tcW w:w="764" w:type="pct"/>
                  <w:vAlign w:val="center"/>
                </w:tcPr>
                <w:p>
                  <w:pPr>
                    <w:pStyle w:val="36"/>
                    <w:rPr>
                      <w:color w:val="auto"/>
                    </w:rPr>
                  </w:pPr>
                  <w:r>
                    <w:rPr>
                      <w:color w:val="auto"/>
                    </w:rPr>
                    <w:t>6480</w:t>
                  </w:r>
                </w:p>
              </w:tc>
              <w:tc>
                <w:tcPr>
                  <w:tcW w:w="877" w:type="pct"/>
                  <w:vAlign w:val="center"/>
                </w:tcPr>
                <w:p>
                  <w:pPr>
                    <w:pStyle w:val="36"/>
                    <w:rPr>
                      <w:color w:val="auto"/>
                    </w:rPr>
                  </w:pPr>
                  <w:r>
                    <w:rPr>
                      <w:color w:val="auto"/>
                    </w:rPr>
                    <w:t>0</w:t>
                  </w:r>
                </w:p>
              </w:tc>
              <w:tc>
                <w:tcPr>
                  <w:tcW w:w="1382" w:type="pct"/>
                  <w:vAlign w:val="center"/>
                </w:tcPr>
                <w:p>
                  <w:pPr>
                    <w:pStyle w:val="36"/>
                    <w:rPr>
                      <w:color w:val="auto"/>
                    </w:rPr>
                  </w:pPr>
                  <w:r>
                    <w:rPr>
                      <w:rFonts w:hint="eastAsia"/>
                      <w:color w:val="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0" w:type="pct"/>
                  <w:gridSpan w:val="2"/>
                  <w:vAlign w:val="center"/>
                </w:tcPr>
                <w:p>
                  <w:pPr>
                    <w:pStyle w:val="36"/>
                    <w:rPr>
                      <w:color w:val="auto"/>
                    </w:rPr>
                  </w:pPr>
                  <w:r>
                    <w:rPr>
                      <w:color w:val="auto"/>
                    </w:rPr>
                    <w:t>合计</w:t>
                  </w:r>
                </w:p>
              </w:tc>
              <w:tc>
                <w:tcPr>
                  <w:tcW w:w="1300" w:type="dxa"/>
                  <w:vAlign w:val="center"/>
                </w:tcPr>
                <w:p>
                  <w:pPr>
                    <w:pStyle w:val="36"/>
                    <w:rPr>
                      <w:color w:val="auto"/>
                    </w:rPr>
                  </w:pPr>
                  <w:r>
                    <w:rPr>
                      <w:rFonts w:hint="default"/>
                      <w:color w:val="auto"/>
                      <w:lang w:val="en-US" w:eastAsia="zh-CN"/>
                    </w:rPr>
                    <w:t>7404.33</w:t>
                  </w:r>
                </w:p>
              </w:tc>
              <w:tc>
                <w:tcPr>
                  <w:tcW w:w="1283" w:type="dxa"/>
                  <w:vAlign w:val="center"/>
                </w:tcPr>
                <w:p>
                  <w:pPr>
                    <w:pStyle w:val="36"/>
                    <w:rPr>
                      <w:color w:val="auto"/>
                    </w:rPr>
                  </w:pPr>
                  <w:r>
                    <w:rPr>
                      <w:rFonts w:hint="default"/>
                      <w:color w:val="auto"/>
                      <w:lang w:val="en-US" w:eastAsia="zh-CN"/>
                    </w:rPr>
                    <w:t>6662.36</w:t>
                  </w:r>
                </w:p>
              </w:tc>
              <w:tc>
                <w:tcPr>
                  <w:tcW w:w="1474" w:type="dxa"/>
                  <w:vAlign w:val="center"/>
                </w:tcPr>
                <w:p>
                  <w:pPr>
                    <w:pStyle w:val="36"/>
                    <w:rPr>
                      <w:color w:val="auto"/>
                    </w:rPr>
                  </w:pPr>
                  <w:r>
                    <w:rPr>
                      <w:rFonts w:hint="eastAsia"/>
                      <w:color w:val="auto"/>
                      <w:lang w:val="en-US" w:eastAsia="zh-CN"/>
                    </w:rPr>
                    <w:t>705.6</w:t>
                  </w:r>
                </w:p>
              </w:tc>
              <w:tc>
                <w:tcPr>
                  <w:tcW w:w="1382" w:type="pct"/>
                  <w:vAlign w:val="center"/>
                </w:tcPr>
                <w:p>
                  <w:pPr>
                    <w:pStyle w:val="36"/>
                    <w:rPr>
                      <w:color w:val="auto"/>
                    </w:rPr>
                  </w:pPr>
                  <w:r>
                    <w:rPr>
                      <w:color w:val="auto"/>
                    </w:rPr>
                    <w:t>福清市融元污水处理厂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vAlign w:val="center"/>
                </w:tcPr>
                <w:p>
                  <w:pPr>
                    <w:pStyle w:val="36"/>
                    <w:jc w:val="both"/>
                    <w:rPr>
                      <w:color w:val="auto"/>
                    </w:rPr>
                  </w:pPr>
                  <w:r>
                    <w:rPr>
                      <w:rFonts w:hint="eastAsia"/>
                      <w:color w:val="auto"/>
                    </w:rPr>
                    <w:t>备注：排水量仅统计生活污水外排量，拉丝液排水量均作为危废处置，不计总排水量。</w:t>
                  </w:r>
                </w:p>
              </w:tc>
            </w:tr>
          </w:tbl>
          <w:p>
            <w:pPr>
              <w:pStyle w:val="38"/>
              <w:keepLines/>
              <w:widowControl w:val="0"/>
              <w:ind w:firstLine="0" w:firstLineChars="0"/>
              <w:rPr>
                <w:rFonts w:cs="Times New Roman"/>
                <w:color w:val="auto"/>
              </w:rPr>
            </w:pPr>
          </w:p>
          <w:p>
            <w:pPr>
              <w:pStyle w:val="38"/>
              <w:keepLines/>
              <w:widowControl w:val="0"/>
              <w:wordWrap/>
              <w:spacing w:line="240" w:lineRule="auto"/>
              <w:ind w:firstLine="0" w:firstLineChars="0"/>
              <w:jc w:val="both"/>
              <w:rPr>
                <w:rFonts w:cs="Times New Roman"/>
                <w:color w:val="auto"/>
              </w:rPr>
            </w:pPr>
            <w:r>
              <w:rPr>
                <w:rFonts w:cs="Times New Roman"/>
                <w:color w:val="auto"/>
              </w:rPr>
              <w:pict>
                <v:shape id="ECB019B1-382A-4266-B25C-5B523AA43C14-1" o:spid="ECB019B1-382A-4266-B25C-5B523AA43C14-1" o:spt="75" alt="C:/Users/Administrator/AppData/Local/Temp/wps.wkdjbYwps" type="#_x0000_t75" style="height:286.2pt;width:403.15pt;" filled="f" o:preferrelative="t" stroked="f" coordsize="21600,21600">
                  <v:path/>
                  <v:fill on="f" focussize="0,0"/>
                  <v:stroke on="f"/>
                  <v:imagedata r:id="rId11" o:title="wps"/>
                  <o:lock v:ext="edit" aspectratio="t"/>
                  <w10:wrap type="none"/>
                  <w10:anchorlock/>
                </v:shape>
              </w:pict>
            </w:r>
          </w:p>
          <w:p>
            <w:pPr>
              <w:pStyle w:val="37"/>
              <w:rPr>
                <w:rStyle w:val="34"/>
                <w:rFonts w:eastAsia="宋体"/>
                <w:color w:val="auto"/>
                <w:lang w:val="en-US" w:bidi="ar-SA"/>
              </w:rPr>
            </w:pPr>
            <w:r>
              <w:rPr>
                <w:rFonts w:hint="eastAsia"/>
                <w:color w:val="auto"/>
                <w:lang w:val="en-US"/>
              </w:rPr>
              <w:t xml:space="preserve">                                                  </w:t>
            </w:r>
            <w:r>
              <w:rPr>
                <w:color w:val="auto"/>
              </w:rPr>
              <w:t>单位：</w:t>
            </w:r>
            <w:r>
              <w:rPr>
                <w:rFonts w:hint="eastAsia" w:eastAsia="宋体"/>
                <w:color w:val="auto"/>
                <w:lang w:val="en-US"/>
              </w:rPr>
              <w:t>t/a</w:t>
            </w:r>
          </w:p>
          <w:p>
            <w:pPr>
              <w:pStyle w:val="37"/>
              <w:rPr>
                <w:rFonts w:cs="Times New Roman"/>
                <w:color w:val="auto"/>
              </w:rPr>
            </w:pPr>
            <w:r>
              <w:rPr>
                <w:color w:val="auto"/>
              </w:rPr>
              <w:t>图</w:t>
            </w:r>
            <w:r>
              <w:rPr>
                <w:rFonts w:hint="eastAsia"/>
                <w:color w:val="auto"/>
                <w:lang w:val="en-US"/>
              </w:rPr>
              <w:t>2.5</w:t>
            </w:r>
            <w:r>
              <w:rPr>
                <w:color w:val="auto"/>
              </w:rPr>
              <w:t xml:space="preserve">-1  水平衡图 </w:t>
            </w:r>
          </w:p>
          <w:p>
            <w:pPr>
              <w:pStyle w:val="37"/>
              <w:rPr>
                <w:rFonts w:cs="Times New Roman"/>
                <w:color w:val="auto"/>
              </w:rPr>
            </w:pPr>
          </w:p>
          <w:p>
            <w:pPr>
              <w:pStyle w:val="56"/>
              <w:rPr>
                <w:color w:val="auto"/>
              </w:rPr>
            </w:pPr>
          </w:p>
          <w:p>
            <w:pPr>
              <w:pStyle w:val="56"/>
              <w:rPr>
                <w:color w:val="auto"/>
              </w:rPr>
            </w:pPr>
          </w:p>
          <w:p>
            <w:pPr>
              <w:pStyle w:val="56"/>
              <w:rPr>
                <w:color w:val="auto"/>
              </w:rPr>
            </w:pPr>
          </w:p>
          <w:p>
            <w:pPr>
              <w:pStyle w:val="56"/>
              <w:rPr>
                <w:color w:val="auto"/>
              </w:rPr>
            </w:pPr>
          </w:p>
          <w:p>
            <w:pPr>
              <w:pStyle w:val="56"/>
              <w:rPr>
                <w:color w:val="auto"/>
              </w:rPr>
            </w:pPr>
          </w:p>
          <w:p>
            <w:pPr>
              <w:pStyle w:val="56"/>
              <w:rPr>
                <w:color w:val="auto"/>
              </w:rPr>
            </w:pPr>
          </w:p>
          <w:p>
            <w:pPr>
              <w:pStyle w:val="56"/>
              <w:rPr>
                <w:color w:val="auto"/>
              </w:rPr>
            </w:pPr>
          </w:p>
          <w:p>
            <w:pPr>
              <w:pStyle w:val="55"/>
              <w:keepLines/>
              <w:rPr>
                <w:rFonts w:cs="Times New Roman"/>
                <w:color w:val="auto"/>
              </w:rPr>
            </w:pPr>
            <w:bookmarkStart w:id="33" w:name="_Toc12244"/>
            <w:r>
              <w:rPr>
                <w:rFonts w:cs="Times New Roman"/>
                <w:color w:val="auto"/>
              </w:rPr>
              <w:t>2.</w:t>
            </w:r>
            <w:r>
              <w:rPr>
                <w:rFonts w:hint="eastAsia" w:cs="Times New Roman"/>
                <w:color w:val="auto"/>
              </w:rPr>
              <w:t>6</w:t>
            </w:r>
            <w:r>
              <w:rPr>
                <w:rFonts w:cs="Times New Roman"/>
                <w:color w:val="auto"/>
              </w:rPr>
              <w:t>厂区平面布置</w:t>
            </w:r>
            <w:bookmarkEnd w:id="33"/>
          </w:p>
          <w:p>
            <w:pPr>
              <w:ind w:firstLine="480"/>
              <w:rPr>
                <w:rFonts w:cs="Times New Roman"/>
                <w:color w:val="auto"/>
              </w:rPr>
            </w:pPr>
            <w:r>
              <w:rPr>
                <w:rFonts w:hint="eastAsia" w:cs="Times New Roman"/>
                <w:color w:val="auto"/>
              </w:rPr>
              <w:t>本项目选址于</w:t>
            </w:r>
            <w:r>
              <w:rPr>
                <w:rFonts w:hint="eastAsia" w:cs="Times New Roman"/>
                <w:color w:val="auto"/>
                <w:lang w:eastAsia="zh-CN"/>
              </w:rPr>
              <w:t>福清融侨经济技术开发区洪宽工业村</w:t>
            </w:r>
            <w:r>
              <w:rPr>
                <w:rFonts w:hint="eastAsia" w:cs="Times New Roman"/>
                <w:color w:val="auto"/>
              </w:rPr>
              <w:t>（福清市阳下街道屿边村160号），厂区总平面布局科学合理，厂区实行生产区与生活办公区有效分离。生产区涵盖1#~5#厂房：1#、4#厂房为铜丝生产车间，3#厂房为综合性车间，用于铜排、铜棒生产，2#厂房闲置，5#厂房作为展厅、办公及中控区使用。</w:t>
            </w:r>
          </w:p>
          <w:p>
            <w:pPr>
              <w:ind w:firstLine="480"/>
              <w:rPr>
                <w:rFonts w:cs="Times New Roman"/>
                <w:color w:val="auto"/>
              </w:rPr>
            </w:pPr>
            <w:r>
              <w:rPr>
                <w:rFonts w:hint="eastAsia" w:cs="Times New Roman"/>
                <w:color w:val="auto"/>
              </w:rPr>
              <w:t>主要生产厂房包括1#、3#、4#厂房，各厂房内部按功能划分为原料区、辅料仓库、物料模具区、生产区、半成品区、成品区、品检室、一般固废间及危险废物贮存库等功能区块，布局紧凑、流线清晰，有利于生产组织与物料流转。厂区道路与物流通道设计顺畅，满足生产运输及消防通行要求，各类设施间距和消防配置均严格遵循有关规范。</w:t>
            </w:r>
          </w:p>
          <w:p>
            <w:pPr>
              <w:ind w:firstLine="480"/>
              <w:rPr>
                <w:rFonts w:cs="Times New Roman"/>
                <w:color w:val="auto"/>
              </w:rPr>
            </w:pPr>
            <w:r>
              <w:rPr>
                <w:rFonts w:hint="eastAsia" w:cs="Times New Roman"/>
                <w:color w:val="auto"/>
              </w:rPr>
              <w:t>项目将主要产污的1#厂房和4#厂房（设退火工序）布置于厂区西侧，远离东侧敏感点（厂房距屿边村最近距离约</w:t>
            </w:r>
            <w:r>
              <w:rPr>
                <w:rFonts w:hint="eastAsia" w:cs="Times New Roman"/>
                <w:color w:val="auto"/>
                <w:lang w:eastAsia="zh-CN"/>
              </w:rPr>
              <w:t>80米</w:t>
            </w:r>
            <w:r>
              <w:rPr>
                <w:rFonts w:hint="eastAsia" w:cs="Times New Roman"/>
                <w:color w:val="auto"/>
              </w:rPr>
              <w:t>），通过距离阻隔与布局优化，有效减轻废气对敏感点的影响。</w:t>
            </w:r>
          </w:p>
          <w:p>
            <w:pPr>
              <w:ind w:firstLine="480"/>
              <w:rPr>
                <w:rFonts w:cs="Times New Roman"/>
                <w:color w:val="auto"/>
              </w:rPr>
            </w:pPr>
            <w:r>
              <w:rPr>
                <w:rFonts w:hint="eastAsia" w:cs="Times New Roman"/>
                <w:color w:val="auto"/>
              </w:rPr>
              <w:t>生活办公区集中布置于厂区东侧（临近屿边村），包括1#宿舍楼、2#宿舍楼及1#办公楼。</w:t>
            </w:r>
          </w:p>
          <w:p>
            <w:pPr>
              <w:ind w:firstLine="480"/>
              <w:rPr>
                <w:rFonts w:cs="Times New Roman"/>
                <w:color w:val="auto"/>
              </w:rPr>
            </w:pPr>
            <w:r>
              <w:rPr>
                <w:rFonts w:hint="eastAsia" w:cs="Times New Roman"/>
                <w:color w:val="auto"/>
              </w:rPr>
              <w:t>综上，本项目厂区功能分区明确，生产流程顺畅，平面布置合理可行，</w:t>
            </w:r>
            <w:r>
              <w:rPr>
                <w:rFonts w:cs="Times New Roman"/>
                <w:color w:val="auto"/>
              </w:rPr>
              <w:t>项目总平面布置图见附图</w:t>
            </w:r>
            <w:r>
              <w:rPr>
                <w:rFonts w:hint="eastAsia" w:cs="Times New Roman"/>
                <w:color w:val="auto"/>
              </w:rPr>
              <w:t>4</w:t>
            </w:r>
            <w:r>
              <w:rPr>
                <w:rFonts w:cs="Times New Roman"/>
                <w:color w:val="auto"/>
              </w:rPr>
              <w:t>。</w:t>
            </w:r>
          </w:p>
          <w:p>
            <w:pPr>
              <w:pStyle w:val="38"/>
              <w:keepLines/>
              <w:widowControl w:val="0"/>
              <w:ind w:firstLine="0" w:firstLineChars="0"/>
              <w:rPr>
                <w:rFonts w:cs="Times New Roman"/>
                <w:color w:val="auto"/>
              </w:rPr>
            </w:pPr>
          </w:p>
          <w:p>
            <w:pPr>
              <w:pStyle w:val="38"/>
              <w:keepLines/>
              <w:widowControl w:val="0"/>
              <w:ind w:firstLine="0" w:firstLineChars="0"/>
              <w:rPr>
                <w:rFonts w:cs="Times New Roman"/>
                <w:color w:val="auto"/>
              </w:rPr>
            </w:pPr>
          </w:p>
          <w:p>
            <w:pPr>
              <w:pStyle w:val="38"/>
              <w:keepLines/>
              <w:widowControl w:val="0"/>
              <w:ind w:firstLine="0" w:firstLineChars="0"/>
              <w:rPr>
                <w:rFonts w:cs="Times New Roman"/>
                <w:color w:val="auto"/>
              </w:rPr>
            </w:pPr>
          </w:p>
          <w:p>
            <w:pPr>
              <w:pStyle w:val="38"/>
              <w:keepLines/>
              <w:widowControl w:val="0"/>
              <w:ind w:firstLine="0" w:firstLineChars="0"/>
              <w:rPr>
                <w:rFonts w:cs="Times New Roman"/>
                <w:color w:val="auto"/>
              </w:rPr>
            </w:pPr>
          </w:p>
          <w:p>
            <w:pPr>
              <w:pStyle w:val="38"/>
              <w:keepLines/>
              <w:widowControl w:val="0"/>
              <w:ind w:firstLine="0" w:firstLineChars="0"/>
              <w:rPr>
                <w:rFonts w:cs="Times New Roman"/>
                <w:color w:val="auto"/>
              </w:rPr>
            </w:pPr>
          </w:p>
          <w:p>
            <w:pPr>
              <w:pStyle w:val="38"/>
              <w:keepLines/>
              <w:widowControl w:val="0"/>
              <w:ind w:firstLine="0" w:firstLineChars="0"/>
              <w:rPr>
                <w:rFonts w:cs="Times New Roman"/>
                <w:color w:val="auto"/>
              </w:rPr>
            </w:pPr>
          </w:p>
          <w:p>
            <w:pPr>
              <w:pStyle w:val="38"/>
              <w:keepLines/>
              <w:widowControl w:val="0"/>
              <w:ind w:firstLine="0" w:firstLineChars="0"/>
              <w:rPr>
                <w:rFonts w:cs="Times New Roman"/>
                <w:color w:val="auto"/>
              </w:rPr>
            </w:pPr>
          </w:p>
          <w:p>
            <w:pPr>
              <w:pStyle w:val="38"/>
              <w:keepLines/>
              <w:widowControl w:val="0"/>
              <w:ind w:firstLine="0" w:firstLineChars="0"/>
              <w:rPr>
                <w:rFonts w:cs="Times New Roman"/>
                <w:color w:val="auto"/>
              </w:rPr>
            </w:pPr>
          </w:p>
          <w:p>
            <w:pPr>
              <w:pStyle w:val="38"/>
              <w:keepLines/>
              <w:widowControl w:val="0"/>
              <w:ind w:firstLine="0" w:firstLineChars="0"/>
              <w:rPr>
                <w:rFonts w:cs="Times New Roman"/>
                <w:color w:val="auto"/>
              </w:rPr>
            </w:pPr>
          </w:p>
          <w:p>
            <w:pPr>
              <w:pStyle w:val="38"/>
              <w:keepLines/>
              <w:widowControl w:val="0"/>
              <w:ind w:firstLine="0" w:firstLineChars="0"/>
              <w:rPr>
                <w:rFonts w:cs="Times New Roman"/>
                <w:color w:val="auto"/>
              </w:rPr>
            </w:pPr>
          </w:p>
          <w:p>
            <w:pPr>
              <w:pStyle w:val="38"/>
              <w:keepLines/>
              <w:widowControl w:val="0"/>
              <w:ind w:firstLine="0" w:firstLineChars="0"/>
              <w:rPr>
                <w:rFonts w:cs="Times New Roman"/>
                <w:color w:val="auto"/>
              </w:rPr>
            </w:pPr>
          </w:p>
          <w:p>
            <w:pPr>
              <w:pStyle w:val="38"/>
              <w:keepLines/>
              <w:widowControl w:val="0"/>
              <w:ind w:firstLine="0" w:firstLineChars="0"/>
              <w:rPr>
                <w:rFonts w:cs="Times New Roman"/>
                <w:color w:val="auto"/>
              </w:rPr>
            </w:pPr>
          </w:p>
          <w:p>
            <w:pPr>
              <w:pStyle w:val="38"/>
              <w:keepLines/>
              <w:widowControl w:val="0"/>
              <w:ind w:firstLine="0" w:firstLineChars="0"/>
              <w:rPr>
                <w:rFonts w:cs="Times New Roman"/>
                <w:color w:val="auto"/>
              </w:rPr>
            </w:pPr>
          </w:p>
        </w:tc>
      </w:tr>
    </w:tbl>
    <w:p>
      <w:pPr>
        <w:ind w:firstLine="480"/>
        <w:rPr>
          <w:color w:val="auto"/>
        </w:rPr>
        <w:sectPr>
          <w:pgSz w:w="11907" w:h="16840"/>
          <w:pgMar w:top="1304" w:right="1304" w:bottom="1304" w:left="1418" w:header="851" w:footer="851" w:gutter="0"/>
          <w:pgBorders>
            <w:top w:val="none" w:sz="0" w:space="0"/>
            <w:left w:val="none" w:sz="0" w:space="0"/>
            <w:bottom w:val="none" w:sz="0" w:space="0"/>
            <w:right w:val="none" w:sz="0" w:space="0"/>
          </w:pgBorders>
          <w:cols w:space="720" w:num="1"/>
          <w:docGrid w:linePitch="312" w:charSpace="0"/>
        </w:sectPr>
      </w:pPr>
    </w:p>
    <w:tbl>
      <w:tblPr>
        <w:tblStyle w:val="2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98"/>
        <w:gridCol w:w="85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71" w:hRule="atLeast"/>
          <w:jc w:val="center"/>
        </w:trPr>
        <w:tc>
          <w:tcPr>
            <w:tcW w:w="328" w:type="pct"/>
            <w:vAlign w:val="center"/>
          </w:tcPr>
          <w:p>
            <w:pPr>
              <w:pStyle w:val="36"/>
              <w:keepLines/>
              <w:rPr>
                <w:rFonts w:cs="Times New Roman"/>
                <w:color w:val="auto"/>
                <w:sz w:val="24"/>
                <w:szCs w:val="24"/>
              </w:rPr>
            </w:pPr>
            <w:r>
              <w:rPr>
                <w:rFonts w:cs="Times New Roman"/>
                <w:color w:val="auto"/>
                <w:sz w:val="24"/>
                <w:szCs w:val="24"/>
              </w:rPr>
              <w:t>工艺流程和产排污环节</w:t>
            </w:r>
          </w:p>
        </w:tc>
        <w:tc>
          <w:tcPr>
            <w:tcW w:w="4671" w:type="pct"/>
          </w:tcPr>
          <w:p>
            <w:pPr>
              <w:pStyle w:val="55"/>
              <w:keepLines/>
              <w:rPr>
                <w:rFonts w:cs="Times New Roman"/>
                <w:color w:val="auto"/>
              </w:rPr>
            </w:pPr>
            <w:bookmarkStart w:id="34" w:name="_Toc29457"/>
            <w:r>
              <w:rPr>
                <w:rFonts w:cs="Times New Roman"/>
                <w:color w:val="auto"/>
              </w:rPr>
              <w:t>2.</w:t>
            </w:r>
            <w:r>
              <w:rPr>
                <w:rFonts w:hint="eastAsia" w:cs="Times New Roman"/>
                <w:color w:val="auto"/>
              </w:rPr>
              <w:t>7</w:t>
            </w:r>
            <w:r>
              <w:rPr>
                <w:rFonts w:cs="Times New Roman"/>
                <w:color w:val="auto"/>
              </w:rPr>
              <w:t>工艺流程</w:t>
            </w:r>
            <w:bookmarkEnd w:id="34"/>
          </w:p>
          <w:p>
            <w:pPr>
              <w:pStyle w:val="56"/>
              <w:keepLines/>
              <w:rPr>
                <w:rFonts w:cs="Times New Roman"/>
                <w:color w:val="auto"/>
              </w:rPr>
            </w:pPr>
            <w:bookmarkStart w:id="35" w:name="_Toc25452"/>
            <w:r>
              <w:rPr>
                <w:rFonts w:cs="Times New Roman"/>
                <w:color w:val="auto"/>
              </w:rPr>
              <w:t>2.</w:t>
            </w:r>
            <w:r>
              <w:rPr>
                <w:rFonts w:hint="eastAsia" w:cs="Times New Roman"/>
                <w:color w:val="auto"/>
              </w:rPr>
              <w:t>7</w:t>
            </w:r>
            <w:r>
              <w:rPr>
                <w:rFonts w:cs="Times New Roman"/>
                <w:color w:val="auto"/>
              </w:rPr>
              <w:t>.1工艺流程</w:t>
            </w:r>
            <w:bookmarkEnd w:id="35"/>
          </w:p>
          <w:p>
            <w:pPr>
              <w:ind w:firstLine="0" w:firstLineChars="0"/>
              <w:rPr>
                <w:rFonts w:cs="Times New Roman"/>
                <w:b/>
                <w:bCs/>
                <w:color w:val="auto"/>
                <w:szCs w:val="32"/>
              </w:rPr>
            </w:pPr>
            <w:r>
              <w:rPr>
                <w:rFonts w:hint="eastAsia" w:cs="Times New Roman"/>
                <w:b/>
                <w:bCs/>
                <w:color w:val="auto"/>
              </w:rPr>
              <w:t>一</w:t>
            </w:r>
            <w:r>
              <w:rPr>
                <w:rFonts w:cs="Times New Roman"/>
                <w:b/>
                <w:bCs/>
                <w:color w:val="auto"/>
              </w:rPr>
              <w:t>、</w:t>
            </w:r>
            <w:r>
              <w:rPr>
                <w:rFonts w:cs="Times New Roman"/>
                <w:b/>
                <w:bCs/>
                <w:color w:val="auto"/>
                <w:szCs w:val="32"/>
              </w:rPr>
              <w:t>铜排生产线</w:t>
            </w:r>
          </w:p>
          <w:p>
            <w:pPr>
              <w:ind w:firstLine="0" w:firstLineChars="0"/>
              <w:jc w:val="center"/>
              <w:rPr>
                <w:rFonts w:cs="Times New Roman"/>
                <w:color w:val="auto"/>
              </w:rPr>
            </w:pPr>
            <w:r>
              <w:rPr>
                <w:rFonts w:cs="Times New Roman"/>
                <w:color w:val="auto"/>
              </w:rPr>
              <w:pict>
                <v:shape id="ECB019B1-382A-4266-B25C-5B523AA43C14-2" o:spid="ECB019B1-382A-4266-B25C-5B523AA43C14-2" o:spt="75" alt="C:/Users/Administrator/AppData/Local/Temp/wps.ZnZyftwps" type="#_x0000_t75" style="height:250.95pt;width:337.1pt;" filled="f" o:preferrelative="t" stroked="f" coordsize="21600,21600">
                  <v:path/>
                  <v:fill on="f" focussize="0,0"/>
                  <v:stroke on="f"/>
                  <v:imagedata r:id="rId12" croptop="1024f" cropright="13970f" o:title="wps"/>
                  <o:lock v:ext="edit" aspectratio="t"/>
                  <w10:wrap type="none"/>
                  <w10:anchorlock/>
                </v:shape>
              </w:pict>
            </w:r>
          </w:p>
          <w:p>
            <w:pPr>
              <w:pStyle w:val="37"/>
              <w:spacing w:line="360" w:lineRule="auto"/>
              <w:rPr>
                <w:rFonts w:cs="Times New Roman"/>
                <w:b/>
                <w:bCs/>
                <w:color w:val="auto"/>
                <w:lang w:val="en-US"/>
              </w:rPr>
            </w:pPr>
            <w:r>
              <w:rPr>
                <w:color w:val="auto"/>
              </w:rPr>
              <w:t>图</w:t>
            </w:r>
            <w:r>
              <w:rPr>
                <w:rFonts w:hint="eastAsia"/>
                <w:color w:val="auto"/>
                <w:lang w:val="en-US"/>
              </w:rPr>
              <w:t>2.7</w:t>
            </w:r>
            <w:r>
              <w:rPr>
                <w:color w:val="auto"/>
              </w:rPr>
              <w:t>-</w:t>
            </w:r>
            <w:r>
              <w:rPr>
                <w:rFonts w:hint="eastAsia"/>
                <w:color w:val="auto"/>
                <w:lang w:val="en-US"/>
              </w:rPr>
              <w:t>1 铜排</w:t>
            </w:r>
            <w:r>
              <w:rPr>
                <w:color w:val="auto"/>
              </w:rPr>
              <w:t>生产工艺流程及产污环节图</w:t>
            </w:r>
          </w:p>
          <w:p>
            <w:pPr>
              <w:ind w:firstLine="482"/>
              <w:rPr>
                <w:rFonts w:cs="Times New Roman"/>
                <w:b/>
                <w:bCs/>
                <w:color w:val="auto"/>
              </w:rPr>
            </w:pPr>
            <w:r>
              <w:rPr>
                <w:rFonts w:hint="eastAsia" w:cs="Times New Roman"/>
                <w:b/>
                <w:bCs/>
                <w:color w:val="auto"/>
              </w:rPr>
              <w:t>铜排工艺流程简述：</w:t>
            </w:r>
          </w:p>
          <w:p>
            <w:pPr>
              <w:ind w:firstLine="480"/>
              <w:rPr>
                <w:rFonts w:cs="Times New Roman"/>
                <w:color w:val="auto"/>
              </w:rPr>
            </w:pPr>
            <w:r>
              <w:rPr>
                <w:rFonts w:cs="Times New Roman"/>
                <w:color w:val="auto"/>
              </w:rPr>
              <w:t>（1）连续挤压：</w:t>
            </w:r>
            <w:r>
              <w:rPr>
                <w:rFonts w:hint="eastAsia" w:cs="Times New Roman"/>
                <w:color w:val="auto"/>
              </w:rPr>
              <w:t>外购</w:t>
            </w:r>
            <w:r>
              <w:rPr>
                <w:rFonts w:cs="Times New Roman"/>
                <w:color w:val="auto"/>
              </w:rPr>
              <w:t>铜杆装载于放线盘，通过调直轮调直后，由挤压机驱动轮（摩擦轮）强制牵引推进；在密闭模具腔体内，在巨大的挤压和摩擦力</w:t>
            </w:r>
            <w:r>
              <w:rPr>
                <w:rFonts w:hint="eastAsia" w:cs="Times New Roman"/>
                <w:color w:val="auto"/>
              </w:rPr>
              <w:t>作用</w:t>
            </w:r>
            <w:r>
              <w:rPr>
                <w:rFonts w:cs="Times New Roman"/>
                <w:color w:val="auto"/>
              </w:rPr>
              <w:t>下铜杆不需要外部加热，即可使变形区的温度上升至金属可挤压成型的再结晶温度区域，经由腔体从特制的模具中挤出。此工序需要冷却系统进行间接冷却</w:t>
            </w:r>
            <w:r>
              <w:rPr>
                <w:rFonts w:hint="eastAsia" w:cs="Times New Roman"/>
                <w:color w:val="auto"/>
              </w:rPr>
              <w:t>，</w:t>
            </w:r>
            <w:r>
              <w:rPr>
                <w:rFonts w:cs="Times New Roman"/>
                <w:color w:val="auto"/>
              </w:rPr>
              <w:t>冷却水循环使用，定期补水，不外排。</w:t>
            </w:r>
          </w:p>
          <w:p>
            <w:pPr>
              <w:ind w:firstLine="480"/>
              <w:rPr>
                <w:rFonts w:cs="Times New Roman"/>
                <w:color w:val="auto"/>
              </w:rPr>
            </w:pPr>
            <w:r>
              <w:rPr>
                <w:rFonts w:cs="Times New Roman"/>
                <w:color w:val="auto"/>
              </w:rPr>
              <w:t>此过程会产生：S1废（铜）边角料、S</w:t>
            </w:r>
            <w:r>
              <w:rPr>
                <w:rFonts w:hint="eastAsia" w:cs="Times New Roman"/>
                <w:color w:val="auto"/>
              </w:rPr>
              <w:t>2</w:t>
            </w:r>
            <w:r>
              <w:rPr>
                <w:rFonts w:cs="Times New Roman"/>
                <w:color w:val="auto"/>
              </w:rPr>
              <w:t>废模具、N1噪声。</w:t>
            </w:r>
          </w:p>
          <w:p>
            <w:pPr>
              <w:ind w:firstLine="480"/>
              <w:rPr>
                <w:rFonts w:cs="Times New Roman"/>
                <w:color w:val="auto"/>
              </w:rPr>
            </w:pPr>
            <w:r>
              <w:rPr>
                <w:rFonts w:hint="eastAsia" w:cs="Times New Roman"/>
                <w:color w:val="auto"/>
              </w:rPr>
              <w:t>（2）</w:t>
            </w:r>
            <w:r>
              <w:rPr>
                <w:rFonts w:cs="Times New Roman"/>
                <w:color w:val="auto"/>
                <w:szCs w:val="32"/>
              </w:rPr>
              <w:t>冷轧：常温下用</w:t>
            </w:r>
            <w:r>
              <w:rPr>
                <w:rFonts w:hint="eastAsia" w:cs="Times New Roman"/>
                <w:color w:val="auto"/>
                <w:szCs w:val="32"/>
              </w:rPr>
              <w:t>打头机</w:t>
            </w:r>
            <w:r>
              <w:rPr>
                <w:rFonts w:cs="Times New Roman"/>
                <w:color w:val="auto"/>
                <w:szCs w:val="32"/>
              </w:rPr>
              <w:t>对铜排轧扁、剪切，靠机械力调整端部形态，保障后续拉拔。</w:t>
            </w:r>
            <w:r>
              <w:rPr>
                <w:rFonts w:hint="eastAsia" w:cs="Times New Roman"/>
                <w:color w:val="auto"/>
                <w:szCs w:val="32"/>
              </w:rPr>
              <w:t>冷轧使用</w:t>
            </w:r>
            <w:r>
              <w:rPr>
                <w:rFonts w:hint="eastAsia" w:cs="Times New Roman"/>
                <w:color w:val="auto"/>
              </w:rPr>
              <w:t>拉丝液</w:t>
            </w:r>
            <w:r>
              <w:rPr>
                <w:rFonts w:cs="Times New Roman"/>
                <w:color w:val="auto"/>
              </w:rPr>
              <w:t>（</w:t>
            </w:r>
            <w:r>
              <w:rPr>
                <w:rFonts w:hint="eastAsia" w:cs="Times New Roman"/>
                <w:color w:val="auto"/>
              </w:rPr>
              <w:t>拉丝油与</w:t>
            </w:r>
            <w:r>
              <w:rPr>
                <w:rFonts w:cs="Times New Roman"/>
                <w:color w:val="auto"/>
              </w:rPr>
              <w:t>水比例</w:t>
            </w:r>
            <w:r>
              <w:rPr>
                <w:rFonts w:hint="eastAsia" w:cs="Times New Roman"/>
                <w:color w:val="auto"/>
              </w:rPr>
              <w:t>为1</w:t>
            </w:r>
            <w:r>
              <w:rPr>
                <w:rFonts w:cs="Times New Roman"/>
                <w:color w:val="auto"/>
              </w:rPr>
              <w:t>:</w:t>
            </w:r>
            <w:r>
              <w:rPr>
                <w:rFonts w:hint="eastAsia" w:cs="Times New Roman"/>
                <w:color w:val="auto"/>
              </w:rPr>
              <w:t>15</w:t>
            </w:r>
            <w:r>
              <w:rPr>
                <w:rFonts w:cs="Times New Roman"/>
                <w:color w:val="auto"/>
              </w:rPr>
              <w:t>）进行润滑、冷却</w:t>
            </w:r>
            <w:r>
              <w:rPr>
                <w:rFonts w:hint="eastAsia" w:cs="Times New Roman"/>
                <w:color w:val="auto"/>
              </w:rPr>
              <w:t>，冷轧工序的温度控制在40℃～45℃之间</w:t>
            </w:r>
            <w:r>
              <w:rPr>
                <w:rFonts w:hint="eastAsia" w:ascii="宋体" w:hAnsi="宋体"/>
                <w:color w:val="auto"/>
                <w:lang w:bidi="ar"/>
              </w:rPr>
              <w:t>。</w:t>
            </w:r>
            <w:r>
              <w:rPr>
                <w:rFonts w:hint="eastAsia" w:cs="Times New Roman"/>
                <w:color w:val="auto"/>
              </w:rPr>
              <w:t>拉丝液</w:t>
            </w:r>
            <w:r>
              <w:rPr>
                <w:rFonts w:cs="Times New Roman"/>
                <w:color w:val="auto"/>
              </w:rPr>
              <w:t>经密闭管道回流至</w:t>
            </w:r>
            <w:r>
              <w:rPr>
                <w:rFonts w:hint="eastAsia" w:cs="Times New Roman"/>
                <w:color w:val="auto"/>
              </w:rPr>
              <w:t>拉丝液循环池</w:t>
            </w:r>
            <w:r>
              <w:rPr>
                <w:rFonts w:cs="Times New Roman"/>
                <w:color w:val="auto"/>
              </w:rPr>
              <w:t>循环</w:t>
            </w:r>
            <w:r>
              <w:rPr>
                <w:rFonts w:hint="eastAsia" w:cs="Times New Roman"/>
                <w:color w:val="auto"/>
              </w:rPr>
              <w:t>使用</w:t>
            </w:r>
            <w:r>
              <w:rPr>
                <w:rFonts w:cs="Times New Roman"/>
                <w:color w:val="auto"/>
              </w:rPr>
              <w:t>，定期进行捞渣处理，产生的废</w:t>
            </w:r>
            <w:r>
              <w:rPr>
                <w:rFonts w:hint="eastAsia" w:cs="Times New Roman"/>
                <w:color w:val="auto"/>
              </w:rPr>
              <w:t>拉丝液</w:t>
            </w:r>
            <w:r>
              <w:rPr>
                <w:rFonts w:hint="eastAsia" w:cs="Times New Roman"/>
                <w:color w:val="auto"/>
                <w:szCs w:val="32"/>
              </w:rPr>
              <w:t>定期更换（</w:t>
            </w:r>
            <w:r>
              <w:rPr>
                <w:rFonts w:cs="Times New Roman"/>
                <w:color w:val="auto"/>
              </w:rPr>
              <w:t>1年更换一次</w:t>
            </w:r>
            <w:r>
              <w:rPr>
                <w:rFonts w:hint="eastAsia" w:cs="Times New Roman"/>
                <w:color w:val="auto"/>
              </w:rPr>
              <w:t>）</w:t>
            </w:r>
            <w:r>
              <w:rPr>
                <w:rFonts w:cs="Times New Roman"/>
                <w:color w:val="auto"/>
              </w:rPr>
              <w:t>按危废处置。</w:t>
            </w:r>
          </w:p>
          <w:p>
            <w:pPr>
              <w:ind w:firstLine="480"/>
              <w:rPr>
                <w:rFonts w:cs="Times New Roman"/>
                <w:color w:val="auto"/>
              </w:rPr>
            </w:pPr>
            <w:r>
              <w:rPr>
                <w:rFonts w:cs="Times New Roman"/>
                <w:color w:val="auto"/>
              </w:rPr>
              <w:t>此过程会产生：</w:t>
            </w:r>
            <w:r>
              <w:rPr>
                <w:rFonts w:hint="eastAsia" w:cs="Times New Roman"/>
                <w:color w:val="auto"/>
              </w:rPr>
              <w:t>G1冷轧废气、</w:t>
            </w:r>
            <w:r>
              <w:rPr>
                <w:rFonts w:cs="Times New Roman"/>
                <w:color w:val="auto"/>
              </w:rPr>
              <w:t>S1废（铜）边角料、</w:t>
            </w:r>
            <w:r>
              <w:rPr>
                <w:rFonts w:hint="eastAsia" w:cs="Times New Roman"/>
                <w:color w:val="auto"/>
              </w:rPr>
              <w:t>S4废拉丝液、S5铜泥、</w:t>
            </w:r>
            <w:r>
              <w:rPr>
                <w:rFonts w:cs="Times New Roman"/>
                <w:color w:val="auto"/>
              </w:rPr>
              <w:t>N1噪声。</w:t>
            </w:r>
          </w:p>
          <w:p>
            <w:pPr>
              <w:ind w:firstLine="480"/>
              <w:rPr>
                <w:rFonts w:cs="Times New Roman"/>
                <w:color w:val="auto"/>
              </w:rPr>
            </w:pPr>
            <w:r>
              <w:rPr>
                <w:rFonts w:cs="Times New Roman"/>
                <w:color w:val="auto"/>
              </w:rPr>
              <w:t>（3）</w:t>
            </w:r>
            <w:r>
              <w:rPr>
                <w:rFonts w:cs="Times New Roman"/>
                <w:color w:val="auto"/>
                <w:szCs w:val="32"/>
              </w:rPr>
              <w:t>拉拔矫直分割：铜排通过拉拔矫直一体机机械牵引，经多级模具逐级减薄定型，通过多组辊轮协同纠正铜排弯曲形变，保障平直度与尺寸精度。根据要求通过配套的分割机进行裁断，分割过程产生少量&gt;1mm金属块状物，比重较大，基本在设备周边快速沉降。分割设备周边设置有收集槽，每班生产结束后对收集槽及设施周边地面进行清理。拉拔</w:t>
            </w:r>
            <w:r>
              <w:rPr>
                <w:rFonts w:hint="eastAsia" w:cs="Times New Roman"/>
                <w:color w:val="auto"/>
                <w:szCs w:val="32"/>
              </w:rPr>
              <w:t>过程</w:t>
            </w:r>
            <w:r>
              <w:rPr>
                <w:rFonts w:hint="eastAsia" w:cs="Times New Roman"/>
                <w:color w:val="auto"/>
              </w:rPr>
              <w:t>使用拉丝液</w:t>
            </w:r>
            <w:r>
              <w:rPr>
                <w:rFonts w:cs="Times New Roman"/>
                <w:color w:val="auto"/>
              </w:rPr>
              <w:t>（</w:t>
            </w:r>
            <w:r>
              <w:rPr>
                <w:rFonts w:hint="eastAsia" w:cs="Times New Roman"/>
                <w:color w:val="auto"/>
              </w:rPr>
              <w:t>拉丝油与</w:t>
            </w:r>
            <w:r>
              <w:rPr>
                <w:rFonts w:cs="Times New Roman"/>
                <w:color w:val="auto"/>
              </w:rPr>
              <w:t>水比例</w:t>
            </w:r>
            <w:r>
              <w:rPr>
                <w:rFonts w:hint="eastAsia" w:cs="Times New Roman"/>
                <w:color w:val="auto"/>
              </w:rPr>
              <w:t>为1:15</w:t>
            </w:r>
            <w:r>
              <w:rPr>
                <w:rFonts w:cs="Times New Roman"/>
                <w:color w:val="auto"/>
              </w:rPr>
              <w:t>）</w:t>
            </w:r>
            <w:r>
              <w:rPr>
                <w:rFonts w:hint="eastAsia" w:cs="Times New Roman"/>
                <w:color w:val="auto"/>
              </w:rPr>
              <w:t>进行润滑冷却，</w:t>
            </w:r>
            <w:r>
              <w:rPr>
                <w:rFonts w:cs="Times New Roman"/>
                <w:color w:val="auto"/>
                <w:szCs w:val="32"/>
              </w:rPr>
              <w:t>拉拔</w:t>
            </w:r>
            <w:r>
              <w:rPr>
                <w:rFonts w:hint="eastAsia" w:ascii="宋体" w:hAnsi="宋体"/>
                <w:color w:val="auto"/>
                <w:lang w:bidi="ar"/>
              </w:rPr>
              <w:t>温度控制在</w:t>
            </w:r>
            <w:r>
              <w:rPr>
                <w:rFonts w:cs="Times New Roman"/>
                <w:color w:val="auto"/>
                <w:lang w:bidi="ar"/>
              </w:rPr>
              <w:t>30℃</w:t>
            </w:r>
            <w:r>
              <w:rPr>
                <w:rFonts w:cs="Times New Roman"/>
                <w:b/>
                <w:bCs/>
                <w:color w:val="auto"/>
                <w:lang w:bidi="ar"/>
              </w:rPr>
              <w:t>~</w:t>
            </w:r>
            <w:r>
              <w:rPr>
                <w:rFonts w:cs="Times New Roman"/>
                <w:color w:val="auto"/>
                <w:lang w:bidi="ar"/>
              </w:rPr>
              <w:t>35℃</w:t>
            </w:r>
            <w:r>
              <w:rPr>
                <w:rFonts w:hint="eastAsia" w:ascii="宋体" w:hAnsi="宋体"/>
                <w:color w:val="auto"/>
                <w:lang w:bidi="ar"/>
              </w:rPr>
              <w:t>之间。</w:t>
            </w:r>
            <w:r>
              <w:rPr>
                <w:rFonts w:hint="eastAsia" w:cs="Times New Roman"/>
                <w:color w:val="auto"/>
              </w:rPr>
              <w:t>拉丝液</w:t>
            </w:r>
            <w:r>
              <w:rPr>
                <w:rFonts w:cs="Times New Roman"/>
                <w:color w:val="auto"/>
              </w:rPr>
              <w:t>经密闭管道回流至</w:t>
            </w:r>
            <w:r>
              <w:rPr>
                <w:rFonts w:hint="eastAsia" w:cs="Times New Roman"/>
                <w:color w:val="auto"/>
              </w:rPr>
              <w:t>拉丝液循环池</w:t>
            </w:r>
            <w:r>
              <w:rPr>
                <w:rFonts w:cs="Times New Roman"/>
                <w:color w:val="auto"/>
              </w:rPr>
              <w:t>循环</w:t>
            </w:r>
            <w:r>
              <w:rPr>
                <w:rFonts w:hint="eastAsia" w:cs="Times New Roman"/>
                <w:color w:val="auto"/>
              </w:rPr>
              <w:t>使用</w:t>
            </w:r>
            <w:r>
              <w:rPr>
                <w:rFonts w:cs="Times New Roman"/>
                <w:color w:val="auto"/>
              </w:rPr>
              <w:t>，定期进行捞渣处理，产生的废</w:t>
            </w:r>
            <w:r>
              <w:rPr>
                <w:rFonts w:hint="eastAsia" w:cs="Times New Roman"/>
                <w:color w:val="auto"/>
              </w:rPr>
              <w:t>拉丝液</w:t>
            </w:r>
            <w:r>
              <w:rPr>
                <w:rFonts w:hint="eastAsia" w:cs="Times New Roman"/>
                <w:color w:val="auto"/>
                <w:szCs w:val="32"/>
              </w:rPr>
              <w:t>定期更换（</w:t>
            </w:r>
            <w:r>
              <w:rPr>
                <w:rFonts w:cs="Times New Roman"/>
                <w:color w:val="auto"/>
              </w:rPr>
              <w:t>1年更换一次</w:t>
            </w:r>
            <w:r>
              <w:rPr>
                <w:rFonts w:hint="eastAsia" w:cs="Times New Roman"/>
                <w:color w:val="auto"/>
              </w:rPr>
              <w:t>）</w:t>
            </w:r>
            <w:r>
              <w:rPr>
                <w:rFonts w:cs="Times New Roman"/>
                <w:color w:val="auto"/>
              </w:rPr>
              <w:t>按危废处置。</w:t>
            </w:r>
          </w:p>
          <w:p>
            <w:pPr>
              <w:ind w:firstLine="480"/>
              <w:rPr>
                <w:rFonts w:cs="Times New Roman"/>
                <w:color w:val="auto"/>
              </w:rPr>
            </w:pPr>
            <w:r>
              <w:rPr>
                <w:rFonts w:cs="Times New Roman"/>
                <w:color w:val="auto"/>
                <w:szCs w:val="32"/>
              </w:rPr>
              <w:t>此过程会产生：</w:t>
            </w:r>
            <w:r>
              <w:rPr>
                <w:rFonts w:hint="eastAsia" w:cs="Times New Roman"/>
                <w:color w:val="auto"/>
                <w:szCs w:val="32"/>
              </w:rPr>
              <w:t>G2拉拔废气、</w:t>
            </w:r>
            <w:r>
              <w:rPr>
                <w:rFonts w:cs="Times New Roman"/>
                <w:color w:val="auto"/>
              </w:rPr>
              <w:t>S1废（铜）边角料、S</w:t>
            </w:r>
            <w:r>
              <w:rPr>
                <w:rFonts w:hint="eastAsia" w:cs="Times New Roman"/>
                <w:color w:val="auto"/>
              </w:rPr>
              <w:t>2</w:t>
            </w:r>
            <w:r>
              <w:rPr>
                <w:rFonts w:cs="Times New Roman"/>
                <w:color w:val="auto"/>
              </w:rPr>
              <w:t>废模具、S</w:t>
            </w:r>
            <w:r>
              <w:rPr>
                <w:rFonts w:hint="eastAsia" w:cs="Times New Roman"/>
                <w:color w:val="auto"/>
              </w:rPr>
              <w:t>4</w:t>
            </w:r>
            <w:r>
              <w:rPr>
                <w:rFonts w:cs="Times New Roman"/>
                <w:color w:val="auto"/>
              </w:rPr>
              <w:t>废</w:t>
            </w:r>
            <w:r>
              <w:rPr>
                <w:rFonts w:hint="eastAsia" w:cs="Times New Roman"/>
                <w:color w:val="auto"/>
              </w:rPr>
              <w:t>拉丝</w:t>
            </w:r>
            <w:r>
              <w:rPr>
                <w:rFonts w:cs="Times New Roman"/>
                <w:color w:val="auto"/>
              </w:rPr>
              <w:t>液</w:t>
            </w:r>
            <w:r>
              <w:rPr>
                <w:rFonts w:hint="eastAsia" w:cs="Times New Roman"/>
                <w:color w:val="auto"/>
              </w:rPr>
              <w:t>、S5铜泥、</w:t>
            </w:r>
            <w:r>
              <w:rPr>
                <w:rFonts w:cs="Times New Roman"/>
                <w:color w:val="auto"/>
              </w:rPr>
              <w:t>N1噪声。</w:t>
            </w:r>
          </w:p>
          <w:p>
            <w:pPr>
              <w:ind w:firstLine="480"/>
              <w:rPr>
                <w:rFonts w:cs="Times New Roman"/>
                <w:color w:val="auto"/>
                <w:szCs w:val="32"/>
              </w:rPr>
            </w:pPr>
            <w:r>
              <w:rPr>
                <w:rFonts w:cs="Times New Roman"/>
                <w:color w:val="auto"/>
                <w:shd w:val="clear" w:color="auto" w:fill="FFFFFF"/>
              </w:rPr>
              <w:t>（</w:t>
            </w:r>
            <w:r>
              <w:rPr>
                <w:rFonts w:hint="eastAsia" w:cs="Times New Roman"/>
                <w:color w:val="auto"/>
                <w:shd w:val="clear" w:color="auto" w:fill="FFFFFF"/>
              </w:rPr>
              <w:t>4</w:t>
            </w:r>
            <w:r>
              <w:rPr>
                <w:rFonts w:cs="Times New Roman"/>
                <w:color w:val="auto"/>
                <w:shd w:val="clear" w:color="auto" w:fill="FFFFFF"/>
              </w:rPr>
              <w:t>）</w:t>
            </w:r>
            <w:r>
              <w:rPr>
                <w:rFonts w:hint="eastAsia" w:cs="Times New Roman"/>
                <w:color w:val="auto"/>
                <w:szCs w:val="32"/>
              </w:rPr>
              <w:t>物理检验：</w:t>
            </w:r>
            <w:r>
              <w:rPr>
                <w:rFonts w:cs="Times New Roman"/>
                <w:color w:val="auto"/>
                <w:szCs w:val="32"/>
              </w:rPr>
              <w:t>对</w:t>
            </w:r>
            <w:r>
              <w:rPr>
                <w:rFonts w:hint="eastAsia" w:cs="Times New Roman"/>
                <w:color w:val="auto"/>
                <w:szCs w:val="32"/>
              </w:rPr>
              <w:t>铜排</w:t>
            </w:r>
            <w:r>
              <w:rPr>
                <w:rFonts w:cs="Times New Roman"/>
                <w:color w:val="auto"/>
                <w:szCs w:val="32"/>
              </w:rPr>
              <w:t>进行</w:t>
            </w:r>
            <w:r>
              <w:rPr>
                <w:rFonts w:cs="Times New Roman"/>
                <w:color w:val="auto"/>
              </w:rPr>
              <w:t>导电、</w:t>
            </w:r>
            <w:r>
              <w:rPr>
                <w:rFonts w:hint="eastAsia" w:cs="Times New Roman"/>
                <w:color w:val="auto"/>
              </w:rPr>
              <w:t>厚度</w:t>
            </w:r>
            <w:r>
              <w:rPr>
                <w:rFonts w:cs="Times New Roman"/>
                <w:color w:val="auto"/>
              </w:rPr>
              <w:t>、外形等物理指标检验</w:t>
            </w:r>
            <w:r>
              <w:rPr>
                <w:rFonts w:hint="eastAsia" w:cs="Times New Roman"/>
                <w:color w:val="auto"/>
                <w:szCs w:val="32"/>
              </w:rPr>
              <w:t>。</w:t>
            </w:r>
          </w:p>
          <w:p>
            <w:pPr>
              <w:ind w:firstLine="480"/>
              <w:rPr>
                <w:rFonts w:cs="Times New Roman"/>
                <w:color w:val="auto"/>
                <w:szCs w:val="32"/>
              </w:rPr>
            </w:pPr>
            <w:r>
              <w:rPr>
                <w:rFonts w:cs="Times New Roman"/>
                <w:color w:val="auto"/>
                <w:szCs w:val="32"/>
              </w:rPr>
              <w:t>此过程会产生：S</w:t>
            </w:r>
            <w:r>
              <w:rPr>
                <w:rFonts w:hint="eastAsia" w:cs="Times New Roman"/>
                <w:color w:val="auto"/>
                <w:szCs w:val="32"/>
              </w:rPr>
              <w:t>3</w:t>
            </w:r>
            <w:r>
              <w:rPr>
                <w:rFonts w:cs="Times New Roman"/>
                <w:color w:val="auto"/>
                <w:szCs w:val="32"/>
              </w:rPr>
              <w:t>不合格品。</w:t>
            </w:r>
          </w:p>
          <w:p>
            <w:pPr>
              <w:ind w:firstLine="480"/>
              <w:rPr>
                <w:rFonts w:cs="Times New Roman"/>
                <w:color w:val="auto"/>
                <w:szCs w:val="32"/>
              </w:rPr>
            </w:pPr>
            <w:r>
              <w:rPr>
                <w:rFonts w:cs="Times New Roman"/>
                <w:color w:val="auto"/>
                <w:szCs w:val="32"/>
              </w:rPr>
              <w:t>（</w:t>
            </w:r>
            <w:r>
              <w:rPr>
                <w:rFonts w:hint="eastAsia" w:cs="Times New Roman"/>
                <w:color w:val="auto"/>
                <w:szCs w:val="32"/>
              </w:rPr>
              <w:t>5</w:t>
            </w:r>
            <w:r>
              <w:rPr>
                <w:rFonts w:cs="Times New Roman"/>
                <w:color w:val="auto"/>
                <w:szCs w:val="32"/>
              </w:rPr>
              <w:t>）包装入库：合格产品经包装后入库待发货。</w:t>
            </w:r>
          </w:p>
          <w:p>
            <w:pPr>
              <w:pStyle w:val="38"/>
              <w:ind w:firstLine="0" w:firstLineChars="0"/>
              <w:rPr>
                <w:rFonts w:cs="Times New Roman"/>
                <w:b/>
                <w:bCs/>
                <w:color w:val="auto"/>
              </w:rPr>
            </w:pPr>
          </w:p>
          <w:p>
            <w:pPr>
              <w:pStyle w:val="38"/>
              <w:ind w:firstLine="0" w:firstLineChars="0"/>
              <w:rPr>
                <w:rFonts w:cs="Times New Roman"/>
                <w:b/>
                <w:bCs/>
                <w:color w:val="auto"/>
              </w:rPr>
            </w:pPr>
          </w:p>
          <w:p>
            <w:pPr>
              <w:pStyle w:val="38"/>
              <w:ind w:firstLine="0" w:firstLineChars="0"/>
              <w:rPr>
                <w:rFonts w:cs="Times New Roman"/>
                <w:b/>
                <w:bCs/>
                <w:color w:val="auto"/>
              </w:rPr>
            </w:pPr>
            <w:r>
              <w:rPr>
                <w:rFonts w:hint="eastAsia" w:cs="Times New Roman"/>
                <w:b/>
                <w:bCs/>
                <w:color w:val="auto"/>
              </w:rPr>
              <w:t>二</w:t>
            </w:r>
            <w:r>
              <w:rPr>
                <w:rFonts w:cs="Times New Roman"/>
                <w:b/>
                <w:bCs/>
                <w:color w:val="auto"/>
              </w:rPr>
              <w:t>、铜棒生产线</w:t>
            </w:r>
          </w:p>
          <w:p>
            <w:pPr>
              <w:pStyle w:val="38"/>
              <w:ind w:firstLine="0" w:firstLineChars="0"/>
              <w:jc w:val="center"/>
              <w:rPr>
                <w:rFonts w:cs="Times New Roman"/>
                <w:b/>
                <w:bCs/>
                <w:color w:val="auto"/>
              </w:rPr>
            </w:pPr>
            <w:r>
              <w:rPr>
                <w:rFonts w:cs="Times New Roman"/>
                <w:color w:val="auto"/>
              </w:rPr>
              <w:pict>
                <v:shape id="ECB019B1-382A-4266-B25C-5B523AA43C14-3" o:spid="ECB019B1-382A-4266-B25C-5B523AA43C14-3" o:spt="75" alt="C:/Users/Administrator/AppData/Local/Temp/wps.VMmBcvwps" type="#_x0000_t75" style="height:281.5pt;width:343.15pt;" filled="f" o:preferrelative="t" stroked="f" coordsize="21600,21600">
                  <v:path/>
                  <v:fill on="f" focussize="0,0"/>
                  <v:stroke on="f"/>
                  <v:imagedata r:id="rId13" cropleft="1994f" cropright="1994f" o:title="wps"/>
                  <o:lock v:ext="edit" aspectratio="t"/>
                  <w10:wrap type="none"/>
                  <w10:anchorlock/>
                </v:shape>
              </w:pict>
            </w:r>
          </w:p>
          <w:p>
            <w:pPr>
              <w:pStyle w:val="37"/>
              <w:spacing w:line="360" w:lineRule="auto"/>
              <w:rPr>
                <w:rFonts w:cs="Times New Roman"/>
                <w:b/>
                <w:bCs/>
                <w:color w:val="auto"/>
                <w:lang w:val="en-US"/>
              </w:rPr>
            </w:pPr>
            <w:r>
              <w:rPr>
                <w:color w:val="auto"/>
              </w:rPr>
              <w:t>图</w:t>
            </w:r>
            <w:r>
              <w:rPr>
                <w:rFonts w:hint="eastAsia"/>
                <w:color w:val="auto"/>
                <w:lang w:val="en-US"/>
              </w:rPr>
              <w:t>2.7</w:t>
            </w:r>
            <w:r>
              <w:rPr>
                <w:color w:val="auto"/>
              </w:rPr>
              <w:t>-</w:t>
            </w:r>
            <w:r>
              <w:rPr>
                <w:rFonts w:hint="eastAsia"/>
                <w:color w:val="auto"/>
                <w:lang w:val="en-US"/>
              </w:rPr>
              <w:t>2 铜棒</w:t>
            </w:r>
            <w:r>
              <w:rPr>
                <w:color w:val="auto"/>
              </w:rPr>
              <w:t>生产工艺流程及产污环节图</w:t>
            </w:r>
          </w:p>
          <w:p>
            <w:pPr>
              <w:ind w:firstLine="482"/>
              <w:rPr>
                <w:rFonts w:cs="Times New Roman"/>
                <w:b/>
                <w:bCs/>
                <w:color w:val="auto"/>
              </w:rPr>
            </w:pPr>
            <w:r>
              <w:rPr>
                <w:rFonts w:hint="eastAsia" w:cs="Times New Roman"/>
                <w:b/>
                <w:bCs/>
                <w:color w:val="auto"/>
              </w:rPr>
              <w:t>铜棒工艺流程简述：</w:t>
            </w:r>
          </w:p>
          <w:p>
            <w:pPr>
              <w:ind w:firstLine="480"/>
              <w:rPr>
                <w:rFonts w:cs="Times New Roman"/>
                <w:color w:val="auto"/>
              </w:rPr>
            </w:pPr>
            <w:r>
              <w:rPr>
                <w:rFonts w:cs="Times New Roman"/>
                <w:color w:val="auto"/>
                <w:szCs w:val="32"/>
              </w:rPr>
              <w:t>（1）拉拔：铜杆原料经调直后，通过拉拔工艺，对铜棒进行初步</w:t>
            </w:r>
            <w:r>
              <w:rPr>
                <w:rFonts w:hint="eastAsia" w:cs="Times New Roman"/>
                <w:color w:val="auto"/>
                <w:szCs w:val="32"/>
              </w:rPr>
              <w:t>成形</w:t>
            </w:r>
            <w:r>
              <w:rPr>
                <w:rFonts w:cs="Times New Roman"/>
                <w:color w:val="auto"/>
                <w:szCs w:val="32"/>
              </w:rPr>
              <w:t>。拉拔</w:t>
            </w:r>
            <w:r>
              <w:rPr>
                <w:rFonts w:hint="eastAsia" w:cs="Times New Roman"/>
                <w:color w:val="auto"/>
                <w:szCs w:val="32"/>
              </w:rPr>
              <w:t>过程</w:t>
            </w:r>
            <w:r>
              <w:rPr>
                <w:rFonts w:hint="eastAsia" w:cs="Times New Roman"/>
                <w:color w:val="auto"/>
              </w:rPr>
              <w:t>使用拉丝液</w:t>
            </w:r>
            <w:r>
              <w:rPr>
                <w:rFonts w:cs="Times New Roman"/>
                <w:color w:val="auto"/>
              </w:rPr>
              <w:t>（</w:t>
            </w:r>
            <w:r>
              <w:rPr>
                <w:rFonts w:hint="eastAsia" w:cs="Times New Roman"/>
                <w:color w:val="auto"/>
              </w:rPr>
              <w:t>拉丝油与</w:t>
            </w:r>
            <w:r>
              <w:rPr>
                <w:rFonts w:cs="Times New Roman"/>
                <w:color w:val="auto"/>
              </w:rPr>
              <w:t>水比例</w:t>
            </w:r>
            <w:r>
              <w:rPr>
                <w:rFonts w:hint="eastAsia" w:cs="Times New Roman"/>
                <w:color w:val="auto"/>
              </w:rPr>
              <w:t>为1:15</w:t>
            </w:r>
            <w:r>
              <w:rPr>
                <w:rFonts w:cs="Times New Roman"/>
                <w:color w:val="auto"/>
              </w:rPr>
              <w:t>）</w:t>
            </w:r>
            <w:r>
              <w:rPr>
                <w:rFonts w:hint="eastAsia" w:cs="Times New Roman"/>
                <w:color w:val="auto"/>
              </w:rPr>
              <w:t>进行润滑冷却，</w:t>
            </w:r>
            <w:r>
              <w:rPr>
                <w:rFonts w:cs="Times New Roman"/>
                <w:color w:val="auto"/>
                <w:szCs w:val="32"/>
              </w:rPr>
              <w:t>拉拔</w:t>
            </w:r>
            <w:r>
              <w:rPr>
                <w:rFonts w:hint="eastAsia" w:ascii="宋体" w:hAnsi="宋体"/>
                <w:color w:val="auto"/>
                <w:lang w:bidi="ar"/>
              </w:rPr>
              <w:t>温度控制在</w:t>
            </w:r>
            <w:r>
              <w:rPr>
                <w:rFonts w:cs="Times New Roman"/>
                <w:color w:val="auto"/>
                <w:lang w:bidi="ar"/>
              </w:rPr>
              <w:t>30℃~35℃</w:t>
            </w:r>
            <w:r>
              <w:rPr>
                <w:rFonts w:hint="eastAsia" w:ascii="宋体" w:hAnsi="宋体"/>
                <w:color w:val="auto"/>
                <w:lang w:bidi="ar"/>
              </w:rPr>
              <w:t>之间。</w:t>
            </w:r>
            <w:r>
              <w:rPr>
                <w:rFonts w:hint="eastAsia" w:cs="Times New Roman"/>
                <w:color w:val="auto"/>
              </w:rPr>
              <w:t>拉丝液</w:t>
            </w:r>
            <w:r>
              <w:rPr>
                <w:rFonts w:cs="Times New Roman"/>
                <w:color w:val="auto"/>
              </w:rPr>
              <w:t>经密闭管道回流至</w:t>
            </w:r>
            <w:r>
              <w:rPr>
                <w:rFonts w:hint="eastAsia" w:cs="Times New Roman"/>
                <w:color w:val="auto"/>
              </w:rPr>
              <w:t>拉丝液循环水池</w:t>
            </w:r>
            <w:r>
              <w:rPr>
                <w:rFonts w:cs="Times New Roman"/>
                <w:color w:val="auto"/>
              </w:rPr>
              <w:t>循环</w:t>
            </w:r>
            <w:r>
              <w:rPr>
                <w:rFonts w:hint="eastAsia" w:cs="Times New Roman"/>
                <w:color w:val="auto"/>
              </w:rPr>
              <w:t>，冷却后循环</w:t>
            </w:r>
            <w:r>
              <w:rPr>
                <w:rFonts w:cs="Times New Roman"/>
                <w:color w:val="auto"/>
              </w:rPr>
              <w:t>使用，定期进行捞渣处理，</w:t>
            </w:r>
            <w:r>
              <w:rPr>
                <w:rFonts w:hint="eastAsia" w:cs="Times New Roman"/>
                <w:color w:val="auto"/>
              </w:rPr>
              <w:t>产生的废拉丝液定期更换（1年更换一次）按危废处置。</w:t>
            </w:r>
          </w:p>
          <w:p>
            <w:pPr>
              <w:ind w:firstLine="480"/>
              <w:rPr>
                <w:rFonts w:cs="Times New Roman"/>
                <w:color w:val="auto"/>
                <w:szCs w:val="32"/>
              </w:rPr>
            </w:pPr>
            <w:r>
              <w:rPr>
                <w:rFonts w:cs="Times New Roman"/>
                <w:color w:val="auto"/>
                <w:szCs w:val="32"/>
              </w:rPr>
              <w:t>此过程会产生：</w:t>
            </w:r>
            <w:r>
              <w:rPr>
                <w:rFonts w:hint="eastAsia" w:cs="Times New Roman"/>
                <w:color w:val="auto"/>
                <w:szCs w:val="32"/>
              </w:rPr>
              <w:t>G2拉拔废气、</w:t>
            </w:r>
            <w:r>
              <w:rPr>
                <w:rFonts w:cs="Times New Roman"/>
                <w:color w:val="auto"/>
              </w:rPr>
              <w:t>S1废（铜）边角料、S</w:t>
            </w:r>
            <w:r>
              <w:rPr>
                <w:rFonts w:hint="eastAsia" w:cs="Times New Roman"/>
                <w:color w:val="auto"/>
              </w:rPr>
              <w:t>2</w:t>
            </w:r>
            <w:r>
              <w:rPr>
                <w:rFonts w:cs="Times New Roman"/>
                <w:color w:val="auto"/>
              </w:rPr>
              <w:t>废模具、S</w:t>
            </w:r>
            <w:r>
              <w:rPr>
                <w:rFonts w:hint="eastAsia" w:cs="Times New Roman"/>
                <w:color w:val="auto"/>
              </w:rPr>
              <w:t>4</w:t>
            </w:r>
            <w:r>
              <w:rPr>
                <w:rFonts w:cs="Times New Roman"/>
                <w:color w:val="auto"/>
              </w:rPr>
              <w:t>废</w:t>
            </w:r>
            <w:r>
              <w:rPr>
                <w:rFonts w:hint="eastAsia" w:cs="Times New Roman"/>
                <w:color w:val="auto"/>
              </w:rPr>
              <w:t>拉丝液</w:t>
            </w:r>
            <w:r>
              <w:rPr>
                <w:rFonts w:cs="Times New Roman"/>
                <w:color w:val="auto"/>
              </w:rPr>
              <w:t>、S</w:t>
            </w:r>
            <w:r>
              <w:rPr>
                <w:rFonts w:hint="eastAsia" w:cs="Times New Roman"/>
                <w:color w:val="auto"/>
              </w:rPr>
              <w:t>5铜泥</w:t>
            </w:r>
            <w:r>
              <w:rPr>
                <w:rFonts w:cs="Times New Roman"/>
                <w:color w:val="auto"/>
              </w:rPr>
              <w:t>、N1噪声。</w:t>
            </w:r>
          </w:p>
          <w:p>
            <w:pPr>
              <w:ind w:firstLine="480"/>
              <w:rPr>
                <w:rFonts w:cs="Times New Roman"/>
                <w:color w:val="auto"/>
                <w:shd w:val="clear" w:color="auto" w:fill="FFFFFF"/>
              </w:rPr>
            </w:pPr>
            <w:r>
              <w:rPr>
                <w:rFonts w:cs="Times New Roman"/>
                <w:color w:val="auto"/>
                <w:shd w:val="clear" w:color="auto" w:fill="FFFFFF"/>
              </w:rPr>
              <w:t>（2）</w:t>
            </w:r>
            <w:r>
              <w:rPr>
                <w:rFonts w:hint="eastAsia" w:cs="Times New Roman"/>
                <w:color w:val="auto"/>
                <w:shd w:val="clear" w:color="auto" w:fill="FFFFFF"/>
                <w:lang w:val="en-US" w:eastAsia="zh-CN"/>
              </w:rPr>
              <w:t>连续</w:t>
            </w:r>
            <w:r>
              <w:rPr>
                <w:rFonts w:cs="Times New Roman"/>
                <w:color w:val="auto"/>
                <w:shd w:val="clear" w:color="auto" w:fill="FFFFFF"/>
              </w:rPr>
              <w:t>挤压：经过连续挤压机进行挤压，形成铜棒形状</w:t>
            </w:r>
            <w:r>
              <w:rPr>
                <w:rFonts w:hint="eastAsia" w:cs="Times New Roman"/>
                <w:color w:val="auto"/>
                <w:shd w:val="clear" w:color="auto" w:fill="FFFFFF"/>
              </w:rPr>
              <w:t>。</w:t>
            </w:r>
            <w:r>
              <w:rPr>
                <w:rFonts w:cs="Times New Roman"/>
                <w:color w:val="auto"/>
                <w:shd w:val="clear" w:color="auto" w:fill="FFFFFF"/>
              </w:rPr>
              <w:t>与</w:t>
            </w:r>
            <w:r>
              <w:rPr>
                <w:rFonts w:hint="eastAsia" w:cs="Times New Roman"/>
                <w:color w:val="auto"/>
                <w:shd w:val="clear" w:color="auto" w:fill="FFFFFF"/>
              </w:rPr>
              <w:t>铜排</w:t>
            </w:r>
            <w:r>
              <w:rPr>
                <w:rFonts w:cs="Times New Roman"/>
                <w:color w:val="auto"/>
                <w:shd w:val="clear" w:color="auto" w:fill="FFFFFF"/>
              </w:rPr>
              <w:t>生产线连续挤压工序基本一致。</w:t>
            </w:r>
          </w:p>
          <w:p>
            <w:pPr>
              <w:ind w:firstLine="480"/>
              <w:rPr>
                <w:rFonts w:cs="Times New Roman"/>
                <w:color w:val="auto"/>
              </w:rPr>
            </w:pPr>
            <w:r>
              <w:rPr>
                <w:rFonts w:cs="Times New Roman"/>
                <w:color w:val="auto"/>
              </w:rPr>
              <w:t>此过程会产生：W1循环冷却水、S1废（铜）边角料、S</w:t>
            </w:r>
            <w:r>
              <w:rPr>
                <w:rFonts w:hint="eastAsia" w:cs="Times New Roman"/>
                <w:color w:val="auto"/>
              </w:rPr>
              <w:t>2</w:t>
            </w:r>
            <w:r>
              <w:rPr>
                <w:rFonts w:cs="Times New Roman"/>
                <w:color w:val="auto"/>
              </w:rPr>
              <w:t>废模具、N1噪声。</w:t>
            </w:r>
          </w:p>
          <w:p>
            <w:pPr>
              <w:ind w:firstLine="480"/>
              <w:rPr>
                <w:rFonts w:cs="Times New Roman"/>
                <w:color w:val="auto"/>
              </w:rPr>
            </w:pPr>
            <w:r>
              <w:rPr>
                <w:rFonts w:cs="Times New Roman"/>
                <w:color w:val="auto"/>
                <w:shd w:val="clear" w:color="auto" w:fill="FFFFFF"/>
              </w:rPr>
              <w:t>（</w:t>
            </w:r>
            <w:r>
              <w:rPr>
                <w:rFonts w:hint="eastAsia" w:cs="Times New Roman"/>
                <w:color w:val="auto"/>
                <w:shd w:val="clear" w:color="auto" w:fill="FFFFFF"/>
              </w:rPr>
              <w:t>3</w:t>
            </w:r>
            <w:r>
              <w:rPr>
                <w:rFonts w:cs="Times New Roman"/>
                <w:color w:val="auto"/>
                <w:shd w:val="clear" w:color="auto" w:fill="FFFFFF"/>
              </w:rPr>
              <w:t>）</w:t>
            </w:r>
            <w:r>
              <w:rPr>
                <w:rFonts w:cs="Times New Roman"/>
                <w:color w:val="auto"/>
                <w:szCs w:val="32"/>
              </w:rPr>
              <w:t>拉拔矫直分割</w:t>
            </w:r>
            <w:r>
              <w:rPr>
                <w:rFonts w:cs="Times New Roman"/>
                <w:color w:val="auto"/>
                <w:shd w:val="clear" w:color="auto" w:fill="FFFFFF"/>
              </w:rPr>
              <w:t>：通过液压拉拔矫直一体机进一步拉拔工艺细化铜棒的尺寸和形状。矫直后根据要求通过配套的液压剪进行裁断，分割过程产生少量&gt;1mm金属块状物，比重较大，基本在设备周边快速沉降。分割设备周边设置有收集槽，每班生产结束后对收集槽及设施周边地面进行清理。</w:t>
            </w:r>
            <w:r>
              <w:rPr>
                <w:rFonts w:cs="Times New Roman"/>
                <w:color w:val="auto"/>
                <w:szCs w:val="32"/>
              </w:rPr>
              <w:t>拉拔</w:t>
            </w:r>
            <w:r>
              <w:rPr>
                <w:rFonts w:hint="eastAsia" w:cs="Times New Roman"/>
                <w:color w:val="auto"/>
                <w:szCs w:val="32"/>
              </w:rPr>
              <w:t>使用</w:t>
            </w:r>
            <w:r>
              <w:rPr>
                <w:rFonts w:hint="eastAsia" w:cs="Times New Roman"/>
                <w:color w:val="auto"/>
              </w:rPr>
              <w:t>拉丝液</w:t>
            </w:r>
            <w:r>
              <w:rPr>
                <w:rFonts w:cs="Times New Roman"/>
                <w:color w:val="auto"/>
              </w:rPr>
              <w:t>（</w:t>
            </w:r>
            <w:r>
              <w:rPr>
                <w:rFonts w:hint="eastAsia" w:cs="Times New Roman"/>
                <w:color w:val="auto"/>
              </w:rPr>
              <w:t>拉丝油与</w:t>
            </w:r>
            <w:r>
              <w:rPr>
                <w:rFonts w:cs="Times New Roman"/>
                <w:color w:val="auto"/>
              </w:rPr>
              <w:t>水比例</w:t>
            </w:r>
            <w:r>
              <w:rPr>
                <w:rFonts w:hint="eastAsia" w:cs="Times New Roman"/>
                <w:color w:val="auto"/>
              </w:rPr>
              <w:t>为1:15</w:t>
            </w:r>
            <w:r>
              <w:rPr>
                <w:rFonts w:cs="Times New Roman"/>
                <w:color w:val="auto"/>
              </w:rPr>
              <w:t>）进行润滑、冷却</w:t>
            </w:r>
            <w:r>
              <w:rPr>
                <w:rFonts w:hint="eastAsia" w:cs="Times New Roman"/>
                <w:color w:val="auto"/>
                <w:szCs w:val="32"/>
              </w:rPr>
              <w:t>，</w:t>
            </w:r>
            <w:r>
              <w:rPr>
                <w:rFonts w:cs="Times New Roman"/>
                <w:color w:val="auto"/>
                <w:szCs w:val="32"/>
              </w:rPr>
              <w:t>拉拔</w:t>
            </w:r>
            <w:r>
              <w:rPr>
                <w:rFonts w:hint="eastAsia" w:ascii="宋体" w:hAnsi="宋体"/>
                <w:color w:val="auto"/>
                <w:lang w:bidi="ar"/>
              </w:rPr>
              <w:t>温度控制在</w:t>
            </w:r>
            <w:r>
              <w:rPr>
                <w:rFonts w:cs="Times New Roman"/>
                <w:color w:val="auto"/>
                <w:lang w:bidi="ar"/>
              </w:rPr>
              <w:t>30℃~35℃</w:t>
            </w:r>
            <w:r>
              <w:rPr>
                <w:rFonts w:hint="eastAsia" w:ascii="宋体" w:hAnsi="宋体"/>
                <w:color w:val="auto"/>
                <w:lang w:bidi="ar"/>
              </w:rPr>
              <w:t>之间。</w:t>
            </w:r>
            <w:r>
              <w:rPr>
                <w:rFonts w:hint="eastAsia" w:cs="Times New Roman"/>
                <w:color w:val="auto"/>
              </w:rPr>
              <w:t>拉丝液</w:t>
            </w:r>
            <w:r>
              <w:rPr>
                <w:rFonts w:cs="Times New Roman"/>
                <w:color w:val="auto"/>
              </w:rPr>
              <w:t>经密闭管道回流至</w:t>
            </w:r>
            <w:r>
              <w:rPr>
                <w:rFonts w:hint="eastAsia" w:cs="Times New Roman"/>
                <w:color w:val="auto"/>
              </w:rPr>
              <w:t>拉丝液循环池</w:t>
            </w:r>
            <w:r>
              <w:rPr>
                <w:rFonts w:cs="Times New Roman"/>
                <w:color w:val="auto"/>
              </w:rPr>
              <w:t>循环</w:t>
            </w:r>
            <w:r>
              <w:rPr>
                <w:rFonts w:hint="eastAsia" w:cs="Times New Roman"/>
                <w:color w:val="auto"/>
              </w:rPr>
              <w:t>使用</w:t>
            </w:r>
            <w:r>
              <w:rPr>
                <w:rFonts w:cs="Times New Roman"/>
                <w:color w:val="auto"/>
              </w:rPr>
              <w:t>，定期进行捞渣处理，产生的废</w:t>
            </w:r>
            <w:r>
              <w:rPr>
                <w:rFonts w:hint="eastAsia" w:cs="Times New Roman"/>
                <w:color w:val="auto"/>
              </w:rPr>
              <w:t>拉丝液</w:t>
            </w:r>
            <w:r>
              <w:rPr>
                <w:rFonts w:cs="Times New Roman"/>
                <w:color w:val="auto"/>
              </w:rPr>
              <w:t>按危废处置，1年更换一次。</w:t>
            </w:r>
          </w:p>
          <w:p>
            <w:pPr>
              <w:ind w:firstLine="480"/>
              <w:rPr>
                <w:rFonts w:cs="Times New Roman"/>
                <w:color w:val="auto"/>
                <w:szCs w:val="32"/>
              </w:rPr>
            </w:pPr>
            <w:r>
              <w:rPr>
                <w:rFonts w:cs="Times New Roman"/>
                <w:color w:val="auto"/>
                <w:szCs w:val="32"/>
              </w:rPr>
              <w:t>此过程会产生：</w:t>
            </w:r>
            <w:r>
              <w:rPr>
                <w:rFonts w:hint="eastAsia" w:cs="Times New Roman"/>
                <w:color w:val="auto"/>
                <w:szCs w:val="32"/>
              </w:rPr>
              <w:t>G2拉拔废气、</w:t>
            </w:r>
            <w:r>
              <w:rPr>
                <w:rFonts w:cs="Times New Roman"/>
                <w:color w:val="auto"/>
              </w:rPr>
              <w:t>S1废（铜）边角料、S</w:t>
            </w:r>
            <w:r>
              <w:rPr>
                <w:rFonts w:hint="eastAsia" w:cs="Times New Roman"/>
                <w:color w:val="auto"/>
              </w:rPr>
              <w:t>2</w:t>
            </w:r>
            <w:r>
              <w:rPr>
                <w:rFonts w:cs="Times New Roman"/>
                <w:color w:val="auto"/>
              </w:rPr>
              <w:t>废模具、S</w:t>
            </w:r>
            <w:r>
              <w:rPr>
                <w:rFonts w:hint="eastAsia" w:cs="Times New Roman"/>
                <w:color w:val="auto"/>
              </w:rPr>
              <w:t>4</w:t>
            </w:r>
            <w:r>
              <w:rPr>
                <w:rFonts w:cs="Times New Roman"/>
                <w:color w:val="auto"/>
              </w:rPr>
              <w:t>废</w:t>
            </w:r>
            <w:r>
              <w:rPr>
                <w:rFonts w:hint="eastAsia" w:cs="Times New Roman"/>
                <w:color w:val="auto"/>
              </w:rPr>
              <w:t>拉丝</w:t>
            </w:r>
            <w:r>
              <w:rPr>
                <w:rFonts w:cs="Times New Roman"/>
                <w:color w:val="auto"/>
              </w:rPr>
              <w:t>液</w:t>
            </w:r>
            <w:r>
              <w:rPr>
                <w:rFonts w:hint="eastAsia" w:cs="Times New Roman"/>
                <w:color w:val="auto"/>
              </w:rPr>
              <w:t>、</w:t>
            </w:r>
            <w:r>
              <w:rPr>
                <w:rFonts w:cs="Times New Roman"/>
                <w:color w:val="auto"/>
              </w:rPr>
              <w:t>N1噪声。</w:t>
            </w:r>
          </w:p>
          <w:p>
            <w:pPr>
              <w:ind w:firstLine="480"/>
              <w:rPr>
                <w:rFonts w:cs="Times New Roman"/>
                <w:color w:val="auto"/>
                <w:szCs w:val="32"/>
              </w:rPr>
            </w:pPr>
            <w:r>
              <w:rPr>
                <w:rFonts w:cs="Times New Roman"/>
                <w:color w:val="auto"/>
                <w:shd w:val="clear" w:color="auto" w:fill="FFFFFF"/>
              </w:rPr>
              <w:t>（</w:t>
            </w:r>
            <w:r>
              <w:rPr>
                <w:rFonts w:hint="eastAsia" w:cs="Times New Roman"/>
                <w:color w:val="auto"/>
                <w:shd w:val="clear" w:color="auto" w:fill="FFFFFF"/>
              </w:rPr>
              <w:t>4</w:t>
            </w:r>
            <w:r>
              <w:rPr>
                <w:rFonts w:cs="Times New Roman"/>
                <w:color w:val="auto"/>
                <w:shd w:val="clear" w:color="auto" w:fill="FFFFFF"/>
              </w:rPr>
              <w:t>）</w:t>
            </w:r>
            <w:r>
              <w:rPr>
                <w:rFonts w:hint="eastAsia" w:cs="Times New Roman"/>
                <w:color w:val="auto"/>
                <w:szCs w:val="32"/>
              </w:rPr>
              <w:t>物理检验：</w:t>
            </w:r>
            <w:r>
              <w:rPr>
                <w:rFonts w:cs="Times New Roman"/>
                <w:color w:val="auto"/>
                <w:szCs w:val="32"/>
              </w:rPr>
              <w:t>对</w:t>
            </w:r>
            <w:r>
              <w:rPr>
                <w:rFonts w:hint="eastAsia" w:cs="Times New Roman"/>
                <w:color w:val="auto"/>
                <w:szCs w:val="32"/>
              </w:rPr>
              <w:t>铜棒</w:t>
            </w:r>
            <w:r>
              <w:rPr>
                <w:rFonts w:cs="Times New Roman"/>
                <w:color w:val="auto"/>
                <w:szCs w:val="32"/>
              </w:rPr>
              <w:t>进行</w:t>
            </w:r>
            <w:r>
              <w:rPr>
                <w:rFonts w:cs="Times New Roman"/>
                <w:color w:val="auto"/>
              </w:rPr>
              <w:t>导电、</w:t>
            </w:r>
            <w:r>
              <w:rPr>
                <w:rFonts w:hint="eastAsia" w:cs="Times New Roman"/>
                <w:color w:val="auto"/>
              </w:rPr>
              <w:t>直径</w:t>
            </w:r>
            <w:r>
              <w:rPr>
                <w:rFonts w:cs="Times New Roman"/>
                <w:color w:val="auto"/>
              </w:rPr>
              <w:t>、外形等物理指标检验</w:t>
            </w:r>
            <w:r>
              <w:rPr>
                <w:rFonts w:hint="eastAsia" w:cs="Times New Roman"/>
                <w:color w:val="auto"/>
                <w:szCs w:val="32"/>
              </w:rPr>
              <w:t>。</w:t>
            </w:r>
          </w:p>
          <w:p>
            <w:pPr>
              <w:ind w:firstLine="480"/>
              <w:rPr>
                <w:rFonts w:cs="Times New Roman"/>
                <w:color w:val="auto"/>
                <w:szCs w:val="32"/>
              </w:rPr>
            </w:pPr>
            <w:r>
              <w:rPr>
                <w:rFonts w:cs="Times New Roman"/>
                <w:color w:val="auto"/>
                <w:szCs w:val="32"/>
              </w:rPr>
              <w:t>此过程会产生：S</w:t>
            </w:r>
            <w:r>
              <w:rPr>
                <w:rFonts w:hint="eastAsia" w:cs="Times New Roman"/>
                <w:color w:val="auto"/>
                <w:szCs w:val="32"/>
              </w:rPr>
              <w:t>3</w:t>
            </w:r>
            <w:r>
              <w:rPr>
                <w:rFonts w:cs="Times New Roman"/>
                <w:color w:val="auto"/>
                <w:szCs w:val="32"/>
              </w:rPr>
              <w:t>不合格品。</w:t>
            </w:r>
          </w:p>
          <w:p>
            <w:pPr>
              <w:ind w:firstLine="480"/>
              <w:rPr>
                <w:rFonts w:cs="Times New Roman"/>
                <w:color w:val="auto"/>
                <w:szCs w:val="32"/>
              </w:rPr>
            </w:pPr>
            <w:r>
              <w:rPr>
                <w:rFonts w:cs="Times New Roman"/>
                <w:color w:val="auto"/>
                <w:szCs w:val="32"/>
              </w:rPr>
              <w:t>（</w:t>
            </w:r>
            <w:r>
              <w:rPr>
                <w:rFonts w:hint="eastAsia" w:cs="Times New Roman"/>
                <w:color w:val="auto"/>
                <w:szCs w:val="32"/>
              </w:rPr>
              <w:t>5</w:t>
            </w:r>
            <w:r>
              <w:rPr>
                <w:rFonts w:cs="Times New Roman"/>
                <w:color w:val="auto"/>
                <w:szCs w:val="32"/>
              </w:rPr>
              <w:t>）包装入库：合格产品经包装后入库待发货。</w:t>
            </w:r>
          </w:p>
          <w:p>
            <w:pPr>
              <w:ind w:firstLine="0" w:firstLineChars="0"/>
              <w:rPr>
                <w:rFonts w:cs="Times New Roman"/>
                <w:color w:val="auto"/>
                <w:szCs w:val="32"/>
              </w:rPr>
            </w:pPr>
          </w:p>
          <w:p>
            <w:pPr>
              <w:ind w:firstLine="0" w:firstLineChars="0"/>
              <w:rPr>
                <w:rFonts w:cs="Times New Roman"/>
                <w:color w:val="auto"/>
                <w:szCs w:val="32"/>
              </w:rPr>
            </w:pPr>
          </w:p>
          <w:p>
            <w:pPr>
              <w:ind w:firstLine="0" w:firstLineChars="0"/>
              <w:rPr>
                <w:rFonts w:cs="Times New Roman"/>
                <w:color w:val="auto"/>
                <w:szCs w:val="32"/>
              </w:rPr>
            </w:pPr>
          </w:p>
          <w:p>
            <w:pPr>
              <w:ind w:firstLine="0" w:firstLineChars="0"/>
              <w:rPr>
                <w:rFonts w:cs="Times New Roman"/>
                <w:color w:val="auto"/>
                <w:szCs w:val="32"/>
              </w:rPr>
            </w:pPr>
          </w:p>
          <w:p>
            <w:pPr>
              <w:ind w:firstLine="0" w:firstLineChars="0"/>
              <w:rPr>
                <w:rFonts w:cs="Times New Roman"/>
                <w:color w:val="auto"/>
                <w:szCs w:val="32"/>
              </w:rPr>
            </w:pPr>
          </w:p>
          <w:p>
            <w:pPr>
              <w:ind w:firstLine="0" w:firstLineChars="0"/>
              <w:rPr>
                <w:rFonts w:cs="Times New Roman"/>
                <w:color w:val="auto"/>
                <w:szCs w:val="32"/>
              </w:rPr>
            </w:pPr>
          </w:p>
          <w:p>
            <w:pPr>
              <w:ind w:firstLine="0" w:firstLineChars="0"/>
              <w:rPr>
                <w:rFonts w:cs="Times New Roman"/>
                <w:color w:val="auto"/>
                <w:szCs w:val="32"/>
              </w:rPr>
            </w:pPr>
          </w:p>
          <w:p>
            <w:pPr>
              <w:ind w:firstLine="0" w:firstLineChars="0"/>
              <w:rPr>
                <w:rFonts w:cs="Times New Roman"/>
                <w:color w:val="auto"/>
                <w:szCs w:val="32"/>
              </w:rPr>
            </w:pPr>
          </w:p>
          <w:p>
            <w:pPr>
              <w:pStyle w:val="38"/>
              <w:ind w:firstLine="0" w:firstLineChars="0"/>
              <w:rPr>
                <w:rFonts w:cs="Times New Roman"/>
                <w:b/>
                <w:bCs/>
                <w:color w:val="auto"/>
              </w:rPr>
            </w:pPr>
            <w:r>
              <w:rPr>
                <w:rFonts w:hint="eastAsia" w:cs="Times New Roman"/>
                <w:b/>
                <w:bCs/>
                <w:color w:val="auto"/>
              </w:rPr>
              <w:t>三</w:t>
            </w:r>
            <w:r>
              <w:rPr>
                <w:rFonts w:cs="Times New Roman"/>
                <w:b/>
                <w:bCs/>
                <w:color w:val="auto"/>
              </w:rPr>
              <w:t>、</w:t>
            </w:r>
            <w:r>
              <w:rPr>
                <w:rFonts w:hint="eastAsia" w:cs="Times New Roman"/>
                <w:b/>
                <w:bCs/>
                <w:color w:val="auto"/>
              </w:rPr>
              <w:t>铜丝</w:t>
            </w:r>
            <w:r>
              <w:rPr>
                <w:rFonts w:cs="Times New Roman"/>
                <w:b/>
                <w:bCs/>
                <w:color w:val="auto"/>
              </w:rPr>
              <w:t>生产线</w:t>
            </w:r>
          </w:p>
          <w:p>
            <w:pPr>
              <w:pStyle w:val="38"/>
              <w:ind w:firstLine="0" w:firstLineChars="0"/>
              <w:jc w:val="center"/>
              <w:rPr>
                <w:rFonts w:cs="Times New Roman"/>
                <w:b/>
                <w:bCs/>
                <w:color w:val="auto"/>
              </w:rPr>
            </w:pPr>
            <w:r>
              <w:rPr>
                <w:rFonts w:cs="Times New Roman"/>
                <w:b/>
                <w:bCs/>
                <w:color w:val="auto"/>
              </w:rPr>
              <w:pict>
                <v:shape id="ECB019B1-382A-4266-B25C-5B523AA43C14-4" o:spid="ECB019B1-382A-4266-B25C-5B523AA43C14-4" o:spt="75" type="#_x0000_t75" style="height:321pt;width:384pt;" filled="f" o:preferrelative="t" stroked="f" coordsize="21600,21600">
                  <v:path/>
                  <v:fill on="f" focussize="0,0"/>
                  <v:stroke on="f" joinstyle="miter"/>
                  <v:imagedata r:id="rId14" cropleft="1277f" croptop="887f" cropright="14058f" cropbottom="-454f" o:title="wps"/>
                  <o:lock v:ext="edit" aspectratio="t"/>
                  <w10:wrap type="none"/>
                  <w10:anchorlock/>
                </v:shape>
              </w:pict>
            </w:r>
          </w:p>
          <w:p>
            <w:pPr>
              <w:pStyle w:val="37"/>
              <w:spacing w:line="360" w:lineRule="auto"/>
              <w:rPr>
                <w:rFonts w:cs="Times New Roman"/>
                <w:b/>
                <w:bCs/>
                <w:color w:val="auto"/>
                <w:lang w:val="en-US"/>
              </w:rPr>
            </w:pPr>
            <w:r>
              <w:rPr>
                <w:color w:val="auto"/>
              </w:rPr>
              <w:t>图</w:t>
            </w:r>
            <w:r>
              <w:rPr>
                <w:rFonts w:hint="eastAsia"/>
                <w:color w:val="auto"/>
                <w:lang w:val="en-US"/>
              </w:rPr>
              <w:t>2.7</w:t>
            </w:r>
            <w:r>
              <w:rPr>
                <w:color w:val="auto"/>
              </w:rPr>
              <w:t>-</w:t>
            </w:r>
            <w:r>
              <w:rPr>
                <w:rFonts w:hint="eastAsia"/>
                <w:color w:val="auto"/>
                <w:lang w:val="en-US"/>
              </w:rPr>
              <w:t>3 铜丝</w:t>
            </w:r>
            <w:r>
              <w:rPr>
                <w:color w:val="auto"/>
              </w:rPr>
              <w:t>生产工艺流程及产污环节图</w:t>
            </w:r>
          </w:p>
          <w:p>
            <w:pPr>
              <w:ind w:firstLine="482"/>
              <w:rPr>
                <w:rFonts w:cs="Times New Roman"/>
                <w:b/>
                <w:bCs/>
                <w:color w:val="auto"/>
              </w:rPr>
            </w:pPr>
            <w:r>
              <w:rPr>
                <w:rFonts w:hint="eastAsia" w:cs="Times New Roman"/>
                <w:b/>
                <w:bCs/>
                <w:color w:val="auto"/>
              </w:rPr>
              <w:t>工艺流程简述：</w:t>
            </w:r>
          </w:p>
          <w:p>
            <w:pPr>
              <w:ind w:firstLine="480"/>
              <w:rPr>
                <w:rFonts w:cs="Times New Roman"/>
                <w:color w:val="auto"/>
                <w:szCs w:val="32"/>
              </w:rPr>
            </w:pPr>
            <w:r>
              <w:rPr>
                <w:rFonts w:cs="Times New Roman"/>
                <w:color w:val="auto"/>
                <w:szCs w:val="32"/>
              </w:rPr>
              <w:t>（1）放线：将铜杆放在放线架上进行拉丝。</w:t>
            </w:r>
          </w:p>
          <w:p>
            <w:pPr>
              <w:ind w:firstLine="480"/>
              <w:rPr>
                <w:rFonts w:cs="Times New Roman"/>
                <w:color w:val="auto"/>
              </w:rPr>
            </w:pPr>
            <w:r>
              <w:rPr>
                <w:rFonts w:cs="Times New Roman"/>
                <w:color w:val="auto"/>
                <w:shd w:val="clear" w:color="auto" w:fill="FFFFFF"/>
              </w:rPr>
              <w:t>（2）拉丝</w:t>
            </w:r>
            <w:r>
              <w:rPr>
                <w:rFonts w:cs="Times New Roman"/>
                <w:color w:val="auto"/>
                <w:szCs w:val="32"/>
              </w:rPr>
              <w:t>（大拉+中拉+小拉）：通过拉丝机对铜杆进行拉丝，其主要工模具是线模，线材通过模孔受力变形，截面减小、长度增加、强度提高。具体为通过拉丝机内的大、中、小金属模具经拉拔拉伸至适用线规，拉丝过程为（大：Φ</w:t>
            </w:r>
            <w:r>
              <w:rPr>
                <w:rFonts w:hint="eastAsia" w:cs="Times New Roman"/>
                <w:color w:val="auto"/>
                <w:szCs w:val="32"/>
              </w:rPr>
              <w:t>8</w:t>
            </w:r>
            <w:r>
              <w:rPr>
                <w:rFonts w:cs="Times New Roman"/>
                <w:color w:val="auto"/>
                <w:szCs w:val="32"/>
              </w:rPr>
              <w:t>mm、中：Φ0.8mm、小：Φ0.05mm），每道拉丝</w:t>
            </w:r>
            <w:r>
              <w:rPr>
                <w:rFonts w:cs="Times New Roman"/>
                <w:color w:val="auto"/>
                <w:lang w:bidi="ar"/>
              </w:rPr>
              <w:t>均使用</w:t>
            </w:r>
            <w:r>
              <w:rPr>
                <w:rFonts w:hint="eastAsia" w:cs="Times New Roman"/>
                <w:color w:val="auto"/>
                <w:lang w:bidi="ar"/>
              </w:rPr>
              <w:t>拉丝液</w:t>
            </w:r>
            <w:r>
              <w:rPr>
                <w:rFonts w:cs="Times New Roman"/>
                <w:color w:val="auto"/>
                <w:szCs w:val="32"/>
              </w:rPr>
              <w:t>（</w:t>
            </w:r>
            <w:r>
              <w:rPr>
                <w:rFonts w:hint="eastAsia" w:cs="Times New Roman"/>
                <w:color w:val="auto"/>
                <w:szCs w:val="32"/>
              </w:rPr>
              <w:t>拉丝油</w:t>
            </w:r>
            <w:r>
              <w:rPr>
                <w:rFonts w:cs="Times New Roman"/>
                <w:color w:val="auto"/>
                <w:szCs w:val="32"/>
              </w:rPr>
              <w:t>：水=</w:t>
            </w:r>
            <w:r>
              <w:rPr>
                <w:rFonts w:hint="eastAsia" w:cs="Times New Roman"/>
                <w:color w:val="auto"/>
                <w:szCs w:val="32"/>
              </w:rPr>
              <w:t>1:15</w:t>
            </w:r>
            <w:r>
              <w:rPr>
                <w:rFonts w:cs="Times New Roman"/>
                <w:color w:val="auto"/>
                <w:szCs w:val="32"/>
              </w:rPr>
              <w:t>）</w:t>
            </w:r>
            <w:r>
              <w:rPr>
                <w:rFonts w:cs="Times New Roman"/>
                <w:color w:val="auto"/>
                <w:lang w:bidi="ar"/>
              </w:rPr>
              <w:t>润滑、冷却</w:t>
            </w:r>
            <w:r>
              <w:rPr>
                <w:rFonts w:hint="eastAsia" w:cs="Times New Roman"/>
                <w:color w:val="auto"/>
                <w:lang w:bidi="ar"/>
              </w:rPr>
              <w:t>，</w:t>
            </w:r>
            <w:r>
              <w:rPr>
                <w:rFonts w:hint="eastAsia" w:cs="Times New Roman"/>
                <w:color w:val="auto"/>
                <w:szCs w:val="32"/>
              </w:rPr>
              <w:t>拉丝</w:t>
            </w:r>
            <w:r>
              <w:rPr>
                <w:rFonts w:hint="eastAsia" w:ascii="宋体" w:hAnsi="宋体"/>
                <w:color w:val="auto"/>
                <w:lang w:bidi="ar"/>
              </w:rPr>
              <w:t>温度控制在</w:t>
            </w:r>
            <w:r>
              <w:rPr>
                <w:rFonts w:hint="eastAsia" w:cs="Times New Roman"/>
                <w:color w:val="auto"/>
                <w:lang w:bidi="ar"/>
              </w:rPr>
              <w:t>40</w:t>
            </w:r>
            <w:r>
              <w:rPr>
                <w:rFonts w:cs="Times New Roman"/>
                <w:color w:val="auto"/>
                <w:lang w:bidi="ar"/>
              </w:rPr>
              <w:t>℃</w:t>
            </w:r>
            <w:r>
              <w:rPr>
                <w:rFonts w:cs="Times New Roman"/>
                <w:b/>
                <w:bCs/>
                <w:color w:val="auto"/>
                <w:lang w:bidi="ar"/>
              </w:rPr>
              <w:t>~</w:t>
            </w:r>
            <w:r>
              <w:rPr>
                <w:rFonts w:hint="eastAsia" w:cs="Times New Roman"/>
                <w:color w:val="auto"/>
                <w:lang w:bidi="ar"/>
              </w:rPr>
              <w:t>50</w:t>
            </w:r>
            <w:r>
              <w:rPr>
                <w:rFonts w:cs="Times New Roman"/>
                <w:color w:val="auto"/>
                <w:lang w:bidi="ar"/>
              </w:rPr>
              <w:t>℃</w:t>
            </w:r>
            <w:r>
              <w:rPr>
                <w:rFonts w:hint="eastAsia" w:ascii="宋体" w:hAnsi="宋体"/>
                <w:color w:val="auto"/>
                <w:lang w:bidi="ar"/>
              </w:rPr>
              <w:t>之间。</w:t>
            </w:r>
            <w:r>
              <w:rPr>
                <w:rFonts w:cs="Times New Roman"/>
                <w:color w:val="auto"/>
                <w:lang w:bidi="ar"/>
              </w:rPr>
              <w:t>使用后</w:t>
            </w:r>
            <w:r>
              <w:rPr>
                <w:rFonts w:hint="eastAsia" w:cs="Times New Roman"/>
                <w:color w:val="auto"/>
                <w:lang w:bidi="ar"/>
              </w:rPr>
              <w:t>拉丝液</w:t>
            </w:r>
            <w:r>
              <w:rPr>
                <w:rFonts w:cs="Times New Roman"/>
                <w:color w:val="auto"/>
                <w:lang w:bidi="ar"/>
              </w:rPr>
              <w:t>经管道输送至厂区</w:t>
            </w:r>
            <w:r>
              <w:rPr>
                <w:rFonts w:hint="eastAsia" w:cs="Times New Roman"/>
                <w:color w:val="auto"/>
                <w:lang w:bidi="ar"/>
              </w:rPr>
              <w:t>拉丝液</w:t>
            </w:r>
            <w:r>
              <w:rPr>
                <w:rFonts w:cs="Times New Roman"/>
                <w:color w:val="auto"/>
                <w:lang w:bidi="ar"/>
              </w:rPr>
              <w:t>循环池，冷却后循环使用。</w:t>
            </w:r>
          </w:p>
          <w:p>
            <w:pPr>
              <w:ind w:firstLine="480"/>
              <w:rPr>
                <w:rFonts w:cs="Times New Roman"/>
                <w:color w:val="auto"/>
              </w:rPr>
            </w:pPr>
            <w:r>
              <w:rPr>
                <w:rFonts w:cs="Times New Roman"/>
                <w:color w:val="auto"/>
              </w:rPr>
              <w:t>此过程会产生：S1废（铜）边角料、S</w:t>
            </w:r>
            <w:r>
              <w:rPr>
                <w:rFonts w:hint="eastAsia" w:cs="Times New Roman"/>
                <w:color w:val="auto"/>
              </w:rPr>
              <w:t>2</w:t>
            </w:r>
            <w:r>
              <w:rPr>
                <w:rFonts w:cs="Times New Roman"/>
                <w:color w:val="auto"/>
              </w:rPr>
              <w:t>废模具、S</w:t>
            </w:r>
            <w:r>
              <w:rPr>
                <w:rFonts w:hint="eastAsia" w:cs="Times New Roman"/>
                <w:color w:val="auto"/>
              </w:rPr>
              <w:t>4</w:t>
            </w:r>
            <w:r>
              <w:rPr>
                <w:rFonts w:cs="Times New Roman"/>
                <w:color w:val="auto"/>
              </w:rPr>
              <w:t>废乳化液、S</w:t>
            </w:r>
            <w:r>
              <w:rPr>
                <w:rFonts w:hint="eastAsia" w:cs="Times New Roman"/>
                <w:color w:val="auto"/>
              </w:rPr>
              <w:t>5</w:t>
            </w:r>
            <w:r>
              <w:rPr>
                <w:rFonts w:cs="Times New Roman"/>
                <w:color w:val="auto"/>
              </w:rPr>
              <w:t>铜泥、N1噪声。</w:t>
            </w:r>
          </w:p>
          <w:p>
            <w:pPr>
              <w:ind w:firstLine="480"/>
              <w:rPr>
                <w:color w:val="auto"/>
              </w:rPr>
            </w:pPr>
            <w:r>
              <w:rPr>
                <w:rFonts w:hint="eastAsia" w:ascii="宋体" w:hAnsi="宋体"/>
                <w:color w:val="auto"/>
                <w:lang w:bidi="ar"/>
              </w:rPr>
              <w:t>（</w:t>
            </w:r>
            <w:r>
              <w:rPr>
                <w:rFonts w:hint="eastAsia" w:cs="Times New Roman"/>
                <w:color w:val="auto"/>
                <w:lang w:bidi="ar"/>
              </w:rPr>
              <w:t>3</w:t>
            </w:r>
            <w:r>
              <w:rPr>
                <w:rFonts w:hint="eastAsia" w:ascii="宋体" w:hAnsi="宋体"/>
                <w:color w:val="auto"/>
                <w:lang w:bidi="ar"/>
              </w:rPr>
              <w:t xml:space="preserve">）毛毡擦拭 </w:t>
            </w:r>
          </w:p>
          <w:p>
            <w:pPr>
              <w:ind w:firstLine="480"/>
              <w:rPr>
                <w:rFonts w:hint="eastAsia" w:ascii="宋体" w:hAnsi="宋体"/>
                <w:color w:val="auto"/>
                <w:lang w:bidi="ar"/>
              </w:rPr>
            </w:pPr>
            <w:r>
              <w:rPr>
                <w:rFonts w:hint="eastAsia" w:ascii="宋体" w:hAnsi="宋体"/>
                <w:color w:val="auto"/>
                <w:lang w:bidi="ar"/>
              </w:rPr>
              <w:t>在拉丝机的末端放置毛毡，拉丝后的铜线先经过毛毡擦拭再进入退火设备。</w:t>
            </w:r>
          </w:p>
          <w:p>
            <w:pPr>
              <w:ind w:firstLine="480"/>
              <w:rPr>
                <w:rFonts w:hint="eastAsia" w:ascii="宋体" w:hAnsi="宋体"/>
                <w:color w:val="auto"/>
                <w:lang w:bidi="ar"/>
              </w:rPr>
            </w:pPr>
            <w:r>
              <w:rPr>
                <w:rFonts w:cs="Times New Roman"/>
                <w:color w:val="auto"/>
              </w:rPr>
              <w:t>此过程会产生：S</w:t>
            </w:r>
            <w:r>
              <w:rPr>
                <w:rFonts w:hint="eastAsia" w:cs="Times New Roman"/>
                <w:color w:val="auto"/>
              </w:rPr>
              <w:t>6废毛毡。</w:t>
            </w:r>
          </w:p>
          <w:p>
            <w:pPr>
              <w:numPr>
                <w:ilvl w:val="0"/>
                <w:numId w:val="0"/>
              </w:numPr>
              <w:ind w:firstLine="480" w:firstLineChars="200"/>
              <w:rPr>
                <w:rFonts w:hint="eastAsia" w:eastAsia="宋体" w:cs="Times New Roman"/>
                <w:color w:val="auto"/>
                <w:szCs w:val="32"/>
                <w:lang w:eastAsia="zh-CN"/>
              </w:rPr>
            </w:pPr>
            <w:r>
              <w:rPr>
                <w:rFonts w:hint="eastAsia" w:ascii="Times New Roman" w:hAnsi="Times New Roman" w:eastAsia="宋体" w:cs="Times New Roman"/>
                <w:color w:val="auto"/>
                <w:sz w:val="24"/>
                <w:szCs w:val="32"/>
                <w:lang w:val="en-US" w:eastAsia="zh-CN" w:bidi="ar-SA"/>
              </w:rPr>
              <w:t>（4）</w:t>
            </w:r>
            <w:r>
              <w:rPr>
                <w:rFonts w:cs="Times New Roman"/>
                <w:color w:val="auto"/>
                <w:szCs w:val="32"/>
              </w:rPr>
              <w:t>退火：</w:t>
            </w:r>
            <w:r>
              <w:rPr>
                <w:rFonts w:hint="eastAsia" w:cs="Times New Roman"/>
                <w:color w:val="auto"/>
                <w:szCs w:val="32"/>
              </w:rPr>
              <w:t>拉丝后的铜线经过毛毡擦拭除油后，匀速进入电加热退火炉进行退火。退火温度根据材料成分和性能要求设定在适当的再结晶温度以上（纯铜通常在</w:t>
            </w:r>
            <w:r>
              <w:rPr>
                <w:rFonts w:cs="Times New Roman"/>
                <w:color w:val="auto"/>
                <w:szCs w:val="32"/>
              </w:rPr>
              <w:t>300~500℃</w:t>
            </w:r>
            <w:r>
              <w:rPr>
                <w:rFonts w:hint="eastAsia" w:cs="Times New Roman"/>
                <w:color w:val="auto"/>
                <w:szCs w:val="32"/>
              </w:rPr>
              <w:t>范围）。在退火过程中，铜线内部发生再结晶，形成新的、无应变的等轴晶粒，从而彻底消除加工硬化产生的内应力，使其由硬态转变为软态。随后采用空冷（自然冷却）方式进行冷却。此工艺利用空冷替代传统的炉冷或缓冷，在保证产品性能的同时，具有节能、简化设备、减少氧化风险和避免水渍残留的优点。该工艺主要适用于纯铜及多数对冷却速度要求不严的铜合金丝材</w:t>
            </w:r>
            <w:r>
              <w:rPr>
                <w:rFonts w:hint="eastAsia" w:cs="Times New Roman"/>
                <w:color w:val="auto"/>
                <w:szCs w:val="32"/>
                <w:lang w:eastAsia="zh-CN"/>
              </w:rPr>
              <w:t>。</w:t>
            </w:r>
          </w:p>
          <w:p>
            <w:pPr>
              <w:ind w:firstLine="480"/>
              <w:rPr>
                <w:rFonts w:cs="Times New Roman"/>
                <w:color w:val="auto"/>
              </w:rPr>
            </w:pPr>
            <w:r>
              <w:rPr>
                <w:rFonts w:cs="Times New Roman"/>
                <w:color w:val="auto"/>
              </w:rPr>
              <w:t>此过程</w:t>
            </w:r>
            <w:r>
              <w:rPr>
                <w:rFonts w:hint="eastAsia" w:ascii="宋体" w:hAnsi="宋体" w:eastAsia="宋体" w:cs="宋体"/>
                <w:color w:val="auto"/>
                <w:kern w:val="0"/>
                <w:sz w:val="24"/>
                <w:szCs w:val="24"/>
                <w:lang w:val="en-US" w:eastAsia="zh-CN" w:bidi="ar"/>
              </w:rPr>
              <w:t>退火过程铜线上拉丝液挥发产生</w:t>
            </w:r>
            <w:r>
              <w:rPr>
                <w:rFonts w:hint="default" w:ascii="Times New Roman" w:hAnsi="Times New Roman" w:eastAsia="宋体" w:cs="Times New Roman"/>
                <w:color w:val="auto"/>
                <w:kern w:val="0"/>
                <w:sz w:val="24"/>
                <w:szCs w:val="24"/>
                <w:lang w:val="en-US" w:eastAsia="zh-CN" w:bidi="ar"/>
              </w:rPr>
              <w:t>G1</w:t>
            </w:r>
            <w:r>
              <w:rPr>
                <w:rFonts w:cs="Times New Roman"/>
                <w:color w:val="auto"/>
              </w:rPr>
              <w:t>退火废气、N1噪声。</w:t>
            </w:r>
          </w:p>
          <w:p>
            <w:pPr>
              <w:ind w:firstLine="480"/>
              <w:rPr>
                <w:rFonts w:cs="Times New Roman"/>
                <w:color w:val="auto"/>
                <w:szCs w:val="32"/>
              </w:rPr>
            </w:pPr>
            <w:r>
              <w:rPr>
                <w:rFonts w:cs="Times New Roman"/>
                <w:color w:val="auto"/>
                <w:szCs w:val="32"/>
              </w:rPr>
              <w:t>（</w:t>
            </w:r>
            <w:r>
              <w:rPr>
                <w:rFonts w:hint="eastAsia" w:cs="Times New Roman"/>
                <w:color w:val="auto"/>
                <w:szCs w:val="32"/>
              </w:rPr>
              <w:t>5</w:t>
            </w:r>
            <w:r>
              <w:rPr>
                <w:rFonts w:cs="Times New Roman"/>
                <w:color w:val="auto"/>
                <w:szCs w:val="32"/>
              </w:rPr>
              <w:t>）盘线：退火处理后的铜丝使用绞线机按照产品设计要求进行绞合，成为绞丝产品。</w:t>
            </w:r>
          </w:p>
          <w:p>
            <w:pPr>
              <w:ind w:firstLine="480"/>
              <w:rPr>
                <w:rFonts w:cs="Times New Roman"/>
                <w:color w:val="auto"/>
              </w:rPr>
            </w:pPr>
            <w:r>
              <w:rPr>
                <w:rFonts w:cs="Times New Roman"/>
                <w:color w:val="auto"/>
              </w:rPr>
              <w:t>此过程会产生：S1废（铜）边角料</w:t>
            </w:r>
            <w:r>
              <w:rPr>
                <w:rFonts w:hint="eastAsia" w:cs="Times New Roman"/>
                <w:color w:val="auto"/>
              </w:rPr>
              <w:t>、</w:t>
            </w:r>
            <w:r>
              <w:rPr>
                <w:rFonts w:cs="Times New Roman"/>
                <w:color w:val="auto"/>
              </w:rPr>
              <w:t>N1噪声。</w:t>
            </w:r>
          </w:p>
          <w:p>
            <w:pPr>
              <w:ind w:firstLine="480"/>
              <w:rPr>
                <w:rFonts w:cs="Times New Roman"/>
                <w:color w:val="auto"/>
                <w:szCs w:val="32"/>
              </w:rPr>
            </w:pPr>
            <w:r>
              <w:rPr>
                <w:rFonts w:cs="Times New Roman"/>
                <w:color w:val="auto"/>
                <w:szCs w:val="32"/>
              </w:rPr>
              <w:t>（</w:t>
            </w:r>
            <w:r>
              <w:rPr>
                <w:rFonts w:hint="eastAsia" w:cs="Times New Roman"/>
                <w:color w:val="auto"/>
                <w:szCs w:val="32"/>
              </w:rPr>
              <w:t>6</w:t>
            </w:r>
            <w:r>
              <w:rPr>
                <w:rFonts w:cs="Times New Roman"/>
                <w:color w:val="auto"/>
                <w:szCs w:val="32"/>
              </w:rPr>
              <w:t>）</w:t>
            </w:r>
            <w:r>
              <w:rPr>
                <w:rFonts w:hint="eastAsia" w:cs="Times New Roman"/>
                <w:color w:val="auto"/>
                <w:szCs w:val="32"/>
              </w:rPr>
              <w:t>物理检验：</w:t>
            </w:r>
            <w:r>
              <w:rPr>
                <w:rFonts w:cs="Times New Roman"/>
                <w:color w:val="auto"/>
                <w:szCs w:val="32"/>
              </w:rPr>
              <w:t>对</w:t>
            </w:r>
            <w:r>
              <w:rPr>
                <w:rFonts w:hint="eastAsia" w:cs="Times New Roman"/>
                <w:color w:val="auto"/>
                <w:szCs w:val="32"/>
              </w:rPr>
              <w:t>铜丝</w:t>
            </w:r>
            <w:r>
              <w:rPr>
                <w:rFonts w:cs="Times New Roman"/>
                <w:color w:val="auto"/>
                <w:szCs w:val="32"/>
              </w:rPr>
              <w:t>进行</w:t>
            </w:r>
            <w:r>
              <w:rPr>
                <w:rFonts w:cs="Times New Roman"/>
                <w:color w:val="auto"/>
              </w:rPr>
              <w:t>导电、</w:t>
            </w:r>
            <w:r>
              <w:rPr>
                <w:rFonts w:hint="eastAsia" w:cs="Times New Roman"/>
                <w:color w:val="auto"/>
              </w:rPr>
              <w:t>直径</w:t>
            </w:r>
            <w:r>
              <w:rPr>
                <w:rFonts w:cs="Times New Roman"/>
                <w:color w:val="auto"/>
              </w:rPr>
              <w:t>、外形等物理指标检验</w:t>
            </w:r>
            <w:r>
              <w:rPr>
                <w:rFonts w:hint="eastAsia" w:cs="Times New Roman"/>
                <w:color w:val="auto"/>
                <w:szCs w:val="32"/>
              </w:rPr>
              <w:t>。</w:t>
            </w:r>
          </w:p>
          <w:p>
            <w:pPr>
              <w:ind w:firstLine="480"/>
              <w:rPr>
                <w:rFonts w:cs="Times New Roman"/>
                <w:color w:val="auto"/>
                <w:szCs w:val="32"/>
              </w:rPr>
            </w:pPr>
            <w:r>
              <w:rPr>
                <w:rFonts w:cs="Times New Roman"/>
                <w:color w:val="auto"/>
                <w:szCs w:val="32"/>
              </w:rPr>
              <w:t>此过程会产生：S</w:t>
            </w:r>
            <w:r>
              <w:rPr>
                <w:rFonts w:hint="eastAsia" w:cs="Times New Roman"/>
                <w:color w:val="auto"/>
                <w:szCs w:val="32"/>
              </w:rPr>
              <w:t>3</w:t>
            </w:r>
            <w:r>
              <w:rPr>
                <w:rFonts w:cs="Times New Roman"/>
                <w:color w:val="auto"/>
                <w:szCs w:val="32"/>
              </w:rPr>
              <w:t>不合格品。</w:t>
            </w:r>
          </w:p>
          <w:p>
            <w:pPr>
              <w:numPr>
                <w:ilvl w:val="0"/>
                <w:numId w:val="3"/>
              </w:numPr>
              <w:ind w:left="480" w:leftChars="200" w:firstLine="0" w:firstLineChars="0"/>
              <w:rPr>
                <w:rFonts w:cs="Times New Roman"/>
                <w:color w:val="auto"/>
                <w:szCs w:val="32"/>
              </w:rPr>
            </w:pPr>
            <w:r>
              <w:rPr>
                <w:rFonts w:cs="Times New Roman"/>
                <w:color w:val="auto"/>
                <w:szCs w:val="32"/>
              </w:rPr>
              <w:t>包装入库：合格产品经包装后入库待发货。</w:t>
            </w:r>
          </w:p>
          <w:p>
            <w:pPr>
              <w:pStyle w:val="56"/>
              <w:keepLines/>
              <w:rPr>
                <w:rFonts w:cs="Times New Roman"/>
                <w:color w:val="auto"/>
              </w:rPr>
            </w:pPr>
            <w:bookmarkStart w:id="36" w:name="_Toc14672"/>
          </w:p>
          <w:p>
            <w:pPr>
              <w:pStyle w:val="56"/>
              <w:keepLines/>
              <w:rPr>
                <w:rFonts w:cs="Times New Roman"/>
                <w:color w:val="auto"/>
              </w:rPr>
            </w:pPr>
            <w:r>
              <w:rPr>
                <w:rFonts w:cs="Times New Roman"/>
                <w:color w:val="auto"/>
              </w:rPr>
              <w:t>2.</w:t>
            </w:r>
            <w:r>
              <w:rPr>
                <w:rFonts w:hint="eastAsia" w:cs="Times New Roman"/>
                <w:color w:val="auto"/>
              </w:rPr>
              <w:t>7</w:t>
            </w:r>
            <w:r>
              <w:rPr>
                <w:rFonts w:cs="Times New Roman"/>
                <w:color w:val="auto"/>
              </w:rPr>
              <w:t>.2产污环节</w:t>
            </w:r>
            <w:bookmarkEnd w:id="36"/>
          </w:p>
          <w:p>
            <w:pPr>
              <w:keepLines/>
              <w:widowControl w:val="0"/>
              <w:ind w:firstLine="480"/>
              <w:rPr>
                <w:rFonts w:cs="Times New Roman"/>
                <w:color w:val="auto"/>
              </w:rPr>
            </w:pPr>
            <w:r>
              <w:rPr>
                <w:rFonts w:cs="Times New Roman"/>
                <w:color w:val="auto"/>
              </w:rPr>
              <w:t>项目产污环节见表2.</w:t>
            </w:r>
            <w:r>
              <w:rPr>
                <w:rFonts w:hint="eastAsia" w:cs="Times New Roman"/>
                <w:color w:val="auto"/>
              </w:rPr>
              <w:t>7</w:t>
            </w:r>
            <w:r>
              <w:rPr>
                <w:rFonts w:cs="Times New Roman"/>
                <w:color w:val="auto"/>
              </w:rPr>
              <w:t>-1。</w:t>
            </w:r>
          </w:p>
          <w:p>
            <w:pPr>
              <w:pStyle w:val="37"/>
              <w:keepLines/>
              <w:rPr>
                <w:rFonts w:cs="Times New Roman"/>
                <w:color w:val="auto"/>
              </w:rPr>
            </w:pPr>
            <w:r>
              <w:rPr>
                <w:rFonts w:cs="Times New Roman"/>
                <w:color w:val="auto"/>
              </w:rPr>
              <w:t>表2.</w:t>
            </w:r>
            <w:r>
              <w:rPr>
                <w:rFonts w:hint="eastAsia" w:cs="Times New Roman"/>
                <w:color w:val="auto"/>
                <w:lang w:val="en-US"/>
              </w:rPr>
              <w:t>7</w:t>
            </w:r>
            <w:r>
              <w:rPr>
                <w:rFonts w:cs="Times New Roman"/>
                <w:color w:val="auto"/>
              </w:rPr>
              <w:t>-1项目运营过程产污环节汇总表</w:t>
            </w:r>
          </w:p>
          <w:tbl>
            <w:tblPr>
              <w:tblStyle w:val="27"/>
              <w:tblW w:w="835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623"/>
              <w:gridCol w:w="764"/>
              <w:gridCol w:w="1445"/>
              <w:gridCol w:w="1337"/>
              <w:gridCol w:w="1783"/>
              <w:gridCol w:w="24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tblHeader/>
                <w:jc w:val="center"/>
              </w:trPr>
              <w:tc>
                <w:tcPr>
                  <w:tcW w:w="372" w:type="pct"/>
                  <w:tcBorders>
                    <w:tl2br w:val="nil"/>
                    <w:tr2bl w:val="nil"/>
                  </w:tcBorders>
                  <w:vAlign w:val="center"/>
                </w:tcPr>
                <w:p>
                  <w:pPr>
                    <w:pStyle w:val="36"/>
                    <w:keepLines/>
                    <w:rPr>
                      <w:rFonts w:cs="Times New Roman"/>
                      <w:color w:val="auto"/>
                    </w:rPr>
                  </w:pPr>
                  <w:r>
                    <w:rPr>
                      <w:rFonts w:cs="Times New Roman"/>
                      <w:color w:val="auto"/>
                    </w:rPr>
                    <w:t>类别</w:t>
                  </w:r>
                </w:p>
              </w:tc>
              <w:tc>
                <w:tcPr>
                  <w:tcW w:w="457" w:type="pct"/>
                  <w:tcBorders>
                    <w:tl2br w:val="nil"/>
                    <w:tr2bl w:val="nil"/>
                  </w:tcBorders>
                  <w:vAlign w:val="center"/>
                </w:tcPr>
                <w:p>
                  <w:pPr>
                    <w:pStyle w:val="36"/>
                    <w:keepLines/>
                    <w:rPr>
                      <w:rFonts w:cs="Times New Roman"/>
                      <w:color w:val="auto"/>
                    </w:rPr>
                  </w:pPr>
                  <w:r>
                    <w:rPr>
                      <w:rFonts w:cs="Times New Roman"/>
                      <w:color w:val="auto"/>
                    </w:rPr>
                    <w:t>污染源</w:t>
                  </w:r>
                </w:p>
                <w:p>
                  <w:pPr>
                    <w:pStyle w:val="36"/>
                    <w:keepLines/>
                    <w:rPr>
                      <w:rFonts w:cs="Times New Roman"/>
                      <w:color w:val="auto"/>
                    </w:rPr>
                  </w:pPr>
                  <w:r>
                    <w:rPr>
                      <w:rFonts w:hint="eastAsia" w:cs="Times New Roman"/>
                      <w:color w:val="auto"/>
                    </w:rPr>
                    <w:t>编号</w:t>
                  </w:r>
                </w:p>
              </w:tc>
              <w:tc>
                <w:tcPr>
                  <w:tcW w:w="865" w:type="pct"/>
                  <w:tcBorders>
                    <w:tl2br w:val="nil"/>
                    <w:tr2bl w:val="nil"/>
                  </w:tcBorders>
                  <w:vAlign w:val="center"/>
                </w:tcPr>
                <w:p>
                  <w:pPr>
                    <w:pStyle w:val="36"/>
                    <w:keepLines/>
                    <w:rPr>
                      <w:rFonts w:cs="Times New Roman"/>
                      <w:color w:val="auto"/>
                    </w:rPr>
                  </w:pPr>
                  <w:r>
                    <w:rPr>
                      <w:rFonts w:hint="eastAsia" w:cs="Times New Roman"/>
                      <w:color w:val="auto"/>
                    </w:rPr>
                    <w:t>污染源名称</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产污环节</w:t>
                  </w:r>
                </w:p>
              </w:tc>
              <w:tc>
                <w:tcPr>
                  <w:tcW w:w="1067" w:type="pct"/>
                  <w:tcBorders>
                    <w:tl2br w:val="nil"/>
                    <w:tr2bl w:val="nil"/>
                  </w:tcBorders>
                  <w:vAlign w:val="center"/>
                </w:tcPr>
                <w:p>
                  <w:pPr>
                    <w:pStyle w:val="36"/>
                    <w:keepLines/>
                    <w:rPr>
                      <w:rFonts w:cs="Times New Roman"/>
                      <w:color w:val="auto"/>
                    </w:rPr>
                  </w:pPr>
                  <w:r>
                    <w:rPr>
                      <w:rFonts w:hint="eastAsia" w:cs="Times New Roman"/>
                      <w:color w:val="auto"/>
                    </w:rPr>
                    <w:t>主要污染物</w:t>
                  </w:r>
                </w:p>
              </w:tc>
              <w:tc>
                <w:tcPr>
                  <w:tcW w:w="1437" w:type="pct"/>
                  <w:tcBorders>
                    <w:tl2br w:val="nil"/>
                    <w:tr2bl w:val="nil"/>
                  </w:tcBorders>
                  <w:vAlign w:val="center"/>
                </w:tcPr>
                <w:p>
                  <w:pPr>
                    <w:pStyle w:val="36"/>
                    <w:keepLines/>
                    <w:rPr>
                      <w:rFonts w:cs="Times New Roman"/>
                      <w:color w:val="auto"/>
                    </w:rPr>
                  </w:pPr>
                  <w:r>
                    <w:rPr>
                      <w:rFonts w:cs="Times New Roman"/>
                      <w:color w:val="auto"/>
                    </w:rPr>
                    <w:t>工程治理措施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restart"/>
                  <w:tcBorders>
                    <w:tl2br w:val="nil"/>
                    <w:tr2bl w:val="nil"/>
                  </w:tcBorders>
                  <w:vAlign w:val="center"/>
                </w:tcPr>
                <w:p>
                  <w:pPr>
                    <w:pStyle w:val="36"/>
                    <w:keepLines/>
                    <w:rPr>
                      <w:rFonts w:cs="Times New Roman"/>
                      <w:color w:val="auto"/>
                    </w:rPr>
                  </w:pPr>
                  <w:r>
                    <w:rPr>
                      <w:rFonts w:hint="eastAsia" w:cs="Times New Roman"/>
                      <w:color w:val="auto"/>
                    </w:rPr>
                    <w:t>废气</w:t>
                  </w: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 xml:space="preserve">G1 </w:t>
                  </w:r>
                </w:p>
              </w:tc>
              <w:tc>
                <w:tcPr>
                  <w:tcW w:w="865" w:type="pct"/>
                  <w:tcBorders>
                    <w:tl2br w:val="nil"/>
                    <w:tr2bl w:val="nil"/>
                  </w:tcBorders>
                  <w:vAlign w:val="center"/>
                </w:tcPr>
                <w:p>
                  <w:pPr>
                    <w:pStyle w:val="36"/>
                    <w:keepLines/>
                    <w:rPr>
                      <w:color w:val="auto"/>
                    </w:rPr>
                  </w:pPr>
                  <w:r>
                    <w:rPr>
                      <w:rFonts w:hint="eastAsia" w:cs="Times New Roman"/>
                      <w:color w:val="auto"/>
                    </w:rPr>
                    <w:t>冷轧</w:t>
                  </w:r>
                  <w:r>
                    <w:rPr>
                      <w:rFonts w:hint="eastAsia"/>
                      <w:color w:val="auto"/>
                    </w:rPr>
                    <w:t>废气</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冷轧工序</w:t>
                  </w:r>
                </w:p>
              </w:tc>
              <w:tc>
                <w:tcPr>
                  <w:tcW w:w="1067" w:type="pct"/>
                  <w:tcBorders>
                    <w:tl2br w:val="nil"/>
                    <w:tr2bl w:val="nil"/>
                  </w:tcBorders>
                  <w:vAlign w:val="center"/>
                </w:tcPr>
                <w:p>
                  <w:pPr>
                    <w:pStyle w:val="36"/>
                    <w:keepLines/>
                    <w:ind w:left="-48" w:leftChars="-20" w:right="-48" w:rightChars="-20"/>
                    <w:rPr>
                      <w:rFonts w:cs="Times New Roman"/>
                      <w:color w:val="auto"/>
                    </w:rPr>
                  </w:pPr>
                  <w:r>
                    <w:rPr>
                      <w:rFonts w:hint="eastAsia" w:cs="Times New Roman"/>
                      <w:color w:val="auto"/>
                    </w:rPr>
                    <w:t>VOCs</w:t>
                  </w:r>
                </w:p>
                <w:p>
                  <w:pPr>
                    <w:pStyle w:val="36"/>
                    <w:keepLines/>
                    <w:ind w:left="-48" w:leftChars="-20" w:right="-48" w:rightChars="-20"/>
                    <w:rPr>
                      <w:rFonts w:cs="Times New Roman"/>
                      <w:color w:val="auto"/>
                    </w:rPr>
                  </w:pPr>
                  <w:r>
                    <w:rPr>
                      <w:rFonts w:hint="eastAsia" w:cs="Times New Roman"/>
                      <w:color w:val="auto"/>
                    </w:rPr>
                    <w:t>（以非甲烷总烃计）</w:t>
                  </w:r>
                </w:p>
              </w:tc>
              <w:tc>
                <w:tcPr>
                  <w:tcW w:w="1437" w:type="pct"/>
                  <w:tcBorders>
                    <w:tl2br w:val="nil"/>
                    <w:tr2bl w:val="nil"/>
                  </w:tcBorders>
                  <w:vAlign w:val="center"/>
                </w:tcPr>
                <w:p>
                  <w:pPr>
                    <w:pStyle w:val="36"/>
                    <w:keepLines/>
                    <w:wordWrap w:val="0"/>
                    <w:rPr>
                      <w:rFonts w:cs="Times New Roman"/>
                      <w:color w:val="auto"/>
                    </w:rPr>
                  </w:pPr>
                  <w:r>
                    <w:rPr>
                      <w:rFonts w:hint="eastAsia" w:cs="Times New Roman"/>
                      <w:color w:val="auto"/>
                    </w:rPr>
                    <w:t>车间密闭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continue"/>
                  <w:tcBorders>
                    <w:tl2br w:val="nil"/>
                    <w:tr2bl w:val="nil"/>
                  </w:tcBorders>
                  <w:vAlign w:val="center"/>
                </w:tcPr>
                <w:p>
                  <w:pPr>
                    <w:pStyle w:val="36"/>
                    <w:keepLines/>
                    <w:rPr>
                      <w:rFonts w:cs="Times New Roman"/>
                      <w:color w:val="auto"/>
                    </w:rPr>
                  </w:pP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G2</w:t>
                  </w:r>
                </w:p>
              </w:tc>
              <w:tc>
                <w:tcPr>
                  <w:tcW w:w="865" w:type="pct"/>
                  <w:tcBorders>
                    <w:tl2br w:val="nil"/>
                    <w:tr2bl w:val="nil"/>
                  </w:tcBorders>
                  <w:vAlign w:val="center"/>
                </w:tcPr>
                <w:p>
                  <w:pPr>
                    <w:pStyle w:val="36"/>
                    <w:keepLines/>
                    <w:rPr>
                      <w:color w:val="auto"/>
                    </w:rPr>
                  </w:pPr>
                  <w:r>
                    <w:rPr>
                      <w:rFonts w:hint="eastAsia" w:cs="Times New Roman"/>
                      <w:color w:val="auto"/>
                    </w:rPr>
                    <w:t>拉拔</w:t>
                  </w:r>
                  <w:r>
                    <w:rPr>
                      <w:rFonts w:hint="eastAsia"/>
                      <w:color w:val="auto"/>
                    </w:rPr>
                    <w:t>废气</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拉拔工序</w:t>
                  </w:r>
                </w:p>
              </w:tc>
              <w:tc>
                <w:tcPr>
                  <w:tcW w:w="1067" w:type="pct"/>
                  <w:tcBorders>
                    <w:tl2br w:val="nil"/>
                    <w:tr2bl w:val="nil"/>
                  </w:tcBorders>
                  <w:vAlign w:val="center"/>
                </w:tcPr>
                <w:p>
                  <w:pPr>
                    <w:pStyle w:val="36"/>
                    <w:keepLines/>
                    <w:ind w:left="-48" w:leftChars="-20" w:right="-48" w:rightChars="-20"/>
                    <w:rPr>
                      <w:rFonts w:cs="Times New Roman"/>
                      <w:color w:val="auto"/>
                    </w:rPr>
                  </w:pPr>
                  <w:r>
                    <w:rPr>
                      <w:rFonts w:hint="eastAsia" w:cs="Times New Roman"/>
                      <w:color w:val="auto"/>
                    </w:rPr>
                    <w:t>VOCs</w:t>
                  </w:r>
                </w:p>
                <w:p>
                  <w:pPr>
                    <w:pStyle w:val="36"/>
                    <w:keepLines/>
                    <w:ind w:left="-48" w:leftChars="-20" w:right="-48" w:rightChars="-20"/>
                    <w:rPr>
                      <w:rFonts w:cs="Times New Roman"/>
                      <w:color w:val="auto"/>
                    </w:rPr>
                  </w:pPr>
                  <w:r>
                    <w:rPr>
                      <w:rFonts w:hint="eastAsia" w:cs="Times New Roman"/>
                      <w:color w:val="auto"/>
                    </w:rPr>
                    <w:t>（以非甲烷总烃计）</w:t>
                  </w:r>
                </w:p>
              </w:tc>
              <w:tc>
                <w:tcPr>
                  <w:tcW w:w="1437" w:type="pct"/>
                  <w:tcBorders>
                    <w:tl2br w:val="nil"/>
                    <w:tr2bl w:val="nil"/>
                  </w:tcBorders>
                  <w:vAlign w:val="center"/>
                </w:tcPr>
                <w:p>
                  <w:pPr>
                    <w:pStyle w:val="36"/>
                    <w:keepLines/>
                    <w:wordWrap w:val="0"/>
                    <w:rPr>
                      <w:rFonts w:cs="Times New Roman"/>
                      <w:color w:val="auto"/>
                    </w:rPr>
                  </w:pPr>
                  <w:r>
                    <w:rPr>
                      <w:rFonts w:hint="eastAsia" w:cs="Times New Roman"/>
                      <w:color w:val="auto"/>
                    </w:rPr>
                    <w:t>车间密闭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continue"/>
                  <w:tcBorders>
                    <w:tl2br w:val="nil"/>
                    <w:tr2bl w:val="nil"/>
                  </w:tcBorders>
                  <w:vAlign w:val="center"/>
                </w:tcPr>
                <w:p>
                  <w:pPr>
                    <w:pStyle w:val="36"/>
                    <w:keepLines/>
                    <w:rPr>
                      <w:rFonts w:cs="Times New Roman"/>
                      <w:color w:val="auto"/>
                    </w:rPr>
                  </w:pP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G3</w:t>
                  </w:r>
                </w:p>
              </w:tc>
              <w:tc>
                <w:tcPr>
                  <w:tcW w:w="865" w:type="pct"/>
                  <w:tcBorders>
                    <w:tl2br w:val="nil"/>
                    <w:tr2bl w:val="nil"/>
                  </w:tcBorders>
                  <w:vAlign w:val="center"/>
                </w:tcPr>
                <w:p>
                  <w:pPr>
                    <w:pStyle w:val="36"/>
                    <w:keepLines/>
                    <w:rPr>
                      <w:color w:val="auto"/>
                    </w:rPr>
                  </w:pPr>
                  <w:r>
                    <w:rPr>
                      <w:rFonts w:hint="eastAsia" w:cs="Times New Roman"/>
                      <w:color w:val="auto"/>
                    </w:rPr>
                    <w:t>拉丝</w:t>
                  </w:r>
                  <w:r>
                    <w:rPr>
                      <w:rFonts w:hint="eastAsia"/>
                      <w:color w:val="auto"/>
                    </w:rPr>
                    <w:t>废气</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拉丝工序</w:t>
                  </w:r>
                </w:p>
              </w:tc>
              <w:tc>
                <w:tcPr>
                  <w:tcW w:w="1067" w:type="pct"/>
                  <w:tcBorders>
                    <w:tl2br w:val="nil"/>
                    <w:tr2bl w:val="nil"/>
                  </w:tcBorders>
                  <w:vAlign w:val="center"/>
                </w:tcPr>
                <w:p>
                  <w:pPr>
                    <w:pStyle w:val="36"/>
                    <w:keepLines/>
                    <w:ind w:left="-48" w:leftChars="-20" w:right="-48" w:rightChars="-20"/>
                    <w:rPr>
                      <w:rFonts w:cs="Times New Roman"/>
                      <w:color w:val="auto"/>
                    </w:rPr>
                  </w:pPr>
                  <w:r>
                    <w:rPr>
                      <w:rFonts w:hint="eastAsia" w:cs="Times New Roman"/>
                      <w:color w:val="auto"/>
                    </w:rPr>
                    <w:t>VOCs</w:t>
                  </w:r>
                </w:p>
                <w:p>
                  <w:pPr>
                    <w:pStyle w:val="36"/>
                    <w:keepLines/>
                    <w:ind w:left="-48" w:leftChars="-20" w:right="-48" w:rightChars="-20"/>
                    <w:rPr>
                      <w:rFonts w:cs="Times New Roman"/>
                      <w:color w:val="auto"/>
                    </w:rPr>
                  </w:pPr>
                  <w:r>
                    <w:rPr>
                      <w:rFonts w:hint="eastAsia" w:cs="Times New Roman"/>
                      <w:color w:val="auto"/>
                    </w:rPr>
                    <w:t>（以非甲烷总烃计）</w:t>
                  </w:r>
                </w:p>
              </w:tc>
              <w:tc>
                <w:tcPr>
                  <w:tcW w:w="1437" w:type="pct"/>
                  <w:tcBorders>
                    <w:tl2br w:val="nil"/>
                    <w:tr2bl w:val="nil"/>
                  </w:tcBorders>
                  <w:vAlign w:val="center"/>
                </w:tcPr>
                <w:p>
                  <w:pPr>
                    <w:pStyle w:val="36"/>
                    <w:keepLines/>
                    <w:wordWrap w:val="0"/>
                    <w:rPr>
                      <w:rFonts w:cs="Times New Roman"/>
                      <w:color w:val="auto"/>
                    </w:rPr>
                  </w:pPr>
                  <w:r>
                    <w:rPr>
                      <w:rFonts w:hint="eastAsia" w:cs="Times New Roman"/>
                      <w:color w:val="auto"/>
                    </w:rPr>
                    <w:t>车间密闭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continue"/>
                  <w:tcBorders>
                    <w:tl2br w:val="nil"/>
                    <w:tr2bl w:val="nil"/>
                  </w:tcBorders>
                  <w:vAlign w:val="center"/>
                </w:tcPr>
                <w:p>
                  <w:pPr>
                    <w:pStyle w:val="36"/>
                    <w:keepLines/>
                    <w:rPr>
                      <w:rFonts w:cs="Times New Roman"/>
                      <w:color w:val="auto"/>
                    </w:rPr>
                  </w:pP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 xml:space="preserve">G4 </w:t>
                  </w:r>
                </w:p>
              </w:tc>
              <w:tc>
                <w:tcPr>
                  <w:tcW w:w="865" w:type="pct"/>
                  <w:tcBorders>
                    <w:tl2br w:val="nil"/>
                    <w:tr2bl w:val="nil"/>
                  </w:tcBorders>
                  <w:vAlign w:val="center"/>
                </w:tcPr>
                <w:p>
                  <w:pPr>
                    <w:pStyle w:val="36"/>
                    <w:keepLines/>
                    <w:rPr>
                      <w:color w:val="auto"/>
                    </w:rPr>
                  </w:pPr>
                  <w:r>
                    <w:rPr>
                      <w:rFonts w:hint="eastAsia"/>
                      <w:color w:val="auto"/>
                    </w:rPr>
                    <w:t>退火废气</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退火工序</w:t>
                  </w:r>
                </w:p>
              </w:tc>
              <w:tc>
                <w:tcPr>
                  <w:tcW w:w="1067" w:type="pct"/>
                  <w:tcBorders>
                    <w:tl2br w:val="nil"/>
                    <w:tr2bl w:val="nil"/>
                  </w:tcBorders>
                  <w:vAlign w:val="center"/>
                </w:tcPr>
                <w:p>
                  <w:pPr>
                    <w:pStyle w:val="36"/>
                    <w:keepLines/>
                    <w:ind w:left="-48" w:leftChars="-20" w:right="-48" w:rightChars="-20"/>
                    <w:rPr>
                      <w:rFonts w:cs="Times New Roman"/>
                      <w:color w:val="auto"/>
                    </w:rPr>
                  </w:pPr>
                  <w:r>
                    <w:rPr>
                      <w:rFonts w:hint="eastAsia" w:cs="Times New Roman"/>
                      <w:color w:val="auto"/>
                    </w:rPr>
                    <w:t>VOCs</w:t>
                  </w:r>
                </w:p>
                <w:p>
                  <w:pPr>
                    <w:pStyle w:val="36"/>
                    <w:keepLines/>
                    <w:ind w:left="-48" w:leftChars="-20" w:right="-48" w:rightChars="-20"/>
                    <w:rPr>
                      <w:rFonts w:cs="Times New Roman"/>
                      <w:color w:val="auto"/>
                    </w:rPr>
                  </w:pPr>
                  <w:r>
                    <w:rPr>
                      <w:rFonts w:hint="eastAsia" w:cs="Times New Roman"/>
                      <w:color w:val="auto"/>
                    </w:rPr>
                    <w:t>（以非甲烷总烃计）</w:t>
                  </w:r>
                </w:p>
              </w:tc>
              <w:tc>
                <w:tcPr>
                  <w:tcW w:w="1437" w:type="pct"/>
                  <w:tcBorders>
                    <w:tl2br w:val="nil"/>
                    <w:tr2bl w:val="nil"/>
                  </w:tcBorders>
                  <w:vAlign w:val="center"/>
                </w:tcPr>
                <w:p>
                  <w:pPr>
                    <w:pStyle w:val="36"/>
                    <w:keepLines/>
                    <w:wordWrap w:val="0"/>
                    <w:rPr>
                      <w:rFonts w:cs="Times New Roman"/>
                      <w:color w:val="auto"/>
                    </w:rPr>
                  </w:pPr>
                  <w:r>
                    <w:rPr>
                      <w:rFonts w:hint="eastAsia" w:cs="Times New Roman"/>
                      <w:color w:val="auto"/>
                    </w:rPr>
                    <w:t>车间密闭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tcBorders>
                    <w:tl2br w:val="nil"/>
                    <w:tr2bl w:val="nil"/>
                  </w:tcBorders>
                  <w:vAlign w:val="center"/>
                </w:tcPr>
                <w:p>
                  <w:pPr>
                    <w:pStyle w:val="36"/>
                    <w:keepLines/>
                    <w:rPr>
                      <w:rFonts w:cs="Times New Roman"/>
                      <w:color w:val="auto"/>
                    </w:rPr>
                  </w:pPr>
                  <w:r>
                    <w:rPr>
                      <w:rFonts w:hint="eastAsia" w:cs="Times New Roman"/>
                      <w:color w:val="auto"/>
                    </w:rPr>
                    <w:t>废水</w:t>
                  </w: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W1</w:t>
                  </w:r>
                </w:p>
              </w:tc>
              <w:tc>
                <w:tcPr>
                  <w:tcW w:w="865" w:type="pct"/>
                  <w:tcBorders>
                    <w:tl2br w:val="nil"/>
                    <w:tr2bl w:val="nil"/>
                  </w:tcBorders>
                  <w:vAlign w:val="center"/>
                </w:tcPr>
                <w:p>
                  <w:pPr>
                    <w:pStyle w:val="36"/>
                    <w:keepLines/>
                    <w:rPr>
                      <w:rFonts w:cs="Times New Roman"/>
                      <w:snapToGrid w:val="0"/>
                      <w:color w:val="auto"/>
                    </w:rPr>
                  </w:pPr>
                  <w:r>
                    <w:rPr>
                      <w:rFonts w:cs="Times New Roman"/>
                      <w:color w:val="auto"/>
                    </w:rPr>
                    <w:t>生活污水</w:t>
                  </w:r>
                </w:p>
              </w:tc>
              <w:tc>
                <w:tcPr>
                  <w:tcW w:w="800" w:type="pct"/>
                  <w:tcBorders>
                    <w:tl2br w:val="nil"/>
                    <w:tr2bl w:val="nil"/>
                  </w:tcBorders>
                  <w:vAlign w:val="center"/>
                </w:tcPr>
                <w:p>
                  <w:pPr>
                    <w:pStyle w:val="36"/>
                    <w:keepLines/>
                    <w:rPr>
                      <w:rFonts w:cs="Times New Roman"/>
                      <w:snapToGrid w:val="0"/>
                      <w:color w:val="auto"/>
                    </w:rPr>
                  </w:pPr>
                  <w:r>
                    <w:rPr>
                      <w:rFonts w:hint="eastAsia" w:cs="Times New Roman"/>
                      <w:color w:val="auto"/>
                    </w:rPr>
                    <w:t>员工生活</w:t>
                  </w:r>
                </w:p>
              </w:tc>
              <w:tc>
                <w:tcPr>
                  <w:tcW w:w="1067" w:type="pct"/>
                  <w:tcBorders>
                    <w:tl2br w:val="nil"/>
                    <w:tr2bl w:val="nil"/>
                  </w:tcBorders>
                  <w:vAlign w:val="center"/>
                </w:tcPr>
                <w:p>
                  <w:pPr>
                    <w:pStyle w:val="36"/>
                    <w:keepLines/>
                    <w:wordWrap w:val="0"/>
                    <w:rPr>
                      <w:rFonts w:cs="Times New Roman"/>
                      <w:color w:val="auto"/>
                    </w:rPr>
                  </w:pPr>
                  <w:r>
                    <w:rPr>
                      <w:rFonts w:hint="eastAsia" w:cs="Times New Roman"/>
                      <w:color w:val="auto"/>
                    </w:rPr>
                    <w:t>pH、COD、BOD</w:t>
                  </w:r>
                  <w:r>
                    <w:rPr>
                      <w:rFonts w:hint="eastAsia" w:cs="Times New Roman"/>
                      <w:color w:val="auto"/>
                      <w:vertAlign w:val="subscript"/>
                    </w:rPr>
                    <w:t>5</w:t>
                  </w:r>
                  <w:r>
                    <w:rPr>
                      <w:rFonts w:hint="eastAsia" w:cs="Times New Roman"/>
                      <w:color w:val="auto"/>
                    </w:rPr>
                    <w:t>、</w:t>
                  </w:r>
                </w:p>
                <w:p>
                  <w:pPr>
                    <w:pStyle w:val="36"/>
                    <w:keepLines/>
                    <w:wordWrap w:val="0"/>
                    <w:rPr>
                      <w:rFonts w:cs="Times New Roman"/>
                      <w:color w:val="auto"/>
                    </w:rPr>
                  </w:pPr>
                  <w:r>
                    <w:rPr>
                      <w:rFonts w:hint="eastAsia" w:cs="Times New Roman"/>
                      <w:color w:val="auto"/>
                    </w:rPr>
                    <w:t>SS、NH</w:t>
                  </w:r>
                  <w:r>
                    <w:rPr>
                      <w:rFonts w:hint="eastAsia" w:cs="Times New Roman"/>
                      <w:color w:val="auto"/>
                      <w:vertAlign w:val="subscript"/>
                    </w:rPr>
                    <w:t>3</w:t>
                  </w:r>
                  <w:r>
                    <w:rPr>
                      <w:rFonts w:hint="eastAsia" w:cs="Times New Roman"/>
                      <w:color w:val="auto"/>
                    </w:rPr>
                    <w:t>-N</w:t>
                  </w:r>
                </w:p>
              </w:tc>
              <w:tc>
                <w:tcPr>
                  <w:tcW w:w="1437" w:type="pct"/>
                  <w:tcBorders>
                    <w:tl2br w:val="nil"/>
                    <w:tr2bl w:val="nil"/>
                  </w:tcBorders>
                  <w:vAlign w:val="center"/>
                </w:tcPr>
                <w:p>
                  <w:pPr>
                    <w:pStyle w:val="36"/>
                    <w:keepLines/>
                    <w:wordWrap w:val="0"/>
                    <w:rPr>
                      <w:rFonts w:cs="Times New Roman"/>
                      <w:color w:val="auto"/>
                    </w:rPr>
                  </w:pPr>
                  <w:r>
                    <w:rPr>
                      <w:rFonts w:hint="eastAsia" w:cs="Times New Roman"/>
                      <w:color w:val="auto"/>
                    </w:rPr>
                    <w:t>生活污水经化粪池预处理后排入市政管网纳入福清市融元污水处理厂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tcBorders>
                    <w:tl2br w:val="nil"/>
                    <w:tr2bl w:val="nil"/>
                  </w:tcBorders>
                  <w:vAlign w:val="center"/>
                </w:tcPr>
                <w:p>
                  <w:pPr>
                    <w:pStyle w:val="36"/>
                    <w:keepLines/>
                    <w:rPr>
                      <w:rFonts w:cs="Times New Roman"/>
                      <w:color w:val="auto"/>
                    </w:rPr>
                  </w:pPr>
                  <w:r>
                    <w:rPr>
                      <w:rFonts w:hint="eastAsia" w:cs="Times New Roman"/>
                      <w:color w:val="auto"/>
                    </w:rPr>
                    <w:t>噪声</w:t>
                  </w: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N1</w:t>
                  </w:r>
                </w:p>
              </w:tc>
              <w:tc>
                <w:tcPr>
                  <w:tcW w:w="865" w:type="pct"/>
                  <w:tcBorders>
                    <w:tl2br w:val="nil"/>
                    <w:tr2bl w:val="nil"/>
                  </w:tcBorders>
                  <w:vAlign w:val="center"/>
                </w:tcPr>
                <w:p>
                  <w:pPr>
                    <w:pStyle w:val="36"/>
                    <w:keepLines/>
                    <w:rPr>
                      <w:rFonts w:cs="Times New Roman"/>
                      <w:color w:val="auto"/>
                    </w:rPr>
                  </w:pPr>
                  <w:r>
                    <w:rPr>
                      <w:rFonts w:hint="eastAsia" w:cs="Times New Roman"/>
                      <w:color w:val="auto"/>
                    </w:rPr>
                    <w:t>噪声</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设备运行</w:t>
                  </w:r>
                </w:p>
              </w:tc>
              <w:tc>
                <w:tcPr>
                  <w:tcW w:w="1067" w:type="pct"/>
                  <w:tcBorders>
                    <w:tl2br w:val="nil"/>
                    <w:tr2bl w:val="nil"/>
                  </w:tcBorders>
                  <w:vAlign w:val="center"/>
                </w:tcPr>
                <w:p>
                  <w:pPr>
                    <w:pStyle w:val="36"/>
                    <w:keepLines/>
                    <w:wordWrap w:val="0"/>
                    <w:rPr>
                      <w:rFonts w:cs="Times New Roman"/>
                      <w:color w:val="auto"/>
                    </w:rPr>
                  </w:pPr>
                  <w:r>
                    <w:rPr>
                      <w:rFonts w:hint="eastAsia" w:cs="Times New Roman"/>
                      <w:color w:val="auto"/>
                    </w:rPr>
                    <w:t>等效A声级</w:t>
                  </w:r>
                </w:p>
                <w:p>
                  <w:pPr>
                    <w:pStyle w:val="36"/>
                    <w:keepLines/>
                    <w:wordWrap w:val="0"/>
                    <w:rPr>
                      <w:rFonts w:cs="Times New Roman"/>
                      <w:color w:val="auto"/>
                    </w:rPr>
                  </w:pPr>
                  <w:r>
                    <w:rPr>
                      <w:rFonts w:hint="eastAsia" w:cs="Times New Roman"/>
                      <w:color w:val="auto"/>
                    </w:rPr>
                    <w:t>（L</w:t>
                  </w:r>
                  <w:r>
                    <w:rPr>
                      <w:rFonts w:hint="eastAsia" w:cs="Times New Roman"/>
                      <w:color w:val="auto"/>
                      <w:vertAlign w:val="subscript"/>
                    </w:rPr>
                    <w:t>Aeq</w:t>
                  </w:r>
                  <w:r>
                    <w:rPr>
                      <w:rFonts w:hint="eastAsia" w:cs="Times New Roman"/>
                      <w:color w:val="auto"/>
                    </w:rPr>
                    <w:t>）</w:t>
                  </w:r>
                </w:p>
              </w:tc>
              <w:tc>
                <w:tcPr>
                  <w:tcW w:w="1437" w:type="pct"/>
                  <w:tcBorders>
                    <w:tl2br w:val="nil"/>
                    <w:tr2bl w:val="nil"/>
                  </w:tcBorders>
                  <w:vAlign w:val="center"/>
                </w:tcPr>
                <w:p>
                  <w:pPr>
                    <w:pStyle w:val="36"/>
                    <w:keepLines/>
                    <w:wordWrap w:val="0"/>
                    <w:rPr>
                      <w:rFonts w:cs="Times New Roman"/>
                      <w:color w:val="auto"/>
                    </w:rPr>
                  </w:pPr>
                  <w:r>
                    <w:rPr>
                      <w:rFonts w:hint="eastAsia" w:cs="Times New Roman"/>
                      <w:color w:val="auto"/>
                    </w:rPr>
                    <w:t>选用低噪声设备，对高噪声设备减振，利用厂房隔声等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restart"/>
                  <w:tcBorders>
                    <w:tl2br w:val="nil"/>
                    <w:tr2bl w:val="nil"/>
                  </w:tcBorders>
                  <w:vAlign w:val="center"/>
                </w:tcPr>
                <w:p>
                  <w:pPr>
                    <w:pStyle w:val="36"/>
                    <w:keepLines/>
                    <w:rPr>
                      <w:rFonts w:cs="Times New Roman"/>
                      <w:color w:val="auto"/>
                    </w:rPr>
                  </w:pPr>
                  <w:r>
                    <w:rPr>
                      <w:rFonts w:hint="eastAsia" w:cs="Times New Roman"/>
                      <w:color w:val="auto"/>
                    </w:rPr>
                    <w:t>固体</w:t>
                  </w:r>
                </w:p>
                <w:p>
                  <w:pPr>
                    <w:pStyle w:val="36"/>
                    <w:keepLines/>
                    <w:rPr>
                      <w:rFonts w:cs="Times New Roman"/>
                      <w:color w:val="auto"/>
                    </w:rPr>
                  </w:pPr>
                  <w:r>
                    <w:rPr>
                      <w:rFonts w:hint="eastAsia" w:cs="Times New Roman"/>
                      <w:color w:val="auto"/>
                    </w:rPr>
                    <w:t>废物</w:t>
                  </w: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S1</w:t>
                  </w:r>
                </w:p>
              </w:tc>
              <w:tc>
                <w:tcPr>
                  <w:tcW w:w="865" w:type="pct"/>
                  <w:tcBorders>
                    <w:tl2br w:val="nil"/>
                    <w:tr2bl w:val="nil"/>
                  </w:tcBorders>
                  <w:vAlign w:val="center"/>
                </w:tcPr>
                <w:p>
                  <w:pPr>
                    <w:pStyle w:val="116"/>
                    <w:rPr>
                      <w:rFonts w:cs="Times New Roman"/>
                      <w:color w:val="auto"/>
                    </w:rPr>
                  </w:pPr>
                  <w:r>
                    <w:rPr>
                      <w:rFonts w:hint="eastAsia" w:cs="Times New Roman"/>
                      <w:color w:val="auto"/>
                    </w:rPr>
                    <w:t>废（铜）边角料</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挤压、剪切等</w:t>
                  </w:r>
                </w:p>
              </w:tc>
              <w:tc>
                <w:tcPr>
                  <w:tcW w:w="1067" w:type="pct"/>
                  <w:tcBorders>
                    <w:tl2br w:val="nil"/>
                    <w:tr2bl w:val="nil"/>
                  </w:tcBorders>
                  <w:vAlign w:val="center"/>
                </w:tcPr>
                <w:p>
                  <w:pPr>
                    <w:pStyle w:val="36"/>
                    <w:keepLines/>
                    <w:rPr>
                      <w:rFonts w:cs="Times New Roman"/>
                      <w:color w:val="auto"/>
                    </w:rPr>
                  </w:pPr>
                  <w:r>
                    <w:rPr>
                      <w:rFonts w:hint="eastAsia" w:cs="Times New Roman"/>
                      <w:color w:val="auto"/>
                    </w:rPr>
                    <w:t>废铜材</w:t>
                  </w:r>
                </w:p>
              </w:tc>
              <w:tc>
                <w:tcPr>
                  <w:tcW w:w="1437" w:type="pct"/>
                  <w:vMerge w:val="restart"/>
                  <w:tcBorders>
                    <w:tl2br w:val="nil"/>
                    <w:tr2bl w:val="nil"/>
                  </w:tcBorders>
                  <w:vAlign w:val="center"/>
                </w:tcPr>
                <w:p>
                  <w:pPr>
                    <w:pStyle w:val="36"/>
                    <w:keepLines/>
                    <w:rPr>
                      <w:rFonts w:cs="Times New Roman"/>
                      <w:color w:val="auto"/>
                    </w:rPr>
                  </w:pPr>
                  <w:r>
                    <w:rPr>
                      <w:rFonts w:hint="eastAsia" w:cs="Times New Roman"/>
                      <w:color w:val="auto"/>
                    </w:rPr>
                    <w:t>集中收集至一般固废暂存处，外售综合利用，废模具由供应商回收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continue"/>
                  <w:tcBorders>
                    <w:tl2br w:val="nil"/>
                    <w:tr2bl w:val="nil"/>
                  </w:tcBorders>
                  <w:vAlign w:val="center"/>
                </w:tcPr>
                <w:p>
                  <w:pPr>
                    <w:pStyle w:val="36"/>
                    <w:keepLines/>
                    <w:rPr>
                      <w:rFonts w:cs="Times New Roman"/>
                      <w:color w:val="auto"/>
                    </w:rPr>
                  </w:pP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S2</w:t>
                  </w:r>
                </w:p>
              </w:tc>
              <w:tc>
                <w:tcPr>
                  <w:tcW w:w="865" w:type="pct"/>
                  <w:tcBorders>
                    <w:tl2br w:val="nil"/>
                    <w:tr2bl w:val="nil"/>
                  </w:tcBorders>
                  <w:vAlign w:val="center"/>
                </w:tcPr>
                <w:p>
                  <w:pPr>
                    <w:pStyle w:val="36"/>
                    <w:keepLines/>
                    <w:rPr>
                      <w:rFonts w:cs="Times New Roman"/>
                      <w:color w:val="auto"/>
                    </w:rPr>
                  </w:pPr>
                  <w:r>
                    <w:rPr>
                      <w:rFonts w:hint="eastAsia" w:cs="Times New Roman"/>
                      <w:color w:val="auto"/>
                    </w:rPr>
                    <w:t>废模具</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生产过程</w:t>
                  </w:r>
                </w:p>
              </w:tc>
              <w:tc>
                <w:tcPr>
                  <w:tcW w:w="1067" w:type="pct"/>
                  <w:tcBorders>
                    <w:tl2br w:val="nil"/>
                    <w:tr2bl w:val="nil"/>
                  </w:tcBorders>
                  <w:vAlign w:val="center"/>
                </w:tcPr>
                <w:p>
                  <w:pPr>
                    <w:pStyle w:val="36"/>
                    <w:keepLines/>
                    <w:wordWrap w:val="0"/>
                    <w:rPr>
                      <w:rFonts w:cs="Times New Roman"/>
                      <w:color w:val="auto"/>
                    </w:rPr>
                  </w:pPr>
                  <w:r>
                    <w:rPr>
                      <w:rFonts w:hint="eastAsia" w:cs="Times New Roman"/>
                      <w:color w:val="auto"/>
                    </w:rPr>
                    <w:t>废金属</w:t>
                  </w:r>
                </w:p>
              </w:tc>
              <w:tc>
                <w:tcPr>
                  <w:tcW w:w="1437" w:type="pct"/>
                  <w:vMerge w:val="continue"/>
                  <w:tcBorders>
                    <w:tl2br w:val="nil"/>
                    <w:tr2bl w:val="nil"/>
                  </w:tcBorders>
                  <w:vAlign w:val="center"/>
                </w:tcPr>
                <w:p>
                  <w:pPr>
                    <w:pStyle w:val="36"/>
                    <w:keepLines/>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continue"/>
                  <w:tcBorders>
                    <w:tl2br w:val="nil"/>
                    <w:tr2bl w:val="nil"/>
                  </w:tcBorders>
                  <w:vAlign w:val="center"/>
                </w:tcPr>
                <w:p>
                  <w:pPr>
                    <w:pStyle w:val="36"/>
                    <w:keepLines/>
                    <w:rPr>
                      <w:rFonts w:cs="Times New Roman"/>
                      <w:color w:val="auto"/>
                    </w:rPr>
                  </w:pP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S3</w:t>
                  </w:r>
                </w:p>
              </w:tc>
              <w:tc>
                <w:tcPr>
                  <w:tcW w:w="865" w:type="pct"/>
                  <w:tcBorders>
                    <w:tl2br w:val="nil"/>
                    <w:tr2bl w:val="nil"/>
                  </w:tcBorders>
                  <w:vAlign w:val="center"/>
                </w:tcPr>
                <w:p>
                  <w:pPr>
                    <w:pStyle w:val="116"/>
                    <w:rPr>
                      <w:rFonts w:cs="Times New Roman"/>
                      <w:color w:val="auto"/>
                    </w:rPr>
                  </w:pPr>
                  <w:r>
                    <w:rPr>
                      <w:rFonts w:hint="eastAsia" w:cs="Times New Roman"/>
                      <w:color w:val="auto"/>
                    </w:rPr>
                    <w:t>不合格品</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产品检验</w:t>
                  </w:r>
                </w:p>
              </w:tc>
              <w:tc>
                <w:tcPr>
                  <w:tcW w:w="1067" w:type="pct"/>
                  <w:tcBorders>
                    <w:tl2br w:val="nil"/>
                    <w:tr2bl w:val="nil"/>
                  </w:tcBorders>
                  <w:vAlign w:val="center"/>
                </w:tcPr>
                <w:p>
                  <w:pPr>
                    <w:pStyle w:val="36"/>
                    <w:keepLines/>
                    <w:wordWrap w:val="0"/>
                    <w:rPr>
                      <w:rFonts w:cs="Times New Roman"/>
                      <w:color w:val="auto"/>
                    </w:rPr>
                  </w:pPr>
                  <w:r>
                    <w:rPr>
                      <w:rFonts w:hint="eastAsia" w:cs="Times New Roman"/>
                      <w:color w:val="auto"/>
                    </w:rPr>
                    <w:t>废铜材</w:t>
                  </w:r>
                </w:p>
              </w:tc>
              <w:tc>
                <w:tcPr>
                  <w:tcW w:w="1437" w:type="pct"/>
                  <w:vMerge w:val="continue"/>
                  <w:tcBorders>
                    <w:tl2br w:val="nil"/>
                    <w:tr2bl w:val="nil"/>
                  </w:tcBorders>
                  <w:vAlign w:val="center"/>
                </w:tcPr>
                <w:p>
                  <w:pPr>
                    <w:pStyle w:val="36"/>
                    <w:keepLines/>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continue"/>
                  <w:tcBorders>
                    <w:tl2br w:val="nil"/>
                    <w:tr2bl w:val="nil"/>
                  </w:tcBorders>
                  <w:vAlign w:val="center"/>
                </w:tcPr>
                <w:p>
                  <w:pPr>
                    <w:pStyle w:val="36"/>
                    <w:keepLines/>
                    <w:rPr>
                      <w:rFonts w:cs="Times New Roman"/>
                      <w:color w:val="auto"/>
                    </w:rPr>
                  </w:pP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S10</w:t>
                  </w:r>
                </w:p>
              </w:tc>
              <w:tc>
                <w:tcPr>
                  <w:tcW w:w="865" w:type="pct"/>
                  <w:tcBorders>
                    <w:tl2br w:val="nil"/>
                    <w:tr2bl w:val="nil"/>
                  </w:tcBorders>
                  <w:vAlign w:val="center"/>
                </w:tcPr>
                <w:p>
                  <w:pPr>
                    <w:pStyle w:val="116"/>
                    <w:rPr>
                      <w:rFonts w:cs="Times New Roman"/>
                      <w:color w:val="auto"/>
                    </w:rPr>
                  </w:pPr>
                  <w:r>
                    <w:rPr>
                      <w:rFonts w:hint="eastAsia" w:cs="Times New Roman"/>
                      <w:color w:val="auto"/>
                    </w:rPr>
                    <w:t>包装材料</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原材料拆包</w:t>
                  </w:r>
                </w:p>
              </w:tc>
              <w:tc>
                <w:tcPr>
                  <w:tcW w:w="1067" w:type="pct"/>
                  <w:tcBorders>
                    <w:tl2br w:val="nil"/>
                    <w:tr2bl w:val="nil"/>
                  </w:tcBorders>
                  <w:vAlign w:val="center"/>
                </w:tcPr>
                <w:p>
                  <w:pPr>
                    <w:pStyle w:val="36"/>
                    <w:keepLines/>
                    <w:wordWrap w:val="0"/>
                    <w:rPr>
                      <w:rFonts w:cs="Times New Roman"/>
                      <w:color w:val="auto"/>
                    </w:rPr>
                  </w:pPr>
                  <w:r>
                    <w:rPr>
                      <w:rFonts w:hint="eastAsia" w:cs="Times New Roman"/>
                      <w:color w:val="auto"/>
                    </w:rPr>
                    <w:t>纸皮、塑料等</w:t>
                  </w:r>
                </w:p>
              </w:tc>
              <w:tc>
                <w:tcPr>
                  <w:tcW w:w="1437" w:type="pct"/>
                  <w:vMerge w:val="continue"/>
                  <w:tcBorders>
                    <w:tl2br w:val="nil"/>
                    <w:tr2bl w:val="nil"/>
                  </w:tcBorders>
                  <w:vAlign w:val="center"/>
                </w:tcPr>
                <w:p>
                  <w:pPr>
                    <w:pStyle w:val="36"/>
                    <w:keepLines/>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tblHeader/>
                <w:jc w:val="center"/>
              </w:trPr>
              <w:tc>
                <w:tcPr>
                  <w:tcW w:w="372" w:type="pct"/>
                  <w:tcBorders>
                    <w:tl2br w:val="nil"/>
                    <w:tr2bl w:val="nil"/>
                  </w:tcBorders>
                  <w:vAlign w:val="center"/>
                </w:tcPr>
                <w:p>
                  <w:pPr>
                    <w:pStyle w:val="36"/>
                    <w:keepLines/>
                    <w:rPr>
                      <w:rFonts w:cs="Times New Roman"/>
                      <w:color w:val="auto"/>
                    </w:rPr>
                  </w:pPr>
                  <w:r>
                    <w:rPr>
                      <w:rFonts w:cs="Times New Roman"/>
                      <w:color w:val="auto"/>
                    </w:rPr>
                    <w:t>类别</w:t>
                  </w:r>
                </w:p>
              </w:tc>
              <w:tc>
                <w:tcPr>
                  <w:tcW w:w="457" w:type="pct"/>
                  <w:tcBorders>
                    <w:tl2br w:val="nil"/>
                    <w:tr2bl w:val="nil"/>
                  </w:tcBorders>
                  <w:vAlign w:val="center"/>
                </w:tcPr>
                <w:p>
                  <w:pPr>
                    <w:pStyle w:val="36"/>
                    <w:keepLines/>
                    <w:rPr>
                      <w:rFonts w:cs="Times New Roman"/>
                      <w:color w:val="auto"/>
                    </w:rPr>
                  </w:pPr>
                  <w:r>
                    <w:rPr>
                      <w:rFonts w:cs="Times New Roman"/>
                      <w:color w:val="auto"/>
                    </w:rPr>
                    <w:t>污染源</w:t>
                  </w:r>
                </w:p>
                <w:p>
                  <w:pPr>
                    <w:pStyle w:val="36"/>
                    <w:keepLines/>
                    <w:rPr>
                      <w:rFonts w:cs="Times New Roman"/>
                      <w:color w:val="auto"/>
                    </w:rPr>
                  </w:pPr>
                  <w:r>
                    <w:rPr>
                      <w:rFonts w:hint="eastAsia" w:cs="Times New Roman"/>
                      <w:color w:val="auto"/>
                    </w:rPr>
                    <w:t>编号</w:t>
                  </w:r>
                </w:p>
              </w:tc>
              <w:tc>
                <w:tcPr>
                  <w:tcW w:w="865" w:type="pct"/>
                  <w:tcBorders>
                    <w:tl2br w:val="nil"/>
                    <w:tr2bl w:val="nil"/>
                  </w:tcBorders>
                  <w:vAlign w:val="center"/>
                </w:tcPr>
                <w:p>
                  <w:pPr>
                    <w:pStyle w:val="36"/>
                    <w:keepLines/>
                    <w:rPr>
                      <w:rFonts w:cs="Times New Roman"/>
                      <w:color w:val="auto"/>
                    </w:rPr>
                  </w:pPr>
                  <w:r>
                    <w:rPr>
                      <w:rFonts w:hint="eastAsia" w:cs="Times New Roman"/>
                      <w:color w:val="auto"/>
                    </w:rPr>
                    <w:t>污染源名称</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产污环节</w:t>
                  </w:r>
                </w:p>
              </w:tc>
              <w:tc>
                <w:tcPr>
                  <w:tcW w:w="1067" w:type="pct"/>
                  <w:tcBorders>
                    <w:tl2br w:val="nil"/>
                    <w:tr2bl w:val="nil"/>
                  </w:tcBorders>
                  <w:vAlign w:val="center"/>
                </w:tcPr>
                <w:p>
                  <w:pPr>
                    <w:pStyle w:val="36"/>
                    <w:keepLines/>
                    <w:rPr>
                      <w:rFonts w:cs="Times New Roman"/>
                      <w:color w:val="auto"/>
                    </w:rPr>
                  </w:pPr>
                  <w:r>
                    <w:rPr>
                      <w:rFonts w:hint="eastAsia" w:cs="Times New Roman"/>
                      <w:color w:val="auto"/>
                    </w:rPr>
                    <w:t>主要污染物</w:t>
                  </w:r>
                </w:p>
              </w:tc>
              <w:tc>
                <w:tcPr>
                  <w:tcW w:w="1437" w:type="pct"/>
                  <w:tcBorders>
                    <w:tl2br w:val="nil"/>
                    <w:tr2bl w:val="nil"/>
                  </w:tcBorders>
                  <w:vAlign w:val="center"/>
                </w:tcPr>
                <w:p>
                  <w:pPr>
                    <w:pStyle w:val="36"/>
                    <w:keepLines/>
                    <w:rPr>
                      <w:rFonts w:cs="Times New Roman"/>
                      <w:color w:val="auto"/>
                    </w:rPr>
                  </w:pPr>
                  <w:r>
                    <w:rPr>
                      <w:rFonts w:cs="Times New Roman"/>
                      <w:color w:val="auto"/>
                    </w:rPr>
                    <w:t>工程治理措施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restart"/>
                  <w:tcBorders>
                    <w:tl2br w:val="nil"/>
                    <w:tr2bl w:val="nil"/>
                  </w:tcBorders>
                  <w:vAlign w:val="center"/>
                </w:tcPr>
                <w:p>
                  <w:pPr>
                    <w:pStyle w:val="36"/>
                    <w:keepLines/>
                    <w:rPr>
                      <w:rFonts w:cs="Times New Roman"/>
                      <w:color w:val="auto"/>
                    </w:rPr>
                  </w:pPr>
                  <w:r>
                    <w:rPr>
                      <w:rFonts w:hint="eastAsia" w:cs="Times New Roman"/>
                      <w:color w:val="auto"/>
                    </w:rPr>
                    <w:t>固体</w:t>
                  </w:r>
                </w:p>
                <w:p>
                  <w:pPr>
                    <w:pStyle w:val="36"/>
                    <w:keepLines/>
                    <w:rPr>
                      <w:rFonts w:cs="Times New Roman"/>
                      <w:color w:val="auto"/>
                    </w:rPr>
                  </w:pPr>
                  <w:r>
                    <w:rPr>
                      <w:rFonts w:hint="eastAsia" w:cs="Times New Roman"/>
                      <w:color w:val="auto"/>
                    </w:rPr>
                    <w:t>废物</w:t>
                  </w: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S4</w:t>
                  </w:r>
                </w:p>
              </w:tc>
              <w:tc>
                <w:tcPr>
                  <w:tcW w:w="865" w:type="pct"/>
                  <w:tcBorders>
                    <w:tl2br w:val="nil"/>
                    <w:tr2bl w:val="nil"/>
                  </w:tcBorders>
                  <w:vAlign w:val="center"/>
                </w:tcPr>
                <w:p>
                  <w:pPr>
                    <w:pStyle w:val="36"/>
                    <w:keepLines/>
                    <w:rPr>
                      <w:rFonts w:cs="Times New Roman"/>
                      <w:color w:val="auto"/>
                    </w:rPr>
                  </w:pPr>
                  <w:r>
                    <w:rPr>
                      <w:rFonts w:hint="eastAsia" w:cs="Times New Roman"/>
                      <w:color w:val="auto"/>
                    </w:rPr>
                    <w:t>废拉丝液</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拉拔、拉丝</w:t>
                  </w:r>
                </w:p>
              </w:tc>
              <w:tc>
                <w:tcPr>
                  <w:tcW w:w="1067" w:type="pct"/>
                  <w:tcBorders>
                    <w:tl2br w:val="nil"/>
                    <w:tr2bl w:val="nil"/>
                  </w:tcBorders>
                  <w:vAlign w:val="center"/>
                </w:tcPr>
                <w:p>
                  <w:pPr>
                    <w:pStyle w:val="36"/>
                    <w:keepLines/>
                    <w:wordWrap w:val="0"/>
                    <w:rPr>
                      <w:rFonts w:cs="Times New Roman"/>
                      <w:color w:val="auto"/>
                    </w:rPr>
                  </w:pPr>
                  <w:r>
                    <w:rPr>
                      <w:rFonts w:hint="eastAsia" w:cs="Times New Roman"/>
                      <w:color w:val="auto"/>
                    </w:rPr>
                    <w:t>矿物油</w:t>
                  </w:r>
                </w:p>
              </w:tc>
              <w:tc>
                <w:tcPr>
                  <w:tcW w:w="1437" w:type="pct"/>
                  <w:vMerge w:val="restart"/>
                  <w:tcBorders>
                    <w:tl2br w:val="nil"/>
                    <w:tr2bl w:val="nil"/>
                  </w:tcBorders>
                  <w:vAlign w:val="center"/>
                </w:tcPr>
                <w:p>
                  <w:pPr>
                    <w:pStyle w:val="36"/>
                    <w:keepLines/>
                    <w:wordWrap w:val="0"/>
                    <w:rPr>
                      <w:rFonts w:cs="Times New Roman"/>
                      <w:color w:val="auto"/>
                    </w:rPr>
                  </w:pPr>
                  <w:r>
                    <w:rPr>
                      <w:rFonts w:hint="eastAsia" w:cs="Times New Roman"/>
                      <w:color w:val="auto"/>
                    </w:rPr>
                    <w:t>集中收集，暂存于危废贮存间，定期委托有资质单位处理处置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continue"/>
                  <w:tcBorders>
                    <w:tl2br w:val="nil"/>
                    <w:tr2bl w:val="nil"/>
                  </w:tcBorders>
                  <w:vAlign w:val="center"/>
                </w:tcPr>
                <w:p>
                  <w:pPr>
                    <w:pStyle w:val="36"/>
                    <w:keepLines/>
                    <w:rPr>
                      <w:rFonts w:cs="Times New Roman"/>
                      <w:color w:val="auto"/>
                    </w:rPr>
                  </w:pP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S5</w:t>
                  </w:r>
                </w:p>
              </w:tc>
              <w:tc>
                <w:tcPr>
                  <w:tcW w:w="865" w:type="pct"/>
                  <w:tcBorders>
                    <w:tl2br w:val="nil"/>
                    <w:tr2bl w:val="nil"/>
                  </w:tcBorders>
                  <w:vAlign w:val="center"/>
                </w:tcPr>
                <w:p>
                  <w:pPr>
                    <w:pStyle w:val="36"/>
                    <w:keepLines/>
                    <w:rPr>
                      <w:rFonts w:cs="Times New Roman"/>
                      <w:color w:val="auto"/>
                    </w:rPr>
                  </w:pPr>
                  <w:r>
                    <w:rPr>
                      <w:rFonts w:hint="eastAsia" w:cs="Times New Roman"/>
                      <w:color w:val="auto"/>
                    </w:rPr>
                    <w:t>铜泥</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拉拔、拉丝</w:t>
                  </w:r>
                </w:p>
              </w:tc>
              <w:tc>
                <w:tcPr>
                  <w:tcW w:w="1067" w:type="pct"/>
                  <w:tcBorders>
                    <w:tl2br w:val="nil"/>
                    <w:tr2bl w:val="nil"/>
                  </w:tcBorders>
                  <w:vAlign w:val="center"/>
                </w:tcPr>
                <w:p>
                  <w:pPr>
                    <w:pStyle w:val="36"/>
                    <w:keepLines/>
                    <w:wordWrap w:val="0"/>
                    <w:rPr>
                      <w:rFonts w:cs="Times New Roman"/>
                      <w:color w:val="auto"/>
                    </w:rPr>
                  </w:pPr>
                  <w:r>
                    <w:rPr>
                      <w:rFonts w:hint="eastAsia" w:cs="Times New Roman"/>
                      <w:color w:val="auto"/>
                    </w:rPr>
                    <w:t>铜屑、矿物油</w:t>
                  </w:r>
                </w:p>
              </w:tc>
              <w:tc>
                <w:tcPr>
                  <w:tcW w:w="1437" w:type="pct"/>
                  <w:vMerge w:val="continue"/>
                  <w:tcBorders>
                    <w:tl2br w:val="nil"/>
                    <w:tr2bl w:val="nil"/>
                  </w:tcBorders>
                  <w:vAlign w:val="center"/>
                </w:tcPr>
                <w:p>
                  <w:pPr>
                    <w:pStyle w:val="36"/>
                    <w:keepLines/>
                    <w:wordWrap w:val="0"/>
                    <w:jc w:val="left"/>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continue"/>
                  <w:tcBorders>
                    <w:tl2br w:val="nil"/>
                    <w:tr2bl w:val="nil"/>
                  </w:tcBorders>
                  <w:vAlign w:val="center"/>
                </w:tcPr>
                <w:p>
                  <w:pPr>
                    <w:pStyle w:val="36"/>
                    <w:keepLines/>
                    <w:rPr>
                      <w:rFonts w:cs="Times New Roman"/>
                      <w:color w:val="auto"/>
                    </w:rPr>
                  </w:pP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S6</w:t>
                  </w:r>
                </w:p>
              </w:tc>
              <w:tc>
                <w:tcPr>
                  <w:tcW w:w="865" w:type="pct"/>
                  <w:tcBorders>
                    <w:tl2br w:val="nil"/>
                    <w:tr2bl w:val="nil"/>
                  </w:tcBorders>
                  <w:vAlign w:val="center"/>
                </w:tcPr>
                <w:p>
                  <w:pPr>
                    <w:pStyle w:val="36"/>
                    <w:keepLines/>
                    <w:rPr>
                      <w:rFonts w:cs="Times New Roman"/>
                      <w:color w:val="auto"/>
                    </w:rPr>
                  </w:pPr>
                  <w:r>
                    <w:rPr>
                      <w:rFonts w:hint="eastAsia" w:cs="Times New Roman"/>
                      <w:color w:val="auto"/>
                    </w:rPr>
                    <w:t>废毛毡</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拉丝</w:t>
                  </w:r>
                </w:p>
              </w:tc>
              <w:tc>
                <w:tcPr>
                  <w:tcW w:w="1067" w:type="pct"/>
                  <w:tcBorders>
                    <w:tl2br w:val="nil"/>
                    <w:tr2bl w:val="nil"/>
                  </w:tcBorders>
                  <w:vAlign w:val="center"/>
                </w:tcPr>
                <w:p>
                  <w:pPr>
                    <w:pStyle w:val="36"/>
                    <w:keepLines/>
                    <w:wordWrap w:val="0"/>
                    <w:rPr>
                      <w:rFonts w:cs="Times New Roman"/>
                      <w:color w:val="auto"/>
                    </w:rPr>
                  </w:pPr>
                  <w:r>
                    <w:rPr>
                      <w:rFonts w:hint="eastAsia" w:cs="Times New Roman"/>
                      <w:color w:val="auto"/>
                    </w:rPr>
                    <w:t>矿物油</w:t>
                  </w:r>
                </w:p>
              </w:tc>
              <w:tc>
                <w:tcPr>
                  <w:tcW w:w="1437" w:type="pct"/>
                  <w:vMerge w:val="continue"/>
                  <w:tcBorders>
                    <w:tl2br w:val="nil"/>
                    <w:tr2bl w:val="nil"/>
                  </w:tcBorders>
                  <w:vAlign w:val="center"/>
                </w:tcPr>
                <w:p>
                  <w:pPr>
                    <w:pStyle w:val="36"/>
                    <w:keepLines/>
                    <w:wordWrap w:val="0"/>
                    <w:jc w:val="left"/>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continue"/>
                  <w:tcBorders>
                    <w:tl2br w:val="nil"/>
                    <w:tr2bl w:val="nil"/>
                  </w:tcBorders>
                  <w:vAlign w:val="center"/>
                </w:tcPr>
                <w:p>
                  <w:pPr>
                    <w:pStyle w:val="36"/>
                    <w:keepLines/>
                    <w:rPr>
                      <w:rFonts w:cs="Times New Roman"/>
                      <w:color w:val="auto"/>
                    </w:rPr>
                  </w:pP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S7</w:t>
                  </w:r>
                </w:p>
              </w:tc>
              <w:tc>
                <w:tcPr>
                  <w:tcW w:w="865" w:type="pct"/>
                  <w:tcBorders>
                    <w:tl2br w:val="nil"/>
                    <w:tr2bl w:val="nil"/>
                  </w:tcBorders>
                  <w:vAlign w:val="center"/>
                </w:tcPr>
                <w:p>
                  <w:pPr>
                    <w:pStyle w:val="116"/>
                    <w:rPr>
                      <w:rFonts w:cs="Times New Roman"/>
                      <w:color w:val="auto"/>
                    </w:rPr>
                  </w:pPr>
                  <w:r>
                    <w:rPr>
                      <w:rFonts w:hint="eastAsia" w:cs="Times New Roman"/>
                      <w:color w:val="auto"/>
                    </w:rPr>
                    <w:t>废液压油</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液压设备</w:t>
                  </w:r>
                </w:p>
                <w:p>
                  <w:pPr>
                    <w:pStyle w:val="36"/>
                    <w:keepLines/>
                    <w:rPr>
                      <w:rFonts w:cs="Times New Roman"/>
                      <w:color w:val="auto"/>
                    </w:rPr>
                  </w:pPr>
                  <w:r>
                    <w:rPr>
                      <w:rFonts w:hint="eastAsia" w:cs="Times New Roman"/>
                      <w:color w:val="auto"/>
                    </w:rPr>
                    <w:t>维修保养</w:t>
                  </w:r>
                </w:p>
              </w:tc>
              <w:tc>
                <w:tcPr>
                  <w:tcW w:w="1067" w:type="pct"/>
                  <w:tcBorders>
                    <w:tl2br w:val="nil"/>
                    <w:tr2bl w:val="nil"/>
                  </w:tcBorders>
                  <w:vAlign w:val="center"/>
                </w:tcPr>
                <w:p>
                  <w:pPr>
                    <w:pStyle w:val="36"/>
                    <w:keepLines/>
                    <w:wordWrap w:val="0"/>
                    <w:rPr>
                      <w:rFonts w:cs="Times New Roman"/>
                      <w:color w:val="auto"/>
                    </w:rPr>
                  </w:pPr>
                  <w:r>
                    <w:rPr>
                      <w:rFonts w:hint="eastAsia" w:cs="Times New Roman"/>
                      <w:color w:val="auto"/>
                    </w:rPr>
                    <w:t>矿物油</w:t>
                  </w:r>
                </w:p>
              </w:tc>
              <w:tc>
                <w:tcPr>
                  <w:tcW w:w="1437" w:type="pct"/>
                  <w:vMerge w:val="continue"/>
                  <w:tcBorders>
                    <w:tl2br w:val="nil"/>
                    <w:tr2bl w:val="nil"/>
                  </w:tcBorders>
                  <w:vAlign w:val="center"/>
                </w:tcPr>
                <w:p>
                  <w:pPr>
                    <w:pStyle w:val="36"/>
                    <w:keepLines/>
                    <w:wordWrap w:val="0"/>
                    <w:jc w:val="left"/>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continue"/>
                  <w:tcBorders>
                    <w:tl2br w:val="nil"/>
                    <w:tr2bl w:val="nil"/>
                  </w:tcBorders>
                  <w:vAlign w:val="center"/>
                </w:tcPr>
                <w:p>
                  <w:pPr>
                    <w:pStyle w:val="36"/>
                    <w:keepLines/>
                    <w:rPr>
                      <w:rFonts w:cs="Times New Roman"/>
                      <w:color w:val="auto"/>
                    </w:rPr>
                  </w:pP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S8</w:t>
                  </w:r>
                </w:p>
              </w:tc>
              <w:tc>
                <w:tcPr>
                  <w:tcW w:w="865" w:type="pct"/>
                  <w:tcBorders>
                    <w:tl2br w:val="nil"/>
                    <w:tr2bl w:val="nil"/>
                  </w:tcBorders>
                  <w:vAlign w:val="center"/>
                </w:tcPr>
                <w:p>
                  <w:pPr>
                    <w:pStyle w:val="116"/>
                    <w:rPr>
                      <w:rFonts w:cs="Times New Roman"/>
                      <w:color w:val="auto"/>
                    </w:rPr>
                  </w:pPr>
                  <w:r>
                    <w:rPr>
                      <w:rFonts w:hint="eastAsia" w:cs="Times New Roman"/>
                      <w:color w:val="auto"/>
                    </w:rPr>
                    <w:t>废润滑油</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设备维修</w:t>
                  </w:r>
                </w:p>
                <w:p>
                  <w:pPr>
                    <w:pStyle w:val="36"/>
                    <w:keepLines/>
                    <w:rPr>
                      <w:rFonts w:cs="Times New Roman"/>
                      <w:color w:val="auto"/>
                    </w:rPr>
                  </w:pPr>
                  <w:r>
                    <w:rPr>
                      <w:rFonts w:hint="eastAsia" w:cs="Times New Roman"/>
                      <w:color w:val="auto"/>
                    </w:rPr>
                    <w:t>保养</w:t>
                  </w:r>
                </w:p>
              </w:tc>
              <w:tc>
                <w:tcPr>
                  <w:tcW w:w="1067" w:type="pct"/>
                  <w:tcBorders>
                    <w:tl2br w:val="nil"/>
                    <w:tr2bl w:val="nil"/>
                  </w:tcBorders>
                  <w:vAlign w:val="center"/>
                </w:tcPr>
                <w:p>
                  <w:pPr>
                    <w:pStyle w:val="36"/>
                    <w:keepLines/>
                    <w:wordWrap w:val="0"/>
                    <w:rPr>
                      <w:rFonts w:cs="Times New Roman"/>
                      <w:color w:val="auto"/>
                    </w:rPr>
                  </w:pPr>
                  <w:r>
                    <w:rPr>
                      <w:rFonts w:hint="eastAsia" w:cs="Times New Roman"/>
                      <w:color w:val="auto"/>
                    </w:rPr>
                    <w:t>矿物油</w:t>
                  </w:r>
                </w:p>
              </w:tc>
              <w:tc>
                <w:tcPr>
                  <w:tcW w:w="1437" w:type="pct"/>
                  <w:vMerge w:val="continue"/>
                  <w:tcBorders>
                    <w:tl2br w:val="nil"/>
                    <w:tr2bl w:val="nil"/>
                  </w:tcBorders>
                  <w:vAlign w:val="center"/>
                </w:tcPr>
                <w:p>
                  <w:pPr>
                    <w:pStyle w:val="36"/>
                    <w:keepLines/>
                    <w:wordWrap w:val="0"/>
                    <w:jc w:val="left"/>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continue"/>
                  <w:tcBorders>
                    <w:tl2br w:val="nil"/>
                    <w:tr2bl w:val="nil"/>
                  </w:tcBorders>
                  <w:vAlign w:val="center"/>
                </w:tcPr>
                <w:p>
                  <w:pPr>
                    <w:pStyle w:val="36"/>
                    <w:keepLines/>
                    <w:rPr>
                      <w:rFonts w:cs="Times New Roman"/>
                      <w:color w:val="auto"/>
                    </w:rPr>
                  </w:pP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S9</w:t>
                  </w:r>
                </w:p>
              </w:tc>
              <w:tc>
                <w:tcPr>
                  <w:tcW w:w="865" w:type="pct"/>
                  <w:tcBorders>
                    <w:tl2br w:val="nil"/>
                    <w:tr2bl w:val="nil"/>
                  </w:tcBorders>
                  <w:vAlign w:val="center"/>
                </w:tcPr>
                <w:p>
                  <w:pPr>
                    <w:pStyle w:val="116"/>
                    <w:rPr>
                      <w:rFonts w:cs="Times New Roman"/>
                      <w:color w:val="auto"/>
                    </w:rPr>
                  </w:pPr>
                  <w:r>
                    <w:rPr>
                      <w:rFonts w:hint="eastAsia" w:cs="Times New Roman"/>
                      <w:color w:val="auto"/>
                    </w:rPr>
                    <w:t>废油桶</w:t>
                  </w:r>
                </w:p>
              </w:tc>
              <w:tc>
                <w:tcPr>
                  <w:tcW w:w="800" w:type="pct"/>
                  <w:tcBorders>
                    <w:tl2br w:val="nil"/>
                    <w:tr2bl w:val="nil"/>
                  </w:tcBorders>
                  <w:vAlign w:val="center"/>
                </w:tcPr>
                <w:p>
                  <w:pPr>
                    <w:pStyle w:val="36"/>
                    <w:keepLines/>
                    <w:rPr>
                      <w:rFonts w:cs="Times New Roman"/>
                      <w:color w:val="auto"/>
                    </w:rPr>
                  </w:pPr>
                  <w:r>
                    <w:rPr>
                      <w:rFonts w:hint="eastAsia" w:cs="Times New Roman"/>
                      <w:color w:val="auto"/>
                    </w:rPr>
                    <w:t>拉丝液、润滑油、液压油空桶</w:t>
                  </w:r>
                </w:p>
              </w:tc>
              <w:tc>
                <w:tcPr>
                  <w:tcW w:w="1067" w:type="pct"/>
                  <w:tcBorders>
                    <w:tl2br w:val="nil"/>
                    <w:tr2bl w:val="nil"/>
                  </w:tcBorders>
                  <w:vAlign w:val="center"/>
                </w:tcPr>
                <w:p>
                  <w:pPr>
                    <w:pStyle w:val="36"/>
                    <w:keepLines/>
                    <w:wordWrap w:val="0"/>
                    <w:rPr>
                      <w:rFonts w:cs="Times New Roman"/>
                      <w:color w:val="auto"/>
                    </w:rPr>
                  </w:pPr>
                  <w:r>
                    <w:rPr>
                      <w:rFonts w:hint="eastAsia" w:cs="Times New Roman"/>
                      <w:color w:val="auto"/>
                    </w:rPr>
                    <w:t>矿物油</w:t>
                  </w:r>
                </w:p>
              </w:tc>
              <w:tc>
                <w:tcPr>
                  <w:tcW w:w="1437" w:type="pct"/>
                  <w:vMerge w:val="continue"/>
                  <w:tcBorders>
                    <w:tl2br w:val="nil"/>
                    <w:tr2bl w:val="nil"/>
                  </w:tcBorders>
                  <w:vAlign w:val="center"/>
                </w:tcPr>
                <w:p>
                  <w:pPr>
                    <w:pStyle w:val="36"/>
                    <w:keepLines/>
                    <w:wordWrap w:val="0"/>
                    <w:jc w:val="left"/>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72" w:type="pct"/>
                  <w:vMerge w:val="continue"/>
                  <w:tcBorders>
                    <w:tl2br w:val="nil"/>
                    <w:tr2bl w:val="nil"/>
                  </w:tcBorders>
                  <w:vAlign w:val="center"/>
                </w:tcPr>
                <w:p>
                  <w:pPr>
                    <w:pStyle w:val="36"/>
                    <w:keepLines/>
                    <w:rPr>
                      <w:rFonts w:cs="Times New Roman"/>
                      <w:color w:val="auto"/>
                    </w:rPr>
                  </w:pPr>
                </w:p>
              </w:tc>
              <w:tc>
                <w:tcPr>
                  <w:tcW w:w="457" w:type="pct"/>
                  <w:tcBorders>
                    <w:tl2br w:val="nil"/>
                    <w:tr2bl w:val="nil"/>
                  </w:tcBorders>
                  <w:vAlign w:val="center"/>
                </w:tcPr>
                <w:p>
                  <w:pPr>
                    <w:pStyle w:val="36"/>
                    <w:keepLines/>
                    <w:rPr>
                      <w:rFonts w:cs="Times New Roman"/>
                      <w:color w:val="auto"/>
                    </w:rPr>
                  </w:pPr>
                  <w:r>
                    <w:rPr>
                      <w:rFonts w:hint="eastAsia" w:cs="Times New Roman"/>
                      <w:color w:val="auto"/>
                    </w:rPr>
                    <w:t>S11</w:t>
                  </w:r>
                </w:p>
              </w:tc>
              <w:tc>
                <w:tcPr>
                  <w:tcW w:w="865" w:type="pct"/>
                  <w:tcBorders>
                    <w:tl2br w:val="nil"/>
                    <w:tr2bl w:val="nil"/>
                  </w:tcBorders>
                  <w:vAlign w:val="center"/>
                </w:tcPr>
                <w:p>
                  <w:pPr>
                    <w:pStyle w:val="36"/>
                    <w:keepLines/>
                    <w:rPr>
                      <w:rFonts w:cs="Times New Roman"/>
                      <w:color w:val="auto"/>
                    </w:rPr>
                  </w:pPr>
                  <w:r>
                    <w:rPr>
                      <w:rFonts w:hint="eastAsia" w:cs="Times New Roman"/>
                      <w:snapToGrid w:val="0"/>
                      <w:color w:val="auto"/>
                    </w:rPr>
                    <w:t>生活垃圾</w:t>
                  </w:r>
                </w:p>
              </w:tc>
              <w:tc>
                <w:tcPr>
                  <w:tcW w:w="800" w:type="pct"/>
                  <w:tcBorders>
                    <w:tl2br w:val="nil"/>
                    <w:tr2bl w:val="nil"/>
                  </w:tcBorders>
                  <w:vAlign w:val="center"/>
                </w:tcPr>
                <w:p>
                  <w:pPr>
                    <w:pStyle w:val="36"/>
                    <w:keepLines/>
                    <w:rPr>
                      <w:rFonts w:cs="Times New Roman"/>
                      <w:snapToGrid w:val="0"/>
                      <w:color w:val="auto"/>
                    </w:rPr>
                  </w:pPr>
                  <w:r>
                    <w:rPr>
                      <w:rFonts w:hint="eastAsia" w:cs="Times New Roman"/>
                      <w:snapToGrid w:val="0"/>
                      <w:color w:val="auto"/>
                    </w:rPr>
                    <w:t>员工生活</w:t>
                  </w:r>
                </w:p>
              </w:tc>
              <w:tc>
                <w:tcPr>
                  <w:tcW w:w="1067" w:type="pct"/>
                  <w:tcBorders>
                    <w:tl2br w:val="nil"/>
                    <w:tr2bl w:val="nil"/>
                  </w:tcBorders>
                  <w:vAlign w:val="center"/>
                </w:tcPr>
                <w:p>
                  <w:pPr>
                    <w:pStyle w:val="36"/>
                    <w:keepLines/>
                    <w:rPr>
                      <w:rFonts w:cs="Times New Roman"/>
                      <w:snapToGrid w:val="0"/>
                      <w:color w:val="auto"/>
                    </w:rPr>
                  </w:pPr>
                  <w:r>
                    <w:rPr>
                      <w:rFonts w:hint="eastAsia" w:cs="Times New Roman"/>
                      <w:snapToGrid w:val="0"/>
                      <w:color w:val="auto"/>
                    </w:rPr>
                    <w:t>生活垃圾</w:t>
                  </w:r>
                </w:p>
              </w:tc>
              <w:tc>
                <w:tcPr>
                  <w:tcW w:w="1437" w:type="pct"/>
                  <w:tcBorders>
                    <w:tl2br w:val="nil"/>
                    <w:tr2bl w:val="nil"/>
                  </w:tcBorders>
                  <w:vAlign w:val="center"/>
                </w:tcPr>
                <w:p>
                  <w:pPr>
                    <w:pStyle w:val="36"/>
                    <w:keepLines/>
                    <w:rPr>
                      <w:rFonts w:cs="Times New Roman"/>
                      <w:color w:val="auto"/>
                    </w:rPr>
                  </w:pPr>
                  <w:r>
                    <w:rPr>
                      <w:rFonts w:hint="eastAsia" w:cs="Times New Roman"/>
                      <w:color w:val="auto"/>
                    </w:rPr>
                    <w:t>收集后由环卫部门清运</w:t>
                  </w:r>
                </w:p>
              </w:tc>
            </w:tr>
          </w:tbl>
          <w:p>
            <w:pPr>
              <w:pStyle w:val="38"/>
              <w:keepLines/>
              <w:widowControl w:val="0"/>
              <w:ind w:firstLine="480"/>
              <w:rPr>
                <w:rFonts w:cs="Times New Roman"/>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95" w:hRule="atLeast"/>
          <w:jc w:val="center"/>
        </w:trPr>
        <w:tc>
          <w:tcPr>
            <w:tcW w:w="328" w:type="pct"/>
            <w:vAlign w:val="center"/>
          </w:tcPr>
          <w:p>
            <w:pPr>
              <w:pStyle w:val="36"/>
              <w:keepLines/>
              <w:rPr>
                <w:rFonts w:cs="Times New Roman"/>
                <w:color w:val="auto"/>
                <w:sz w:val="24"/>
                <w:szCs w:val="24"/>
              </w:rPr>
            </w:pPr>
            <w:r>
              <w:rPr>
                <w:rFonts w:cs="Times New Roman"/>
                <w:color w:val="auto"/>
                <w:sz w:val="24"/>
                <w:szCs w:val="24"/>
              </w:rPr>
              <w:t>与项目有关的原有环境污染问题</w:t>
            </w:r>
          </w:p>
        </w:tc>
        <w:tc>
          <w:tcPr>
            <w:tcW w:w="4671" w:type="pct"/>
          </w:tcPr>
          <w:p>
            <w:pPr>
              <w:pStyle w:val="55"/>
              <w:rPr>
                <w:color w:val="auto"/>
              </w:rPr>
            </w:pPr>
            <w:bookmarkStart w:id="37" w:name="_Toc821"/>
            <w:r>
              <w:rPr>
                <w:rFonts w:hint="eastAsia"/>
                <w:color w:val="auto"/>
              </w:rPr>
              <w:t>2.8与项目有关的原有环境污染问题</w:t>
            </w:r>
            <w:bookmarkEnd w:id="37"/>
          </w:p>
          <w:p>
            <w:pPr>
              <w:pStyle w:val="38"/>
              <w:ind w:firstLine="480"/>
              <w:rPr>
                <w:rStyle w:val="39"/>
                <w:color w:val="auto"/>
              </w:rPr>
            </w:pPr>
            <w:r>
              <w:rPr>
                <w:rFonts w:cs="Times New Roman"/>
                <w:color w:val="auto"/>
              </w:rPr>
              <w:t>本项目为新建项目</w:t>
            </w:r>
            <w:r>
              <w:rPr>
                <w:rFonts w:hint="eastAsia" w:cs="Times New Roman"/>
                <w:color w:val="auto"/>
              </w:rPr>
              <w:t>。</w:t>
            </w:r>
            <w:r>
              <w:rPr>
                <w:rStyle w:val="39"/>
                <w:rFonts w:hint="eastAsia"/>
                <w:color w:val="auto"/>
              </w:rPr>
              <w:t>不存在与项目有关的原有环境污染问题。</w:t>
            </w: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p>
            <w:pPr>
              <w:pStyle w:val="55"/>
              <w:spacing w:line="336" w:lineRule="auto"/>
              <w:ind w:firstLine="480" w:firstLineChars="200"/>
              <w:rPr>
                <w:rStyle w:val="39"/>
                <w:color w:val="auto"/>
              </w:rPr>
            </w:pPr>
          </w:p>
        </w:tc>
      </w:tr>
    </w:tbl>
    <w:p>
      <w:pPr>
        <w:pStyle w:val="38"/>
        <w:ind w:firstLine="480"/>
        <w:rPr>
          <w:color w:val="auto"/>
        </w:rPr>
      </w:pPr>
    </w:p>
    <w:p>
      <w:pPr>
        <w:pStyle w:val="59"/>
        <w:rPr>
          <w:rFonts w:cs="Times New Roman"/>
          <w:snapToGrid w:val="0"/>
          <w:color w:val="auto"/>
        </w:rPr>
      </w:pPr>
      <w:bookmarkStart w:id="38" w:name="_Toc16776"/>
      <w:r>
        <w:rPr>
          <w:rFonts w:hint="eastAsia" w:cs="Times New Roman"/>
          <w:snapToGrid w:val="0"/>
          <w:color w:val="auto"/>
        </w:rPr>
        <w:t>三、</w:t>
      </w:r>
      <w:r>
        <w:rPr>
          <w:rFonts w:cs="Times New Roman"/>
          <w:snapToGrid w:val="0"/>
          <w:color w:val="auto"/>
        </w:rPr>
        <w:t>区域环境质量现状、环境保护目标及评价标准</w:t>
      </w:r>
      <w:bookmarkEnd w:id="38"/>
    </w:p>
    <w:tbl>
      <w:tblPr>
        <w:tblStyle w:val="2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2"/>
        <w:gridCol w:w="86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97" w:hRule="atLeast"/>
          <w:jc w:val="center"/>
        </w:trPr>
        <w:tc>
          <w:tcPr>
            <w:tcW w:w="459" w:type="dxa"/>
            <w:vAlign w:val="center"/>
          </w:tcPr>
          <w:p>
            <w:pPr>
              <w:pStyle w:val="36"/>
              <w:rPr>
                <w:rFonts w:cs="Times New Roman"/>
                <w:color w:val="auto"/>
                <w:sz w:val="24"/>
                <w:szCs w:val="24"/>
              </w:rPr>
            </w:pPr>
            <w:r>
              <w:rPr>
                <w:rFonts w:cs="Times New Roman"/>
                <w:color w:val="auto"/>
                <w:sz w:val="24"/>
                <w:szCs w:val="24"/>
              </w:rPr>
              <w:t>区域</w:t>
            </w:r>
          </w:p>
          <w:p>
            <w:pPr>
              <w:pStyle w:val="36"/>
              <w:rPr>
                <w:rFonts w:cs="Times New Roman"/>
                <w:color w:val="auto"/>
                <w:sz w:val="24"/>
                <w:szCs w:val="24"/>
              </w:rPr>
            </w:pPr>
            <w:r>
              <w:rPr>
                <w:rFonts w:cs="Times New Roman"/>
                <w:color w:val="auto"/>
                <w:sz w:val="24"/>
                <w:szCs w:val="24"/>
              </w:rPr>
              <w:t>环境</w:t>
            </w:r>
          </w:p>
          <w:p>
            <w:pPr>
              <w:pStyle w:val="36"/>
              <w:rPr>
                <w:rFonts w:cs="Times New Roman"/>
                <w:color w:val="auto"/>
                <w:sz w:val="24"/>
                <w:szCs w:val="24"/>
              </w:rPr>
            </w:pPr>
            <w:r>
              <w:rPr>
                <w:rFonts w:cs="Times New Roman"/>
                <w:color w:val="auto"/>
                <w:sz w:val="24"/>
                <w:szCs w:val="24"/>
              </w:rPr>
              <w:t>质量</w:t>
            </w:r>
          </w:p>
          <w:p>
            <w:pPr>
              <w:pStyle w:val="36"/>
              <w:rPr>
                <w:rFonts w:cs="Times New Roman"/>
                <w:color w:val="auto"/>
              </w:rPr>
            </w:pPr>
            <w:r>
              <w:rPr>
                <w:rFonts w:cs="Times New Roman"/>
                <w:color w:val="auto"/>
                <w:sz w:val="24"/>
                <w:szCs w:val="24"/>
              </w:rPr>
              <w:t>现状</w:t>
            </w:r>
          </w:p>
        </w:tc>
        <w:tc>
          <w:tcPr>
            <w:tcW w:w="8942" w:type="dxa"/>
            <w:vAlign w:val="center"/>
          </w:tcPr>
          <w:p>
            <w:pPr>
              <w:pStyle w:val="55"/>
              <w:rPr>
                <w:rFonts w:cs="Times New Roman"/>
                <w:color w:val="auto"/>
              </w:rPr>
            </w:pPr>
            <w:bookmarkStart w:id="39" w:name="_Toc3802"/>
            <w:bookmarkStart w:id="40" w:name="_Toc66217059"/>
            <w:bookmarkStart w:id="41" w:name="_Toc30332"/>
            <w:bookmarkStart w:id="42" w:name="_Toc11698"/>
            <w:r>
              <w:rPr>
                <w:rFonts w:cs="Times New Roman"/>
                <w:color w:val="auto"/>
              </w:rPr>
              <w:t>3.1 环境质量现状</w:t>
            </w:r>
            <w:bookmarkEnd w:id="39"/>
            <w:bookmarkEnd w:id="40"/>
            <w:bookmarkEnd w:id="41"/>
            <w:bookmarkEnd w:id="42"/>
          </w:p>
          <w:p>
            <w:pPr>
              <w:pStyle w:val="56"/>
              <w:rPr>
                <w:rFonts w:cs="Times New Roman"/>
                <w:color w:val="auto"/>
              </w:rPr>
            </w:pPr>
            <w:bookmarkStart w:id="43" w:name="_Toc31746"/>
            <w:r>
              <w:rPr>
                <w:rFonts w:cs="Times New Roman"/>
                <w:color w:val="auto"/>
              </w:rPr>
              <w:t>3.1.1</w:t>
            </w:r>
            <w:r>
              <w:rPr>
                <w:rFonts w:hint="eastAsia" w:cs="Times New Roman"/>
                <w:color w:val="auto"/>
              </w:rPr>
              <w:t xml:space="preserve"> 大气环境</w:t>
            </w:r>
            <w:bookmarkEnd w:id="43"/>
          </w:p>
          <w:p>
            <w:pPr>
              <w:pStyle w:val="38"/>
              <w:ind w:firstLine="480"/>
              <w:rPr>
                <w:color w:val="auto"/>
              </w:rPr>
            </w:pPr>
            <w:r>
              <w:rPr>
                <w:rFonts w:hint="eastAsia"/>
                <w:color w:val="auto"/>
              </w:rPr>
              <w:t>（1）环境空气质量功能区划及质量标准</w:t>
            </w:r>
          </w:p>
          <w:p>
            <w:pPr>
              <w:pStyle w:val="38"/>
              <w:ind w:firstLine="480"/>
              <w:rPr>
                <w:color w:val="auto"/>
              </w:rPr>
            </w:pPr>
            <w:bookmarkStart w:id="44" w:name="_Toc338850492"/>
            <w:bookmarkStart w:id="45" w:name="_Toc339964236"/>
            <w:r>
              <w:rPr>
                <w:color w:val="auto"/>
              </w:rPr>
              <w:t>根据福州市人民政府榕政综</w:t>
            </w:r>
            <w:r>
              <w:rPr>
                <w:rFonts w:hint="eastAsia"/>
                <w:color w:val="auto"/>
              </w:rPr>
              <w:t>〔2014〕30号</w:t>
            </w:r>
            <w:r>
              <w:rPr>
                <w:color w:val="auto"/>
              </w:rPr>
              <w:t>文件正式批准实施《福州市环境空气质量功能区划</w:t>
            </w:r>
            <w:r>
              <w:rPr>
                <w:rFonts w:hint="eastAsia"/>
                <w:color w:val="auto"/>
              </w:rPr>
              <w:t>（</w:t>
            </w:r>
            <w:r>
              <w:rPr>
                <w:color w:val="auto"/>
              </w:rPr>
              <w:t>报批稿</w:t>
            </w:r>
            <w:r>
              <w:rPr>
                <w:rFonts w:hint="eastAsia"/>
                <w:color w:val="auto"/>
              </w:rPr>
              <w:t>）</w:t>
            </w:r>
            <w:r>
              <w:rPr>
                <w:color w:val="auto"/>
              </w:rPr>
              <w:t>》的规定，项目所在区域环境空气功能规划为二类区，环境空气质量执行《环境空气质量标准》</w:t>
            </w:r>
            <w:r>
              <w:rPr>
                <w:rFonts w:hint="eastAsia"/>
                <w:color w:val="auto"/>
              </w:rPr>
              <w:t>（</w:t>
            </w:r>
            <w:r>
              <w:rPr>
                <w:color w:val="auto"/>
              </w:rPr>
              <w:t>GB3095-2012</w:t>
            </w:r>
            <w:r>
              <w:rPr>
                <w:rFonts w:hint="eastAsia"/>
                <w:color w:val="auto"/>
              </w:rPr>
              <w:t>）</w:t>
            </w:r>
            <w:r>
              <w:rPr>
                <w:color w:val="auto"/>
              </w:rPr>
              <w:t>及其修改单中的二级标准。项目</w:t>
            </w:r>
            <w:r>
              <w:rPr>
                <w:rFonts w:hint="eastAsia"/>
                <w:color w:val="auto"/>
              </w:rPr>
              <w:t>其他污染因子</w:t>
            </w:r>
            <w:r>
              <w:rPr>
                <w:color w:val="auto"/>
              </w:rPr>
              <w:t>非甲烷总烃参照执行《大气污染物综合排放标准详解》</w:t>
            </w:r>
            <w:r>
              <w:rPr>
                <w:rFonts w:hint="eastAsia"/>
                <w:color w:val="auto"/>
              </w:rPr>
              <w:t>（生态环境部</w:t>
            </w:r>
            <w:r>
              <w:rPr>
                <w:color w:val="auto"/>
              </w:rPr>
              <w:t>科技标准司</w:t>
            </w:r>
            <w:r>
              <w:rPr>
                <w:rFonts w:hint="eastAsia"/>
                <w:color w:val="auto"/>
              </w:rPr>
              <w:t>，1996年8月）</w:t>
            </w:r>
            <w:r>
              <w:rPr>
                <w:color w:val="auto"/>
              </w:rPr>
              <w:t>中规定的标准限值，具体详见表3.1-1。</w:t>
            </w:r>
            <w:bookmarkEnd w:id="44"/>
            <w:bookmarkEnd w:id="45"/>
          </w:p>
          <w:p>
            <w:pPr>
              <w:pStyle w:val="169"/>
              <w:rPr>
                <w:rFonts w:eastAsia="宋体" w:cs="Times New Roman"/>
                <w:b w:val="0"/>
                <w:color w:val="auto"/>
                <w:szCs w:val="24"/>
              </w:rPr>
            </w:pPr>
            <w:r>
              <w:rPr>
                <w:rFonts w:eastAsia="黑体" w:cs="Times New Roman"/>
                <w:b w:val="0"/>
                <w:color w:val="auto"/>
                <w:szCs w:val="24"/>
                <w:lang w:val="zh-CN"/>
              </w:rPr>
              <w:t>表3.1</w:t>
            </w:r>
            <w:r>
              <w:rPr>
                <w:rFonts w:hint="eastAsia" w:eastAsia="黑体" w:cs="Times New Roman"/>
                <w:b w:val="0"/>
                <w:color w:val="auto"/>
                <w:szCs w:val="24"/>
              </w:rPr>
              <w:t xml:space="preserve">-1 </w:t>
            </w:r>
            <w:r>
              <w:rPr>
                <w:rFonts w:hint="eastAsia" w:eastAsia="黑体" w:cs="Times New Roman"/>
                <w:b w:val="0"/>
                <w:color w:val="auto"/>
                <w:szCs w:val="24"/>
                <w:lang w:val="zh-CN"/>
              </w:rPr>
              <w:t>环境空气标准一览表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76"/>
              <w:gridCol w:w="1921"/>
              <w:gridCol w:w="1908"/>
              <w:gridCol w:w="30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97" w:hRule="atLeast"/>
                <w:jc w:val="center"/>
              </w:trPr>
              <w:tc>
                <w:tcPr>
                  <w:tcW w:w="935" w:type="pct"/>
                  <w:tcBorders>
                    <w:tl2br w:val="nil"/>
                    <w:tr2bl w:val="nil"/>
                  </w:tcBorders>
                  <w:vAlign w:val="center"/>
                </w:tcPr>
                <w:p>
                  <w:pPr>
                    <w:pStyle w:val="36"/>
                    <w:rPr>
                      <w:color w:val="auto"/>
                    </w:rPr>
                  </w:pPr>
                  <w:r>
                    <w:rPr>
                      <w:color w:val="auto"/>
                    </w:rPr>
                    <w:t>污染物名称</w:t>
                  </w:r>
                </w:p>
              </w:tc>
              <w:tc>
                <w:tcPr>
                  <w:tcW w:w="1140" w:type="pct"/>
                  <w:tcBorders>
                    <w:tl2br w:val="nil"/>
                    <w:tr2bl w:val="nil"/>
                  </w:tcBorders>
                  <w:vAlign w:val="center"/>
                </w:tcPr>
                <w:p>
                  <w:pPr>
                    <w:pStyle w:val="36"/>
                    <w:rPr>
                      <w:color w:val="auto"/>
                    </w:rPr>
                  </w:pPr>
                  <w:r>
                    <w:rPr>
                      <w:color w:val="auto"/>
                    </w:rPr>
                    <w:t>取值时间</w:t>
                  </w:r>
                </w:p>
              </w:tc>
              <w:tc>
                <w:tcPr>
                  <w:tcW w:w="1133" w:type="pct"/>
                  <w:tcBorders>
                    <w:tl2br w:val="nil"/>
                    <w:tr2bl w:val="nil"/>
                  </w:tcBorders>
                  <w:vAlign w:val="center"/>
                </w:tcPr>
                <w:p>
                  <w:pPr>
                    <w:pStyle w:val="36"/>
                    <w:rPr>
                      <w:color w:val="auto"/>
                    </w:rPr>
                  </w:pPr>
                  <w:r>
                    <w:rPr>
                      <w:color w:val="auto"/>
                    </w:rPr>
                    <w:t>浓度限值</w:t>
                  </w:r>
                </w:p>
              </w:tc>
              <w:tc>
                <w:tcPr>
                  <w:tcW w:w="1791" w:type="pct"/>
                  <w:tcBorders>
                    <w:tl2br w:val="nil"/>
                    <w:tr2bl w:val="nil"/>
                  </w:tcBorders>
                  <w:vAlign w:val="center"/>
                </w:tcPr>
                <w:p>
                  <w:pPr>
                    <w:pStyle w:val="36"/>
                    <w:rPr>
                      <w:color w:val="auto"/>
                    </w:rPr>
                  </w:pPr>
                  <w:r>
                    <w:rPr>
                      <w:color w:val="auto"/>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5" w:type="pct"/>
                  <w:vMerge w:val="restar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PM</w:t>
                  </w:r>
                  <w:r>
                    <w:rPr>
                      <w:color w:val="auto"/>
                      <w:sz w:val="21"/>
                      <w:szCs w:val="21"/>
                      <w:vertAlign w:val="subscript"/>
                    </w:rPr>
                    <w:t>10</w:t>
                  </w:r>
                </w:p>
              </w:tc>
              <w:tc>
                <w:tcPr>
                  <w:tcW w:w="1140"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年平均</w:t>
                  </w:r>
                </w:p>
              </w:tc>
              <w:tc>
                <w:tcPr>
                  <w:tcW w:w="1133"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70μg/m</w:t>
                  </w:r>
                  <w:r>
                    <w:rPr>
                      <w:color w:val="auto"/>
                      <w:sz w:val="21"/>
                      <w:szCs w:val="21"/>
                      <w:vertAlign w:val="superscript"/>
                    </w:rPr>
                    <w:t>3</w:t>
                  </w:r>
                </w:p>
              </w:tc>
              <w:tc>
                <w:tcPr>
                  <w:tcW w:w="1791" w:type="pct"/>
                  <w:vMerge w:val="restart"/>
                  <w:tcBorders>
                    <w:tl2br w:val="nil"/>
                    <w:tr2bl w:val="nil"/>
                  </w:tcBorders>
                  <w:vAlign w:val="center"/>
                </w:tcPr>
                <w:p>
                  <w:pPr>
                    <w:pStyle w:val="36"/>
                    <w:rPr>
                      <w:color w:val="auto"/>
                    </w:rPr>
                  </w:pPr>
                  <w:r>
                    <w:rPr>
                      <w:color w:val="auto"/>
                    </w:rPr>
                    <w:t>《环境空气质量标准》</w:t>
                  </w:r>
                  <w:r>
                    <w:rPr>
                      <w:rFonts w:hint="eastAsia"/>
                      <w:color w:val="auto"/>
                    </w:rPr>
                    <w:t>（</w:t>
                  </w:r>
                  <w:r>
                    <w:rPr>
                      <w:color w:val="auto"/>
                    </w:rPr>
                    <w:t>GB3095-2012</w:t>
                  </w:r>
                  <w:r>
                    <w:rPr>
                      <w:rFonts w:hint="eastAsia"/>
                      <w:color w:val="auto"/>
                    </w:rPr>
                    <w:t>）</w:t>
                  </w:r>
                  <w:r>
                    <w:rPr>
                      <w:color w:val="auto"/>
                    </w:rPr>
                    <w:t>及其修改</w:t>
                  </w:r>
                </w:p>
                <w:p>
                  <w:pPr>
                    <w:pStyle w:val="36"/>
                    <w:rPr>
                      <w:color w:val="auto"/>
                    </w:rPr>
                  </w:pPr>
                  <w:r>
                    <w:rPr>
                      <w:color w:val="auto"/>
                    </w:rPr>
                    <w:t>单中的二级标准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97" w:hRule="atLeast"/>
                <w:jc w:val="center"/>
              </w:trPr>
              <w:tc>
                <w:tcPr>
                  <w:tcW w:w="935" w:type="pct"/>
                  <w:vMerge w:val="continue"/>
                  <w:tcBorders>
                    <w:tl2br w:val="nil"/>
                    <w:tr2bl w:val="nil"/>
                  </w:tcBorders>
                  <w:vAlign w:val="center"/>
                </w:tcPr>
                <w:p>
                  <w:pPr>
                    <w:adjustRightInd w:val="0"/>
                    <w:spacing w:line="240" w:lineRule="auto"/>
                    <w:ind w:firstLine="0" w:firstLineChars="0"/>
                    <w:jc w:val="center"/>
                    <w:rPr>
                      <w:color w:val="auto"/>
                      <w:sz w:val="21"/>
                      <w:szCs w:val="21"/>
                    </w:rPr>
                  </w:pPr>
                </w:p>
              </w:tc>
              <w:tc>
                <w:tcPr>
                  <w:tcW w:w="1140"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24小时平均</w:t>
                  </w:r>
                </w:p>
              </w:tc>
              <w:tc>
                <w:tcPr>
                  <w:tcW w:w="1133"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150μg/m</w:t>
                  </w:r>
                  <w:r>
                    <w:rPr>
                      <w:color w:val="auto"/>
                      <w:sz w:val="21"/>
                      <w:szCs w:val="21"/>
                      <w:vertAlign w:val="superscript"/>
                    </w:rPr>
                    <w:t>3</w:t>
                  </w:r>
                </w:p>
              </w:tc>
              <w:tc>
                <w:tcPr>
                  <w:tcW w:w="1791"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5" w:type="pct"/>
                  <w:vMerge w:val="restar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PM</w:t>
                  </w:r>
                  <w:r>
                    <w:rPr>
                      <w:color w:val="auto"/>
                      <w:sz w:val="21"/>
                      <w:szCs w:val="21"/>
                      <w:vertAlign w:val="subscript"/>
                    </w:rPr>
                    <w:t>2.5</w:t>
                  </w:r>
                </w:p>
              </w:tc>
              <w:tc>
                <w:tcPr>
                  <w:tcW w:w="1140"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年平均</w:t>
                  </w:r>
                </w:p>
              </w:tc>
              <w:tc>
                <w:tcPr>
                  <w:tcW w:w="1133"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35μg/m</w:t>
                  </w:r>
                  <w:r>
                    <w:rPr>
                      <w:color w:val="auto"/>
                      <w:sz w:val="21"/>
                      <w:szCs w:val="21"/>
                      <w:vertAlign w:val="superscript"/>
                    </w:rPr>
                    <w:t>3</w:t>
                  </w:r>
                </w:p>
              </w:tc>
              <w:tc>
                <w:tcPr>
                  <w:tcW w:w="1791"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97" w:hRule="atLeast"/>
                <w:jc w:val="center"/>
              </w:trPr>
              <w:tc>
                <w:tcPr>
                  <w:tcW w:w="935" w:type="pct"/>
                  <w:vMerge w:val="continue"/>
                  <w:tcBorders>
                    <w:tl2br w:val="nil"/>
                    <w:tr2bl w:val="nil"/>
                  </w:tcBorders>
                  <w:vAlign w:val="center"/>
                </w:tcPr>
                <w:p>
                  <w:pPr>
                    <w:adjustRightInd w:val="0"/>
                    <w:spacing w:line="240" w:lineRule="auto"/>
                    <w:ind w:firstLine="0" w:firstLineChars="0"/>
                    <w:jc w:val="center"/>
                    <w:rPr>
                      <w:color w:val="auto"/>
                      <w:sz w:val="21"/>
                      <w:szCs w:val="21"/>
                    </w:rPr>
                  </w:pPr>
                </w:p>
              </w:tc>
              <w:tc>
                <w:tcPr>
                  <w:tcW w:w="1140"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24小时平均</w:t>
                  </w:r>
                </w:p>
              </w:tc>
              <w:tc>
                <w:tcPr>
                  <w:tcW w:w="1133"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75μg/m</w:t>
                  </w:r>
                  <w:r>
                    <w:rPr>
                      <w:color w:val="auto"/>
                      <w:sz w:val="21"/>
                      <w:szCs w:val="21"/>
                      <w:vertAlign w:val="superscript"/>
                    </w:rPr>
                    <w:t>3</w:t>
                  </w:r>
                </w:p>
              </w:tc>
              <w:tc>
                <w:tcPr>
                  <w:tcW w:w="1791"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97" w:hRule="atLeast"/>
                <w:jc w:val="center"/>
              </w:trPr>
              <w:tc>
                <w:tcPr>
                  <w:tcW w:w="935" w:type="pct"/>
                  <w:vMerge w:val="restar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SO</w:t>
                  </w:r>
                  <w:r>
                    <w:rPr>
                      <w:color w:val="auto"/>
                      <w:sz w:val="21"/>
                      <w:szCs w:val="21"/>
                      <w:vertAlign w:val="subscript"/>
                    </w:rPr>
                    <w:t>2</w:t>
                  </w:r>
                </w:p>
              </w:tc>
              <w:tc>
                <w:tcPr>
                  <w:tcW w:w="1140"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年平均</w:t>
                  </w:r>
                </w:p>
              </w:tc>
              <w:tc>
                <w:tcPr>
                  <w:tcW w:w="1133"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60μg/m</w:t>
                  </w:r>
                  <w:r>
                    <w:rPr>
                      <w:color w:val="auto"/>
                      <w:sz w:val="21"/>
                      <w:szCs w:val="21"/>
                      <w:vertAlign w:val="superscript"/>
                    </w:rPr>
                    <w:t>3</w:t>
                  </w:r>
                </w:p>
              </w:tc>
              <w:tc>
                <w:tcPr>
                  <w:tcW w:w="1791"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5" w:type="pct"/>
                  <w:vMerge w:val="continue"/>
                  <w:tcBorders>
                    <w:tl2br w:val="nil"/>
                    <w:tr2bl w:val="nil"/>
                  </w:tcBorders>
                  <w:vAlign w:val="center"/>
                </w:tcPr>
                <w:p>
                  <w:pPr>
                    <w:adjustRightInd w:val="0"/>
                    <w:spacing w:line="240" w:lineRule="auto"/>
                    <w:ind w:firstLine="0" w:firstLineChars="0"/>
                    <w:jc w:val="center"/>
                    <w:rPr>
                      <w:color w:val="auto"/>
                      <w:sz w:val="21"/>
                      <w:szCs w:val="21"/>
                    </w:rPr>
                  </w:pPr>
                </w:p>
              </w:tc>
              <w:tc>
                <w:tcPr>
                  <w:tcW w:w="1140"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24小时平均</w:t>
                  </w:r>
                </w:p>
              </w:tc>
              <w:tc>
                <w:tcPr>
                  <w:tcW w:w="1133"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150μg/m</w:t>
                  </w:r>
                  <w:r>
                    <w:rPr>
                      <w:color w:val="auto"/>
                      <w:sz w:val="21"/>
                      <w:szCs w:val="21"/>
                      <w:vertAlign w:val="superscript"/>
                    </w:rPr>
                    <w:t>3</w:t>
                  </w:r>
                </w:p>
              </w:tc>
              <w:tc>
                <w:tcPr>
                  <w:tcW w:w="1791"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97" w:hRule="atLeast"/>
                <w:jc w:val="center"/>
              </w:trPr>
              <w:tc>
                <w:tcPr>
                  <w:tcW w:w="935" w:type="pct"/>
                  <w:vMerge w:val="continue"/>
                  <w:tcBorders>
                    <w:tl2br w:val="nil"/>
                    <w:tr2bl w:val="nil"/>
                  </w:tcBorders>
                  <w:vAlign w:val="center"/>
                </w:tcPr>
                <w:p>
                  <w:pPr>
                    <w:adjustRightInd w:val="0"/>
                    <w:spacing w:line="240" w:lineRule="auto"/>
                    <w:ind w:firstLine="0" w:firstLineChars="0"/>
                    <w:jc w:val="center"/>
                    <w:rPr>
                      <w:color w:val="auto"/>
                      <w:sz w:val="21"/>
                      <w:szCs w:val="21"/>
                    </w:rPr>
                  </w:pPr>
                </w:p>
              </w:tc>
              <w:tc>
                <w:tcPr>
                  <w:tcW w:w="1140"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1小时平均</w:t>
                  </w:r>
                </w:p>
              </w:tc>
              <w:tc>
                <w:tcPr>
                  <w:tcW w:w="1133"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500μg/m</w:t>
                  </w:r>
                  <w:r>
                    <w:rPr>
                      <w:color w:val="auto"/>
                      <w:sz w:val="21"/>
                      <w:szCs w:val="21"/>
                      <w:vertAlign w:val="superscript"/>
                    </w:rPr>
                    <w:t>3</w:t>
                  </w:r>
                </w:p>
              </w:tc>
              <w:tc>
                <w:tcPr>
                  <w:tcW w:w="1791"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5" w:type="pct"/>
                  <w:vMerge w:val="restar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NO</w:t>
                  </w:r>
                  <w:r>
                    <w:rPr>
                      <w:color w:val="auto"/>
                      <w:sz w:val="21"/>
                      <w:szCs w:val="21"/>
                      <w:vertAlign w:val="subscript"/>
                    </w:rPr>
                    <w:t>2</w:t>
                  </w:r>
                </w:p>
              </w:tc>
              <w:tc>
                <w:tcPr>
                  <w:tcW w:w="1140"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年平均</w:t>
                  </w:r>
                </w:p>
              </w:tc>
              <w:tc>
                <w:tcPr>
                  <w:tcW w:w="1133"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40μg/m</w:t>
                  </w:r>
                  <w:r>
                    <w:rPr>
                      <w:color w:val="auto"/>
                      <w:sz w:val="21"/>
                      <w:szCs w:val="21"/>
                      <w:vertAlign w:val="superscript"/>
                    </w:rPr>
                    <w:t>3</w:t>
                  </w:r>
                </w:p>
              </w:tc>
              <w:tc>
                <w:tcPr>
                  <w:tcW w:w="1791"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97" w:hRule="atLeast"/>
                <w:jc w:val="center"/>
              </w:trPr>
              <w:tc>
                <w:tcPr>
                  <w:tcW w:w="935" w:type="pct"/>
                  <w:vMerge w:val="continue"/>
                  <w:tcBorders>
                    <w:tl2br w:val="nil"/>
                    <w:tr2bl w:val="nil"/>
                  </w:tcBorders>
                  <w:vAlign w:val="center"/>
                </w:tcPr>
                <w:p>
                  <w:pPr>
                    <w:adjustRightInd w:val="0"/>
                    <w:spacing w:line="240" w:lineRule="auto"/>
                    <w:ind w:firstLine="0" w:firstLineChars="0"/>
                    <w:jc w:val="center"/>
                    <w:rPr>
                      <w:color w:val="auto"/>
                      <w:sz w:val="21"/>
                      <w:szCs w:val="21"/>
                    </w:rPr>
                  </w:pPr>
                </w:p>
              </w:tc>
              <w:tc>
                <w:tcPr>
                  <w:tcW w:w="1140"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24小时平均</w:t>
                  </w:r>
                </w:p>
              </w:tc>
              <w:tc>
                <w:tcPr>
                  <w:tcW w:w="1133"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80μg/m</w:t>
                  </w:r>
                  <w:r>
                    <w:rPr>
                      <w:color w:val="auto"/>
                      <w:sz w:val="21"/>
                      <w:szCs w:val="21"/>
                      <w:vertAlign w:val="superscript"/>
                    </w:rPr>
                    <w:t>3</w:t>
                  </w:r>
                </w:p>
              </w:tc>
              <w:tc>
                <w:tcPr>
                  <w:tcW w:w="1791"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97" w:hRule="atLeast"/>
                <w:jc w:val="center"/>
              </w:trPr>
              <w:tc>
                <w:tcPr>
                  <w:tcW w:w="935" w:type="pct"/>
                  <w:vMerge w:val="continue"/>
                  <w:tcBorders>
                    <w:tl2br w:val="nil"/>
                    <w:tr2bl w:val="nil"/>
                  </w:tcBorders>
                  <w:vAlign w:val="center"/>
                </w:tcPr>
                <w:p>
                  <w:pPr>
                    <w:adjustRightInd w:val="0"/>
                    <w:spacing w:line="240" w:lineRule="auto"/>
                    <w:ind w:firstLine="0" w:firstLineChars="0"/>
                    <w:jc w:val="center"/>
                    <w:rPr>
                      <w:color w:val="auto"/>
                      <w:sz w:val="21"/>
                      <w:szCs w:val="21"/>
                    </w:rPr>
                  </w:pPr>
                </w:p>
              </w:tc>
              <w:tc>
                <w:tcPr>
                  <w:tcW w:w="1140"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1小时平均</w:t>
                  </w:r>
                </w:p>
              </w:tc>
              <w:tc>
                <w:tcPr>
                  <w:tcW w:w="1133" w:type="pct"/>
                  <w:tcBorders>
                    <w:tl2br w:val="nil"/>
                    <w:tr2bl w:val="nil"/>
                  </w:tcBorders>
                  <w:vAlign w:val="center"/>
                </w:tcPr>
                <w:p>
                  <w:pPr>
                    <w:adjustRightInd w:val="0"/>
                    <w:spacing w:line="240" w:lineRule="auto"/>
                    <w:ind w:firstLine="0" w:firstLineChars="0"/>
                    <w:jc w:val="center"/>
                    <w:rPr>
                      <w:color w:val="auto"/>
                      <w:sz w:val="21"/>
                      <w:szCs w:val="21"/>
                    </w:rPr>
                  </w:pPr>
                  <w:r>
                    <w:rPr>
                      <w:color w:val="auto"/>
                      <w:sz w:val="21"/>
                      <w:szCs w:val="21"/>
                    </w:rPr>
                    <w:t>200μg/m</w:t>
                  </w:r>
                  <w:r>
                    <w:rPr>
                      <w:color w:val="auto"/>
                      <w:sz w:val="21"/>
                      <w:szCs w:val="21"/>
                      <w:vertAlign w:val="superscript"/>
                    </w:rPr>
                    <w:t>3</w:t>
                  </w:r>
                </w:p>
              </w:tc>
              <w:tc>
                <w:tcPr>
                  <w:tcW w:w="1791"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5" w:type="pct"/>
                  <w:vMerge w:val="restart"/>
                  <w:tcBorders>
                    <w:tl2br w:val="nil"/>
                    <w:tr2bl w:val="nil"/>
                  </w:tcBorders>
                  <w:vAlign w:val="center"/>
                </w:tcPr>
                <w:p>
                  <w:pPr>
                    <w:autoSpaceDN w:val="0"/>
                    <w:spacing w:line="240" w:lineRule="auto"/>
                    <w:ind w:firstLine="0" w:firstLineChars="0"/>
                    <w:jc w:val="center"/>
                    <w:textAlignment w:val="center"/>
                    <w:rPr>
                      <w:color w:val="auto"/>
                      <w:sz w:val="21"/>
                      <w:szCs w:val="21"/>
                    </w:rPr>
                  </w:pPr>
                  <w:r>
                    <w:rPr>
                      <w:color w:val="auto"/>
                      <w:sz w:val="21"/>
                      <w:szCs w:val="21"/>
                      <w:lang w:bidi="ar"/>
                    </w:rPr>
                    <w:t>CO</w:t>
                  </w:r>
                </w:p>
              </w:tc>
              <w:tc>
                <w:tcPr>
                  <w:tcW w:w="1140" w:type="pct"/>
                  <w:tcBorders>
                    <w:tl2br w:val="nil"/>
                    <w:tr2bl w:val="nil"/>
                  </w:tcBorders>
                  <w:vAlign w:val="center"/>
                </w:tcPr>
                <w:p>
                  <w:pPr>
                    <w:autoSpaceDN w:val="0"/>
                    <w:spacing w:line="240" w:lineRule="auto"/>
                    <w:ind w:firstLine="0" w:firstLineChars="0"/>
                    <w:jc w:val="center"/>
                    <w:textAlignment w:val="center"/>
                    <w:rPr>
                      <w:color w:val="auto"/>
                      <w:sz w:val="21"/>
                      <w:szCs w:val="21"/>
                    </w:rPr>
                  </w:pPr>
                  <w:r>
                    <w:rPr>
                      <w:color w:val="auto"/>
                      <w:sz w:val="21"/>
                      <w:szCs w:val="21"/>
                    </w:rPr>
                    <w:t>24小时平均</w:t>
                  </w:r>
                </w:p>
              </w:tc>
              <w:tc>
                <w:tcPr>
                  <w:tcW w:w="1133" w:type="pct"/>
                  <w:tcBorders>
                    <w:tl2br w:val="nil"/>
                    <w:tr2bl w:val="nil"/>
                  </w:tcBorders>
                  <w:vAlign w:val="center"/>
                </w:tcPr>
                <w:p>
                  <w:pPr>
                    <w:autoSpaceDN w:val="0"/>
                    <w:spacing w:line="240" w:lineRule="auto"/>
                    <w:ind w:firstLine="0" w:firstLineChars="0"/>
                    <w:jc w:val="center"/>
                    <w:textAlignment w:val="center"/>
                    <w:rPr>
                      <w:color w:val="auto"/>
                      <w:sz w:val="21"/>
                      <w:szCs w:val="21"/>
                    </w:rPr>
                  </w:pPr>
                  <w:r>
                    <w:rPr>
                      <w:color w:val="auto"/>
                      <w:sz w:val="21"/>
                      <w:szCs w:val="21"/>
                      <w:lang w:bidi="ar"/>
                    </w:rPr>
                    <w:t>4mg/m</w:t>
                  </w:r>
                  <w:r>
                    <w:rPr>
                      <w:color w:val="auto"/>
                      <w:sz w:val="21"/>
                      <w:szCs w:val="21"/>
                      <w:vertAlign w:val="superscript"/>
                      <w:lang w:bidi="ar"/>
                    </w:rPr>
                    <w:t>3</w:t>
                  </w:r>
                </w:p>
              </w:tc>
              <w:tc>
                <w:tcPr>
                  <w:tcW w:w="1791"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97" w:hRule="atLeast"/>
                <w:jc w:val="center"/>
              </w:trPr>
              <w:tc>
                <w:tcPr>
                  <w:tcW w:w="935" w:type="pct"/>
                  <w:vMerge w:val="continue"/>
                  <w:tcBorders>
                    <w:tl2br w:val="nil"/>
                    <w:tr2bl w:val="nil"/>
                  </w:tcBorders>
                  <w:vAlign w:val="center"/>
                </w:tcPr>
                <w:p>
                  <w:pPr>
                    <w:spacing w:line="240" w:lineRule="auto"/>
                    <w:ind w:firstLine="0" w:firstLineChars="0"/>
                    <w:jc w:val="center"/>
                    <w:rPr>
                      <w:color w:val="auto"/>
                      <w:sz w:val="21"/>
                      <w:szCs w:val="21"/>
                    </w:rPr>
                  </w:pPr>
                </w:p>
              </w:tc>
              <w:tc>
                <w:tcPr>
                  <w:tcW w:w="1140" w:type="pct"/>
                  <w:tcBorders>
                    <w:tl2br w:val="nil"/>
                    <w:tr2bl w:val="nil"/>
                  </w:tcBorders>
                  <w:vAlign w:val="center"/>
                </w:tcPr>
                <w:p>
                  <w:pPr>
                    <w:autoSpaceDN w:val="0"/>
                    <w:spacing w:line="240" w:lineRule="auto"/>
                    <w:ind w:firstLine="0" w:firstLineChars="0"/>
                    <w:jc w:val="center"/>
                    <w:textAlignment w:val="center"/>
                    <w:rPr>
                      <w:color w:val="auto"/>
                      <w:sz w:val="21"/>
                      <w:szCs w:val="21"/>
                    </w:rPr>
                  </w:pPr>
                  <w:r>
                    <w:rPr>
                      <w:color w:val="auto"/>
                      <w:sz w:val="21"/>
                      <w:szCs w:val="21"/>
                      <w:lang w:bidi="ar"/>
                    </w:rPr>
                    <w:t>1小时平均</w:t>
                  </w:r>
                </w:p>
              </w:tc>
              <w:tc>
                <w:tcPr>
                  <w:tcW w:w="1133" w:type="pct"/>
                  <w:tcBorders>
                    <w:tl2br w:val="nil"/>
                    <w:tr2bl w:val="nil"/>
                  </w:tcBorders>
                  <w:vAlign w:val="center"/>
                </w:tcPr>
                <w:p>
                  <w:pPr>
                    <w:autoSpaceDN w:val="0"/>
                    <w:spacing w:line="240" w:lineRule="auto"/>
                    <w:ind w:firstLine="0" w:firstLineChars="0"/>
                    <w:jc w:val="center"/>
                    <w:textAlignment w:val="center"/>
                    <w:rPr>
                      <w:color w:val="auto"/>
                      <w:sz w:val="21"/>
                      <w:szCs w:val="21"/>
                    </w:rPr>
                  </w:pPr>
                  <w:r>
                    <w:rPr>
                      <w:color w:val="auto"/>
                      <w:sz w:val="21"/>
                      <w:szCs w:val="21"/>
                      <w:lang w:bidi="ar"/>
                    </w:rPr>
                    <w:t>10mg/m</w:t>
                  </w:r>
                  <w:r>
                    <w:rPr>
                      <w:color w:val="auto"/>
                      <w:sz w:val="21"/>
                      <w:szCs w:val="21"/>
                      <w:vertAlign w:val="superscript"/>
                      <w:lang w:bidi="ar"/>
                    </w:rPr>
                    <w:t>3</w:t>
                  </w:r>
                </w:p>
              </w:tc>
              <w:tc>
                <w:tcPr>
                  <w:tcW w:w="1791"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5" w:type="pct"/>
                  <w:vMerge w:val="restart"/>
                  <w:tcBorders>
                    <w:tl2br w:val="nil"/>
                    <w:tr2bl w:val="nil"/>
                  </w:tcBorders>
                  <w:vAlign w:val="center"/>
                </w:tcPr>
                <w:p>
                  <w:pPr>
                    <w:autoSpaceDN w:val="0"/>
                    <w:spacing w:line="240" w:lineRule="auto"/>
                    <w:ind w:firstLine="0" w:firstLineChars="0"/>
                    <w:jc w:val="center"/>
                    <w:textAlignment w:val="center"/>
                    <w:rPr>
                      <w:color w:val="auto"/>
                      <w:sz w:val="21"/>
                      <w:szCs w:val="21"/>
                    </w:rPr>
                  </w:pPr>
                  <w:r>
                    <w:rPr>
                      <w:color w:val="auto"/>
                      <w:sz w:val="21"/>
                      <w:szCs w:val="21"/>
                      <w:lang w:bidi="ar"/>
                    </w:rPr>
                    <w:t>O</w:t>
                  </w:r>
                  <w:r>
                    <w:rPr>
                      <w:color w:val="auto"/>
                      <w:sz w:val="21"/>
                      <w:szCs w:val="21"/>
                      <w:vertAlign w:val="subscript"/>
                      <w:lang w:bidi="ar"/>
                    </w:rPr>
                    <w:t>3</w:t>
                  </w:r>
                </w:p>
              </w:tc>
              <w:tc>
                <w:tcPr>
                  <w:tcW w:w="1140" w:type="pct"/>
                  <w:tcBorders>
                    <w:tl2br w:val="nil"/>
                    <w:tr2bl w:val="nil"/>
                  </w:tcBorders>
                  <w:vAlign w:val="center"/>
                </w:tcPr>
                <w:p>
                  <w:pPr>
                    <w:autoSpaceDN w:val="0"/>
                    <w:spacing w:line="240" w:lineRule="auto"/>
                    <w:ind w:firstLine="0" w:firstLineChars="0"/>
                    <w:jc w:val="center"/>
                    <w:textAlignment w:val="center"/>
                    <w:rPr>
                      <w:color w:val="auto"/>
                      <w:sz w:val="21"/>
                      <w:szCs w:val="21"/>
                    </w:rPr>
                  </w:pPr>
                  <w:r>
                    <w:rPr>
                      <w:color w:val="auto"/>
                      <w:sz w:val="21"/>
                      <w:szCs w:val="21"/>
                      <w:lang w:bidi="ar"/>
                    </w:rPr>
                    <w:t>日最大8小时平均</w:t>
                  </w:r>
                </w:p>
              </w:tc>
              <w:tc>
                <w:tcPr>
                  <w:tcW w:w="1133" w:type="pct"/>
                  <w:tcBorders>
                    <w:tl2br w:val="nil"/>
                    <w:tr2bl w:val="nil"/>
                  </w:tcBorders>
                  <w:vAlign w:val="center"/>
                </w:tcPr>
                <w:p>
                  <w:pPr>
                    <w:autoSpaceDN w:val="0"/>
                    <w:spacing w:line="240" w:lineRule="auto"/>
                    <w:ind w:firstLine="0" w:firstLineChars="0"/>
                    <w:jc w:val="center"/>
                    <w:textAlignment w:val="center"/>
                    <w:rPr>
                      <w:color w:val="auto"/>
                      <w:sz w:val="21"/>
                      <w:szCs w:val="21"/>
                    </w:rPr>
                  </w:pPr>
                  <w:r>
                    <w:rPr>
                      <w:color w:val="auto"/>
                      <w:sz w:val="21"/>
                      <w:szCs w:val="21"/>
                      <w:lang w:bidi="ar"/>
                    </w:rPr>
                    <w:t>160</w:t>
                  </w:r>
                  <w:r>
                    <w:rPr>
                      <w:color w:val="auto"/>
                      <w:sz w:val="21"/>
                      <w:szCs w:val="21"/>
                    </w:rPr>
                    <w:t>μg/m</w:t>
                  </w:r>
                  <w:r>
                    <w:rPr>
                      <w:color w:val="auto"/>
                      <w:sz w:val="21"/>
                      <w:szCs w:val="21"/>
                      <w:vertAlign w:val="superscript"/>
                    </w:rPr>
                    <w:t>3</w:t>
                  </w:r>
                </w:p>
              </w:tc>
              <w:tc>
                <w:tcPr>
                  <w:tcW w:w="1791"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97" w:hRule="atLeast"/>
                <w:jc w:val="center"/>
              </w:trPr>
              <w:tc>
                <w:tcPr>
                  <w:tcW w:w="935" w:type="pct"/>
                  <w:vMerge w:val="continue"/>
                  <w:tcBorders>
                    <w:tl2br w:val="nil"/>
                    <w:tr2bl w:val="nil"/>
                  </w:tcBorders>
                  <w:vAlign w:val="center"/>
                </w:tcPr>
                <w:p>
                  <w:pPr>
                    <w:spacing w:line="240" w:lineRule="auto"/>
                    <w:ind w:firstLine="0" w:firstLineChars="0"/>
                    <w:jc w:val="center"/>
                    <w:rPr>
                      <w:color w:val="auto"/>
                      <w:sz w:val="21"/>
                      <w:szCs w:val="21"/>
                    </w:rPr>
                  </w:pPr>
                </w:p>
              </w:tc>
              <w:tc>
                <w:tcPr>
                  <w:tcW w:w="1140" w:type="pct"/>
                  <w:tcBorders>
                    <w:tl2br w:val="nil"/>
                    <w:tr2bl w:val="nil"/>
                  </w:tcBorders>
                  <w:vAlign w:val="center"/>
                </w:tcPr>
                <w:p>
                  <w:pPr>
                    <w:autoSpaceDN w:val="0"/>
                    <w:spacing w:line="240" w:lineRule="auto"/>
                    <w:ind w:firstLine="0" w:firstLineChars="0"/>
                    <w:jc w:val="center"/>
                    <w:textAlignment w:val="center"/>
                    <w:rPr>
                      <w:color w:val="auto"/>
                      <w:sz w:val="21"/>
                      <w:szCs w:val="21"/>
                    </w:rPr>
                  </w:pPr>
                  <w:r>
                    <w:rPr>
                      <w:color w:val="auto"/>
                      <w:sz w:val="21"/>
                      <w:szCs w:val="21"/>
                      <w:lang w:bidi="ar"/>
                    </w:rPr>
                    <w:t>1小时平均</w:t>
                  </w:r>
                </w:p>
              </w:tc>
              <w:tc>
                <w:tcPr>
                  <w:tcW w:w="1133" w:type="pct"/>
                  <w:tcBorders>
                    <w:tl2br w:val="nil"/>
                    <w:tr2bl w:val="nil"/>
                  </w:tcBorders>
                  <w:vAlign w:val="center"/>
                </w:tcPr>
                <w:p>
                  <w:pPr>
                    <w:autoSpaceDN w:val="0"/>
                    <w:spacing w:line="240" w:lineRule="auto"/>
                    <w:ind w:firstLine="0" w:firstLineChars="0"/>
                    <w:jc w:val="center"/>
                    <w:textAlignment w:val="center"/>
                    <w:rPr>
                      <w:color w:val="auto"/>
                      <w:sz w:val="21"/>
                      <w:szCs w:val="21"/>
                    </w:rPr>
                  </w:pPr>
                  <w:r>
                    <w:rPr>
                      <w:color w:val="auto"/>
                      <w:sz w:val="21"/>
                      <w:szCs w:val="21"/>
                      <w:lang w:bidi="ar"/>
                    </w:rPr>
                    <w:t>200</w:t>
                  </w:r>
                  <w:r>
                    <w:rPr>
                      <w:color w:val="auto"/>
                      <w:sz w:val="21"/>
                      <w:szCs w:val="21"/>
                    </w:rPr>
                    <w:t>μg/m</w:t>
                  </w:r>
                  <w:r>
                    <w:rPr>
                      <w:color w:val="auto"/>
                      <w:sz w:val="21"/>
                      <w:szCs w:val="21"/>
                      <w:vertAlign w:val="superscript"/>
                    </w:rPr>
                    <w:t>3</w:t>
                  </w:r>
                </w:p>
              </w:tc>
              <w:tc>
                <w:tcPr>
                  <w:tcW w:w="1791"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5" w:type="pct"/>
                  <w:tcBorders>
                    <w:tl2br w:val="nil"/>
                    <w:tr2bl w:val="nil"/>
                  </w:tcBorders>
                  <w:vAlign w:val="center"/>
                </w:tcPr>
                <w:p>
                  <w:pPr>
                    <w:pStyle w:val="36"/>
                    <w:rPr>
                      <w:color w:val="auto"/>
                    </w:rPr>
                  </w:pPr>
                  <w:r>
                    <w:rPr>
                      <w:color w:val="auto"/>
                    </w:rPr>
                    <w:t>非甲烷总烃</w:t>
                  </w:r>
                </w:p>
              </w:tc>
              <w:tc>
                <w:tcPr>
                  <w:tcW w:w="1140" w:type="pct"/>
                  <w:tcBorders>
                    <w:tl2br w:val="nil"/>
                    <w:tr2bl w:val="nil"/>
                  </w:tcBorders>
                  <w:vAlign w:val="center"/>
                </w:tcPr>
                <w:p>
                  <w:pPr>
                    <w:pStyle w:val="36"/>
                    <w:rPr>
                      <w:color w:val="auto"/>
                    </w:rPr>
                  </w:pPr>
                  <w:r>
                    <w:rPr>
                      <w:color w:val="auto"/>
                    </w:rPr>
                    <w:t>小时均值</w:t>
                  </w:r>
                </w:p>
              </w:tc>
              <w:tc>
                <w:tcPr>
                  <w:tcW w:w="1133" w:type="pct"/>
                  <w:tcBorders>
                    <w:tl2br w:val="nil"/>
                    <w:tr2bl w:val="nil"/>
                  </w:tcBorders>
                  <w:vAlign w:val="center"/>
                </w:tcPr>
                <w:p>
                  <w:pPr>
                    <w:pStyle w:val="36"/>
                    <w:rPr>
                      <w:color w:val="auto"/>
                    </w:rPr>
                  </w:pPr>
                  <w:r>
                    <w:rPr>
                      <w:color w:val="auto"/>
                    </w:rPr>
                    <w:t>2.0mg/m</w:t>
                  </w:r>
                  <w:r>
                    <w:rPr>
                      <w:color w:val="auto"/>
                      <w:vertAlign w:val="superscript"/>
                    </w:rPr>
                    <w:t>3</w:t>
                  </w:r>
                </w:p>
              </w:tc>
              <w:tc>
                <w:tcPr>
                  <w:tcW w:w="1791" w:type="pct"/>
                  <w:tcBorders>
                    <w:tl2br w:val="nil"/>
                    <w:tr2bl w:val="nil"/>
                  </w:tcBorders>
                  <w:vAlign w:val="center"/>
                </w:tcPr>
                <w:p>
                  <w:pPr>
                    <w:pStyle w:val="36"/>
                    <w:rPr>
                      <w:color w:val="auto"/>
                    </w:rPr>
                  </w:pPr>
                  <w:r>
                    <w:rPr>
                      <w:color w:val="auto"/>
                    </w:rPr>
                    <w:t>《大气污染物综合排放标准详解》</w:t>
                  </w:r>
                  <w:r>
                    <w:rPr>
                      <w:rFonts w:hint="eastAsia"/>
                      <w:color w:val="auto"/>
                    </w:rPr>
                    <w:t>（生态环境部</w:t>
                  </w:r>
                  <w:r>
                    <w:rPr>
                      <w:color w:val="auto"/>
                    </w:rPr>
                    <w:t>科技标准司</w:t>
                  </w:r>
                  <w:r>
                    <w:rPr>
                      <w:rFonts w:hint="eastAsia"/>
                      <w:color w:val="auto"/>
                    </w:rPr>
                    <w:t>）</w:t>
                  </w:r>
                </w:p>
              </w:tc>
            </w:tr>
          </w:tbl>
          <w:p>
            <w:pPr>
              <w:adjustRightInd w:val="0"/>
              <w:snapToGrid w:val="0"/>
              <w:ind w:firstLine="480"/>
              <w:rPr>
                <w:rFonts w:cs="Times New Roman"/>
                <w:color w:val="auto"/>
              </w:rPr>
            </w:pPr>
            <w:r>
              <w:rPr>
                <w:rFonts w:cs="Times New Roman"/>
                <w:color w:val="auto"/>
              </w:rPr>
              <w:t>（2）环境空气质量现状</w:t>
            </w:r>
          </w:p>
          <w:p>
            <w:pPr>
              <w:pStyle w:val="129"/>
              <w:ind w:firstLine="480"/>
              <w:rPr>
                <w:rFonts w:cs="Times New Roman"/>
                <w:color w:val="auto"/>
              </w:rPr>
            </w:pPr>
            <w:r>
              <w:rPr>
                <w:rFonts w:cs="Times New Roman"/>
                <w:color w:val="auto"/>
              </w:rPr>
              <w:t>①项目所在区域环境质量达标分析</w:t>
            </w:r>
          </w:p>
          <w:p>
            <w:pPr>
              <w:pStyle w:val="129"/>
              <w:ind w:firstLine="480"/>
              <w:rPr>
                <w:rFonts w:cs="Times New Roman"/>
                <w:color w:val="auto"/>
              </w:rPr>
            </w:pPr>
            <w:r>
              <w:rPr>
                <w:rFonts w:cs="Times New Roman"/>
                <w:color w:val="auto"/>
              </w:rPr>
              <w:t>根据福建省生态环境厅发布的</w:t>
            </w:r>
            <w:r>
              <w:rPr>
                <w:rFonts w:hint="eastAsia" w:cs="Times New Roman"/>
                <w:color w:val="auto"/>
              </w:rPr>
              <w:t>“2024年12月福建省城市环境空气质量状况”</w:t>
            </w:r>
            <w:r>
              <w:rPr>
                <w:rFonts w:cs="Times New Roman"/>
                <w:color w:val="auto"/>
              </w:rPr>
              <w:t>（</w:t>
            </w:r>
            <w:r>
              <w:rPr>
                <w:rFonts w:hint="eastAsia" w:cs="Times New Roman"/>
                <w:color w:val="auto"/>
              </w:rPr>
              <w:t>https://sthjt.fujian.gov.cn/zwgk/sjfb/hjsj/zlph/202502/t20250208_6712419.htm</w:t>
            </w:r>
            <w:r>
              <w:rPr>
                <w:rFonts w:cs="Times New Roman"/>
                <w:color w:val="auto"/>
              </w:rPr>
              <w:t>）</w:t>
            </w:r>
            <w:r>
              <w:rPr>
                <w:rFonts w:hint="eastAsia" w:cs="Times New Roman"/>
                <w:color w:val="auto"/>
              </w:rPr>
              <w:t>显示：</w:t>
            </w:r>
            <w:r>
              <w:rPr>
                <w:rFonts w:cs="Times New Roman"/>
                <w:color w:val="auto"/>
              </w:rPr>
              <w:t>202</w:t>
            </w:r>
            <w:r>
              <w:rPr>
                <w:rFonts w:hint="eastAsia" w:cs="Times New Roman"/>
                <w:color w:val="auto"/>
              </w:rPr>
              <w:t>4</w:t>
            </w:r>
            <w:r>
              <w:rPr>
                <w:rFonts w:cs="Times New Roman"/>
                <w:color w:val="auto"/>
              </w:rPr>
              <w:t>年1-12月，福州市环境空气质量综合指数2.</w:t>
            </w:r>
            <w:r>
              <w:rPr>
                <w:rFonts w:hint="eastAsia" w:cs="Times New Roman"/>
                <w:color w:val="auto"/>
              </w:rPr>
              <w:t>4</w:t>
            </w:r>
            <w:r>
              <w:rPr>
                <w:rFonts w:cs="Times New Roman"/>
                <w:color w:val="auto"/>
              </w:rPr>
              <w:t>0，达标天数比例在98.1%，各污染物平均浓度均优于《环境空气质量标准》（GB 3095-2012）中二级标准限值，</w:t>
            </w:r>
            <w:r>
              <w:rPr>
                <w:rFonts w:hint="eastAsia" w:cs="Times New Roman"/>
                <w:color w:val="auto"/>
              </w:rPr>
              <w:t>福清市</w:t>
            </w:r>
            <w:r>
              <w:rPr>
                <w:rFonts w:cs="Times New Roman"/>
                <w:color w:val="auto"/>
              </w:rPr>
              <w:t>环境空气质量综合指数</w:t>
            </w:r>
            <w:r>
              <w:rPr>
                <w:rFonts w:hint="eastAsia" w:cs="Times New Roman"/>
                <w:color w:val="auto"/>
              </w:rPr>
              <w:t>2.17</w:t>
            </w:r>
            <w:r>
              <w:rPr>
                <w:rFonts w:cs="Times New Roman"/>
                <w:color w:val="auto"/>
              </w:rPr>
              <w:t>，达标天数比例在</w:t>
            </w:r>
            <w:r>
              <w:rPr>
                <w:rFonts w:hint="eastAsia" w:cs="Times New Roman"/>
                <w:color w:val="auto"/>
              </w:rPr>
              <w:t>99.7</w:t>
            </w:r>
            <w:r>
              <w:rPr>
                <w:rFonts w:cs="Times New Roman"/>
                <w:color w:val="auto"/>
              </w:rPr>
              <w:t>%，因此</w:t>
            </w:r>
            <w:r>
              <w:rPr>
                <w:rFonts w:hint="eastAsia" w:cs="Times New Roman"/>
                <w:color w:val="auto"/>
              </w:rPr>
              <w:t>福清市</w:t>
            </w:r>
            <w:r>
              <w:rPr>
                <w:rFonts w:cs="Times New Roman"/>
                <w:color w:val="auto"/>
              </w:rPr>
              <w:t>属于达标区</w:t>
            </w:r>
            <w:r>
              <w:rPr>
                <w:rFonts w:hint="eastAsia" w:cs="Times New Roman"/>
                <w:color w:val="auto"/>
              </w:rPr>
              <w:t>，</w:t>
            </w:r>
            <w:r>
              <w:rPr>
                <w:rFonts w:cs="Times New Roman"/>
                <w:color w:val="auto"/>
              </w:rPr>
              <w:t>详见图3.1-1</w:t>
            </w:r>
            <w:r>
              <w:rPr>
                <w:rFonts w:hint="eastAsia" w:cs="Times New Roman"/>
                <w:color w:val="auto"/>
              </w:rPr>
              <w:t>和图3.1-2</w:t>
            </w:r>
            <w:r>
              <w:rPr>
                <w:rFonts w:cs="Times New Roman"/>
                <w:color w:val="auto"/>
              </w:rPr>
              <w:t>。</w:t>
            </w:r>
          </w:p>
          <w:p>
            <w:pPr>
              <w:pStyle w:val="168"/>
              <w:spacing w:line="240" w:lineRule="auto"/>
              <w:ind w:firstLine="0" w:firstLineChars="0"/>
              <w:rPr>
                <w:rFonts w:cs="Times New Roman"/>
                <w:color w:val="auto"/>
              </w:rPr>
            </w:pPr>
            <w:r>
              <w:rPr>
                <w:color w:val="auto"/>
              </w:rPr>
              <w:pict>
                <v:rect id="_x0000_s2051" o:spid="_x0000_s2051" o:spt="1" style="position:absolute;left:0pt;margin-left:21.7pt;margin-top:95.55pt;height:20pt;width:403pt;z-index:251659264;mso-width-relative:page;mso-height-relative:page;" filled="f" stroked="t" coordsize="21600,21600">
                  <v:path/>
                  <v:fill on="f" focussize="0,0"/>
                  <v:stroke weight="1pt" color="#FF0000"/>
                  <v:imagedata o:title=""/>
                  <o:lock v:ext="edit"/>
                </v:rect>
              </w:pict>
            </w:r>
            <w:r>
              <w:rPr>
                <w:color w:val="auto"/>
              </w:rPr>
              <w:pict>
                <v:shape id="_x0000_i1030" o:spt="75" type="#_x0000_t75" style="height:258.6pt;width:423pt;" filled="f" o:preferrelative="t" stroked="f" coordsize="21600,21600">
                  <v:path/>
                  <v:fill on="f" focussize="0,0"/>
                  <v:stroke on="f" joinstyle="miter"/>
                  <v:imagedata r:id="rId15" o:title=""/>
                  <o:lock v:ext="edit" aspectratio="t"/>
                  <w10:wrap type="none"/>
                  <w10:anchorlock/>
                </v:shape>
              </w:pict>
            </w:r>
          </w:p>
          <w:p>
            <w:pPr>
              <w:pStyle w:val="168"/>
              <w:ind w:firstLine="480"/>
              <w:jc w:val="center"/>
              <w:rPr>
                <w:rFonts w:eastAsia="黑体" w:cs="Times New Roman"/>
                <w:color w:val="auto"/>
                <w:lang w:val="zh-CN" w:bidi="he-IL"/>
              </w:rPr>
            </w:pPr>
            <w:r>
              <w:rPr>
                <w:rFonts w:eastAsia="黑体" w:cs="Times New Roman"/>
                <w:color w:val="auto"/>
                <w:lang w:val="zh-CN" w:bidi="he-IL"/>
              </w:rPr>
              <w:t>图3.1</w:t>
            </w:r>
            <w:r>
              <w:rPr>
                <w:rFonts w:eastAsia="黑体" w:cs="Times New Roman"/>
                <w:color w:val="auto"/>
                <w:lang w:bidi="he-IL"/>
              </w:rPr>
              <w:t xml:space="preserve">-1 </w:t>
            </w:r>
            <w:r>
              <w:rPr>
                <w:rFonts w:hint="eastAsia" w:eastAsia="黑体" w:cs="Times New Roman"/>
                <w:color w:val="auto"/>
                <w:lang w:bidi="he-IL"/>
              </w:rPr>
              <w:t xml:space="preserve"> 2024年1-12月设区城市环境空气质量状况</w:t>
            </w:r>
            <w:r>
              <w:rPr>
                <w:rFonts w:eastAsia="黑体" w:cs="Times New Roman"/>
                <w:color w:val="auto"/>
                <w:lang w:val="zh-CN" w:bidi="he-IL"/>
              </w:rPr>
              <w:t>（截图）</w:t>
            </w:r>
          </w:p>
          <w:p>
            <w:pPr>
              <w:ind w:firstLine="0" w:firstLineChars="0"/>
              <w:rPr>
                <w:rFonts w:cs="Times New Roman"/>
                <w:color w:val="auto"/>
              </w:rPr>
            </w:pPr>
            <w:r>
              <w:rPr>
                <w:color w:val="auto"/>
              </w:rPr>
              <w:pict>
                <v:rect id="_x0000_s2234" o:spid="_x0000_s2234" o:spt="1" style="position:absolute;left:0pt;margin-left:16.45pt;margin-top:121.55pt;height:20pt;width:403pt;z-index:251659264;mso-width-relative:page;mso-height-relative:page;" filled="f" stroked="t" coordsize="21600,21600">
                  <v:path/>
                  <v:fill on="f" focussize="0,0"/>
                  <v:stroke weight="1pt" color="#FF0000"/>
                  <v:imagedata o:title=""/>
                  <o:lock v:ext="edit"/>
                </v:rect>
              </w:pict>
            </w:r>
            <w:r>
              <w:rPr>
                <w:color w:val="auto"/>
              </w:rPr>
              <w:pict>
                <v:shape id="_x0000_i1031" o:spt="75" type="#_x0000_t75" style="height:216pt;width:421.2pt;" filled="f" o:preferrelative="t" stroked="f" coordsize="21600,21600">
                  <v:path/>
                  <v:fill on="f" focussize="0,0"/>
                  <v:stroke on="f" joinstyle="miter"/>
                  <v:imagedata r:id="rId16" o:title=""/>
                  <o:lock v:ext="edit" aspectratio="t"/>
                  <w10:wrap type="none"/>
                  <w10:anchorlock/>
                </v:shape>
              </w:pict>
            </w:r>
          </w:p>
          <w:p>
            <w:pPr>
              <w:pStyle w:val="168"/>
              <w:ind w:firstLine="480"/>
              <w:jc w:val="center"/>
              <w:rPr>
                <w:rFonts w:eastAsia="黑体" w:cs="Times New Roman"/>
                <w:color w:val="auto"/>
                <w:lang w:val="zh-CN" w:bidi="he-IL"/>
              </w:rPr>
            </w:pPr>
            <w:r>
              <w:rPr>
                <w:rFonts w:eastAsia="黑体" w:cs="Times New Roman"/>
                <w:color w:val="auto"/>
                <w:lang w:val="zh-CN" w:bidi="he-IL"/>
              </w:rPr>
              <w:t>图3.1</w:t>
            </w:r>
            <w:r>
              <w:rPr>
                <w:rFonts w:eastAsia="黑体" w:cs="Times New Roman"/>
                <w:color w:val="auto"/>
                <w:lang w:bidi="he-IL"/>
              </w:rPr>
              <w:t>-</w:t>
            </w:r>
            <w:r>
              <w:rPr>
                <w:rFonts w:hint="eastAsia" w:eastAsia="黑体" w:cs="Times New Roman"/>
                <w:color w:val="auto"/>
                <w:lang w:bidi="he-IL"/>
              </w:rPr>
              <w:t>2</w:t>
            </w:r>
            <w:r>
              <w:rPr>
                <w:rFonts w:eastAsia="黑体" w:cs="Times New Roman"/>
                <w:color w:val="auto"/>
                <w:lang w:bidi="he-IL"/>
              </w:rPr>
              <w:t xml:space="preserve"> </w:t>
            </w:r>
            <w:r>
              <w:rPr>
                <w:rFonts w:hint="eastAsia" w:eastAsia="黑体" w:cs="Times New Roman"/>
                <w:color w:val="auto"/>
                <w:lang w:bidi="he-IL"/>
              </w:rPr>
              <w:t xml:space="preserve"> 2024年1-12月县级城市环境空气质量状况</w:t>
            </w:r>
            <w:r>
              <w:rPr>
                <w:rFonts w:eastAsia="黑体" w:cs="Times New Roman"/>
                <w:color w:val="auto"/>
                <w:lang w:val="zh-CN" w:bidi="he-IL"/>
              </w:rPr>
              <w:t>（截图）</w:t>
            </w:r>
          </w:p>
          <w:p>
            <w:pPr>
              <w:ind w:firstLine="480"/>
              <w:rPr>
                <w:rFonts w:cs="Times New Roman"/>
                <w:color w:val="auto"/>
                <w:sz w:val="21"/>
                <w:szCs w:val="21"/>
              </w:rPr>
            </w:pPr>
            <w:r>
              <w:rPr>
                <w:rFonts w:hint="eastAsia"/>
                <w:color w:val="auto"/>
              </w:rPr>
              <w:t>②</w:t>
            </w:r>
            <w:r>
              <w:rPr>
                <w:rFonts w:hint="eastAsia" w:cs="Times New Roman"/>
                <w:color w:val="auto"/>
              </w:rPr>
              <w:t>引用</w:t>
            </w:r>
            <w:r>
              <w:rPr>
                <w:rFonts w:cs="Times New Roman"/>
                <w:color w:val="auto"/>
              </w:rPr>
              <w:t>数据有效性分析</w:t>
            </w:r>
          </w:p>
          <w:p>
            <w:pPr>
              <w:spacing w:line="336" w:lineRule="auto"/>
              <w:ind w:firstLine="480"/>
              <w:rPr>
                <w:rFonts w:cs="Times New Roman"/>
                <w:color w:val="auto"/>
              </w:rPr>
            </w:pPr>
            <w:r>
              <w:rPr>
                <w:rFonts w:cs="Times New Roman"/>
                <w:color w:val="auto"/>
              </w:rPr>
              <w:t>根据《建设项目环境影响报告表编制技术指南（污染影响类）（试行）》（环办环评〔2020〕33号）的要求</w:t>
            </w:r>
            <w:r>
              <w:rPr>
                <w:rFonts w:hint="eastAsia" w:cs="Times New Roman"/>
                <w:color w:val="auto"/>
              </w:rPr>
              <w:t>：</w:t>
            </w:r>
            <w:r>
              <w:rPr>
                <w:rFonts w:cs="Times New Roman"/>
                <w:color w:val="auto"/>
              </w:rPr>
              <w:t>常规污染物引用与建设项目距离近的有效数据，包括近3年的规划环境影响评价的监测数据，国家、地方环境空气质量监测网数据或生态环境主管部门公开发布的质量数据等。排放国家、地方环境空气质量标准中有标准限值要求的特征污染物时，引用建设项目周边5千米范围内近3年的现有监测数据，无相关数据的选择当季主导风向下风向1个点位补充不少于3天的监测数据。</w:t>
            </w:r>
          </w:p>
          <w:p>
            <w:pPr>
              <w:spacing w:line="336" w:lineRule="auto"/>
              <w:ind w:firstLine="480"/>
              <w:rPr>
                <w:rFonts w:cs="Times New Roman"/>
                <w:color w:val="auto"/>
              </w:rPr>
            </w:pPr>
            <w:r>
              <w:rPr>
                <w:rFonts w:hint="eastAsia"/>
                <w:color w:val="auto"/>
              </w:rPr>
              <w:t>本次评价选取</w:t>
            </w:r>
            <w:r>
              <w:rPr>
                <w:rFonts w:hint="eastAsia" w:cs="Times New Roman"/>
                <w:color w:val="auto"/>
              </w:rPr>
              <w:t>福建省生态环境厅发布的关于2024年1-12月设区城市环境空气质量状况</w:t>
            </w:r>
            <w:r>
              <w:rPr>
                <w:rFonts w:cs="Times New Roman"/>
                <w:color w:val="auto"/>
              </w:rPr>
              <w:t>，符合《建设项目环境影响报告表编制技术指南（污染影响类）（试行）》（环办环评〔2020〕33号）的要求。</w:t>
            </w:r>
          </w:p>
          <w:p>
            <w:pPr>
              <w:pStyle w:val="38"/>
              <w:spacing w:line="336" w:lineRule="auto"/>
              <w:ind w:firstLine="480"/>
              <w:rPr>
                <w:rFonts w:cs="Times New Roman"/>
                <w:color w:val="auto"/>
              </w:rPr>
            </w:pPr>
            <w:r>
              <w:rPr>
                <w:rFonts w:cs="Times New Roman"/>
                <w:color w:val="auto"/>
              </w:rPr>
              <w:t>（</w:t>
            </w:r>
            <w:r>
              <w:rPr>
                <w:rFonts w:hint="eastAsia" w:cs="Times New Roman"/>
                <w:color w:val="auto"/>
              </w:rPr>
              <w:t>3</w:t>
            </w:r>
            <w:r>
              <w:rPr>
                <w:rFonts w:cs="Times New Roman"/>
                <w:color w:val="auto"/>
              </w:rPr>
              <w:t>）</w:t>
            </w:r>
            <w:r>
              <w:rPr>
                <w:rFonts w:hint="eastAsia"/>
                <w:color w:val="auto"/>
              </w:rPr>
              <w:t>其他污染因子</w:t>
            </w:r>
          </w:p>
          <w:p>
            <w:pPr>
              <w:spacing w:line="336" w:lineRule="auto"/>
              <w:ind w:firstLine="480"/>
              <w:rPr>
                <w:rFonts w:cs="Times New Roman"/>
                <w:color w:val="auto"/>
              </w:rPr>
            </w:pPr>
            <w:r>
              <w:rPr>
                <w:rFonts w:cs="Times New Roman"/>
                <w:color w:val="auto"/>
              </w:rPr>
              <w:t>根据生态环境部环境工程评估中心</w:t>
            </w:r>
            <w:r>
              <w:rPr>
                <w:rFonts w:hint="eastAsia" w:cs="Times New Roman"/>
                <w:color w:val="auto"/>
              </w:rPr>
              <w:t>“</w:t>
            </w:r>
            <w:r>
              <w:rPr>
                <w:rFonts w:cs="Times New Roman"/>
                <w:color w:val="auto"/>
              </w:rPr>
              <w:t>《建设项目环境影响报告表》内容、格式及编制技术指南常见问题解答</w:t>
            </w:r>
            <w:r>
              <w:rPr>
                <w:rFonts w:hint="eastAsia" w:cs="Times New Roman"/>
                <w:color w:val="auto"/>
              </w:rPr>
              <w:t>”</w:t>
            </w:r>
            <w:r>
              <w:rPr>
                <w:rFonts w:cs="Times New Roman"/>
                <w:color w:val="auto"/>
              </w:rPr>
              <w:t>：</w:t>
            </w:r>
            <w:r>
              <w:rPr>
                <w:rFonts w:hint="eastAsia" w:cs="Times New Roman"/>
                <w:color w:val="auto"/>
              </w:rPr>
              <w:t>“</w:t>
            </w:r>
            <w:r>
              <w:rPr>
                <w:rFonts w:cs="Times New Roman"/>
                <w:color w:val="auto"/>
              </w:rPr>
              <w:t>技术指南中提到</w:t>
            </w:r>
            <w:r>
              <w:rPr>
                <w:rFonts w:hint="eastAsia" w:cs="Times New Roman"/>
                <w:color w:val="auto"/>
              </w:rPr>
              <w:t>“</w:t>
            </w:r>
            <w:r>
              <w:rPr>
                <w:rFonts w:cs="Times New Roman"/>
                <w:color w:val="auto"/>
              </w:rPr>
              <w:t>排放国家、地方环境空气质量标准中有标准限值要求的特征污染物</w:t>
            </w:r>
            <w:r>
              <w:rPr>
                <w:rFonts w:hint="eastAsia" w:cs="Times New Roman"/>
                <w:color w:val="auto"/>
              </w:rPr>
              <w:t>”</w:t>
            </w:r>
            <w:r>
              <w:rPr>
                <w:rFonts w:cs="Times New Roman"/>
                <w:color w:val="auto"/>
              </w:rPr>
              <w:t>，其中环境空气质量标准指《环境空气质量标准》（GB</w:t>
            </w:r>
            <w:r>
              <w:rPr>
                <w:rFonts w:hint="eastAsia" w:cs="Times New Roman"/>
                <w:color w:val="auto"/>
              </w:rPr>
              <w:t xml:space="preserve"> </w:t>
            </w:r>
            <w:r>
              <w:rPr>
                <w:rFonts w:cs="Times New Roman"/>
                <w:color w:val="auto"/>
              </w:rPr>
              <w:t>3095）和地方的环境空气质量标准，不包括《环境影响评价技术导则大气环境》（HJ</w:t>
            </w:r>
            <w:r>
              <w:rPr>
                <w:rFonts w:hint="eastAsia" w:cs="Times New Roman"/>
                <w:color w:val="auto"/>
              </w:rPr>
              <w:t xml:space="preserve"> </w:t>
            </w:r>
            <w:r>
              <w:rPr>
                <w:rFonts w:cs="Times New Roman"/>
                <w:color w:val="auto"/>
              </w:rPr>
              <w:t>2.2-2018）附录D、《工业企业设计卫生标准》（TJ</w:t>
            </w:r>
            <w:r>
              <w:rPr>
                <w:rFonts w:hint="eastAsia" w:cs="Times New Roman"/>
                <w:color w:val="auto"/>
              </w:rPr>
              <w:t xml:space="preserve"> </w:t>
            </w:r>
            <w:r>
              <w:rPr>
                <w:rFonts w:cs="Times New Roman"/>
                <w:color w:val="auto"/>
              </w:rPr>
              <w:t>36-97）、《前苏联居住区标准》（CH</w:t>
            </w:r>
            <w:r>
              <w:rPr>
                <w:rFonts w:hint="eastAsia" w:cs="Times New Roman"/>
                <w:color w:val="auto"/>
              </w:rPr>
              <w:t xml:space="preserve"> </w:t>
            </w:r>
            <w:r>
              <w:rPr>
                <w:rFonts w:cs="Times New Roman"/>
                <w:color w:val="auto"/>
              </w:rPr>
              <w:t>245-71）、《环境影响评价技术导则制药建设项目》（HJ</w:t>
            </w:r>
            <w:r>
              <w:rPr>
                <w:rFonts w:hint="eastAsia" w:cs="Times New Roman"/>
                <w:color w:val="auto"/>
              </w:rPr>
              <w:t xml:space="preserve"> </w:t>
            </w:r>
            <w:r>
              <w:rPr>
                <w:rFonts w:cs="Times New Roman"/>
                <w:color w:val="auto"/>
              </w:rPr>
              <w:t>611-2011）、《大气污染物综合排放标准详解》等导则或参考资料。排放的特征污染物需要在国家、地方环境空气质量标准中有限值要求才涉及现状监测</w:t>
            </w:r>
            <w:r>
              <w:rPr>
                <w:rFonts w:hint="eastAsia" w:cs="Times New Roman"/>
                <w:color w:val="auto"/>
                <w:lang w:eastAsia="zh-CN"/>
              </w:rPr>
              <w:t>且</w:t>
            </w:r>
            <w:r>
              <w:rPr>
                <w:rFonts w:cs="Times New Roman"/>
                <w:color w:val="auto"/>
              </w:rPr>
              <w:t>优先引用现有监测数据。</w:t>
            </w:r>
            <w:r>
              <w:rPr>
                <w:rFonts w:hint="eastAsia" w:cs="Times New Roman"/>
                <w:color w:val="auto"/>
              </w:rPr>
              <w:t>”</w:t>
            </w:r>
          </w:p>
          <w:p>
            <w:pPr>
              <w:ind w:firstLine="480"/>
              <w:rPr>
                <w:rFonts w:cs="Times New Roman"/>
                <w:color w:val="auto"/>
              </w:rPr>
            </w:pPr>
            <w:r>
              <w:rPr>
                <w:rFonts w:hint="eastAsia" w:cs="Times New Roman"/>
                <w:color w:val="auto"/>
              </w:rPr>
              <w:t>本项目排放的其他污染物为非甲烷总烃，不属于</w:t>
            </w:r>
            <w:r>
              <w:rPr>
                <w:rFonts w:cs="Times New Roman"/>
                <w:color w:val="auto"/>
              </w:rPr>
              <w:t>《环境空气质量标准》（GB</w:t>
            </w:r>
            <w:r>
              <w:rPr>
                <w:rFonts w:hint="eastAsia" w:cs="Times New Roman"/>
                <w:color w:val="auto"/>
              </w:rPr>
              <w:t xml:space="preserve"> </w:t>
            </w:r>
            <w:r>
              <w:rPr>
                <w:rFonts w:cs="Times New Roman"/>
                <w:color w:val="auto"/>
              </w:rPr>
              <w:t>3095- 2012）</w:t>
            </w:r>
            <w:r>
              <w:rPr>
                <w:rFonts w:hint="eastAsia" w:cs="Times New Roman"/>
                <w:color w:val="auto"/>
              </w:rPr>
              <w:t>和地方的环境空气质量中有标准限值要求的污染物，因此，不进行现状检测评价。</w:t>
            </w:r>
          </w:p>
          <w:p>
            <w:pPr>
              <w:ind w:firstLine="0" w:firstLineChars="0"/>
              <w:rPr>
                <w:rFonts w:cs="Times New Roman"/>
                <w:color w:val="auto"/>
              </w:rPr>
            </w:pPr>
            <w:r>
              <w:rPr>
                <w:rFonts w:eastAsia="黑体" w:cs="Times New Roman"/>
                <w:color w:val="auto"/>
                <w:sz w:val="28"/>
                <w:szCs w:val="30"/>
              </w:rPr>
              <w:t>3.1.</w:t>
            </w:r>
            <w:r>
              <w:rPr>
                <w:rFonts w:hint="eastAsia" w:eastAsia="黑体" w:cs="Times New Roman"/>
                <w:color w:val="auto"/>
                <w:sz w:val="28"/>
                <w:szCs w:val="30"/>
              </w:rPr>
              <w:t>2</w:t>
            </w:r>
            <w:r>
              <w:rPr>
                <w:rFonts w:eastAsia="黑体" w:cs="Times New Roman"/>
                <w:color w:val="auto"/>
                <w:sz w:val="28"/>
                <w:szCs w:val="30"/>
              </w:rPr>
              <w:t>地表水环境</w:t>
            </w:r>
          </w:p>
          <w:p>
            <w:pPr>
              <w:wordWrap w:val="0"/>
              <w:ind w:firstLine="480"/>
              <w:rPr>
                <w:rFonts w:cs="Times New Roman"/>
                <w:color w:val="auto"/>
              </w:rPr>
            </w:pPr>
            <w:r>
              <w:rPr>
                <w:rFonts w:cs="Times New Roman"/>
                <w:color w:val="auto"/>
              </w:rPr>
              <w:t>（1）</w:t>
            </w:r>
            <w:r>
              <w:rPr>
                <w:rFonts w:hint="eastAsia" w:cs="Times New Roman"/>
                <w:color w:val="auto"/>
              </w:rPr>
              <w:t>地表水环境功能区划及质量标准</w:t>
            </w:r>
          </w:p>
          <w:p>
            <w:pPr>
              <w:ind w:firstLine="480"/>
              <w:rPr>
                <w:color w:val="auto"/>
              </w:rPr>
            </w:pPr>
            <w:r>
              <w:rPr>
                <w:color w:val="auto"/>
              </w:rPr>
              <w:t>本项目</w:t>
            </w:r>
            <w:r>
              <w:rPr>
                <w:rFonts w:hint="eastAsia"/>
                <w:color w:val="auto"/>
              </w:rPr>
              <w:t>无生产废水排放，</w:t>
            </w:r>
            <w:r>
              <w:rPr>
                <w:color w:val="auto"/>
              </w:rPr>
              <w:t>生活污水预处理后排入市政污水管网，送往</w:t>
            </w:r>
            <w:r>
              <w:rPr>
                <w:color w:val="auto"/>
                <w:szCs w:val="22"/>
              </w:rPr>
              <w:t>福清市融元污水处理厂进行处理</w:t>
            </w:r>
            <w:r>
              <w:rPr>
                <w:color w:val="auto"/>
              </w:rPr>
              <w:t>，污水处理厂尾水排入龙江，所处龙江</w:t>
            </w:r>
            <w:r>
              <w:rPr>
                <w:rFonts w:hint="eastAsia"/>
                <w:color w:val="auto"/>
              </w:rPr>
              <w:t>“</w:t>
            </w:r>
            <w:r>
              <w:rPr>
                <w:color w:val="auto"/>
              </w:rPr>
              <w:t>南门桥水闸至龙江入海口</w:t>
            </w:r>
            <w:r>
              <w:rPr>
                <w:rFonts w:hint="eastAsia"/>
                <w:color w:val="auto"/>
              </w:rPr>
              <w:t>”</w:t>
            </w:r>
            <w:r>
              <w:rPr>
                <w:color w:val="auto"/>
              </w:rPr>
              <w:t>断面；根据福州市水功能区划批复（榕政综〔2019〕316号）批准的《福州市水功能区划》，该断面水体主要功能为农业、工业、景观用水，环境功能类别为Ⅴ类，水质执行《地表水环境质量标准》</w:t>
            </w:r>
            <w:r>
              <w:rPr>
                <w:rFonts w:hint="eastAsia"/>
                <w:color w:val="auto"/>
              </w:rPr>
              <w:t>（</w:t>
            </w:r>
            <w:r>
              <w:rPr>
                <w:color w:val="auto"/>
              </w:rPr>
              <w:t>GB3838-2002</w:t>
            </w:r>
            <w:r>
              <w:rPr>
                <w:rFonts w:hint="eastAsia"/>
                <w:color w:val="auto"/>
              </w:rPr>
              <w:t>）</w:t>
            </w:r>
            <w:r>
              <w:rPr>
                <w:color w:val="auto"/>
              </w:rPr>
              <w:t>中Ⅴ类水质标准，详见表3.</w:t>
            </w:r>
            <w:r>
              <w:rPr>
                <w:rFonts w:hint="eastAsia"/>
                <w:color w:val="auto"/>
              </w:rPr>
              <w:t>1</w:t>
            </w:r>
            <w:r>
              <w:rPr>
                <w:color w:val="auto"/>
              </w:rPr>
              <w:t>-</w:t>
            </w:r>
            <w:r>
              <w:rPr>
                <w:rFonts w:hint="eastAsia"/>
                <w:color w:val="auto"/>
              </w:rPr>
              <w:t>2</w:t>
            </w:r>
            <w:r>
              <w:rPr>
                <w:color w:val="auto"/>
              </w:rPr>
              <w:t>。</w:t>
            </w:r>
          </w:p>
          <w:p>
            <w:pPr>
              <w:pStyle w:val="169"/>
              <w:rPr>
                <w:rFonts w:eastAsia="黑体" w:cs="Times New Roman"/>
                <w:b w:val="0"/>
                <w:color w:val="auto"/>
                <w:szCs w:val="24"/>
              </w:rPr>
            </w:pPr>
          </w:p>
          <w:p>
            <w:pPr>
              <w:pStyle w:val="169"/>
              <w:rPr>
                <w:rFonts w:eastAsia="黑体" w:cs="Times New Roman"/>
                <w:b w:val="0"/>
                <w:color w:val="auto"/>
                <w:szCs w:val="24"/>
              </w:rPr>
            </w:pPr>
          </w:p>
          <w:p>
            <w:pPr>
              <w:pStyle w:val="169"/>
              <w:rPr>
                <w:rFonts w:eastAsia="黑体" w:cs="Times New Roman"/>
                <w:b w:val="0"/>
                <w:color w:val="auto"/>
                <w:szCs w:val="24"/>
              </w:rPr>
            </w:pPr>
          </w:p>
          <w:p>
            <w:pPr>
              <w:pStyle w:val="169"/>
              <w:rPr>
                <w:rFonts w:eastAsia="黑体" w:cs="Times New Roman"/>
                <w:b w:val="0"/>
                <w:color w:val="auto"/>
                <w:szCs w:val="24"/>
              </w:rPr>
            </w:pPr>
          </w:p>
          <w:p>
            <w:pPr>
              <w:pStyle w:val="169"/>
              <w:rPr>
                <w:rFonts w:eastAsia="黑体" w:cs="Times New Roman"/>
                <w:b w:val="0"/>
                <w:color w:val="auto"/>
                <w:szCs w:val="24"/>
              </w:rPr>
            </w:pPr>
            <w:r>
              <w:rPr>
                <w:rFonts w:hint="eastAsia" w:eastAsia="黑体" w:cs="Times New Roman"/>
                <w:b w:val="0"/>
                <w:color w:val="auto"/>
                <w:szCs w:val="24"/>
              </w:rPr>
              <w:t xml:space="preserve">表3.1-2  地表水环境质量标准（摘要）  </w:t>
            </w:r>
          </w:p>
          <w:tbl>
            <w:tblPr>
              <w:tblStyle w:val="2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5"/>
              <w:gridCol w:w="1971"/>
              <w:gridCol w:w="2749"/>
              <w:gridCol w:w="29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8" w:type="pct"/>
                  <w:tcBorders>
                    <w:tl2br w:val="nil"/>
                    <w:tr2bl w:val="nil"/>
                  </w:tcBorders>
                  <w:shd w:val="clear" w:color="auto" w:fill="FFFFFF"/>
                  <w:vAlign w:val="center"/>
                </w:tcPr>
                <w:p>
                  <w:pPr>
                    <w:pStyle w:val="36"/>
                    <w:rPr>
                      <w:rFonts w:cs="Times New Roman"/>
                      <w:color w:val="auto"/>
                    </w:rPr>
                  </w:pPr>
                  <w:r>
                    <w:rPr>
                      <w:rFonts w:cs="Times New Roman"/>
                      <w:color w:val="auto"/>
                    </w:rPr>
                    <w:t>序号</w:t>
                  </w:r>
                </w:p>
              </w:tc>
              <w:tc>
                <w:tcPr>
                  <w:tcW w:w="1171" w:type="pct"/>
                  <w:tcBorders>
                    <w:tl2br w:val="nil"/>
                    <w:tr2bl w:val="nil"/>
                  </w:tcBorders>
                  <w:shd w:val="clear" w:color="auto" w:fill="FFFFFF"/>
                  <w:vAlign w:val="center"/>
                </w:tcPr>
                <w:p>
                  <w:pPr>
                    <w:pStyle w:val="36"/>
                    <w:rPr>
                      <w:rFonts w:cs="Times New Roman"/>
                      <w:color w:val="auto"/>
                    </w:rPr>
                  </w:pPr>
                  <w:r>
                    <w:rPr>
                      <w:rFonts w:cs="Times New Roman"/>
                      <w:color w:val="auto"/>
                    </w:rPr>
                    <w:t>项目</w:t>
                  </w:r>
                </w:p>
              </w:tc>
              <w:tc>
                <w:tcPr>
                  <w:tcW w:w="1632" w:type="pct"/>
                  <w:tcBorders>
                    <w:tl2br w:val="nil"/>
                    <w:tr2bl w:val="nil"/>
                  </w:tcBorders>
                  <w:shd w:val="clear" w:color="auto" w:fill="FFFFFF"/>
                  <w:vAlign w:val="center"/>
                </w:tcPr>
                <w:p>
                  <w:pPr>
                    <w:pStyle w:val="36"/>
                    <w:rPr>
                      <w:rFonts w:cs="Times New Roman"/>
                      <w:color w:val="auto"/>
                    </w:rPr>
                  </w:pPr>
                  <w:r>
                    <w:rPr>
                      <w:rFonts w:cs="Times New Roman"/>
                      <w:color w:val="auto"/>
                    </w:rPr>
                    <w:t>限值（mg/L）</w:t>
                  </w:r>
                </w:p>
              </w:tc>
              <w:tc>
                <w:tcPr>
                  <w:tcW w:w="1747" w:type="pct"/>
                  <w:tcBorders>
                    <w:tl2br w:val="nil"/>
                    <w:tr2bl w:val="nil"/>
                  </w:tcBorders>
                  <w:shd w:val="clear" w:color="auto" w:fill="FFFFFF"/>
                  <w:vAlign w:val="center"/>
                </w:tcPr>
                <w:p>
                  <w:pPr>
                    <w:pStyle w:val="36"/>
                    <w:rPr>
                      <w:rFonts w:cs="Times New Roman"/>
                      <w:color w:val="auto"/>
                    </w:rPr>
                  </w:pPr>
                  <w:r>
                    <w:rPr>
                      <w:rFonts w:cs="Times New Roman"/>
                      <w:color w:val="auto"/>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8" w:type="pct"/>
                  <w:tcBorders>
                    <w:tl2br w:val="nil"/>
                    <w:tr2bl w:val="nil"/>
                  </w:tcBorders>
                  <w:vAlign w:val="center"/>
                </w:tcPr>
                <w:p>
                  <w:pPr>
                    <w:pStyle w:val="36"/>
                    <w:rPr>
                      <w:rFonts w:cs="Times New Roman"/>
                      <w:color w:val="auto"/>
                    </w:rPr>
                  </w:pPr>
                  <w:r>
                    <w:rPr>
                      <w:rFonts w:cs="Times New Roman"/>
                      <w:color w:val="auto"/>
                    </w:rPr>
                    <w:t>1</w:t>
                  </w:r>
                </w:p>
              </w:tc>
              <w:tc>
                <w:tcPr>
                  <w:tcW w:w="1171" w:type="pct"/>
                  <w:tcBorders>
                    <w:tl2br w:val="nil"/>
                    <w:tr2bl w:val="nil"/>
                  </w:tcBorders>
                  <w:vAlign w:val="center"/>
                </w:tcPr>
                <w:p>
                  <w:pPr>
                    <w:pStyle w:val="36"/>
                    <w:rPr>
                      <w:rFonts w:cs="Times New Roman"/>
                      <w:color w:val="auto"/>
                    </w:rPr>
                  </w:pPr>
                  <w:r>
                    <w:rPr>
                      <w:rFonts w:cs="Times New Roman"/>
                      <w:color w:val="auto"/>
                    </w:rPr>
                    <w:t>pH</w:t>
                  </w:r>
                  <w:r>
                    <w:rPr>
                      <w:rFonts w:hint="eastAsia" w:cs="Times New Roman"/>
                      <w:color w:val="auto"/>
                    </w:rPr>
                    <w:t>值</w:t>
                  </w:r>
                  <w:r>
                    <w:rPr>
                      <w:rFonts w:cs="Times New Roman"/>
                      <w:color w:val="auto"/>
                    </w:rPr>
                    <w:t>（无量纲）</w:t>
                  </w:r>
                </w:p>
              </w:tc>
              <w:tc>
                <w:tcPr>
                  <w:tcW w:w="1632" w:type="pct"/>
                  <w:tcBorders>
                    <w:tl2br w:val="nil"/>
                    <w:tr2bl w:val="nil"/>
                  </w:tcBorders>
                  <w:vAlign w:val="center"/>
                </w:tcPr>
                <w:p>
                  <w:pPr>
                    <w:pStyle w:val="36"/>
                    <w:rPr>
                      <w:rFonts w:cs="Times New Roman"/>
                      <w:color w:val="auto"/>
                    </w:rPr>
                  </w:pPr>
                  <w:r>
                    <w:rPr>
                      <w:rFonts w:cs="Times New Roman"/>
                      <w:color w:val="auto"/>
                    </w:rPr>
                    <w:t>6～9</w:t>
                  </w:r>
                </w:p>
              </w:tc>
              <w:tc>
                <w:tcPr>
                  <w:tcW w:w="1747" w:type="pct"/>
                  <w:vMerge w:val="restart"/>
                  <w:tcBorders>
                    <w:tl2br w:val="nil"/>
                    <w:tr2bl w:val="nil"/>
                  </w:tcBorders>
                  <w:vAlign w:val="center"/>
                </w:tcPr>
                <w:p>
                  <w:pPr>
                    <w:pStyle w:val="36"/>
                    <w:rPr>
                      <w:rFonts w:cs="Times New Roman"/>
                      <w:color w:val="auto"/>
                    </w:rPr>
                  </w:pPr>
                  <w:r>
                    <w:rPr>
                      <w:rFonts w:cs="Times New Roman"/>
                      <w:color w:val="auto"/>
                    </w:rPr>
                    <w:t>《地表水环境质量标准》（GB3838-2002）Ⅴ类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8" w:type="pct"/>
                  <w:tcBorders>
                    <w:tl2br w:val="nil"/>
                    <w:tr2bl w:val="nil"/>
                  </w:tcBorders>
                  <w:vAlign w:val="center"/>
                </w:tcPr>
                <w:p>
                  <w:pPr>
                    <w:pStyle w:val="36"/>
                    <w:rPr>
                      <w:rFonts w:cs="Times New Roman"/>
                      <w:color w:val="auto"/>
                    </w:rPr>
                  </w:pPr>
                  <w:r>
                    <w:rPr>
                      <w:rFonts w:cs="Times New Roman"/>
                      <w:color w:val="auto"/>
                    </w:rPr>
                    <w:t>2</w:t>
                  </w:r>
                </w:p>
              </w:tc>
              <w:tc>
                <w:tcPr>
                  <w:tcW w:w="1171" w:type="pct"/>
                  <w:tcBorders>
                    <w:tl2br w:val="nil"/>
                    <w:tr2bl w:val="nil"/>
                  </w:tcBorders>
                  <w:vAlign w:val="center"/>
                </w:tcPr>
                <w:p>
                  <w:pPr>
                    <w:pStyle w:val="36"/>
                    <w:rPr>
                      <w:rFonts w:cs="Times New Roman"/>
                      <w:color w:val="auto"/>
                    </w:rPr>
                  </w:pPr>
                  <w:r>
                    <w:rPr>
                      <w:rFonts w:cs="Times New Roman"/>
                      <w:color w:val="auto"/>
                    </w:rPr>
                    <w:t>COD</w:t>
                  </w:r>
                </w:p>
              </w:tc>
              <w:tc>
                <w:tcPr>
                  <w:tcW w:w="1632" w:type="pct"/>
                  <w:tcBorders>
                    <w:tl2br w:val="nil"/>
                    <w:tr2bl w:val="nil"/>
                  </w:tcBorders>
                  <w:vAlign w:val="center"/>
                </w:tcPr>
                <w:p>
                  <w:pPr>
                    <w:pStyle w:val="36"/>
                    <w:rPr>
                      <w:rFonts w:cs="Times New Roman"/>
                      <w:color w:val="auto"/>
                    </w:rPr>
                  </w:pPr>
                  <w:r>
                    <w:rPr>
                      <w:rFonts w:cs="Times New Roman"/>
                      <w:color w:val="auto"/>
                    </w:rPr>
                    <w:t>≤40</w:t>
                  </w:r>
                </w:p>
              </w:tc>
              <w:tc>
                <w:tcPr>
                  <w:tcW w:w="1747" w:type="pct"/>
                  <w:vMerge w:val="continue"/>
                  <w:tcBorders>
                    <w:tl2br w:val="nil"/>
                    <w:tr2bl w:val="nil"/>
                  </w:tcBorders>
                  <w:vAlign w:val="center"/>
                </w:tcPr>
                <w:p>
                  <w:pPr>
                    <w:pStyle w:val="36"/>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8" w:type="pct"/>
                  <w:tcBorders>
                    <w:tl2br w:val="nil"/>
                    <w:tr2bl w:val="nil"/>
                  </w:tcBorders>
                  <w:vAlign w:val="center"/>
                </w:tcPr>
                <w:p>
                  <w:pPr>
                    <w:pStyle w:val="36"/>
                    <w:rPr>
                      <w:rFonts w:cs="Times New Roman"/>
                      <w:color w:val="auto"/>
                    </w:rPr>
                  </w:pPr>
                  <w:r>
                    <w:rPr>
                      <w:rFonts w:cs="Times New Roman"/>
                      <w:color w:val="auto"/>
                    </w:rPr>
                    <w:t>3</w:t>
                  </w:r>
                </w:p>
              </w:tc>
              <w:tc>
                <w:tcPr>
                  <w:tcW w:w="1171" w:type="pct"/>
                  <w:tcBorders>
                    <w:tl2br w:val="nil"/>
                    <w:tr2bl w:val="nil"/>
                  </w:tcBorders>
                  <w:vAlign w:val="center"/>
                </w:tcPr>
                <w:p>
                  <w:pPr>
                    <w:pStyle w:val="36"/>
                    <w:rPr>
                      <w:rFonts w:cs="Times New Roman"/>
                      <w:color w:val="auto"/>
                    </w:rPr>
                  </w:pPr>
                  <w:r>
                    <w:rPr>
                      <w:rFonts w:cs="Times New Roman"/>
                      <w:color w:val="auto"/>
                    </w:rPr>
                    <w:t>BOD</w:t>
                  </w:r>
                  <w:r>
                    <w:rPr>
                      <w:rFonts w:cs="Times New Roman"/>
                      <w:color w:val="auto"/>
                      <w:vertAlign w:val="subscript"/>
                    </w:rPr>
                    <w:t>5</w:t>
                  </w:r>
                </w:p>
              </w:tc>
              <w:tc>
                <w:tcPr>
                  <w:tcW w:w="1632" w:type="pct"/>
                  <w:tcBorders>
                    <w:tl2br w:val="nil"/>
                    <w:tr2bl w:val="nil"/>
                  </w:tcBorders>
                  <w:vAlign w:val="center"/>
                </w:tcPr>
                <w:p>
                  <w:pPr>
                    <w:pStyle w:val="36"/>
                    <w:rPr>
                      <w:rFonts w:cs="Times New Roman"/>
                      <w:color w:val="auto"/>
                    </w:rPr>
                  </w:pPr>
                  <w:r>
                    <w:rPr>
                      <w:rFonts w:cs="Times New Roman"/>
                      <w:color w:val="auto"/>
                    </w:rPr>
                    <w:t>≤10</w:t>
                  </w:r>
                </w:p>
              </w:tc>
              <w:tc>
                <w:tcPr>
                  <w:tcW w:w="1747" w:type="pct"/>
                  <w:vMerge w:val="continue"/>
                  <w:tcBorders>
                    <w:tl2br w:val="nil"/>
                    <w:tr2bl w:val="nil"/>
                  </w:tcBorders>
                  <w:vAlign w:val="center"/>
                </w:tcPr>
                <w:p>
                  <w:pPr>
                    <w:pStyle w:val="36"/>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8" w:type="pct"/>
                  <w:tcBorders>
                    <w:tl2br w:val="nil"/>
                    <w:tr2bl w:val="nil"/>
                  </w:tcBorders>
                  <w:vAlign w:val="center"/>
                </w:tcPr>
                <w:p>
                  <w:pPr>
                    <w:pStyle w:val="36"/>
                    <w:rPr>
                      <w:rFonts w:cs="Times New Roman"/>
                      <w:color w:val="auto"/>
                    </w:rPr>
                  </w:pPr>
                  <w:r>
                    <w:rPr>
                      <w:rFonts w:cs="Times New Roman"/>
                      <w:color w:val="auto"/>
                    </w:rPr>
                    <w:t>4</w:t>
                  </w:r>
                </w:p>
              </w:tc>
              <w:tc>
                <w:tcPr>
                  <w:tcW w:w="1171" w:type="pct"/>
                  <w:tcBorders>
                    <w:tl2br w:val="nil"/>
                    <w:tr2bl w:val="nil"/>
                  </w:tcBorders>
                  <w:vAlign w:val="center"/>
                </w:tcPr>
                <w:p>
                  <w:pPr>
                    <w:pStyle w:val="36"/>
                    <w:rPr>
                      <w:rFonts w:cs="Times New Roman"/>
                      <w:color w:val="auto"/>
                    </w:rPr>
                  </w:pPr>
                  <w:r>
                    <w:rPr>
                      <w:rFonts w:cs="Times New Roman"/>
                      <w:color w:val="auto"/>
                    </w:rPr>
                    <w:t>高锰酸盐指数</w:t>
                  </w:r>
                </w:p>
              </w:tc>
              <w:tc>
                <w:tcPr>
                  <w:tcW w:w="1632" w:type="pct"/>
                  <w:tcBorders>
                    <w:tl2br w:val="nil"/>
                    <w:tr2bl w:val="nil"/>
                  </w:tcBorders>
                  <w:vAlign w:val="center"/>
                </w:tcPr>
                <w:p>
                  <w:pPr>
                    <w:pStyle w:val="36"/>
                    <w:rPr>
                      <w:rFonts w:cs="Times New Roman"/>
                      <w:color w:val="auto"/>
                    </w:rPr>
                  </w:pPr>
                  <w:r>
                    <w:rPr>
                      <w:rFonts w:cs="Times New Roman"/>
                      <w:color w:val="auto"/>
                    </w:rPr>
                    <w:t>≤15</w:t>
                  </w:r>
                </w:p>
              </w:tc>
              <w:tc>
                <w:tcPr>
                  <w:tcW w:w="1747" w:type="pct"/>
                  <w:vMerge w:val="continue"/>
                  <w:tcBorders>
                    <w:tl2br w:val="nil"/>
                    <w:tr2bl w:val="nil"/>
                  </w:tcBorders>
                  <w:vAlign w:val="center"/>
                </w:tcPr>
                <w:p>
                  <w:pPr>
                    <w:pStyle w:val="36"/>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8" w:type="pct"/>
                  <w:tcBorders>
                    <w:tl2br w:val="nil"/>
                    <w:tr2bl w:val="nil"/>
                  </w:tcBorders>
                  <w:vAlign w:val="center"/>
                </w:tcPr>
                <w:p>
                  <w:pPr>
                    <w:pStyle w:val="36"/>
                    <w:rPr>
                      <w:rFonts w:cs="Times New Roman"/>
                      <w:color w:val="auto"/>
                    </w:rPr>
                  </w:pPr>
                  <w:r>
                    <w:rPr>
                      <w:rFonts w:cs="Times New Roman"/>
                      <w:color w:val="auto"/>
                    </w:rPr>
                    <w:t>5</w:t>
                  </w:r>
                </w:p>
              </w:tc>
              <w:tc>
                <w:tcPr>
                  <w:tcW w:w="1171" w:type="pct"/>
                  <w:tcBorders>
                    <w:tl2br w:val="nil"/>
                    <w:tr2bl w:val="nil"/>
                  </w:tcBorders>
                  <w:vAlign w:val="center"/>
                </w:tcPr>
                <w:p>
                  <w:pPr>
                    <w:pStyle w:val="36"/>
                    <w:rPr>
                      <w:rFonts w:cs="Times New Roman"/>
                      <w:color w:val="auto"/>
                    </w:rPr>
                  </w:pPr>
                  <w:r>
                    <w:rPr>
                      <w:rFonts w:cs="Times New Roman"/>
                      <w:color w:val="auto"/>
                    </w:rPr>
                    <w:t>氨氮</w:t>
                  </w:r>
                </w:p>
              </w:tc>
              <w:tc>
                <w:tcPr>
                  <w:tcW w:w="1632" w:type="pct"/>
                  <w:tcBorders>
                    <w:tl2br w:val="nil"/>
                    <w:tr2bl w:val="nil"/>
                  </w:tcBorders>
                  <w:vAlign w:val="center"/>
                </w:tcPr>
                <w:p>
                  <w:pPr>
                    <w:pStyle w:val="36"/>
                    <w:rPr>
                      <w:rFonts w:cs="Times New Roman"/>
                      <w:color w:val="auto"/>
                    </w:rPr>
                  </w:pPr>
                  <w:r>
                    <w:rPr>
                      <w:rFonts w:cs="Times New Roman"/>
                      <w:color w:val="auto"/>
                    </w:rPr>
                    <w:t>≤2.0</w:t>
                  </w:r>
                </w:p>
              </w:tc>
              <w:tc>
                <w:tcPr>
                  <w:tcW w:w="1747" w:type="pct"/>
                  <w:vMerge w:val="continue"/>
                  <w:tcBorders>
                    <w:tl2br w:val="nil"/>
                    <w:tr2bl w:val="nil"/>
                  </w:tcBorders>
                  <w:vAlign w:val="center"/>
                </w:tcPr>
                <w:p>
                  <w:pPr>
                    <w:pStyle w:val="36"/>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8" w:type="pct"/>
                  <w:tcBorders>
                    <w:tl2br w:val="nil"/>
                    <w:tr2bl w:val="nil"/>
                  </w:tcBorders>
                  <w:vAlign w:val="center"/>
                </w:tcPr>
                <w:p>
                  <w:pPr>
                    <w:pStyle w:val="36"/>
                    <w:rPr>
                      <w:rFonts w:cs="Times New Roman"/>
                      <w:color w:val="auto"/>
                    </w:rPr>
                  </w:pPr>
                  <w:r>
                    <w:rPr>
                      <w:rFonts w:hint="eastAsia" w:cs="Times New Roman"/>
                      <w:color w:val="auto"/>
                    </w:rPr>
                    <w:t>6</w:t>
                  </w:r>
                </w:p>
              </w:tc>
              <w:tc>
                <w:tcPr>
                  <w:tcW w:w="1171" w:type="pct"/>
                  <w:tcBorders>
                    <w:tl2br w:val="nil"/>
                    <w:tr2bl w:val="nil"/>
                  </w:tcBorders>
                  <w:vAlign w:val="center"/>
                </w:tcPr>
                <w:p>
                  <w:pPr>
                    <w:pStyle w:val="36"/>
                    <w:rPr>
                      <w:rFonts w:cs="Times New Roman"/>
                      <w:color w:val="auto"/>
                    </w:rPr>
                  </w:pPr>
                  <w:r>
                    <w:rPr>
                      <w:rFonts w:hint="eastAsia" w:cs="Times New Roman"/>
                      <w:color w:val="auto"/>
                    </w:rPr>
                    <w:t>总氮</w:t>
                  </w:r>
                </w:p>
              </w:tc>
              <w:tc>
                <w:tcPr>
                  <w:tcW w:w="1632" w:type="pct"/>
                  <w:tcBorders>
                    <w:tl2br w:val="nil"/>
                    <w:tr2bl w:val="nil"/>
                  </w:tcBorders>
                  <w:vAlign w:val="center"/>
                </w:tcPr>
                <w:p>
                  <w:pPr>
                    <w:pStyle w:val="36"/>
                    <w:rPr>
                      <w:rFonts w:cs="Times New Roman"/>
                      <w:color w:val="auto"/>
                    </w:rPr>
                  </w:pPr>
                  <w:r>
                    <w:rPr>
                      <w:rFonts w:cs="Times New Roman"/>
                      <w:color w:val="auto"/>
                    </w:rPr>
                    <w:t>≤</w:t>
                  </w:r>
                  <w:r>
                    <w:rPr>
                      <w:rFonts w:hint="eastAsia" w:cs="Times New Roman"/>
                      <w:color w:val="auto"/>
                    </w:rPr>
                    <w:t>2.0</w:t>
                  </w:r>
                </w:p>
              </w:tc>
              <w:tc>
                <w:tcPr>
                  <w:tcW w:w="1747" w:type="pct"/>
                  <w:vMerge w:val="continue"/>
                  <w:tcBorders>
                    <w:tl2br w:val="nil"/>
                    <w:tr2bl w:val="nil"/>
                  </w:tcBorders>
                  <w:vAlign w:val="center"/>
                </w:tcPr>
                <w:p>
                  <w:pPr>
                    <w:pStyle w:val="36"/>
                    <w:rPr>
                      <w:rFonts w:cs="Times New Roman"/>
                      <w:color w:val="auto"/>
                    </w:rPr>
                  </w:pPr>
                </w:p>
              </w:tc>
            </w:tr>
          </w:tbl>
          <w:p>
            <w:pPr>
              <w:wordWrap w:val="0"/>
              <w:adjustRightInd w:val="0"/>
              <w:snapToGrid w:val="0"/>
              <w:ind w:firstLine="480"/>
              <w:rPr>
                <w:rFonts w:cs="Times New Roman"/>
                <w:color w:val="auto"/>
                <w:kern w:val="2"/>
              </w:rPr>
            </w:pPr>
            <w:r>
              <w:rPr>
                <w:rFonts w:cs="Times New Roman"/>
                <w:color w:val="auto"/>
              </w:rPr>
              <w:t>为了解项目地表水水质环境质量现状，根据《福建省流域水环境质量状况（202</w:t>
            </w:r>
            <w:r>
              <w:rPr>
                <w:rFonts w:hint="eastAsia" w:cs="Times New Roman"/>
                <w:color w:val="auto"/>
              </w:rPr>
              <w:t>4年</w:t>
            </w:r>
            <w:r>
              <w:rPr>
                <w:rFonts w:cs="Times New Roman"/>
                <w:color w:val="auto"/>
              </w:rPr>
              <w:t>）》（</w:t>
            </w:r>
            <w:r>
              <w:rPr>
                <w:rFonts w:hint="eastAsia" w:cs="Times New Roman"/>
                <w:color w:val="auto"/>
              </w:rPr>
              <w:t>https://sthjt.fujian.gov.cn/zwgk/sjfb/hjsj/qshjzljtb/202502/t20250208_6712426.htm</w:t>
            </w:r>
            <w:r>
              <w:rPr>
                <w:rFonts w:cs="Times New Roman"/>
                <w:color w:val="auto"/>
              </w:rPr>
              <w:t>）</w:t>
            </w:r>
            <w:r>
              <w:rPr>
                <w:rFonts w:hint="eastAsia" w:cs="Times New Roman"/>
                <w:color w:val="auto"/>
              </w:rPr>
              <w:t>显示：</w:t>
            </w:r>
            <w:r>
              <w:rPr>
                <w:rFonts w:cs="Times New Roman"/>
                <w:color w:val="auto"/>
              </w:rPr>
              <w:t>2024年，全省主要流域总体水质为优，国控断面Ⅰ～Ⅲ类水质比例100％，Ⅰ～Ⅱ类水质比例77.1％；国控及省控断面Ⅰ～Ⅲ类水质比例99.7％，其中Ⅰ～Ⅱ类水质比例80.0％，各类水质比例如下：Ⅰ类占2.4％，Ⅱ类占77.6％，Ⅲ类占19.7％，Ⅳ类占0.3％，无Ⅴ类和劣Ⅴ类水</w:t>
            </w:r>
            <w:r>
              <w:rPr>
                <w:rFonts w:hint="eastAsia" w:cs="Times New Roman"/>
                <w:color w:val="auto"/>
              </w:rPr>
              <w:t>（详见下图3.1-4）</w:t>
            </w:r>
            <w:r>
              <w:rPr>
                <w:rFonts w:cs="Times New Roman"/>
                <w:color w:val="auto"/>
              </w:rPr>
              <w:t>。</w:t>
            </w:r>
          </w:p>
          <w:p>
            <w:pPr>
              <w:pStyle w:val="38"/>
              <w:ind w:firstLine="0" w:firstLineChars="0"/>
              <w:rPr>
                <w:rFonts w:cs="Times New Roman"/>
                <w:color w:val="auto"/>
              </w:rPr>
            </w:pPr>
            <w:r>
              <w:rPr>
                <w:rFonts w:hint="eastAsia"/>
                <w:color w:val="auto"/>
              </w:rPr>
              <w:t xml:space="preserve">   </w:t>
            </w:r>
            <w:r>
              <w:rPr>
                <w:rFonts w:hint="eastAsia" w:cs="Times New Roman"/>
                <w:color w:val="auto"/>
              </w:rPr>
              <w:t xml:space="preserve"> 2024年，福建省主要流域总体水质从相对较好开始排序，具体为：闽江、交溪、九龙江、汀江（韩江）、霍童溪、晋江、萩芦溪、东西溪、木兰溪、敖江、漳江、诏安东溪、鹿溪、</w:t>
            </w:r>
            <w:r>
              <w:rPr>
                <w:rFonts w:hint="eastAsia" w:cs="Times New Roman"/>
                <w:b/>
                <w:bCs/>
                <w:color w:val="auto"/>
              </w:rPr>
              <w:t>龙江</w:t>
            </w:r>
            <w:r>
              <w:rPr>
                <w:rFonts w:hint="eastAsia" w:cs="Times New Roman"/>
                <w:color w:val="auto"/>
              </w:rPr>
              <w:t>（详见下图3.1-5）。</w:t>
            </w:r>
          </w:p>
          <w:p>
            <w:pPr>
              <w:pStyle w:val="38"/>
              <w:ind w:firstLine="0" w:firstLineChars="0"/>
              <w:rPr>
                <w:color w:val="auto"/>
              </w:rPr>
            </w:pPr>
            <w:r>
              <w:rPr>
                <w:rFonts w:hint="eastAsia"/>
                <w:color w:val="auto"/>
              </w:rPr>
              <w:t xml:space="preserve">   </w:t>
            </w:r>
            <w:r>
              <w:rPr>
                <w:rFonts w:cs="Times New Roman"/>
                <w:color w:val="auto"/>
              </w:rPr>
              <w:t>综上，项目所在区域水质状况良好，属于达标区。</w:t>
            </w:r>
            <w:r>
              <w:rPr>
                <w:rFonts w:hint="eastAsia"/>
                <w:color w:val="auto"/>
              </w:rPr>
              <w:t>项目外排废水经市政污水管网进入福清市融元污水处理厂，不直接排入周边地表水体，几乎不会改变周边水环境质量现状。</w:t>
            </w:r>
          </w:p>
          <w:p>
            <w:pPr>
              <w:pStyle w:val="38"/>
              <w:ind w:firstLine="0" w:firstLineChars="0"/>
              <w:jc w:val="center"/>
              <w:rPr>
                <w:color w:val="auto"/>
              </w:rPr>
            </w:pPr>
            <w:r>
              <w:rPr>
                <w:color w:val="auto"/>
              </w:rPr>
              <w:pict>
                <v:shape id="_x0000_i1032" o:spt="75" type="#_x0000_t75" style="height:270pt;width:416.4pt;" filled="f" o:preferrelative="t" stroked="f" coordsize="21600,21600">
                  <v:path/>
                  <v:fill on="f" focussize="0,0"/>
                  <v:stroke on="f" joinstyle="miter"/>
                  <v:imagedata r:id="rId17" o:title=""/>
                  <o:lock v:ext="edit" aspectratio="t"/>
                  <w10:wrap type="none"/>
                  <w10:anchorlock/>
                </v:shape>
              </w:pict>
            </w:r>
          </w:p>
          <w:p>
            <w:pPr>
              <w:pStyle w:val="168"/>
              <w:spacing w:line="240" w:lineRule="auto"/>
              <w:ind w:firstLine="480"/>
              <w:jc w:val="center"/>
              <w:rPr>
                <w:rFonts w:eastAsia="黑体" w:cs="Times New Roman"/>
                <w:color w:val="auto"/>
                <w:lang w:val="zh-CN" w:bidi="he-IL"/>
              </w:rPr>
            </w:pPr>
            <w:r>
              <w:rPr>
                <w:rFonts w:hint="eastAsia" w:eastAsia="黑体" w:cs="Times New Roman"/>
                <w:color w:val="auto"/>
                <w:lang w:val="zh-CN" w:bidi="he-IL"/>
              </w:rPr>
              <w:t>图3.1</w:t>
            </w:r>
            <w:r>
              <w:rPr>
                <w:rFonts w:hint="eastAsia" w:eastAsia="黑体" w:cs="Times New Roman"/>
                <w:color w:val="auto"/>
                <w:lang w:bidi="he-IL"/>
              </w:rPr>
              <w:t>-4 福建省流域水环境质量状况（2024年）</w:t>
            </w:r>
            <w:r>
              <w:rPr>
                <w:rFonts w:hint="eastAsia" w:eastAsia="黑体" w:cs="Times New Roman"/>
                <w:color w:val="auto"/>
                <w:lang w:val="zh-CN" w:bidi="he-IL"/>
              </w:rPr>
              <w:t>（截图）</w:t>
            </w:r>
          </w:p>
          <w:p>
            <w:pPr>
              <w:pStyle w:val="38"/>
              <w:ind w:firstLine="0" w:firstLineChars="0"/>
              <w:rPr>
                <w:rFonts w:cs="Times New Roman"/>
                <w:color w:val="auto"/>
              </w:rPr>
            </w:pPr>
            <w:r>
              <w:rPr>
                <w:color w:val="auto"/>
              </w:rPr>
              <w:pict>
                <v:shape id="_x0000_i1033" o:spt="75" type="#_x0000_t75" style="height:243pt;width:421.8pt;" filled="f" o:preferrelative="t" stroked="f" coordsize="21600,21600">
                  <v:path/>
                  <v:fill on="f" focussize="0,0"/>
                  <v:stroke on="f" joinstyle="miter"/>
                  <v:imagedata r:id="rId18" o:title=""/>
                  <o:lock v:ext="edit" aspectratio="t"/>
                  <w10:wrap type="none"/>
                  <w10:anchorlock/>
                </v:shape>
              </w:pict>
            </w:r>
          </w:p>
          <w:p>
            <w:pPr>
              <w:pStyle w:val="168"/>
              <w:ind w:firstLine="480"/>
              <w:jc w:val="center"/>
              <w:rPr>
                <w:rFonts w:eastAsia="黑体" w:cs="Times New Roman"/>
                <w:color w:val="auto"/>
                <w:lang w:val="zh-CN" w:bidi="he-IL"/>
              </w:rPr>
            </w:pPr>
            <w:r>
              <w:rPr>
                <w:rFonts w:hint="eastAsia" w:eastAsia="黑体" w:cs="Times New Roman"/>
                <w:color w:val="auto"/>
                <w:lang w:val="zh-CN" w:bidi="he-IL"/>
              </w:rPr>
              <w:t>图3.1</w:t>
            </w:r>
            <w:r>
              <w:rPr>
                <w:rFonts w:hint="eastAsia" w:eastAsia="黑体" w:cs="Times New Roman"/>
                <w:color w:val="auto"/>
                <w:lang w:bidi="he-IL"/>
              </w:rPr>
              <w:t>-5 福建省地表水水质状况排序（2024年）</w:t>
            </w:r>
            <w:r>
              <w:rPr>
                <w:rFonts w:hint="eastAsia" w:eastAsia="黑体" w:cs="Times New Roman"/>
                <w:color w:val="auto"/>
                <w:lang w:val="zh-CN" w:bidi="he-IL"/>
              </w:rPr>
              <w:t>（截图）</w:t>
            </w:r>
          </w:p>
          <w:p>
            <w:pPr>
              <w:pStyle w:val="38"/>
              <w:ind w:firstLine="480"/>
              <w:rPr>
                <w:rFonts w:cs="Times New Roman"/>
                <w:color w:val="auto"/>
              </w:rPr>
            </w:pPr>
            <w:r>
              <w:rPr>
                <w:rFonts w:cs="Times New Roman"/>
                <w:color w:val="auto"/>
              </w:rPr>
              <w:t>（2）引用资料的有效性分析</w:t>
            </w:r>
          </w:p>
          <w:p>
            <w:pPr>
              <w:pStyle w:val="38"/>
              <w:ind w:firstLine="480"/>
              <w:rPr>
                <w:rFonts w:cs="Times New Roman"/>
                <w:color w:val="auto"/>
              </w:rPr>
            </w:pPr>
            <w:r>
              <w:rPr>
                <w:rFonts w:cs="Times New Roman"/>
                <w:color w:val="auto"/>
              </w:rPr>
              <w:t>根据《建设项目环境影响报告表编制技术指南</w:t>
            </w:r>
            <w:r>
              <w:rPr>
                <w:rFonts w:hint="eastAsia" w:cs="Times New Roman"/>
                <w:color w:val="auto"/>
              </w:rPr>
              <w:t>（</w:t>
            </w:r>
            <w:r>
              <w:rPr>
                <w:rFonts w:cs="Times New Roman"/>
                <w:color w:val="auto"/>
              </w:rPr>
              <w:t>污染影响类</w:t>
            </w:r>
            <w:r>
              <w:rPr>
                <w:rFonts w:hint="eastAsia" w:cs="Times New Roman"/>
                <w:color w:val="auto"/>
              </w:rPr>
              <w:t>）（</w:t>
            </w:r>
            <w:r>
              <w:rPr>
                <w:rFonts w:cs="Times New Roman"/>
                <w:color w:val="auto"/>
              </w:rPr>
              <w:t>试行</w:t>
            </w:r>
            <w:r>
              <w:rPr>
                <w:rFonts w:hint="eastAsia" w:cs="Times New Roman"/>
                <w:color w:val="auto"/>
              </w:rPr>
              <w:t>）</w:t>
            </w:r>
            <w:r>
              <w:rPr>
                <w:rFonts w:cs="Times New Roman"/>
                <w:color w:val="auto"/>
              </w:rPr>
              <w:t>》</w:t>
            </w:r>
            <w:r>
              <w:rPr>
                <w:rFonts w:hint="eastAsia" w:cs="Times New Roman"/>
                <w:color w:val="auto"/>
              </w:rPr>
              <w:t>（</w:t>
            </w:r>
            <w:r>
              <w:rPr>
                <w:rFonts w:cs="Times New Roman"/>
                <w:color w:val="auto"/>
              </w:rPr>
              <w:t>环办环评〔2020〕33号</w:t>
            </w:r>
            <w:r>
              <w:rPr>
                <w:rFonts w:hint="eastAsia" w:cs="Times New Roman"/>
                <w:color w:val="auto"/>
              </w:rPr>
              <w:t>）</w:t>
            </w:r>
            <w:r>
              <w:rPr>
                <w:rFonts w:cs="Times New Roman"/>
                <w:color w:val="auto"/>
              </w:rPr>
              <w:t>的要求：</w:t>
            </w:r>
            <w:r>
              <w:rPr>
                <w:rFonts w:hint="eastAsia" w:cs="Times New Roman"/>
                <w:color w:val="auto"/>
              </w:rPr>
              <w:t>“</w:t>
            </w:r>
            <w:r>
              <w:rPr>
                <w:rFonts w:cs="Times New Roman"/>
                <w:color w:val="auto"/>
              </w:rPr>
              <w:t>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w:t>
            </w:r>
            <w:r>
              <w:rPr>
                <w:rFonts w:hint="eastAsia" w:cs="Times New Roman"/>
                <w:color w:val="auto"/>
              </w:rPr>
              <w:t>”</w:t>
            </w:r>
            <w:r>
              <w:rPr>
                <w:rFonts w:cs="Times New Roman"/>
                <w:color w:val="auto"/>
              </w:rPr>
              <w:t>。本评价引用福建省生态环境厅网站</w:t>
            </w:r>
            <w:r>
              <w:rPr>
                <w:rFonts w:hint="eastAsia" w:cs="Times New Roman"/>
                <w:color w:val="auto"/>
              </w:rPr>
              <w:t>发布的</w:t>
            </w:r>
            <w:r>
              <w:rPr>
                <w:rFonts w:cs="Times New Roman"/>
                <w:color w:val="auto"/>
              </w:rPr>
              <w:t>地表水水质环境质量现状</w:t>
            </w:r>
            <w:r>
              <w:rPr>
                <w:rFonts w:hint="eastAsia" w:cs="Times New Roman"/>
                <w:color w:val="auto"/>
              </w:rPr>
              <w:t>进行分析，</w:t>
            </w:r>
            <w:r>
              <w:rPr>
                <w:rFonts w:cs="Times New Roman"/>
                <w:color w:val="auto"/>
              </w:rPr>
              <w:t>符合《建设项目环境影响报告表编制技术指南</w:t>
            </w:r>
            <w:r>
              <w:rPr>
                <w:rFonts w:hint="eastAsia" w:cs="Times New Roman"/>
                <w:color w:val="auto"/>
              </w:rPr>
              <w:t>（</w:t>
            </w:r>
            <w:r>
              <w:rPr>
                <w:rFonts w:cs="Times New Roman"/>
                <w:color w:val="auto"/>
              </w:rPr>
              <w:t>污染影响类</w:t>
            </w:r>
            <w:r>
              <w:rPr>
                <w:rFonts w:hint="eastAsia" w:cs="Times New Roman"/>
                <w:color w:val="auto"/>
              </w:rPr>
              <w:t>）（</w:t>
            </w:r>
            <w:r>
              <w:rPr>
                <w:rFonts w:cs="Times New Roman"/>
                <w:color w:val="auto"/>
              </w:rPr>
              <w:t>试行</w:t>
            </w:r>
            <w:r>
              <w:rPr>
                <w:rFonts w:hint="eastAsia" w:cs="Times New Roman"/>
                <w:color w:val="auto"/>
              </w:rPr>
              <w:t>）</w:t>
            </w:r>
            <w:r>
              <w:rPr>
                <w:rFonts w:cs="Times New Roman"/>
                <w:color w:val="auto"/>
              </w:rPr>
              <w:t>》</w:t>
            </w:r>
            <w:r>
              <w:rPr>
                <w:rFonts w:hint="eastAsia" w:cs="Times New Roman"/>
                <w:color w:val="auto"/>
              </w:rPr>
              <w:t>（</w:t>
            </w:r>
            <w:r>
              <w:rPr>
                <w:rFonts w:cs="Times New Roman"/>
                <w:color w:val="auto"/>
              </w:rPr>
              <w:t>环办环评〔2020〕33号</w:t>
            </w:r>
            <w:r>
              <w:rPr>
                <w:rFonts w:hint="eastAsia" w:cs="Times New Roman"/>
                <w:color w:val="auto"/>
              </w:rPr>
              <w:t>）的</w:t>
            </w:r>
            <w:r>
              <w:rPr>
                <w:rFonts w:cs="Times New Roman"/>
                <w:color w:val="auto"/>
              </w:rPr>
              <w:t>要求。</w:t>
            </w: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56"/>
              <w:rPr>
                <w:rFonts w:cs="Times New Roman"/>
                <w:color w:val="auto"/>
              </w:rPr>
            </w:pPr>
            <w:bookmarkStart w:id="46" w:name="_Toc25018"/>
            <w:r>
              <w:rPr>
                <w:rFonts w:cs="Times New Roman"/>
                <w:color w:val="auto"/>
              </w:rPr>
              <w:t>3.1.3声环境质量现状</w:t>
            </w:r>
            <w:bookmarkEnd w:id="46"/>
          </w:p>
          <w:p>
            <w:pPr>
              <w:widowControl w:val="0"/>
              <w:ind w:firstLine="480"/>
              <w:rPr>
                <w:rStyle w:val="39"/>
                <w:rFonts w:cs="Times New Roman"/>
                <w:color w:val="auto"/>
              </w:rPr>
            </w:pPr>
            <w:r>
              <w:rPr>
                <w:rStyle w:val="39"/>
                <w:rFonts w:hint="eastAsia" w:cs="Times New Roman"/>
                <w:color w:val="auto"/>
              </w:rPr>
              <w:t>（1）声功能区划及标准</w:t>
            </w:r>
          </w:p>
          <w:p>
            <w:pPr>
              <w:widowControl w:val="0"/>
              <w:ind w:firstLine="480"/>
              <w:rPr>
                <w:rStyle w:val="39"/>
                <w:rFonts w:cs="Times New Roman"/>
                <w:color w:val="auto"/>
              </w:rPr>
            </w:pPr>
            <w:r>
              <w:rPr>
                <w:rStyle w:val="39"/>
                <w:rFonts w:cs="Times New Roman"/>
                <w:color w:val="auto"/>
              </w:rPr>
              <w:t>根据《福清市人民政府办公室关于印发福清市城市建成区声环境功能区划的通知》融政办〔2022〕48号可知，</w:t>
            </w:r>
            <w:r>
              <w:rPr>
                <w:rFonts w:hint="eastAsia"/>
                <w:color w:val="auto"/>
              </w:rPr>
              <w:t>项目所在区域为洪宽工业村片区</w:t>
            </w:r>
            <w:r>
              <w:rPr>
                <w:color w:val="auto"/>
              </w:rPr>
              <w:t>，</w:t>
            </w:r>
            <w:r>
              <w:rPr>
                <w:rStyle w:val="39"/>
                <w:rFonts w:hint="eastAsia" w:cs="Times New Roman"/>
                <w:color w:val="auto"/>
              </w:rPr>
              <w:t>区域声环境为3类功能区，</w:t>
            </w:r>
            <w:r>
              <w:rPr>
                <w:rStyle w:val="39"/>
                <w:rFonts w:hint="eastAsia" w:cs="Times New Roman"/>
                <w:color w:val="auto"/>
                <w:lang w:val="en-US" w:eastAsia="zh-CN"/>
              </w:rPr>
              <w:t>洪宽三路交通干线及两侧25m范围内执行4a类功能区。项目50m范围内存在屿边村，本次取严按2类声环境功能区进行评价</w:t>
            </w:r>
            <w:r>
              <w:rPr>
                <w:rStyle w:val="39"/>
                <w:rFonts w:hint="eastAsia" w:cs="Times New Roman"/>
                <w:color w:val="auto"/>
              </w:rPr>
              <w:t>，具体声环境质量标准见</w:t>
            </w:r>
            <w:r>
              <w:rPr>
                <w:rStyle w:val="39"/>
                <w:rFonts w:cs="Times New Roman"/>
                <w:color w:val="auto"/>
              </w:rPr>
              <w:t>表3.1-</w:t>
            </w:r>
            <w:r>
              <w:rPr>
                <w:rStyle w:val="39"/>
                <w:rFonts w:hint="eastAsia" w:cs="Times New Roman"/>
                <w:color w:val="auto"/>
              </w:rPr>
              <w:t>3</w:t>
            </w:r>
            <w:r>
              <w:rPr>
                <w:rStyle w:val="39"/>
                <w:rFonts w:cs="Times New Roman"/>
                <w:color w:val="auto"/>
              </w:rPr>
              <w:t>。</w:t>
            </w:r>
          </w:p>
          <w:p>
            <w:pPr>
              <w:widowControl w:val="0"/>
              <w:spacing w:line="240" w:lineRule="auto"/>
              <w:ind w:firstLine="480"/>
              <w:jc w:val="center"/>
              <w:rPr>
                <w:rStyle w:val="58"/>
                <w:b/>
                <w:bCs/>
                <w:color w:val="auto"/>
                <w:lang w:val="en-US"/>
              </w:rPr>
            </w:pPr>
            <w:r>
              <w:rPr>
                <w:rStyle w:val="58"/>
                <w:color w:val="auto"/>
              </w:rPr>
              <w:t>表3.</w:t>
            </w:r>
            <w:r>
              <w:rPr>
                <w:rStyle w:val="58"/>
                <w:rFonts w:hint="eastAsia"/>
                <w:color w:val="auto"/>
              </w:rPr>
              <w:t>1-</w:t>
            </w:r>
            <w:r>
              <w:rPr>
                <w:rStyle w:val="58"/>
                <w:rFonts w:hint="eastAsia"/>
                <w:color w:val="auto"/>
                <w:lang w:val="en-US"/>
              </w:rPr>
              <w:t>3</w:t>
            </w:r>
            <w:r>
              <w:rPr>
                <w:rStyle w:val="58"/>
                <w:rFonts w:hint="eastAsia"/>
                <w:color w:val="auto"/>
              </w:rPr>
              <w:t xml:space="preserve"> </w:t>
            </w:r>
            <w:r>
              <w:rPr>
                <w:rStyle w:val="58"/>
                <w:color w:val="auto"/>
              </w:rPr>
              <w:t>声环境质量标准</w:t>
            </w:r>
            <w:r>
              <w:rPr>
                <w:rStyle w:val="58"/>
                <w:rFonts w:hint="eastAsia"/>
                <w:color w:val="auto"/>
              </w:rPr>
              <w:t>（GB</w:t>
            </w:r>
            <w:r>
              <w:rPr>
                <w:rStyle w:val="58"/>
                <w:rFonts w:hint="eastAsia"/>
                <w:color w:val="auto"/>
                <w:lang w:val="en-US"/>
              </w:rPr>
              <w:t xml:space="preserve"> </w:t>
            </w:r>
            <w:r>
              <w:rPr>
                <w:rStyle w:val="58"/>
                <w:rFonts w:hint="eastAsia"/>
                <w:color w:val="auto"/>
              </w:rPr>
              <w:t>3096-2008）（摘录）</w:t>
            </w:r>
            <w:r>
              <w:rPr>
                <w:rStyle w:val="58"/>
                <w:rFonts w:hint="eastAsia"/>
                <w:b/>
                <w:bCs/>
                <w:color w:val="auto"/>
                <w:lang w:val="en-US"/>
              </w:rPr>
              <w:t xml:space="preserve">  </w:t>
            </w:r>
          </w:p>
          <w:p>
            <w:pPr>
              <w:pStyle w:val="36"/>
              <w:bidi w:val="0"/>
              <w:jc w:val="right"/>
              <w:rPr>
                <w:b w:val="0"/>
                <w:bCs w:val="0"/>
                <w:color w:val="auto"/>
              </w:rPr>
            </w:pPr>
            <w:r>
              <w:rPr>
                <w:rFonts w:hint="eastAsia"/>
                <w:b w:val="0"/>
                <w:bCs w:val="0"/>
                <w:color w:val="auto"/>
              </w:rPr>
              <w:t>单位：</w:t>
            </w:r>
            <w:r>
              <w:rPr>
                <w:b w:val="0"/>
                <w:bCs w:val="0"/>
                <w:color w:val="auto"/>
              </w:rPr>
              <w:t>dB</w:t>
            </w:r>
            <w:r>
              <w:rPr>
                <w:rFonts w:hint="eastAsia"/>
                <w:b w:val="0"/>
                <w:bCs w:val="0"/>
                <w:color w:val="auto"/>
              </w:rPr>
              <w:t>（</w:t>
            </w:r>
            <w:r>
              <w:rPr>
                <w:b w:val="0"/>
                <w:bCs w:val="0"/>
                <w:color w:val="auto"/>
              </w:rPr>
              <w:t>A</w:t>
            </w:r>
            <w:r>
              <w:rPr>
                <w:rFonts w:hint="eastAsia"/>
                <w:b w:val="0"/>
                <w:bCs w:val="0"/>
                <w:color w:val="auto"/>
              </w:rPr>
              <w:t>）</w:t>
            </w:r>
          </w:p>
          <w:tbl>
            <w:tblPr>
              <w:tblStyle w:val="27"/>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2866"/>
              <w:gridCol w:w="2892"/>
              <w:gridCol w:w="265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02" w:type="pct"/>
                  <w:vMerge w:val="restart"/>
                  <w:tcBorders>
                    <w:tl2br w:val="nil"/>
                    <w:tr2bl w:val="nil"/>
                  </w:tcBorders>
                  <w:vAlign w:val="center"/>
                </w:tcPr>
                <w:p>
                  <w:pPr>
                    <w:pStyle w:val="36"/>
                    <w:rPr>
                      <w:color w:val="auto"/>
                    </w:rPr>
                  </w:pPr>
                  <w:r>
                    <w:rPr>
                      <w:rFonts w:hint="eastAsia"/>
                      <w:color w:val="auto"/>
                    </w:rPr>
                    <w:t>声环境功能区类别</w:t>
                  </w:r>
                </w:p>
              </w:tc>
              <w:tc>
                <w:tcPr>
                  <w:tcW w:w="3297" w:type="pct"/>
                  <w:gridSpan w:val="2"/>
                  <w:tcBorders>
                    <w:tl2br w:val="nil"/>
                    <w:tr2bl w:val="nil"/>
                  </w:tcBorders>
                  <w:vAlign w:val="center"/>
                </w:tcPr>
                <w:p>
                  <w:pPr>
                    <w:pStyle w:val="36"/>
                    <w:rPr>
                      <w:color w:val="auto"/>
                    </w:rPr>
                  </w:pPr>
                  <w:r>
                    <w:rPr>
                      <w:rFonts w:hint="eastAsia"/>
                      <w:color w:val="auto"/>
                    </w:rPr>
                    <w:t>时段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02" w:type="pct"/>
                  <w:vMerge w:val="continue"/>
                  <w:tcBorders>
                    <w:tl2br w:val="nil"/>
                    <w:tr2bl w:val="nil"/>
                  </w:tcBorders>
                  <w:vAlign w:val="center"/>
                </w:tcPr>
                <w:p>
                  <w:pPr>
                    <w:pStyle w:val="36"/>
                    <w:rPr>
                      <w:color w:val="auto"/>
                    </w:rPr>
                  </w:pPr>
                </w:p>
              </w:tc>
              <w:tc>
                <w:tcPr>
                  <w:tcW w:w="1718" w:type="pct"/>
                  <w:tcBorders>
                    <w:tl2br w:val="nil"/>
                    <w:tr2bl w:val="nil"/>
                  </w:tcBorders>
                  <w:vAlign w:val="center"/>
                </w:tcPr>
                <w:p>
                  <w:pPr>
                    <w:pStyle w:val="36"/>
                    <w:rPr>
                      <w:color w:val="auto"/>
                    </w:rPr>
                  </w:pPr>
                  <w:r>
                    <w:rPr>
                      <w:color w:val="auto"/>
                    </w:rPr>
                    <w:t>昼间</w:t>
                  </w:r>
                </w:p>
              </w:tc>
              <w:tc>
                <w:tcPr>
                  <w:tcW w:w="1579" w:type="pct"/>
                  <w:tcBorders>
                    <w:tl2br w:val="nil"/>
                    <w:tr2bl w:val="nil"/>
                  </w:tcBorders>
                  <w:vAlign w:val="center"/>
                </w:tcPr>
                <w:p>
                  <w:pPr>
                    <w:pStyle w:val="36"/>
                    <w:rPr>
                      <w:color w:val="auto"/>
                    </w:rPr>
                  </w:pPr>
                  <w:r>
                    <w:rPr>
                      <w:color w:val="auto"/>
                    </w:rPr>
                    <w:t>夜间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02" w:type="pct"/>
                  <w:tcBorders>
                    <w:tl2br w:val="nil"/>
                    <w:tr2bl w:val="nil"/>
                  </w:tcBorders>
                  <w:vAlign w:val="center"/>
                </w:tcPr>
                <w:p>
                  <w:pPr>
                    <w:pStyle w:val="36"/>
                    <w:rPr>
                      <w:color w:val="auto"/>
                    </w:rPr>
                  </w:pPr>
                  <w:r>
                    <w:rPr>
                      <w:rFonts w:hint="eastAsia"/>
                      <w:color w:val="auto"/>
                      <w:lang w:val="en-US" w:eastAsia="zh-CN"/>
                    </w:rPr>
                    <w:t>2</w:t>
                  </w:r>
                  <w:r>
                    <w:rPr>
                      <w:color w:val="auto"/>
                    </w:rPr>
                    <w:t>类</w:t>
                  </w:r>
                </w:p>
              </w:tc>
              <w:tc>
                <w:tcPr>
                  <w:tcW w:w="1718" w:type="pct"/>
                  <w:tcBorders>
                    <w:tl2br w:val="nil"/>
                    <w:tr2bl w:val="nil"/>
                  </w:tcBorders>
                  <w:vAlign w:val="center"/>
                </w:tcPr>
                <w:p>
                  <w:pPr>
                    <w:pStyle w:val="36"/>
                    <w:rPr>
                      <w:rFonts w:hint="eastAsia" w:eastAsia="宋体"/>
                      <w:color w:val="auto"/>
                      <w:lang w:eastAsia="zh-CN"/>
                    </w:rPr>
                  </w:pPr>
                  <w:r>
                    <w:rPr>
                      <w:color w:val="auto"/>
                    </w:rPr>
                    <w:t>≤6</w:t>
                  </w:r>
                  <w:r>
                    <w:rPr>
                      <w:rFonts w:hint="eastAsia"/>
                      <w:color w:val="auto"/>
                      <w:lang w:val="en-US" w:eastAsia="zh-CN"/>
                    </w:rPr>
                    <w:t>0</w:t>
                  </w:r>
                </w:p>
              </w:tc>
              <w:tc>
                <w:tcPr>
                  <w:tcW w:w="1579" w:type="pct"/>
                  <w:tcBorders>
                    <w:tl2br w:val="nil"/>
                    <w:tr2bl w:val="nil"/>
                  </w:tcBorders>
                  <w:vAlign w:val="center"/>
                </w:tcPr>
                <w:p>
                  <w:pPr>
                    <w:pStyle w:val="36"/>
                    <w:rPr>
                      <w:rFonts w:hint="default" w:eastAsia="宋体"/>
                      <w:color w:val="auto"/>
                      <w:lang w:val="en-US" w:eastAsia="zh-CN"/>
                    </w:rPr>
                  </w:pPr>
                  <w:r>
                    <w:rPr>
                      <w:color w:val="auto"/>
                    </w:rPr>
                    <w:t>≤</w:t>
                  </w:r>
                  <w:r>
                    <w:rPr>
                      <w:rFonts w:hint="eastAsia"/>
                      <w:color w:val="auto"/>
                      <w:lang w:val="en-US" w:eastAsia="zh-CN"/>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02" w:type="pct"/>
                  <w:tcBorders>
                    <w:tl2br w:val="nil"/>
                    <w:tr2bl w:val="nil"/>
                  </w:tcBorders>
                  <w:shd w:val="clear" w:color="auto" w:fill="auto"/>
                  <w:vAlign w:val="center"/>
                </w:tcPr>
                <w:p>
                  <w:pPr>
                    <w:pStyle w:val="36"/>
                    <w:ind w:firstLine="0" w:firstLineChars="0"/>
                    <w:rPr>
                      <w:rFonts w:ascii="Times New Roman" w:hAnsi="Times New Roman" w:eastAsia="宋体" w:cs="宋体"/>
                      <w:color w:val="auto"/>
                      <w:sz w:val="21"/>
                      <w:szCs w:val="21"/>
                      <w:lang w:val="en-US" w:eastAsia="zh-CN" w:bidi="ar-SA"/>
                    </w:rPr>
                  </w:pPr>
                  <w:r>
                    <w:rPr>
                      <w:rFonts w:hint="eastAsia"/>
                      <w:color w:val="auto"/>
                    </w:rPr>
                    <w:t>3</w:t>
                  </w:r>
                  <w:r>
                    <w:rPr>
                      <w:color w:val="auto"/>
                    </w:rPr>
                    <w:t>类</w:t>
                  </w:r>
                </w:p>
              </w:tc>
              <w:tc>
                <w:tcPr>
                  <w:tcW w:w="1718" w:type="pct"/>
                  <w:tcBorders>
                    <w:tl2br w:val="nil"/>
                    <w:tr2bl w:val="nil"/>
                  </w:tcBorders>
                  <w:shd w:val="clear" w:color="auto" w:fill="auto"/>
                  <w:vAlign w:val="center"/>
                </w:tcPr>
                <w:p>
                  <w:pPr>
                    <w:pStyle w:val="36"/>
                    <w:ind w:firstLine="0" w:firstLineChars="0"/>
                    <w:rPr>
                      <w:rFonts w:ascii="Times New Roman" w:hAnsi="Times New Roman" w:eastAsia="宋体" w:cs="宋体"/>
                      <w:color w:val="auto"/>
                      <w:sz w:val="21"/>
                      <w:szCs w:val="21"/>
                      <w:lang w:val="en-US" w:eastAsia="zh-CN" w:bidi="ar-SA"/>
                    </w:rPr>
                  </w:pPr>
                  <w:r>
                    <w:rPr>
                      <w:color w:val="auto"/>
                    </w:rPr>
                    <w:t>≤6</w:t>
                  </w:r>
                  <w:r>
                    <w:rPr>
                      <w:rFonts w:hint="eastAsia"/>
                      <w:color w:val="auto"/>
                    </w:rPr>
                    <w:t>5</w:t>
                  </w:r>
                </w:p>
              </w:tc>
              <w:tc>
                <w:tcPr>
                  <w:tcW w:w="1579" w:type="pct"/>
                  <w:tcBorders>
                    <w:tl2br w:val="nil"/>
                    <w:tr2bl w:val="nil"/>
                  </w:tcBorders>
                  <w:shd w:val="clear" w:color="auto" w:fill="auto"/>
                  <w:vAlign w:val="center"/>
                </w:tcPr>
                <w:p>
                  <w:pPr>
                    <w:pStyle w:val="36"/>
                    <w:ind w:firstLine="0" w:firstLineChars="0"/>
                    <w:rPr>
                      <w:rFonts w:ascii="Times New Roman" w:hAnsi="Times New Roman" w:eastAsia="宋体" w:cs="宋体"/>
                      <w:color w:val="auto"/>
                      <w:sz w:val="21"/>
                      <w:szCs w:val="21"/>
                      <w:lang w:val="en-US" w:eastAsia="zh-CN" w:bidi="ar-SA"/>
                    </w:rPr>
                  </w:pPr>
                  <w:r>
                    <w:rPr>
                      <w:color w:val="auto"/>
                    </w:rPr>
                    <w:t>≤5</w:t>
                  </w:r>
                  <w:r>
                    <w:rPr>
                      <w:rFonts w:hint="eastAsia"/>
                      <w:color w:val="auto"/>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02" w:type="pct"/>
                  <w:tcBorders>
                    <w:tl2br w:val="nil"/>
                    <w:tr2bl w:val="nil"/>
                  </w:tcBorders>
                  <w:shd w:val="clear" w:color="auto" w:fill="auto"/>
                  <w:vAlign w:val="center"/>
                </w:tcPr>
                <w:p>
                  <w:pPr>
                    <w:pStyle w:val="36"/>
                    <w:ind w:firstLine="0" w:firstLineChars="0"/>
                    <w:rPr>
                      <w:rFonts w:hint="default" w:eastAsia="宋体"/>
                      <w:color w:val="auto"/>
                      <w:lang w:val="en-US" w:eastAsia="zh-CN"/>
                    </w:rPr>
                  </w:pPr>
                  <w:r>
                    <w:rPr>
                      <w:rFonts w:hint="eastAsia"/>
                      <w:color w:val="auto"/>
                      <w:lang w:val="en-US" w:eastAsia="zh-CN"/>
                    </w:rPr>
                    <w:t>4a</w:t>
                  </w:r>
                  <w:r>
                    <w:rPr>
                      <w:color w:val="auto"/>
                    </w:rPr>
                    <w:t>类</w:t>
                  </w:r>
                </w:p>
              </w:tc>
              <w:tc>
                <w:tcPr>
                  <w:tcW w:w="1718" w:type="pct"/>
                  <w:tcBorders>
                    <w:tl2br w:val="nil"/>
                    <w:tr2bl w:val="nil"/>
                  </w:tcBorders>
                  <w:shd w:val="clear" w:color="auto" w:fill="auto"/>
                  <w:vAlign w:val="center"/>
                </w:tcPr>
                <w:p>
                  <w:pPr>
                    <w:pStyle w:val="36"/>
                    <w:ind w:firstLine="0" w:firstLineChars="0"/>
                    <w:rPr>
                      <w:rFonts w:hint="default" w:ascii="Times New Roman" w:hAnsi="Times New Roman" w:eastAsia="宋体" w:cs="宋体"/>
                      <w:color w:val="auto"/>
                      <w:sz w:val="21"/>
                      <w:szCs w:val="21"/>
                      <w:lang w:val="en-US" w:eastAsia="zh-CN" w:bidi="ar-SA"/>
                    </w:rPr>
                  </w:pPr>
                  <w:r>
                    <w:rPr>
                      <w:color w:val="auto"/>
                    </w:rPr>
                    <w:t>≤</w:t>
                  </w:r>
                  <w:r>
                    <w:rPr>
                      <w:rFonts w:hint="eastAsia"/>
                      <w:color w:val="auto"/>
                      <w:lang w:val="en-US" w:eastAsia="zh-CN"/>
                    </w:rPr>
                    <w:t>70</w:t>
                  </w:r>
                </w:p>
              </w:tc>
              <w:tc>
                <w:tcPr>
                  <w:tcW w:w="1579" w:type="pct"/>
                  <w:tcBorders>
                    <w:tl2br w:val="nil"/>
                    <w:tr2bl w:val="nil"/>
                  </w:tcBorders>
                  <w:shd w:val="clear" w:color="auto" w:fill="auto"/>
                  <w:vAlign w:val="center"/>
                </w:tcPr>
                <w:p>
                  <w:pPr>
                    <w:pStyle w:val="36"/>
                    <w:ind w:firstLine="0" w:firstLineChars="0"/>
                    <w:rPr>
                      <w:rFonts w:ascii="Times New Roman" w:hAnsi="Times New Roman" w:eastAsia="宋体" w:cs="宋体"/>
                      <w:color w:val="auto"/>
                      <w:sz w:val="21"/>
                      <w:szCs w:val="21"/>
                      <w:lang w:val="en-US" w:eastAsia="zh-CN" w:bidi="ar-SA"/>
                    </w:rPr>
                  </w:pPr>
                  <w:r>
                    <w:rPr>
                      <w:color w:val="auto"/>
                    </w:rPr>
                    <w:t>≤5</w:t>
                  </w:r>
                  <w:r>
                    <w:rPr>
                      <w:rFonts w:hint="eastAsia"/>
                      <w:color w:val="auto"/>
                    </w:rPr>
                    <w:t>5</w:t>
                  </w:r>
                </w:p>
              </w:tc>
            </w:tr>
          </w:tbl>
          <w:p>
            <w:pPr>
              <w:pStyle w:val="38"/>
              <w:bidi w:val="0"/>
              <w:ind w:left="0" w:leftChars="0" w:firstLine="0" w:firstLineChars="0"/>
              <w:rPr>
                <w:color w:val="auto"/>
              </w:rPr>
            </w:pPr>
          </w:p>
          <w:p>
            <w:pPr>
              <w:pStyle w:val="38"/>
              <w:bidi w:val="0"/>
              <w:ind w:left="0" w:leftChars="0" w:firstLine="0" w:firstLineChars="0"/>
              <w:rPr>
                <w:color w:val="auto"/>
              </w:rPr>
            </w:pPr>
            <w:r>
              <w:rPr>
                <w:color w:val="auto"/>
              </w:rPr>
              <w:pict>
                <v:group id="_x0000_s2420" o:spid="_x0000_s2420" o:spt="203" style="position:absolute;left:0pt;margin-left:5.55pt;margin-top:72.1pt;height:197.6pt;width:323.1pt;z-index:251659264;mso-width-relative:page;mso-height-relative:page;" coordorigin="26,6045" coordsize="64,39">
                  <o:lock v:ext="edit"/>
                  <v:group id="_x0000_s2215" o:spid="_x0000_s2215" o:spt="203" style="position:absolute;left:26;top:6045;height:39;width:65;" coordorigin="75,7680" coordsize="68,45">
                    <o:lock v:ext="edit"/>
                    <v:shape id="_x0000_s2210" o:spid="_x0000_s2210" o:spt="75" type="#_x0000_t75" style="position:absolute;left:75;top:7680;height:45;width:68;" filled="f" o:preferrelative="t" stroked="f" coordsize="21600,21600">
                      <v:path/>
                      <v:fill on="f" focussize="0,0"/>
                      <v:stroke on="f" joinstyle="miter"/>
                      <v:imagedata r:id="rId19" o:title=""/>
                      <o:lock v:ext="edit" aspectratio="t"/>
                    </v:shape>
                    <v:shape id="_x0000_s2213" o:spid="_x0000_s2213" o:spt="12" type="#_x0000_t12" style="position:absolute;left:108;top:7701;height:2;width:3;" fillcolor="#FF0000" filled="t" stroked="t" coordsize="21600,21600">
                      <v:path/>
                      <v:fill on="t" focussize="0,0"/>
                      <v:stroke color="#FF0000" joinstyle="miter"/>
                      <v:imagedata o:title=""/>
                      <o:lock v:ext="edit"/>
                    </v:shape>
                  </v:group>
                  <v:group id="_x0000_s2419" o:spid="_x0000_s2419" o:spt="203" style="position:absolute;left:59;top:6055;height:8;width:19;" coordorigin="59,6055" coordsize="18,8">
                    <o:lock v:ext="edit"/>
                    <v:line id="_x0000_s2417" o:spid="_x0000_s2417" o:spt="20" style="position:absolute;left:60;top:6058;flip:y;height:5;width:4;" fillcolor="#FF0000" filled="t" stroked="t" coordsize="21600,21600">
                      <v:path arrowok="t"/>
                      <v:fill on="t" focussize="0,0"/>
                      <v:stroke color="#FF0000"/>
                      <v:imagedata o:title=""/>
                      <o:lock v:ext="edit"/>
                    </v:line>
                    <v:shape id="_x0000_s2418" o:spid="_x0000_s2418" o:spt="202" type="#_x0000_t202" style="position:absolute;left:59;top:6055;height:6;width:19;" filled="f" stroked="f" coordsize="21600,21600">
                      <v:path/>
                      <v:fill on="f" focussize="0,0"/>
                      <v:stroke on="f" joinstyle="miter"/>
                      <v:imagedata o:title=""/>
                      <o:lock v:ext="edit"/>
                      <v:textbox>
                        <w:txbxContent>
                          <w:p>
                            <w:pPr>
                              <w:ind w:firstLine="0" w:firstLineChars="0"/>
                              <w:rPr>
                                <w:b/>
                                <w:bCs/>
                                <w:color w:val="FF0000"/>
                                <w:sz w:val="21"/>
                                <w:szCs w:val="21"/>
                              </w:rPr>
                            </w:pPr>
                            <w:r>
                              <w:rPr>
                                <w:rFonts w:hint="eastAsia"/>
                                <w:b/>
                                <w:bCs/>
                                <w:color w:val="FF0000"/>
                                <w:sz w:val="21"/>
                                <w:szCs w:val="21"/>
                              </w:rPr>
                              <w:t>项目所在地</w:t>
                            </w:r>
                          </w:p>
                        </w:txbxContent>
                      </v:textbox>
                    </v:shape>
                  </v:group>
                </v:group>
              </w:pict>
            </w:r>
            <w:r>
              <w:rPr>
                <w:color w:val="auto"/>
              </w:rPr>
              <w:pict>
                <v:shape id="_x0000_i1034" o:spt="75" type="#_x0000_t75" style="height:274.2pt;width:426.6pt;" filled="f" o:preferrelative="t" stroked="f" coordsize="21600,21600">
                  <v:path/>
                  <v:fill on="f" focussize="0,0"/>
                  <v:stroke on="f" joinstyle="miter"/>
                  <v:imagedata r:id="rId20" o:title=""/>
                  <o:lock v:ext="edit" aspectratio="t"/>
                  <w10:wrap type="none"/>
                  <w10:anchorlock/>
                </v:shape>
              </w:pict>
            </w:r>
          </w:p>
          <w:p>
            <w:pPr>
              <w:ind w:firstLine="0" w:firstLineChars="0"/>
              <w:jc w:val="center"/>
              <w:rPr>
                <w:rFonts w:eastAsia="黑体" w:cs="Times New Roman"/>
                <w:color w:val="auto"/>
                <w:lang w:bidi="he-IL"/>
              </w:rPr>
            </w:pPr>
            <w:r>
              <w:rPr>
                <w:rFonts w:hint="eastAsia" w:eastAsia="黑体" w:cs="Times New Roman"/>
                <w:color w:val="auto"/>
                <w:lang w:val="zh-CN" w:bidi="he-IL"/>
              </w:rPr>
              <w:t>图3.1-</w:t>
            </w:r>
            <w:r>
              <w:rPr>
                <w:rFonts w:hint="eastAsia" w:eastAsia="黑体" w:cs="Times New Roman"/>
                <w:color w:val="auto"/>
                <w:lang w:bidi="he-IL"/>
              </w:rPr>
              <w:t xml:space="preserve">6 </w:t>
            </w:r>
            <w:r>
              <w:rPr>
                <w:rFonts w:hint="eastAsia" w:eastAsia="黑体" w:cs="Times New Roman"/>
                <w:color w:val="auto"/>
                <w:lang w:val="zh-CN" w:bidi="he-IL"/>
              </w:rPr>
              <w:t xml:space="preserve"> </w:t>
            </w:r>
            <w:r>
              <w:rPr>
                <w:rFonts w:hint="eastAsia" w:eastAsia="黑体" w:cs="Times New Roman"/>
                <w:color w:val="auto"/>
                <w:lang w:bidi="he-IL"/>
              </w:rPr>
              <w:t>福清市建成区声环境功能区划图</w:t>
            </w:r>
          </w:p>
          <w:p>
            <w:pPr>
              <w:pStyle w:val="38"/>
              <w:ind w:firstLine="480"/>
              <w:rPr>
                <w:rStyle w:val="39"/>
                <w:rFonts w:cs="Times New Roman"/>
                <w:color w:val="auto"/>
              </w:rPr>
            </w:pPr>
            <w:r>
              <w:rPr>
                <w:rFonts w:hint="eastAsia" w:cs="Times New Roman"/>
                <w:color w:val="auto"/>
              </w:rPr>
              <w:t>（2）</w:t>
            </w:r>
            <w:r>
              <w:rPr>
                <w:rStyle w:val="39"/>
                <w:rFonts w:hint="eastAsia" w:cs="Times New Roman"/>
                <w:color w:val="auto"/>
              </w:rPr>
              <w:t>声环境现状调查</w:t>
            </w:r>
          </w:p>
          <w:p>
            <w:pPr>
              <w:pStyle w:val="38"/>
              <w:ind w:firstLine="480"/>
              <w:rPr>
                <w:color w:val="auto"/>
              </w:rPr>
            </w:pPr>
            <w:r>
              <w:rPr>
                <w:color w:val="auto"/>
              </w:rPr>
              <w:t>根据现场踏勘可知，</w:t>
            </w:r>
            <w:r>
              <w:rPr>
                <w:rFonts w:hint="eastAsia" w:cs="Times New Roman"/>
                <w:color w:val="auto"/>
              </w:rPr>
              <w:t>项目厂界外周边50米范围内存在声环境保护目标为屿边村（与东侧厂界最近距离约21m，详见附图3），本次噪声评价</w:t>
            </w:r>
            <w:r>
              <w:rPr>
                <w:rFonts w:hint="eastAsia"/>
                <w:color w:val="auto"/>
              </w:rPr>
              <w:t>委托福建宏其检测科技有限责任公司于2025年8月8~9日对项目周边50m声环境敏感目标屿边村进行现状检测，检测点位如下图3.1-7所示</w:t>
            </w:r>
            <w:r>
              <w:rPr>
                <w:color w:val="auto"/>
              </w:rPr>
              <w:t>。</w:t>
            </w:r>
          </w:p>
          <w:p>
            <w:pPr>
              <w:pStyle w:val="38"/>
              <w:ind w:firstLine="0" w:firstLineChars="0"/>
              <w:jc w:val="center"/>
              <w:rPr>
                <w:color w:val="auto"/>
              </w:rPr>
            </w:pPr>
            <w:r>
              <w:rPr>
                <w:color w:val="auto"/>
              </w:rPr>
              <w:pict>
                <v:shape id="_x0000_i1035" o:spt="75" type="#_x0000_t75" style="height:280.8pt;width:394.2pt;" filled="f" o:preferrelative="t" stroked="f" coordsize="21600,21600">
                  <v:path/>
                  <v:fill on="f" focussize="0,0"/>
                  <v:stroke on="f" joinstyle="miter"/>
                  <v:imagedata r:id="rId21" o:title=""/>
                  <o:lock v:ext="edit" aspectratio="t"/>
                  <w10:wrap type="none"/>
                  <w10:anchorlock/>
                </v:shape>
              </w:pict>
            </w:r>
          </w:p>
          <w:p>
            <w:pPr>
              <w:spacing w:line="240" w:lineRule="auto"/>
              <w:ind w:firstLine="0" w:firstLineChars="0"/>
              <w:jc w:val="center"/>
              <w:rPr>
                <w:rFonts w:eastAsia="黑体" w:cs="Times New Roman"/>
                <w:color w:val="auto"/>
                <w:lang w:bidi="he-IL"/>
              </w:rPr>
            </w:pPr>
            <w:r>
              <w:rPr>
                <w:rFonts w:hint="eastAsia" w:eastAsia="黑体" w:cs="Times New Roman"/>
                <w:color w:val="auto"/>
                <w:lang w:val="zh-CN" w:bidi="he-IL"/>
              </w:rPr>
              <w:t>图3.1-</w:t>
            </w:r>
            <w:r>
              <w:rPr>
                <w:rFonts w:hint="eastAsia" w:eastAsia="黑体" w:cs="Times New Roman"/>
                <w:color w:val="auto"/>
                <w:lang w:bidi="he-IL"/>
              </w:rPr>
              <w:t xml:space="preserve">7 </w:t>
            </w:r>
            <w:r>
              <w:rPr>
                <w:rFonts w:hint="eastAsia" w:eastAsia="黑体" w:cs="Times New Roman"/>
                <w:color w:val="auto"/>
                <w:lang w:val="zh-CN" w:bidi="he-IL"/>
              </w:rPr>
              <w:t xml:space="preserve"> </w:t>
            </w:r>
            <w:r>
              <w:rPr>
                <w:rFonts w:hint="eastAsia" w:eastAsia="黑体" w:cs="Times New Roman"/>
                <w:color w:val="auto"/>
                <w:lang w:bidi="he-IL"/>
              </w:rPr>
              <w:t>项目周边噪声检测点位</w:t>
            </w:r>
          </w:p>
          <w:p>
            <w:pPr>
              <w:pStyle w:val="38"/>
              <w:ind w:firstLine="480"/>
              <w:rPr>
                <w:color w:val="auto"/>
              </w:rPr>
            </w:pPr>
            <w:r>
              <w:rPr>
                <w:rFonts w:hint="eastAsia"/>
                <w:color w:val="auto"/>
              </w:rPr>
              <w:t>根据福建宏其检测科技有限责任公司出具的检测报告HQJC（2025）080808显示，周边声环境敏感目标现状噪声满足</w:t>
            </w:r>
            <w:r>
              <w:rPr>
                <w:rFonts w:hint="eastAsia"/>
                <w:color w:val="auto"/>
                <w:lang w:val="en-US" w:eastAsia="zh-CN"/>
              </w:rPr>
              <w:t>2</w:t>
            </w:r>
            <w:r>
              <w:rPr>
                <w:rFonts w:hint="eastAsia"/>
                <w:color w:val="auto"/>
              </w:rPr>
              <w:t>类声环境功能区，噪声检测结果详见下表3.1-4。</w:t>
            </w:r>
          </w:p>
          <w:p>
            <w:pPr>
              <w:pStyle w:val="146"/>
              <w:spacing w:before="48" w:after="48"/>
              <w:rPr>
                <w:rFonts w:eastAsia="黑体" w:cs="Times New Roman"/>
                <w:b w:val="0"/>
                <w:color w:val="auto"/>
                <w:lang w:val="zh-CN" w:bidi="he-IL"/>
              </w:rPr>
            </w:pPr>
            <w:r>
              <w:rPr>
                <w:rFonts w:eastAsia="黑体" w:cs="Times New Roman"/>
                <w:b w:val="0"/>
                <w:color w:val="auto"/>
                <w:lang w:val="zh-CN" w:bidi="he-IL"/>
              </w:rPr>
              <w:t>表</w:t>
            </w:r>
            <w:r>
              <w:rPr>
                <w:rFonts w:hint="eastAsia" w:eastAsia="黑体" w:cs="Times New Roman"/>
                <w:b w:val="0"/>
                <w:color w:val="auto"/>
                <w:lang w:val="zh-CN" w:bidi="he-IL"/>
              </w:rPr>
              <w:t>3</w:t>
            </w:r>
            <w:r>
              <w:rPr>
                <w:rFonts w:hint="eastAsia" w:eastAsia="黑体" w:cs="Times New Roman"/>
                <w:b w:val="0"/>
                <w:color w:val="auto"/>
                <w:lang w:bidi="he-IL"/>
              </w:rPr>
              <w:t xml:space="preserve">.1-4 </w:t>
            </w:r>
            <w:r>
              <w:rPr>
                <w:rFonts w:hint="eastAsia" w:eastAsia="黑体" w:cs="Times New Roman"/>
                <w:b w:val="0"/>
                <w:color w:val="auto"/>
                <w:lang w:val="zh-CN" w:bidi="he-IL"/>
              </w:rPr>
              <w:t>噪声检测结果</w:t>
            </w:r>
            <w:r>
              <w:rPr>
                <w:rFonts w:eastAsia="黑体" w:cs="Times New Roman"/>
                <w:b w:val="0"/>
                <w:color w:val="auto"/>
                <w:lang w:val="zh-CN" w:bidi="he-IL"/>
              </w:rPr>
              <w:t>一览表</w:t>
            </w:r>
          </w:p>
          <w:tbl>
            <w:tblPr>
              <w:tblStyle w:val="27"/>
              <w:tblW w:w="4982"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653"/>
              <w:gridCol w:w="1385"/>
              <w:gridCol w:w="1134"/>
              <w:gridCol w:w="1755"/>
              <w:gridCol w:w="1099"/>
              <w:gridCol w:w="1336"/>
              <w:gridCol w:w="102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670" w:type="dxa"/>
                  <w:tcBorders>
                    <w:tl2br w:val="nil"/>
                    <w:tr2bl w:val="nil"/>
                  </w:tcBorders>
                  <w:vAlign w:val="center"/>
                </w:tcPr>
                <w:p>
                  <w:pPr>
                    <w:pStyle w:val="36"/>
                    <w:rPr>
                      <w:rFonts w:cs="Times New Roman"/>
                      <w:color w:val="auto"/>
                    </w:rPr>
                  </w:pPr>
                  <w:r>
                    <w:rPr>
                      <w:rFonts w:cs="Times New Roman"/>
                      <w:color w:val="auto"/>
                    </w:rPr>
                    <w:t>编号</w:t>
                  </w:r>
                </w:p>
              </w:tc>
              <w:tc>
                <w:tcPr>
                  <w:tcW w:w="1432" w:type="dxa"/>
                  <w:tcBorders>
                    <w:tl2br w:val="nil"/>
                    <w:tr2bl w:val="nil"/>
                  </w:tcBorders>
                  <w:vAlign w:val="center"/>
                </w:tcPr>
                <w:p>
                  <w:pPr>
                    <w:pStyle w:val="36"/>
                    <w:rPr>
                      <w:rFonts w:cs="Times New Roman"/>
                      <w:color w:val="auto"/>
                    </w:rPr>
                  </w:pPr>
                  <w:r>
                    <w:rPr>
                      <w:rFonts w:cs="Times New Roman"/>
                      <w:color w:val="auto"/>
                    </w:rPr>
                    <w:t>点位名称</w:t>
                  </w:r>
                </w:p>
              </w:tc>
              <w:tc>
                <w:tcPr>
                  <w:tcW w:w="1171" w:type="dxa"/>
                  <w:tcBorders>
                    <w:tl2br w:val="nil"/>
                    <w:tr2bl w:val="nil"/>
                  </w:tcBorders>
                  <w:vAlign w:val="center"/>
                </w:tcPr>
                <w:p>
                  <w:pPr>
                    <w:pStyle w:val="36"/>
                    <w:rPr>
                      <w:rFonts w:cs="Times New Roman"/>
                      <w:color w:val="auto"/>
                    </w:rPr>
                  </w:pPr>
                  <w:r>
                    <w:rPr>
                      <w:rFonts w:hint="eastAsia" w:cs="Times New Roman"/>
                      <w:color w:val="auto"/>
                    </w:rPr>
                    <w:t>检测日期</w:t>
                  </w:r>
                </w:p>
              </w:tc>
              <w:tc>
                <w:tcPr>
                  <w:tcW w:w="2951" w:type="dxa"/>
                  <w:gridSpan w:val="2"/>
                  <w:tcBorders>
                    <w:tl2br w:val="nil"/>
                    <w:tr2bl w:val="nil"/>
                  </w:tcBorders>
                  <w:vAlign w:val="center"/>
                </w:tcPr>
                <w:p>
                  <w:pPr>
                    <w:pStyle w:val="36"/>
                    <w:rPr>
                      <w:rFonts w:cs="Times New Roman"/>
                      <w:color w:val="auto"/>
                    </w:rPr>
                  </w:pPr>
                  <w:r>
                    <w:rPr>
                      <w:rFonts w:cs="Times New Roman"/>
                      <w:color w:val="auto"/>
                    </w:rPr>
                    <w:t>检测结果L</w:t>
                  </w:r>
                  <w:r>
                    <w:rPr>
                      <w:rFonts w:cs="Times New Roman"/>
                      <w:color w:val="auto"/>
                      <w:vertAlign w:val="subscript"/>
                    </w:rPr>
                    <w:t>Aeq</w:t>
                  </w:r>
                  <w:r>
                    <w:rPr>
                      <w:rFonts w:hint="eastAsia" w:cs="Times New Roman"/>
                      <w:color w:val="auto"/>
                      <w:vertAlign w:val="subscript"/>
                    </w:rPr>
                    <w:t xml:space="preserve">  </w:t>
                  </w:r>
                  <w:r>
                    <w:rPr>
                      <w:rFonts w:cs="Times New Roman"/>
                      <w:color w:val="auto"/>
                    </w:rPr>
                    <w:t>dB（A）</w:t>
                  </w:r>
                </w:p>
              </w:tc>
              <w:tc>
                <w:tcPr>
                  <w:tcW w:w="1381" w:type="dxa"/>
                  <w:tcBorders>
                    <w:tl2br w:val="nil"/>
                    <w:tr2bl w:val="nil"/>
                  </w:tcBorders>
                  <w:vAlign w:val="center"/>
                </w:tcPr>
                <w:p>
                  <w:pPr>
                    <w:pStyle w:val="36"/>
                    <w:rPr>
                      <w:rFonts w:hint="eastAsia" w:cs="Times New Roman"/>
                      <w:color w:val="auto"/>
                    </w:rPr>
                  </w:pPr>
                  <w:r>
                    <w:rPr>
                      <w:rFonts w:hint="eastAsia" w:cs="Times New Roman"/>
                      <w:color w:val="auto"/>
                      <w:lang w:val="en-US" w:eastAsia="zh-CN"/>
                    </w:rPr>
                    <w:t>2类</w:t>
                  </w:r>
                  <w:r>
                    <w:rPr>
                      <w:rFonts w:hint="eastAsia" w:cs="Times New Roman"/>
                      <w:color w:val="auto"/>
                    </w:rPr>
                    <w:t>限值</w:t>
                  </w:r>
                </w:p>
                <w:p>
                  <w:pPr>
                    <w:pStyle w:val="36"/>
                    <w:rPr>
                      <w:rFonts w:cs="Times New Roman"/>
                      <w:color w:val="auto"/>
                    </w:rPr>
                  </w:pPr>
                  <w:r>
                    <w:rPr>
                      <w:rFonts w:cs="Times New Roman"/>
                      <w:color w:val="auto"/>
                    </w:rPr>
                    <w:t>dB（A）</w:t>
                  </w:r>
                </w:p>
              </w:tc>
              <w:tc>
                <w:tcPr>
                  <w:tcW w:w="1061" w:type="dxa"/>
                  <w:tcBorders>
                    <w:tl2br w:val="nil"/>
                    <w:tr2bl w:val="nil"/>
                  </w:tcBorders>
                  <w:vAlign w:val="center"/>
                </w:tcPr>
                <w:p>
                  <w:pPr>
                    <w:pStyle w:val="36"/>
                    <w:rPr>
                      <w:rFonts w:hint="eastAsia" w:cs="Times New Roman"/>
                      <w:color w:val="auto"/>
                    </w:rPr>
                  </w:pPr>
                  <w:r>
                    <w:rPr>
                      <w:rFonts w:hint="eastAsia" w:cs="Times New Roman"/>
                      <w:color w:val="auto"/>
                    </w:rPr>
                    <w:t>是否</w:t>
                  </w:r>
                </w:p>
                <w:p>
                  <w:pPr>
                    <w:pStyle w:val="36"/>
                    <w:rPr>
                      <w:rFonts w:cs="Times New Roman"/>
                      <w:color w:val="auto"/>
                    </w:rPr>
                  </w:pPr>
                  <w:r>
                    <w:rPr>
                      <w:rFonts w:hint="eastAsia" w:cs="Times New Roman"/>
                      <w:color w:val="auto"/>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670" w:type="dxa"/>
                  <w:vMerge w:val="restart"/>
                  <w:tcBorders>
                    <w:tl2br w:val="nil"/>
                    <w:tr2bl w:val="nil"/>
                  </w:tcBorders>
                  <w:vAlign w:val="center"/>
                </w:tcPr>
                <w:p>
                  <w:pPr>
                    <w:pStyle w:val="36"/>
                    <w:rPr>
                      <w:rFonts w:cs="Times New Roman"/>
                      <w:color w:val="auto"/>
                    </w:rPr>
                  </w:pPr>
                  <w:r>
                    <w:rPr>
                      <w:rFonts w:cs="Times New Roman"/>
                      <w:color w:val="auto"/>
                    </w:rPr>
                    <w:t>△1</w:t>
                  </w:r>
                </w:p>
              </w:tc>
              <w:tc>
                <w:tcPr>
                  <w:tcW w:w="1432" w:type="dxa"/>
                  <w:vMerge w:val="restart"/>
                  <w:tcBorders>
                    <w:tl2br w:val="nil"/>
                    <w:tr2bl w:val="nil"/>
                  </w:tcBorders>
                  <w:vAlign w:val="center"/>
                </w:tcPr>
                <w:p>
                  <w:pPr>
                    <w:pStyle w:val="36"/>
                    <w:rPr>
                      <w:rFonts w:cs="Times New Roman"/>
                      <w:color w:val="auto"/>
                    </w:rPr>
                  </w:pPr>
                  <w:r>
                    <w:rPr>
                      <w:rFonts w:hint="eastAsia" w:cs="Times New Roman"/>
                      <w:color w:val="auto"/>
                    </w:rPr>
                    <w:t>屿边村</w:t>
                  </w:r>
                </w:p>
              </w:tc>
              <w:tc>
                <w:tcPr>
                  <w:tcW w:w="1171" w:type="dxa"/>
                  <w:vMerge w:val="restart"/>
                  <w:tcBorders>
                    <w:tl2br w:val="nil"/>
                    <w:tr2bl w:val="nil"/>
                  </w:tcBorders>
                  <w:vAlign w:val="center"/>
                </w:tcPr>
                <w:p>
                  <w:pPr>
                    <w:pStyle w:val="36"/>
                    <w:rPr>
                      <w:rFonts w:cs="Times New Roman"/>
                      <w:color w:val="auto"/>
                    </w:rPr>
                  </w:pPr>
                  <w:r>
                    <w:rPr>
                      <w:rFonts w:hint="eastAsia" w:cs="Times New Roman"/>
                      <w:color w:val="auto"/>
                    </w:rPr>
                    <w:t>2025.8.8</w:t>
                  </w:r>
                </w:p>
              </w:tc>
              <w:tc>
                <w:tcPr>
                  <w:tcW w:w="1817" w:type="dxa"/>
                  <w:tcBorders>
                    <w:tl2br w:val="nil"/>
                    <w:tr2bl w:val="nil"/>
                  </w:tcBorders>
                  <w:vAlign w:val="center"/>
                </w:tcPr>
                <w:p>
                  <w:pPr>
                    <w:pStyle w:val="36"/>
                    <w:rPr>
                      <w:rFonts w:cs="Times New Roman"/>
                      <w:color w:val="auto"/>
                    </w:rPr>
                  </w:pPr>
                  <w:r>
                    <w:rPr>
                      <w:rFonts w:cs="Times New Roman"/>
                      <w:color w:val="auto"/>
                    </w:rPr>
                    <w:t>昼间</w:t>
                  </w:r>
                </w:p>
              </w:tc>
              <w:tc>
                <w:tcPr>
                  <w:tcW w:w="1134" w:type="dxa"/>
                  <w:tcBorders>
                    <w:tl2br w:val="nil"/>
                    <w:tr2bl w:val="nil"/>
                  </w:tcBorders>
                  <w:vAlign w:val="center"/>
                </w:tcPr>
                <w:p>
                  <w:pPr>
                    <w:pStyle w:val="36"/>
                    <w:bidi w:val="0"/>
                    <w:ind w:firstLine="0" w:firstLineChars="0"/>
                    <w:rPr>
                      <w:rFonts w:cs="Times New Roman"/>
                      <w:color w:val="auto"/>
                    </w:rPr>
                  </w:pPr>
                  <w:r>
                    <w:rPr>
                      <w:rFonts w:hint="eastAsia"/>
                      <w:color w:val="auto"/>
                      <w:lang w:val="en-US" w:eastAsia="zh-CN"/>
                    </w:rPr>
                    <w:t>***</w:t>
                  </w:r>
                </w:p>
              </w:tc>
              <w:tc>
                <w:tcPr>
                  <w:tcW w:w="1381" w:type="dxa"/>
                  <w:tcBorders>
                    <w:tl2br w:val="nil"/>
                    <w:tr2bl w:val="nil"/>
                  </w:tcBorders>
                  <w:vAlign w:val="center"/>
                </w:tcPr>
                <w:p>
                  <w:pPr>
                    <w:pStyle w:val="36"/>
                    <w:rPr>
                      <w:rFonts w:hint="eastAsia" w:eastAsia="宋体" w:cs="Times New Roman"/>
                      <w:color w:val="auto"/>
                      <w:lang w:eastAsia="zh-CN"/>
                    </w:rPr>
                  </w:pPr>
                  <w:r>
                    <w:rPr>
                      <w:rFonts w:hint="eastAsia" w:cs="Times New Roman"/>
                      <w:color w:val="auto"/>
                    </w:rPr>
                    <w:t>≤6</w:t>
                  </w:r>
                  <w:r>
                    <w:rPr>
                      <w:rFonts w:hint="eastAsia" w:cs="Times New Roman"/>
                      <w:color w:val="auto"/>
                      <w:lang w:val="en-US" w:eastAsia="zh-CN"/>
                    </w:rPr>
                    <w:t>0</w:t>
                  </w:r>
                </w:p>
              </w:tc>
              <w:tc>
                <w:tcPr>
                  <w:tcW w:w="1061" w:type="dxa"/>
                  <w:tcBorders>
                    <w:tl2br w:val="nil"/>
                    <w:tr2bl w:val="nil"/>
                  </w:tcBorders>
                  <w:vAlign w:val="center"/>
                </w:tcPr>
                <w:p>
                  <w:pPr>
                    <w:pStyle w:val="36"/>
                    <w:rPr>
                      <w:rFonts w:cs="Times New Roman"/>
                      <w:color w:val="auto"/>
                    </w:rPr>
                  </w:pPr>
                  <w:r>
                    <w:rPr>
                      <w:rFonts w:hint="eastAsia" w:cs="Times New Roman"/>
                      <w:color w:val="auto"/>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3" w:hRule="atLeast"/>
                <w:jc w:val="center"/>
              </w:trPr>
              <w:tc>
                <w:tcPr>
                  <w:tcW w:w="670" w:type="dxa"/>
                  <w:vMerge w:val="continue"/>
                  <w:tcBorders>
                    <w:tl2br w:val="nil"/>
                    <w:tr2bl w:val="nil"/>
                  </w:tcBorders>
                  <w:vAlign w:val="center"/>
                </w:tcPr>
                <w:p>
                  <w:pPr>
                    <w:pStyle w:val="36"/>
                    <w:rPr>
                      <w:rFonts w:cs="Times New Roman"/>
                      <w:color w:val="auto"/>
                    </w:rPr>
                  </w:pPr>
                </w:p>
              </w:tc>
              <w:tc>
                <w:tcPr>
                  <w:tcW w:w="1432" w:type="dxa"/>
                  <w:vMerge w:val="continue"/>
                  <w:tcBorders>
                    <w:tl2br w:val="nil"/>
                    <w:tr2bl w:val="nil"/>
                  </w:tcBorders>
                  <w:vAlign w:val="center"/>
                </w:tcPr>
                <w:p>
                  <w:pPr>
                    <w:pStyle w:val="36"/>
                    <w:rPr>
                      <w:rFonts w:cs="Times New Roman"/>
                      <w:color w:val="auto"/>
                    </w:rPr>
                  </w:pPr>
                </w:p>
              </w:tc>
              <w:tc>
                <w:tcPr>
                  <w:tcW w:w="1171" w:type="dxa"/>
                  <w:vMerge w:val="continue"/>
                  <w:tcBorders>
                    <w:tl2br w:val="nil"/>
                    <w:tr2bl w:val="nil"/>
                  </w:tcBorders>
                  <w:vAlign w:val="center"/>
                </w:tcPr>
                <w:p>
                  <w:pPr>
                    <w:pStyle w:val="36"/>
                    <w:rPr>
                      <w:rFonts w:cs="Times New Roman"/>
                      <w:color w:val="auto"/>
                    </w:rPr>
                  </w:pPr>
                </w:p>
              </w:tc>
              <w:tc>
                <w:tcPr>
                  <w:tcW w:w="1817" w:type="dxa"/>
                  <w:tcBorders>
                    <w:tl2br w:val="nil"/>
                    <w:tr2bl w:val="nil"/>
                  </w:tcBorders>
                  <w:vAlign w:val="center"/>
                </w:tcPr>
                <w:p>
                  <w:pPr>
                    <w:pStyle w:val="36"/>
                    <w:rPr>
                      <w:rFonts w:cs="Times New Roman"/>
                      <w:color w:val="auto"/>
                    </w:rPr>
                  </w:pPr>
                  <w:r>
                    <w:rPr>
                      <w:rFonts w:hint="eastAsia" w:cs="Times New Roman"/>
                      <w:color w:val="auto"/>
                    </w:rPr>
                    <w:t>夜间</w:t>
                  </w:r>
                </w:p>
              </w:tc>
              <w:tc>
                <w:tcPr>
                  <w:tcW w:w="1134" w:type="dxa"/>
                  <w:tcBorders>
                    <w:tl2br w:val="nil"/>
                    <w:tr2bl w:val="nil"/>
                  </w:tcBorders>
                  <w:vAlign w:val="center"/>
                </w:tcPr>
                <w:p>
                  <w:pPr>
                    <w:pStyle w:val="36"/>
                    <w:bidi w:val="0"/>
                    <w:ind w:firstLine="0" w:firstLineChars="0"/>
                    <w:rPr>
                      <w:rFonts w:cs="Times New Roman"/>
                      <w:color w:val="auto"/>
                    </w:rPr>
                  </w:pPr>
                  <w:r>
                    <w:rPr>
                      <w:rFonts w:hint="eastAsia"/>
                      <w:color w:val="auto"/>
                      <w:lang w:val="en-US" w:eastAsia="zh-CN"/>
                    </w:rPr>
                    <w:t>***</w:t>
                  </w:r>
                </w:p>
              </w:tc>
              <w:tc>
                <w:tcPr>
                  <w:tcW w:w="1381" w:type="dxa"/>
                  <w:tcBorders>
                    <w:tl2br w:val="nil"/>
                    <w:tr2bl w:val="nil"/>
                  </w:tcBorders>
                  <w:vAlign w:val="center"/>
                </w:tcPr>
                <w:p>
                  <w:pPr>
                    <w:pStyle w:val="36"/>
                    <w:rPr>
                      <w:rFonts w:hint="eastAsia" w:eastAsia="宋体" w:cs="Times New Roman"/>
                      <w:color w:val="auto"/>
                      <w:lang w:eastAsia="zh-CN"/>
                    </w:rPr>
                  </w:pPr>
                  <w:r>
                    <w:rPr>
                      <w:rFonts w:hint="eastAsia" w:cs="Times New Roman"/>
                      <w:color w:val="auto"/>
                    </w:rPr>
                    <w:t>≤5</w:t>
                  </w:r>
                  <w:r>
                    <w:rPr>
                      <w:rFonts w:hint="eastAsia" w:cs="Times New Roman"/>
                      <w:color w:val="auto"/>
                      <w:lang w:val="en-US" w:eastAsia="zh-CN"/>
                    </w:rPr>
                    <w:t>0</w:t>
                  </w:r>
                </w:p>
              </w:tc>
              <w:tc>
                <w:tcPr>
                  <w:tcW w:w="1061" w:type="dxa"/>
                  <w:tcBorders>
                    <w:tl2br w:val="nil"/>
                    <w:tr2bl w:val="nil"/>
                  </w:tcBorders>
                  <w:vAlign w:val="center"/>
                </w:tcPr>
                <w:p>
                  <w:pPr>
                    <w:pStyle w:val="36"/>
                    <w:rPr>
                      <w:rFonts w:cs="Times New Roman"/>
                      <w:color w:val="auto"/>
                    </w:rPr>
                  </w:pPr>
                  <w:r>
                    <w:rPr>
                      <w:rFonts w:hint="eastAsia" w:cs="Times New Roman"/>
                      <w:color w:val="auto"/>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3" w:hRule="atLeast"/>
                <w:jc w:val="center"/>
              </w:trPr>
              <w:tc>
                <w:tcPr>
                  <w:tcW w:w="670" w:type="dxa"/>
                  <w:vMerge w:val="continue"/>
                  <w:tcBorders>
                    <w:tl2br w:val="nil"/>
                    <w:tr2bl w:val="nil"/>
                  </w:tcBorders>
                  <w:vAlign w:val="center"/>
                </w:tcPr>
                <w:p>
                  <w:pPr>
                    <w:pStyle w:val="36"/>
                    <w:rPr>
                      <w:rFonts w:cs="Times New Roman"/>
                      <w:color w:val="auto"/>
                    </w:rPr>
                  </w:pPr>
                </w:p>
              </w:tc>
              <w:tc>
                <w:tcPr>
                  <w:tcW w:w="1432" w:type="dxa"/>
                  <w:vMerge w:val="continue"/>
                  <w:tcBorders>
                    <w:tl2br w:val="nil"/>
                    <w:tr2bl w:val="nil"/>
                  </w:tcBorders>
                  <w:vAlign w:val="center"/>
                </w:tcPr>
                <w:p>
                  <w:pPr>
                    <w:pStyle w:val="36"/>
                    <w:rPr>
                      <w:rFonts w:cs="Times New Roman"/>
                      <w:color w:val="auto"/>
                    </w:rPr>
                  </w:pPr>
                </w:p>
              </w:tc>
              <w:tc>
                <w:tcPr>
                  <w:tcW w:w="1171" w:type="dxa"/>
                  <w:vMerge w:val="restart"/>
                  <w:tcBorders>
                    <w:tl2br w:val="nil"/>
                    <w:tr2bl w:val="nil"/>
                  </w:tcBorders>
                  <w:vAlign w:val="center"/>
                </w:tcPr>
                <w:p>
                  <w:pPr>
                    <w:pStyle w:val="36"/>
                    <w:rPr>
                      <w:rFonts w:cs="Times New Roman"/>
                      <w:color w:val="auto"/>
                    </w:rPr>
                  </w:pPr>
                  <w:r>
                    <w:rPr>
                      <w:rFonts w:hint="eastAsia" w:cs="Times New Roman"/>
                      <w:color w:val="auto"/>
                    </w:rPr>
                    <w:t>2025.8.9</w:t>
                  </w:r>
                </w:p>
              </w:tc>
              <w:tc>
                <w:tcPr>
                  <w:tcW w:w="1817" w:type="dxa"/>
                  <w:tcBorders>
                    <w:tl2br w:val="nil"/>
                    <w:tr2bl w:val="nil"/>
                  </w:tcBorders>
                  <w:vAlign w:val="center"/>
                </w:tcPr>
                <w:p>
                  <w:pPr>
                    <w:pStyle w:val="36"/>
                    <w:rPr>
                      <w:rFonts w:cs="Times New Roman"/>
                      <w:color w:val="auto"/>
                    </w:rPr>
                  </w:pPr>
                  <w:r>
                    <w:rPr>
                      <w:rFonts w:cs="Times New Roman"/>
                      <w:color w:val="auto"/>
                    </w:rPr>
                    <w:t>昼间</w:t>
                  </w:r>
                </w:p>
              </w:tc>
              <w:tc>
                <w:tcPr>
                  <w:tcW w:w="1134" w:type="dxa"/>
                  <w:tcBorders>
                    <w:tl2br w:val="nil"/>
                    <w:tr2bl w:val="nil"/>
                  </w:tcBorders>
                  <w:vAlign w:val="center"/>
                </w:tcPr>
                <w:p>
                  <w:pPr>
                    <w:pStyle w:val="36"/>
                    <w:bidi w:val="0"/>
                    <w:ind w:firstLine="0" w:firstLineChars="0"/>
                    <w:rPr>
                      <w:rFonts w:cs="Times New Roman"/>
                      <w:color w:val="auto"/>
                    </w:rPr>
                  </w:pPr>
                  <w:r>
                    <w:rPr>
                      <w:rFonts w:hint="eastAsia"/>
                      <w:color w:val="auto"/>
                      <w:lang w:val="en-US" w:eastAsia="zh-CN"/>
                    </w:rPr>
                    <w:t>***</w:t>
                  </w:r>
                </w:p>
              </w:tc>
              <w:tc>
                <w:tcPr>
                  <w:tcW w:w="1381" w:type="dxa"/>
                  <w:tcBorders>
                    <w:tl2br w:val="nil"/>
                    <w:tr2bl w:val="nil"/>
                  </w:tcBorders>
                  <w:vAlign w:val="center"/>
                </w:tcPr>
                <w:p>
                  <w:pPr>
                    <w:pStyle w:val="36"/>
                    <w:ind w:firstLine="0" w:firstLineChars="0"/>
                    <w:rPr>
                      <w:rFonts w:cs="Times New Roman"/>
                      <w:color w:val="auto"/>
                    </w:rPr>
                  </w:pPr>
                  <w:r>
                    <w:rPr>
                      <w:rFonts w:hint="eastAsia" w:cs="Times New Roman"/>
                      <w:color w:val="auto"/>
                    </w:rPr>
                    <w:t>≤6</w:t>
                  </w:r>
                  <w:r>
                    <w:rPr>
                      <w:rFonts w:hint="eastAsia" w:cs="Times New Roman"/>
                      <w:color w:val="auto"/>
                      <w:lang w:val="en-US" w:eastAsia="zh-CN"/>
                    </w:rPr>
                    <w:t>0</w:t>
                  </w:r>
                </w:p>
              </w:tc>
              <w:tc>
                <w:tcPr>
                  <w:tcW w:w="1061" w:type="dxa"/>
                  <w:tcBorders>
                    <w:tl2br w:val="nil"/>
                    <w:tr2bl w:val="nil"/>
                  </w:tcBorders>
                  <w:vAlign w:val="center"/>
                </w:tcPr>
                <w:p>
                  <w:pPr>
                    <w:pStyle w:val="36"/>
                    <w:rPr>
                      <w:rFonts w:cs="Times New Roman"/>
                      <w:color w:val="auto"/>
                    </w:rPr>
                  </w:pPr>
                  <w:r>
                    <w:rPr>
                      <w:rFonts w:hint="eastAsia" w:cs="Times New Roman"/>
                      <w:color w:val="auto"/>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3" w:hRule="atLeast"/>
                <w:jc w:val="center"/>
              </w:trPr>
              <w:tc>
                <w:tcPr>
                  <w:tcW w:w="670" w:type="dxa"/>
                  <w:vMerge w:val="continue"/>
                  <w:tcBorders>
                    <w:tl2br w:val="nil"/>
                    <w:tr2bl w:val="nil"/>
                  </w:tcBorders>
                  <w:vAlign w:val="center"/>
                </w:tcPr>
                <w:p>
                  <w:pPr>
                    <w:pStyle w:val="36"/>
                    <w:rPr>
                      <w:rFonts w:cs="Times New Roman"/>
                      <w:color w:val="auto"/>
                    </w:rPr>
                  </w:pPr>
                </w:p>
              </w:tc>
              <w:tc>
                <w:tcPr>
                  <w:tcW w:w="1432" w:type="dxa"/>
                  <w:vMerge w:val="continue"/>
                  <w:tcBorders>
                    <w:tl2br w:val="nil"/>
                    <w:tr2bl w:val="nil"/>
                  </w:tcBorders>
                  <w:vAlign w:val="center"/>
                </w:tcPr>
                <w:p>
                  <w:pPr>
                    <w:pStyle w:val="36"/>
                    <w:rPr>
                      <w:rFonts w:cs="Times New Roman"/>
                      <w:color w:val="auto"/>
                    </w:rPr>
                  </w:pPr>
                </w:p>
              </w:tc>
              <w:tc>
                <w:tcPr>
                  <w:tcW w:w="1171" w:type="dxa"/>
                  <w:vMerge w:val="continue"/>
                  <w:tcBorders>
                    <w:tl2br w:val="nil"/>
                    <w:tr2bl w:val="nil"/>
                  </w:tcBorders>
                  <w:vAlign w:val="center"/>
                </w:tcPr>
                <w:p>
                  <w:pPr>
                    <w:pStyle w:val="36"/>
                    <w:rPr>
                      <w:rFonts w:cs="Times New Roman"/>
                      <w:color w:val="auto"/>
                    </w:rPr>
                  </w:pPr>
                </w:p>
              </w:tc>
              <w:tc>
                <w:tcPr>
                  <w:tcW w:w="1817" w:type="dxa"/>
                  <w:tcBorders>
                    <w:tl2br w:val="nil"/>
                    <w:tr2bl w:val="nil"/>
                  </w:tcBorders>
                  <w:vAlign w:val="center"/>
                </w:tcPr>
                <w:p>
                  <w:pPr>
                    <w:pStyle w:val="36"/>
                    <w:rPr>
                      <w:rFonts w:cs="Times New Roman"/>
                      <w:color w:val="auto"/>
                    </w:rPr>
                  </w:pPr>
                  <w:r>
                    <w:rPr>
                      <w:rFonts w:hint="eastAsia" w:cs="Times New Roman"/>
                      <w:color w:val="auto"/>
                    </w:rPr>
                    <w:t>夜间</w:t>
                  </w:r>
                </w:p>
              </w:tc>
              <w:tc>
                <w:tcPr>
                  <w:tcW w:w="1134" w:type="dxa"/>
                  <w:tcBorders>
                    <w:tl2br w:val="nil"/>
                    <w:tr2bl w:val="nil"/>
                  </w:tcBorders>
                  <w:vAlign w:val="center"/>
                </w:tcPr>
                <w:p>
                  <w:pPr>
                    <w:pStyle w:val="36"/>
                    <w:bidi w:val="0"/>
                    <w:ind w:firstLine="0" w:firstLineChars="0"/>
                    <w:rPr>
                      <w:rFonts w:cs="Times New Roman"/>
                      <w:color w:val="auto"/>
                    </w:rPr>
                  </w:pPr>
                  <w:r>
                    <w:rPr>
                      <w:rFonts w:hint="eastAsia"/>
                      <w:color w:val="auto"/>
                      <w:lang w:val="en-US" w:eastAsia="zh-CN"/>
                    </w:rPr>
                    <w:t>***</w:t>
                  </w:r>
                </w:p>
              </w:tc>
              <w:tc>
                <w:tcPr>
                  <w:tcW w:w="1381" w:type="dxa"/>
                  <w:tcBorders>
                    <w:tl2br w:val="nil"/>
                    <w:tr2bl w:val="nil"/>
                  </w:tcBorders>
                  <w:vAlign w:val="center"/>
                </w:tcPr>
                <w:p>
                  <w:pPr>
                    <w:pStyle w:val="36"/>
                    <w:ind w:firstLine="0" w:firstLineChars="0"/>
                    <w:rPr>
                      <w:rFonts w:cs="Times New Roman"/>
                      <w:color w:val="auto"/>
                    </w:rPr>
                  </w:pPr>
                  <w:r>
                    <w:rPr>
                      <w:rFonts w:hint="eastAsia" w:cs="Times New Roman"/>
                      <w:color w:val="auto"/>
                    </w:rPr>
                    <w:t>≤5</w:t>
                  </w:r>
                  <w:r>
                    <w:rPr>
                      <w:rFonts w:hint="eastAsia" w:cs="Times New Roman"/>
                      <w:color w:val="auto"/>
                      <w:lang w:val="en-US" w:eastAsia="zh-CN"/>
                    </w:rPr>
                    <w:t>0</w:t>
                  </w:r>
                </w:p>
              </w:tc>
              <w:tc>
                <w:tcPr>
                  <w:tcW w:w="1061" w:type="dxa"/>
                  <w:tcBorders>
                    <w:tl2br w:val="nil"/>
                    <w:tr2bl w:val="nil"/>
                  </w:tcBorders>
                  <w:vAlign w:val="center"/>
                </w:tcPr>
                <w:p>
                  <w:pPr>
                    <w:pStyle w:val="36"/>
                    <w:rPr>
                      <w:rFonts w:cs="Times New Roman"/>
                      <w:color w:val="auto"/>
                    </w:rPr>
                  </w:pPr>
                  <w:r>
                    <w:rPr>
                      <w:rFonts w:hint="eastAsia" w:cs="Times New Roman"/>
                      <w:color w:val="auto"/>
                    </w:rPr>
                    <w:t>达标</w:t>
                  </w:r>
                </w:p>
              </w:tc>
            </w:tr>
          </w:tbl>
          <w:p>
            <w:pPr>
              <w:pStyle w:val="56"/>
              <w:rPr>
                <w:rFonts w:cs="Times New Roman"/>
                <w:color w:val="auto"/>
              </w:rPr>
            </w:pPr>
            <w:bookmarkStart w:id="47" w:name="_Toc25445"/>
            <w:r>
              <w:rPr>
                <w:rFonts w:cs="Times New Roman"/>
                <w:color w:val="auto"/>
              </w:rPr>
              <w:t>3.1.4生态环境现状</w:t>
            </w:r>
            <w:bookmarkEnd w:id="47"/>
          </w:p>
          <w:p>
            <w:pPr>
              <w:ind w:firstLine="444" w:firstLineChars="185"/>
              <w:rPr>
                <w:rFonts w:cs="Times New Roman"/>
                <w:color w:val="auto"/>
                <w:highlight w:val="none"/>
                <w:lang w:val="zh-CN"/>
              </w:rPr>
            </w:pPr>
            <w:r>
              <w:rPr>
                <w:rFonts w:hint="eastAsia" w:cs="Times New Roman"/>
                <w:color w:val="auto"/>
                <w:kern w:val="2"/>
              </w:rPr>
              <w:t>根据</w:t>
            </w:r>
            <w:r>
              <w:rPr>
                <w:rFonts w:cs="Times New Roman"/>
                <w:color w:val="auto"/>
                <w:lang w:val="zh-CN"/>
              </w:rPr>
              <w:t>《建设项目环境影响报告表编制技术指南（污染影响类）（试行）》（环办环评〔2020〕33号）</w:t>
            </w:r>
            <w:r>
              <w:rPr>
                <w:rFonts w:hint="eastAsia" w:cs="Times New Roman"/>
                <w:color w:val="auto"/>
                <w:highlight w:val="none"/>
                <w:lang w:val="zh-CN"/>
              </w:rPr>
              <w:t>“</w:t>
            </w:r>
            <w:r>
              <w:rPr>
                <w:rFonts w:cs="Times New Roman"/>
                <w:color w:val="auto"/>
                <w:highlight w:val="none"/>
                <w:lang w:val="zh-CN"/>
              </w:rPr>
              <w:t>产业园区外建设项目新增用地且用地范围内含生态环境保护目标时，应进行生态现状调查</w:t>
            </w:r>
            <w:r>
              <w:rPr>
                <w:rFonts w:hint="eastAsia" w:cs="Times New Roman"/>
                <w:color w:val="auto"/>
                <w:highlight w:val="none"/>
                <w:lang w:val="zh-CN"/>
              </w:rPr>
              <w:t>”</w:t>
            </w:r>
            <w:r>
              <w:rPr>
                <w:rFonts w:cs="Times New Roman"/>
                <w:color w:val="auto"/>
                <w:highlight w:val="none"/>
                <w:lang w:val="zh-CN"/>
              </w:rPr>
              <w:t>。</w:t>
            </w:r>
          </w:p>
          <w:p>
            <w:pPr>
              <w:ind w:firstLine="444" w:firstLineChars="185"/>
              <w:rPr>
                <w:color w:val="auto"/>
              </w:rPr>
            </w:pPr>
            <w:r>
              <w:rPr>
                <w:rFonts w:hint="eastAsia" w:cs="Times New Roman"/>
                <w:color w:val="auto"/>
                <w:kern w:val="2"/>
                <w:lang w:val="zh-CN"/>
              </w:rPr>
              <w:t>本项目</w:t>
            </w:r>
            <w:r>
              <w:rPr>
                <w:rFonts w:hint="eastAsia" w:cs="Times New Roman"/>
                <w:color w:val="auto"/>
                <w:kern w:val="2"/>
              </w:rPr>
              <w:t>位于福清融侨经济技术开发区内，因此，</w:t>
            </w:r>
            <w:r>
              <w:rPr>
                <w:color w:val="auto"/>
              </w:rPr>
              <w:t>不开展生态现状调查。</w:t>
            </w:r>
          </w:p>
          <w:p>
            <w:pPr>
              <w:pStyle w:val="56"/>
              <w:rPr>
                <w:rFonts w:cs="Times New Roman"/>
                <w:color w:val="auto"/>
              </w:rPr>
            </w:pPr>
            <w:bookmarkStart w:id="48" w:name="_Toc17629"/>
            <w:r>
              <w:rPr>
                <w:rFonts w:cs="Times New Roman"/>
                <w:color w:val="auto"/>
              </w:rPr>
              <w:t>3.1.5电磁辐射现状</w:t>
            </w:r>
            <w:bookmarkEnd w:id="48"/>
          </w:p>
          <w:p>
            <w:pPr>
              <w:ind w:firstLine="480"/>
              <w:rPr>
                <w:color w:val="auto"/>
              </w:rPr>
            </w:pPr>
            <w:r>
              <w:rPr>
                <w:rFonts w:hint="eastAsia"/>
                <w:color w:val="auto"/>
              </w:rPr>
              <w:t>本项目不属于新建或改建、扩建广播电台、差转台、电视塔台、卫星地球上行站、雷达等电磁辐射类项目，不需要开展电磁辐射现状监测与评价。</w:t>
            </w:r>
          </w:p>
          <w:p>
            <w:pPr>
              <w:pStyle w:val="56"/>
              <w:rPr>
                <w:rFonts w:cs="Times New Roman"/>
                <w:color w:val="auto"/>
              </w:rPr>
            </w:pPr>
            <w:bookmarkStart w:id="49" w:name="_Toc12351"/>
            <w:r>
              <w:rPr>
                <w:rFonts w:cs="Times New Roman"/>
                <w:color w:val="auto"/>
              </w:rPr>
              <w:t>3.1.6地下水、土壤环境现状</w:t>
            </w:r>
            <w:bookmarkEnd w:id="49"/>
          </w:p>
          <w:p>
            <w:pPr>
              <w:pStyle w:val="168"/>
              <w:ind w:firstLine="480"/>
              <w:rPr>
                <w:rFonts w:cs="Times New Roman"/>
                <w:color w:val="auto"/>
              </w:rPr>
            </w:pPr>
            <w:r>
              <w:rPr>
                <w:rFonts w:hint="eastAsia" w:cs="Times New Roman"/>
                <w:color w:val="auto"/>
              </w:rPr>
              <w:t>根据《建设项目环境影响报告表编制技术指南（污染影响类）（试行）》（环办环评〔2020〕33号）规定：“原则上不开展环境质量现状调查。建设项目存在土壤、地下水环境污染途径的，应结合污染源、保护目标分布情况开展现状调查以留作背景值”。</w:t>
            </w:r>
          </w:p>
          <w:p>
            <w:pPr>
              <w:pStyle w:val="168"/>
              <w:ind w:firstLine="480"/>
              <w:rPr>
                <w:color w:val="auto"/>
              </w:rPr>
            </w:pPr>
            <w:r>
              <w:rPr>
                <w:rFonts w:hint="eastAsia" w:cs="Times New Roman"/>
                <w:color w:val="auto"/>
              </w:rPr>
              <w:t>根据现场勘查，项目周边以工业企业为主，采取有效的防渗措施后，基本不存在土壤、地下水环境污染途径，因此，本评价不对项目地下水、土壤环境质量进行补充监测。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14" w:hRule="atLeast"/>
          <w:jc w:val="center"/>
        </w:trPr>
        <w:tc>
          <w:tcPr>
            <w:tcW w:w="459" w:type="dxa"/>
            <w:vAlign w:val="center"/>
          </w:tcPr>
          <w:p>
            <w:pPr>
              <w:pStyle w:val="36"/>
              <w:rPr>
                <w:rFonts w:cs="Times New Roman"/>
                <w:color w:val="auto"/>
                <w:sz w:val="24"/>
                <w:szCs w:val="24"/>
              </w:rPr>
            </w:pPr>
            <w:r>
              <w:rPr>
                <w:rFonts w:cs="Times New Roman"/>
                <w:color w:val="auto"/>
                <w:sz w:val="24"/>
                <w:szCs w:val="24"/>
              </w:rPr>
              <w:t>环境</w:t>
            </w:r>
          </w:p>
          <w:p>
            <w:pPr>
              <w:pStyle w:val="36"/>
              <w:rPr>
                <w:rFonts w:cs="Times New Roman"/>
                <w:color w:val="auto"/>
                <w:sz w:val="24"/>
                <w:szCs w:val="24"/>
              </w:rPr>
            </w:pPr>
            <w:r>
              <w:rPr>
                <w:rFonts w:cs="Times New Roman"/>
                <w:color w:val="auto"/>
                <w:sz w:val="24"/>
                <w:szCs w:val="24"/>
              </w:rPr>
              <w:t>保护</w:t>
            </w:r>
          </w:p>
          <w:p>
            <w:pPr>
              <w:pStyle w:val="36"/>
              <w:rPr>
                <w:rFonts w:cs="Times New Roman"/>
                <w:color w:val="auto"/>
                <w:sz w:val="24"/>
                <w:szCs w:val="24"/>
              </w:rPr>
            </w:pPr>
            <w:r>
              <w:rPr>
                <w:rFonts w:cs="Times New Roman"/>
                <w:color w:val="auto"/>
                <w:sz w:val="24"/>
                <w:szCs w:val="24"/>
              </w:rPr>
              <w:t>目标</w:t>
            </w:r>
          </w:p>
        </w:tc>
        <w:tc>
          <w:tcPr>
            <w:tcW w:w="8942" w:type="dxa"/>
            <w:vAlign w:val="center"/>
          </w:tcPr>
          <w:p>
            <w:pPr>
              <w:pStyle w:val="55"/>
              <w:rPr>
                <w:rFonts w:cs="Times New Roman"/>
                <w:color w:val="auto"/>
              </w:rPr>
            </w:pPr>
            <w:bookmarkStart w:id="50" w:name="_Toc13609"/>
            <w:r>
              <w:rPr>
                <w:rFonts w:cs="Times New Roman"/>
                <w:color w:val="auto"/>
              </w:rPr>
              <w:t>3.2环境保护目标</w:t>
            </w:r>
            <w:bookmarkEnd w:id="50"/>
          </w:p>
          <w:p>
            <w:pPr>
              <w:ind w:firstLine="480"/>
              <w:rPr>
                <w:color w:val="auto"/>
              </w:rPr>
            </w:pPr>
            <w:r>
              <w:rPr>
                <w:color w:val="auto"/>
              </w:rPr>
              <w:t>根据《建设项目环境影响报告表编制技术指南</w:t>
            </w:r>
            <w:r>
              <w:rPr>
                <w:rFonts w:hint="eastAsia"/>
                <w:color w:val="auto"/>
              </w:rPr>
              <w:t>（</w:t>
            </w:r>
            <w:r>
              <w:rPr>
                <w:color w:val="auto"/>
              </w:rPr>
              <w:t>污染影响类</w:t>
            </w:r>
            <w:r>
              <w:rPr>
                <w:rFonts w:hint="eastAsia"/>
                <w:color w:val="auto"/>
              </w:rPr>
              <w:t>）（</w:t>
            </w:r>
            <w:r>
              <w:rPr>
                <w:color w:val="auto"/>
              </w:rPr>
              <w:t>试行</w:t>
            </w:r>
            <w:r>
              <w:rPr>
                <w:rFonts w:hint="eastAsia"/>
                <w:color w:val="auto"/>
              </w:rPr>
              <w:t>）</w:t>
            </w:r>
            <w:r>
              <w:rPr>
                <w:color w:val="auto"/>
              </w:rPr>
              <w:t>》</w:t>
            </w:r>
            <w:r>
              <w:rPr>
                <w:rFonts w:hint="eastAsia"/>
                <w:color w:val="auto"/>
              </w:rPr>
              <w:t>（</w:t>
            </w:r>
            <w:r>
              <w:rPr>
                <w:color w:val="auto"/>
              </w:rPr>
              <w:t>环办环评</w:t>
            </w:r>
            <w:r>
              <w:rPr>
                <w:rFonts w:hint="eastAsia"/>
                <w:color w:val="auto"/>
              </w:rPr>
              <w:t>〔2020〕</w:t>
            </w:r>
            <w:r>
              <w:rPr>
                <w:color w:val="auto"/>
              </w:rPr>
              <w:t>33号</w:t>
            </w:r>
            <w:r>
              <w:rPr>
                <w:rFonts w:hint="eastAsia"/>
                <w:color w:val="auto"/>
              </w:rPr>
              <w:t>）</w:t>
            </w:r>
            <w:r>
              <w:rPr>
                <w:color w:val="auto"/>
              </w:rPr>
              <w:t>，大气环境</w:t>
            </w:r>
            <w:r>
              <w:rPr>
                <w:rFonts w:hint="eastAsia"/>
                <w:color w:val="auto"/>
              </w:rPr>
              <w:t>（</w:t>
            </w:r>
            <w:r>
              <w:rPr>
                <w:color w:val="auto"/>
              </w:rPr>
              <w:t>厂界外500m</w:t>
            </w:r>
            <w:r>
              <w:rPr>
                <w:rFonts w:hint="eastAsia"/>
                <w:color w:val="auto"/>
              </w:rPr>
              <w:t>）</w:t>
            </w:r>
            <w:r>
              <w:rPr>
                <w:color w:val="auto"/>
              </w:rPr>
              <w:t>、声环境</w:t>
            </w:r>
            <w:r>
              <w:rPr>
                <w:rFonts w:hint="eastAsia"/>
                <w:color w:val="auto"/>
              </w:rPr>
              <w:t>（</w:t>
            </w:r>
            <w:r>
              <w:rPr>
                <w:color w:val="auto"/>
              </w:rPr>
              <w:t>厂界外50m</w:t>
            </w:r>
            <w:r>
              <w:rPr>
                <w:rFonts w:hint="eastAsia"/>
                <w:color w:val="auto"/>
              </w:rPr>
              <w:t>）</w:t>
            </w:r>
            <w:r>
              <w:rPr>
                <w:color w:val="auto"/>
              </w:rPr>
              <w:t>、</w:t>
            </w:r>
            <w:r>
              <w:rPr>
                <w:color w:val="auto"/>
                <w:spacing w:val="-4"/>
              </w:rPr>
              <w:t>地下水环境（厂界外</w:t>
            </w:r>
            <w:r>
              <w:rPr>
                <w:color w:val="auto"/>
              </w:rPr>
              <w:t>500m</w:t>
            </w:r>
            <w:r>
              <w:rPr>
                <w:color w:val="auto"/>
                <w:spacing w:val="-4"/>
              </w:rPr>
              <w:t>）、</w:t>
            </w:r>
            <w:r>
              <w:rPr>
                <w:color w:val="auto"/>
              </w:rPr>
              <w:t>生态环境（产业园区外建设项目新增用地的）。本项目</w:t>
            </w:r>
            <w:r>
              <w:rPr>
                <w:rFonts w:cs="Times New Roman"/>
                <w:color w:val="auto"/>
              </w:rPr>
              <w:t>环境保护目标见表3.2-1</w:t>
            </w:r>
            <w:r>
              <w:rPr>
                <w:color w:val="auto"/>
              </w:rPr>
              <w:t>。位置图见附图</w:t>
            </w:r>
            <w:r>
              <w:rPr>
                <w:rFonts w:hint="eastAsia"/>
                <w:color w:val="auto"/>
              </w:rPr>
              <w:t>1</w:t>
            </w:r>
            <w:r>
              <w:rPr>
                <w:color w:val="auto"/>
              </w:rPr>
              <w:t>，周边环境关系示意图见附图</w:t>
            </w:r>
            <w:r>
              <w:rPr>
                <w:rFonts w:hint="eastAsia"/>
                <w:color w:val="auto"/>
              </w:rPr>
              <w:t>2</w:t>
            </w:r>
            <w:r>
              <w:rPr>
                <w:color w:val="auto"/>
              </w:rPr>
              <w:t>。</w:t>
            </w:r>
          </w:p>
          <w:p>
            <w:pPr>
              <w:pStyle w:val="37"/>
              <w:rPr>
                <w:rFonts w:cs="Times New Roman"/>
                <w:color w:val="auto"/>
              </w:rPr>
            </w:pPr>
            <w:r>
              <w:rPr>
                <w:rFonts w:cs="Times New Roman"/>
                <w:color w:val="auto"/>
              </w:rPr>
              <w:t>表3.2-1 项目环境保护目标</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32"/>
              <w:gridCol w:w="1293"/>
              <w:gridCol w:w="819"/>
              <w:gridCol w:w="1144"/>
              <w:gridCol w:w="1209"/>
              <w:gridCol w:w="940"/>
              <w:gridCol w:w="19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12" w:type="pct"/>
                  <w:tcBorders>
                    <w:tl2br w:val="nil"/>
                    <w:tr2bl w:val="nil"/>
                  </w:tcBorders>
                  <w:vAlign w:val="center"/>
                </w:tcPr>
                <w:p>
                  <w:pPr>
                    <w:pStyle w:val="36"/>
                    <w:ind w:left="-72" w:leftChars="-30" w:right="-72" w:rightChars="-30"/>
                    <w:rPr>
                      <w:color w:val="auto"/>
                    </w:rPr>
                  </w:pPr>
                  <w:r>
                    <w:rPr>
                      <w:rFonts w:hint="eastAsia"/>
                      <w:color w:val="auto"/>
                    </w:rPr>
                    <w:t>环境</w:t>
                  </w:r>
                </w:p>
                <w:p>
                  <w:pPr>
                    <w:pStyle w:val="36"/>
                    <w:ind w:left="-72" w:leftChars="-30" w:right="-72" w:rightChars="-30"/>
                    <w:rPr>
                      <w:color w:val="auto"/>
                    </w:rPr>
                  </w:pPr>
                  <w:r>
                    <w:rPr>
                      <w:rFonts w:hint="eastAsia"/>
                      <w:color w:val="auto"/>
                    </w:rPr>
                    <w:t>要素</w:t>
                  </w:r>
                </w:p>
              </w:tc>
              <w:tc>
                <w:tcPr>
                  <w:tcW w:w="768" w:type="pct"/>
                  <w:tcBorders>
                    <w:tl2br w:val="nil"/>
                    <w:tr2bl w:val="nil"/>
                  </w:tcBorders>
                  <w:vAlign w:val="center"/>
                </w:tcPr>
                <w:p>
                  <w:pPr>
                    <w:pStyle w:val="36"/>
                    <w:ind w:left="-72" w:leftChars="-30" w:right="-72" w:rightChars="-30"/>
                    <w:rPr>
                      <w:color w:val="auto"/>
                    </w:rPr>
                  </w:pPr>
                  <w:r>
                    <w:rPr>
                      <w:color w:val="auto"/>
                    </w:rPr>
                    <w:t>环境保护目标</w:t>
                  </w:r>
                </w:p>
              </w:tc>
              <w:tc>
                <w:tcPr>
                  <w:tcW w:w="486" w:type="pct"/>
                  <w:tcBorders>
                    <w:tl2br w:val="nil"/>
                    <w:tr2bl w:val="nil"/>
                  </w:tcBorders>
                  <w:vAlign w:val="center"/>
                </w:tcPr>
                <w:p>
                  <w:pPr>
                    <w:pStyle w:val="36"/>
                    <w:ind w:left="-72" w:leftChars="-30" w:right="-72" w:rightChars="-30"/>
                    <w:rPr>
                      <w:color w:val="auto"/>
                    </w:rPr>
                  </w:pPr>
                  <w:r>
                    <w:rPr>
                      <w:color w:val="auto"/>
                    </w:rPr>
                    <w:t>相对</w:t>
                  </w:r>
                </w:p>
                <w:p>
                  <w:pPr>
                    <w:pStyle w:val="36"/>
                    <w:ind w:left="-72" w:leftChars="-30" w:right="-72" w:rightChars="-30"/>
                    <w:rPr>
                      <w:color w:val="auto"/>
                    </w:rPr>
                  </w:pPr>
                  <w:r>
                    <w:rPr>
                      <w:color w:val="auto"/>
                    </w:rPr>
                    <w:t>方位</w:t>
                  </w:r>
                </w:p>
              </w:tc>
              <w:tc>
                <w:tcPr>
                  <w:tcW w:w="679" w:type="pct"/>
                  <w:tcBorders>
                    <w:tl2br w:val="nil"/>
                    <w:tr2bl w:val="nil"/>
                  </w:tcBorders>
                  <w:vAlign w:val="center"/>
                </w:tcPr>
                <w:p>
                  <w:pPr>
                    <w:pStyle w:val="36"/>
                    <w:ind w:left="-72" w:leftChars="-30" w:right="-72" w:rightChars="-30"/>
                    <w:rPr>
                      <w:color w:val="auto"/>
                    </w:rPr>
                  </w:pPr>
                  <w:r>
                    <w:rPr>
                      <w:color w:val="auto"/>
                    </w:rPr>
                    <w:t>与项目</w:t>
                  </w:r>
                  <w:r>
                    <w:rPr>
                      <w:rFonts w:hint="eastAsia"/>
                      <w:color w:val="auto"/>
                    </w:rPr>
                    <w:t>厂界</w:t>
                  </w:r>
                  <w:r>
                    <w:rPr>
                      <w:color w:val="auto"/>
                    </w:rPr>
                    <w:t>距离（m）</w:t>
                  </w:r>
                </w:p>
              </w:tc>
              <w:tc>
                <w:tcPr>
                  <w:tcW w:w="718" w:type="pct"/>
                  <w:tcBorders>
                    <w:tl2br w:val="nil"/>
                    <w:tr2bl w:val="nil"/>
                  </w:tcBorders>
                  <w:vAlign w:val="center"/>
                </w:tcPr>
                <w:p>
                  <w:pPr>
                    <w:pStyle w:val="36"/>
                    <w:ind w:left="-72" w:leftChars="-30" w:right="-72" w:rightChars="-30"/>
                    <w:rPr>
                      <w:color w:val="auto"/>
                    </w:rPr>
                  </w:pPr>
                  <w:r>
                    <w:rPr>
                      <w:rFonts w:hint="eastAsia"/>
                      <w:color w:val="auto"/>
                    </w:rPr>
                    <w:t>规模</w:t>
                  </w:r>
                  <w:r>
                    <w:rPr>
                      <w:rFonts w:hint="eastAsia"/>
                      <w:color w:val="auto"/>
                    </w:rPr>
                    <w:br w:type="textWrapping"/>
                  </w:r>
                  <w:r>
                    <w:rPr>
                      <w:rFonts w:hint="eastAsia"/>
                      <w:color w:val="auto"/>
                    </w:rPr>
                    <w:t>（人）</w:t>
                  </w:r>
                </w:p>
              </w:tc>
              <w:tc>
                <w:tcPr>
                  <w:tcW w:w="558" w:type="pct"/>
                  <w:tcBorders>
                    <w:tl2br w:val="nil"/>
                    <w:tr2bl w:val="nil"/>
                  </w:tcBorders>
                  <w:vAlign w:val="center"/>
                </w:tcPr>
                <w:p>
                  <w:pPr>
                    <w:pStyle w:val="36"/>
                    <w:ind w:left="-72" w:leftChars="-30" w:right="-72" w:rightChars="-30"/>
                    <w:rPr>
                      <w:color w:val="auto"/>
                    </w:rPr>
                  </w:pPr>
                  <w:r>
                    <w:rPr>
                      <w:rFonts w:hint="eastAsia"/>
                      <w:color w:val="auto"/>
                    </w:rPr>
                    <w:t>保护</w:t>
                  </w:r>
                </w:p>
                <w:p>
                  <w:pPr>
                    <w:pStyle w:val="36"/>
                    <w:ind w:left="-72" w:leftChars="-30" w:right="-72" w:rightChars="-30"/>
                    <w:rPr>
                      <w:color w:val="auto"/>
                    </w:rPr>
                  </w:pPr>
                  <w:r>
                    <w:rPr>
                      <w:rFonts w:hint="eastAsia"/>
                      <w:color w:val="auto"/>
                    </w:rPr>
                    <w:t>内容</w:t>
                  </w:r>
                </w:p>
              </w:tc>
              <w:tc>
                <w:tcPr>
                  <w:tcW w:w="1175" w:type="pct"/>
                  <w:tcBorders>
                    <w:tl2br w:val="nil"/>
                    <w:tr2bl w:val="nil"/>
                  </w:tcBorders>
                  <w:vAlign w:val="center"/>
                </w:tcPr>
                <w:p>
                  <w:pPr>
                    <w:pStyle w:val="36"/>
                    <w:ind w:left="-72" w:leftChars="-30" w:right="-72" w:rightChars="-30"/>
                    <w:rPr>
                      <w:color w:val="auto"/>
                    </w:rPr>
                  </w:pPr>
                  <w:r>
                    <w:rPr>
                      <w:color w:val="auto"/>
                    </w:rPr>
                    <w:t>环境功能及保护要求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12" w:type="pct"/>
                  <w:vMerge w:val="restart"/>
                  <w:tcBorders>
                    <w:tl2br w:val="nil"/>
                    <w:tr2bl w:val="nil"/>
                  </w:tcBorders>
                  <w:vAlign w:val="center"/>
                </w:tcPr>
                <w:p>
                  <w:pPr>
                    <w:pStyle w:val="36"/>
                    <w:ind w:left="-72" w:leftChars="-30" w:right="-72" w:rightChars="-30"/>
                    <w:rPr>
                      <w:color w:val="auto"/>
                    </w:rPr>
                  </w:pPr>
                  <w:r>
                    <w:rPr>
                      <w:color w:val="auto"/>
                    </w:rPr>
                    <w:t>大气</w:t>
                  </w:r>
                </w:p>
                <w:p>
                  <w:pPr>
                    <w:pStyle w:val="36"/>
                    <w:ind w:left="-72" w:leftChars="-30" w:right="-72" w:rightChars="-30"/>
                    <w:rPr>
                      <w:color w:val="auto"/>
                    </w:rPr>
                  </w:pPr>
                  <w:r>
                    <w:rPr>
                      <w:color w:val="auto"/>
                    </w:rPr>
                    <w:t>环境</w:t>
                  </w:r>
                </w:p>
              </w:tc>
              <w:tc>
                <w:tcPr>
                  <w:tcW w:w="768" w:type="pct"/>
                  <w:tcBorders>
                    <w:tl2br w:val="nil"/>
                    <w:tr2bl w:val="nil"/>
                  </w:tcBorders>
                  <w:vAlign w:val="center"/>
                </w:tcPr>
                <w:p>
                  <w:pPr>
                    <w:pStyle w:val="36"/>
                    <w:ind w:left="-72" w:leftChars="-30" w:right="-72" w:rightChars="-30"/>
                    <w:rPr>
                      <w:color w:val="auto"/>
                    </w:rPr>
                  </w:pPr>
                  <w:r>
                    <w:rPr>
                      <w:rFonts w:hint="eastAsia"/>
                      <w:color w:val="auto"/>
                    </w:rPr>
                    <w:t>屿边村</w:t>
                  </w:r>
                </w:p>
              </w:tc>
              <w:tc>
                <w:tcPr>
                  <w:tcW w:w="486" w:type="pct"/>
                  <w:tcBorders>
                    <w:tl2br w:val="nil"/>
                    <w:tr2bl w:val="nil"/>
                  </w:tcBorders>
                  <w:vAlign w:val="center"/>
                </w:tcPr>
                <w:p>
                  <w:pPr>
                    <w:pStyle w:val="36"/>
                    <w:ind w:left="-72" w:leftChars="-30" w:right="-72" w:rightChars="-30"/>
                    <w:rPr>
                      <w:color w:val="auto"/>
                    </w:rPr>
                  </w:pPr>
                  <w:r>
                    <w:rPr>
                      <w:rFonts w:hint="eastAsia"/>
                      <w:color w:val="auto"/>
                    </w:rPr>
                    <w:t>东，东南</w:t>
                  </w:r>
                </w:p>
              </w:tc>
              <w:tc>
                <w:tcPr>
                  <w:tcW w:w="679" w:type="pct"/>
                  <w:tcBorders>
                    <w:tl2br w:val="nil"/>
                    <w:tr2bl w:val="nil"/>
                  </w:tcBorders>
                  <w:vAlign w:val="center"/>
                </w:tcPr>
                <w:p>
                  <w:pPr>
                    <w:pStyle w:val="36"/>
                    <w:ind w:left="-72" w:leftChars="-30" w:right="-72" w:rightChars="-30"/>
                    <w:rPr>
                      <w:color w:val="auto"/>
                    </w:rPr>
                  </w:pPr>
                  <w:r>
                    <w:rPr>
                      <w:rFonts w:hint="eastAsia"/>
                      <w:color w:val="auto"/>
                    </w:rPr>
                    <w:t>21</w:t>
                  </w:r>
                </w:p>
              </w:tc>
              <w:tc>
                <w:tcPr>
                  <w:tcW w:w="718" w:type="pct"/>
                  <w:tcBorders>
                    <w:tl2br w:val="nil"/>
                    <w:tr2bl w:val="nil"/>
                  </w:tcBorders>
                  <w:vAlign w:val="center"/>
                </w:tcPr>
                <w:p>
                  <w:pPr>
                    <w:pStyle w:val="36"/>
                    <w:ind w:left="-72" w:leftChars="-30" w:right="-72" w:rightChars="-30"/>
                    <w:rPr>
                      <w:color w:val="auto"/>
                    </w:rPr>
                  </w:pPr>
                  <w:r>
                    <w:rPr>
                      <w:rFonts w:hint="eastAsia"/>
                      <w:color w:val="auto"/>
                    </w:rPr>
                    <w:t>293户，</w:t>
                  </w:r>
                </w:p>
                <w:p>
                  <w:pPr>
                    <w:pStyle w:val="36"/>
                    <w:ind w:left="-72" w:leftChars="-30" w:right="-72" w:rightChars="-30"/>
                    <w:rPr>
                      <w:color w:val="auto"/>
                    </w:rPr>
                  </w:pPr>
                  <w:r>
                    <w:rPr>
                      <w:rFonts w:hint="eastAsia"/>
                      <w:color w:val="auto"/>
                    </w:rPr>
                    <w:t>1016人</w:t>
                  </w:r>
                </w:p>
              </w:tc>
              <w:tc>
                <w:tcPr>
                  <w:tcW w:w="558" w:type="pct"/>
                  <w:tcBorders>
                    <w:tl2br w:val="nil"/>
                    <w:tr2bl w:val="nil"/>
                  </w:tcBorders>
                  <w:vAlign w:val="center"/>
                </w:tcPr>
                <w:p>
                  <w:pPr>
                    <w:pStyle w:val="36"/>
                    <w:ind w:left="-72" w:leftChars="-30" w:right="-72" w:rightChars="-30"/>
                    <w:rPr>
                      <w:color w:val="auto"/>
                    </w:rPr>
                  </w:pPr>
                  <w:r>
                    <w:rPr>
                      <w:rFonts w:hint="eastAsia"/>
                      <w:color w:val="auto"/>
                    </w:rPr>
                    <w:t>居民区</w:t>
                  </w:r>
                </w:p>
              </w:tc>
              <w:tc>
                <w:tcPr>
                  <w:tcW w:w="1175" w:type="pct"/>
                  <w:vMerge w:val="restart"/>
                  <w:tcBorders>
                    <w:tl2br w:val="nil"/>
                    <w:tr2bl w:val="nil"/>
                  </w:tcBorders>
                  <w:vAlign w:val="center"/>
                </w:tcPr>
                <w:p>
                  <w:pPr>
                    <w:pStyle w:val="36"/>
                    <w:ind w:left="-72" w:leftChars="-30" w:right="-72" w:rightChars="-30"/>
                    <w:rPr>
                      <w:color w:val="auto"/>
                    </w:rPr>
                  </w:pPr>
                  <w:r>
                    <w:rPr>
                      <w:rFonts w:hint="eastAsia"/>
                      <w:color w:val="auto"/>
                    </w:rPr>
                    <w:t>二类功能区，</w:t>
                  </w:r>
                </w:p>
                <w:p>
                  <w:pPr>
                    <w:pStyle w:val="36"/>
                    <w:ind w:left="-72" w:leftChars="-30" w:right="-72" w:rightChars="-30"/>
                    <w:rPr>
                      <w:color w:val="auto"/>
                    </w:rPr>
                  </w:pPr>
                  <w:r>
                    <w:rPr>
                      <w:rFonts w:hint="eastAsia"/>
                      <w:color w:val="auto"/>
                    </w:rPr>
                    <w:t>《环境空气质量标准》（GB3095-2012）及修改单中的 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12" w:type="pct"/>
                  <w:vMerge w:val="continue"/>
                  <w:tcBorders>
                    <w:tl2br w:val="nil"/>
                    <w:tr2bl w:val="nil"/>
                  </w:tcBorders>
                  <w:vAlign w:val="center"/>
                </w:tcPr>
                <w:p>
                  <w:pPr>
                    <w:pStyle w:val="36"/>
                    <w:ind w:left="-72" w:leftChars="-30" w:right="-72" w:rightChars="-30"/>
                    <w:rPr>
                      <w:color w:val="auto"/>
                    </w:rPr>
                  </w:pPr>
                </w:p>
              </w:tc>
              <w:tc>
                <w:tcPr>
                  <w:tcW w:w="768" w:type="pct"/>
                  <w:tcBorders>
                    <w:tl2br w:val="nil"/>
                    <w:tr2bl w:val="nil"/>
                  </w:tcBorders>
                  <w:vAlign w:val="center"/>
                </w:tcPr>
                <w:p>
                  <w:pPr>
                    <w:pStyle w:val="36"/>
                    <w:ind w:left="-72" w:leftChars="-30" w:right="-72" w:rightChars="-30"/>
                    <w:rPr>
                      <w:color w:val="auto"/>
                    </w:rPr>
                  </w:pPr>
                  <w:r>
                    <w:rPr>
                      <w:rFonts w:hint="eastAsia"/>
                      <w:color w:val="auto"/>
                    </w:rPr>
                    <w:t>溪头村</w:t>
                  </w:r>
                </w:p>
              </w:tc>
              <w:tc>
                <w:tcPr>
                  <w:tcW w:w="486" w:type="pct"/>
                  <w:tcBorders>
                    <w:tl2br w:val="nil"/>
                    <w:tr2bl w:val="nil"/>
                  </w:tcBorders>
                  <w:vAlign w:val="center"/>
                </w:tcPr>
                <w:p>
                  <w:pPr>
                    <w:pStyle w:val="36"/>
                    <w:ind w:left="-72" w:leftChars="-30" w:right="-72" w:rightChars="-30"/>
                    <w:rPr>
                      <w:color w:val="auto"/>
                    </w:rPr>
                  </w:pPr>
                  <w:r>
                    <w:rPr>
                      <w:rFonts w:hint="eastAsia"/>
                      <w:color w:val="auto"/>
                    </w:rPr>
                    <w:t>南，西南</w:t>
                  </w:r>
                </w:p>
              </w:tc>
              <w:tc>
                <w:tcPr>
                  <w:tcW w:w="679" w:type="pct"/>
                  <w:tcBorders>
                    <w:tl2br w:val="nil"/>
                    <w:tr2bl w:val="nil"/>
                  </w:tcBorders>
                  <w:vAlign w:val="center"/>
                </w:tcPr>
                <w:p>
                  <w:pPr>
                    <w:pStyle w:val="36"/>
                    <w:ind w:left="-72" w:leftChars="-30" w:right="-72" w:rightChars="-30"/>
                    <w:rPr>
                      <w:color w:val="auto"/>
                    </w:rPr>
                  </w:pPr>
                  <w:r>
                    <w:rPr>
                      <w:color w:val="auto"/>
                    </w:rPr>
                    <w:t>2</w:t>
                  </w:r>
                  <w:r>
                    <w:rPr>
                      <w:rFonts w:hint="eastAsia"/>
                      <w:color w:val="auto"/>
                    </w:rPr>
                    <w:t>74</w:t>
                  </w:r>
                </w:p>
              </w:tc>
              <w:tc>
                <w:tcPr>
                  <w:tcW w:w="718" w:type="pct"/>
                  <w:tcBorders>
                    <w:tl2br w:val="nil"/>
                    <w:tr2bl w:val="nil"/>
                  </w:tcBorders>
                  <w:vAlign w:val="center"/>
                </w:tcPr>
                <w:p>
                  <w:pPr>
                    <w:pStyle w:val="36"/>
                    <w:ind w:left="-72" w:leftChars="-30" w:right="-72" w:rightChars="-30"/>
                    <w:rPr>
                      <w:color w:val="auto"/>
                    </w:rPr>
                  </w:pPr>
                  <w:r>
                    <w:rPr>
                      <w:rFonts w:hint="eastAsia"/>
                      <w:color w:val="auto"/>
                    </w:rPr>
                    <w:t>226户，</w:t>
                  </w:r>
                </w:p>
                <w:p>
                  <w:pPr>
                    <w:pStyle w:val="36"/>
                    <w:ind w:left="-72" w:leftChars="-30" w:right="-72" w:rightChars="-30"/>
                    <w:rPr>
                      <w:color w:val="auto"/>
                    </w:rPr>
                  </w:pPr>
                  <w:r>
                    <w:rPr>
                      <w:rFonts w:hint="eastAsia"/>
                      <w:color w:val="auto"/>
                    </w:rPr>
                    <w:t>904人</w:t>
                  </w:r>
                </w:p>
              </w:tc>
              <w:tc>
                <w:tcPr>
                  <w:tcW w:w="558" w:type="pct"/>
                  <w:tcBorders>
                    <w:tl2br w:val="nil"/>
                    <w:tr2bl w:val="nil"/>
                  </w:tcBorders>
                  <w:vAlign w:val="center"/>
                </w:tcPr>
                <w:p>
                  <w:pPr>
                    <w:pStyle w:val="36"/>
                    <w:ind w:left="-72" w:leftChars="-30" w:right="-72" w:rightChars="-30"/>
                    <w:rPr>
                      <w:color w:val="auto"/>
                    </w:rPr>
                  </w:pPr>
                  <w:r>
                    <w:rPr>
                      <w:rFonts w:hint="eastAsia"/>
                      <w:color w:val="auto"/>
                    </w:rPr>
                    <w:t>居民区</w:t>
                  </w:r>
                </w:p>
              </w:tc>
              <w:tc>
                <w:tcPr>
                  <w:tcW w:w="1175" w:type="pct"/>
                  <w:vMerge w:val="continue"/>
                  <w:tcBorders>
                    <w:tl2br w:val="nil"/>
                    <w:tr2bl w:val="nil"/>
                  </w:tcBorders>
                  <w:vAlign w:val="center"/>
                </w:tcPr>
                <w:p>
                  <w:pPr>
                    <w:pStyle w:val="36"/>
                    <w:ind w:left="-72" w:leftChars="-30" w:right="-72" w:rightChars="-3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12" w:type="pct"/>
                  <w:vMerge w:val="continue"/>
                  <w:tcBorders>
                    <w:tl2br w:val="nil"/>
                    <w:tr2bl w:val="nil"/>
                  </w:tcBorders>
                  <w:vAlign w:val="center"/>
                </w:tcPr>
                <w:p>
                  <w:pPr>
                    <w:pStyle w:val="36"/>
                    <w:ind w:left="-72" w:leftChars="-30" w:right="-72" w:rightChars="-30"/>
                    <w:rPr>
                      <w:color w:val="auto"/>
                    </w:rPr>
                  </w:pPr>
                </w:p>
              </w:tc>
              <w:tc>
                <w:tcPr>
                  <w:tcW w:w="768" w:type="pct"/>
                  <w:tcBorders>
                    <w:tl2br w:val="nil"/>
                    <w:tr2bl w:val="nil"/>
                  </w:tcBorders>
                  <w:vAlign w:val="center"/>
                </w:tcPr>
                <w:p>
                  <w:pPr>
                    <w:pStyle w:val="36"/>
                    <w:ind w:left="-72" w:leftChars="-30" w:right="-72" w:rightChars="-30"/>
                    <w:rPr>
                      <w:color w:val="auto"/>
                    </w:rPr>
                  </w:pPr>
                  <w:r>
                    <w:rPr>
                      <w:rFonts w:hint="eastAsia"/>
                      <w:color w:val="auto"/>
                    </w:rPr>
                    <w:t>洪宽中学</w:t>
                  </w:r>
                </w:p>
              </w:tc>
              <w:tc>
                <w:tcPr>
                  <w:tcW w:w="486" w:type="pct"/>
                  <w:tcBorders>
                    <w:tl2br w:val="nil"/>
                    <w:tr2bl w:val="nil"/>
                  </w:tcBorders>
                  <w:vAlign w:val="center"/>
                </w:tcPr>
                <w:p>
                  <w:pPr>
                    <w:pStyle w:val="36"/>
                    <w:ind w:left="-72" w:leftChars="-30" w:right="-72" w:rightChars="-30"/>
                    <w:rPr>
                      <w:color w:val="auto"/>
                    </w:rPr>
                  </w:pPr>
                  <w:r>
                    <w:rPr>
                      <w:rFonts w:hint="eastAsia"/>
                      <w:color w:val="auto"/>
                    </w:rPr>
                    <w:t>东南</w:t>
                  </w:r>
                </w:p>
              </w:tc>
              <w:tc>
                <w:tcPr>
                  <w:tcW w:w="679" w:type="pct"/>
                  <w:tcBorders>
                    <w:tl2br w:val="nil"/>
                    <w:tr2bl w:val="nil"/>
                  </w:tcBorders>
                  <w:vAlign w:val="center"/>
                </w:tcPr>
                <w:p>
                  <w:pPr>
                    <w:pStyle w:val="36"/>
                    <w:ind w:left="-72" w:leftChars="-30" w:right="-72" w:rightChars="-30"/>
                    <w:rPr>
                      <w:color w:val="auto"/>
                    </w:rPr>
                  </w:pPr>
                  <w:r>
                    <w:rPr>
                      <w:rFonts w:hint="eastAsia"/>
                      <w:color w:val="auto"/>
                    </w:rPr>
                    <w:t>306</w:t>
                  </w:r>
                </w:p>
              </w:tc>
              <w:tc>
                <w:tcPr>
                  <w:tcW w:w="718" w:type="pct"/>
                  <w:tcBorders>
                    <w:tl2br w:val="nil"/>
                    <w:tr2bl w:val="nil"/>
                  </w:tcBorders>
                  <w:vAlign w:val="center"/>
                </w:tcPr>
                <w:p>
                  <w:pPr>
                    <w:pStyle w:val="36"/>
                    <w:ind w:left="-72" w:leftChars="-30" w:right="-72" w:rightChars="-30"/>
                    <w:rPr>
                      <w:color w:val="auto"/>
                    </w:rPr>
                  </w:pPr>
                  <w:r>
                    <w:rPr>
                      <w:rFonts w:hint="eastAsia"/>
                      <w:color w:val="auto"/>
                    </w:rPr>
                    <w:t>38个班，</w:t>
                  </w:r>
                </w:p>
                <w:p>
                  <w:pPr>
                    <w:pStyle w:val="36"/>
                    <w:ind w:left="-72" w:leftChars="-30" w:right="-72" w:rightChars="-30"/>
                    <w:rPr>
                      <w:color w:val="auto"/>
                    </w:rPr>
                  </w:pPr>
                  <w:r>
                    <w:rPr>
                      <w:rFonts w:hint="eastAsia"/>
                      <w:color w:val="auto"/>
                    </w:rPr>
                    <w:t>1977人</w:t>
                  </w:r>
                </w:p>
              </w:tc>
              <w:tc>
                <w:tcPr>
                  <w:tcW w:w="558" w:type="pct"/>
                  <w:tcBorders>
                    <w:tl2br w:val="nil"/>
                    <w:tr2bl w:val="nil"/>
                  </w:tcBorders>
                  <w:vAlign w:val="center"/>
                </w:tcPr>
                <w:p>
                  <w:pPr>
                    <w:pStyle w:val="36"/>
                    <w:ind w:left="-72" w:leftChars="-30" w:right="-72" w:rightChars="-30"/>
                    <w:rPr>
                      <w:color w:val="auto"/>
                    </w:rPr>
                  </w:pPr>
                  <w:r>
                    <w:rPr>
                      <w:rFonts w:hint="eastAsia"/>
                      <w:color w:val="auto"/>
                    </w:rPr>
                    <w:t>学校</w:t>
                  </w:r>
                </w:p>
              </w:tc>
              <w:tc>
                <w:tcPr>
                  <w:tcW w:w="1175" w:type="pct"/>
                  <w:vMerge w:val="continue"/>
                  <w:tcBorders>
                    <w:tl2br w:val="nil"/>
                    <w:tr2bl w:val="nil"/>
                  </w:tcBorders>
                  <w:vAlign w:val="center"/>
                </w:tcPr>
                <w:p>
                  <w:pPr>
                    <w:pStyle w:val="36"/>
                    <w:ind w:left="-72" w:leftChars="-30" w:right="-72" w:rightChars="-3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12" w:type="pct"/>
                  <w:vMerge w:val="continue"/>
                  <w:tcBorders>
                    <w:tl2br w:val="nil"/>
                    <w:tr2bl w:val="nil"/>
                  </w:tcBorders>
                  <w:vAlign w:val="center"/>
                </w:tcPr>
                <w:p>
                  <w:pPr>
                    <w:pStyle w:val="36"/>
                    <w:ind w:left="-72" w:leftChars="-30" w:right="-72" w:rightChars="-30"/>
                    <w:rPr>
                      <w:color w:val="auto"/>
                    </w:rPr>
                  </w:pPr>
                </w:p>
              </w:tc>
              <w:tc>
                <w:tcPr>
                  <w:tcW w:w="768" w:type="pct"/>
                  <w:tcBorders>
                    <w:tl2br w:val="nil"/>
                    <w:tr2bl w:val="nil"/>
                  </w:tcBorders>
                  <w:vAlign w:val="center"/>
                </w:tcPr>
                <w:p>
                  <w:pPr>
                    <w:pStyle w:val="36"/>
                    <w:ind w:left="-72" w:leftChars="-30" w:right="-72" w:rightChars="-30"/>
                    <w:rPr>
                      <w:color w:val="auto"/>
                    </w:rPr>
                  </w:pPr>
                  <w:r>
                    <w:rPr>
                      <w:rFonts w:hint="eastAsia"/>
                      <w:color w:val="auto"/>
                    </w:rPr>
                    <w:t>洪宽小学</w:t>
                  </w:r>
                </w:p>
              </w:tc>
              <w:tc>
                <w:tcPr>
                  <w:tcW w:w="486" w:type="pct"/>
                  <w:tcBorders>
                    <w:tl2br w:val="nil"/>
                    <w:tr2bl w:val="nil"/>
                  </w:tcBorders>
                  <w:vAlign w:val="center"/>
                </w:tcPr>
                <w:p>
                  <w:pPr>
                    <w:pStyle w:val="36"/>
                    <w:ind w:left="-72" w:leftChars="-30" w:right="-72" w:rightChars="-30"/>
                    <w:rPr>
                      <w:color w:val="auto"/>
                    </w:rPr>
                  </w:pPr>
                  <w:r>
                    <w:rPr>
                      <w:rFonts w:hint="eastAsia"/>
                      <w:color w:val="auto"/>
                    </w:rPr>
                    <w:t>南</w:t>
                  </w:r>
                </w:p>
              </w:tc>
              <w:tc>
                <w:tcPr>
                  <w:tcW w:w="679" w:type="pct"/>
                  <w:tcBorders>
                    <w:tl2br w:val="nil"/>
                    <w:tr2bl w:val="nil"/>
                  </w:tcBorders>
                  <w:vAlign w:val="center"/>
                </w:tcPr>
                <w:p>
                  <w:pPr>
                    <w:pStyle w:val="36"/>
                    <w:ind w:left="-72" w:leftChars="-30" w:right="-72" w:rightChars="-30"/>
                    <w:rPr>
                      <w:color w:val="auto"/>
                    </w:rPr>
                  </w:pPr>
                  <w:r>
                    <w:rPr>
                      <w:rFonts w:hint="eastAsia"/>
                      <w:color w:val="auto"/>
                    </w:rPr>
                    <w:t>481</w:t>
                  </w:r>
                </w:p>
              </w:tc>
              <w:tc>
                <w:tcPr>
                  <w:tcW w:w="718" w:type="pct"/>
                  <w:tcBorders>
                    <w:tl2br w:val="nil"/>
                    <w:tr2bl w:val="nil"/>
                  </w:tcBorders>
                  <w:vAlign w:val="center"/>
                </w:tcPr>
                <w:p>
                  <w:pPr>
                    <w:pStyle w:val="36"/>
                    <w:ind w:left="-72" w:leftChars="-30" w:right="-72" w:rightChars="-30"/>
                    <w:rPr>
                      <w:color w:val="auto"/>
                    </w:rPr>
                  </w:pPr>
                  <w:r>
                    <w:rPr>
                      <w:rFonts w:hint="eastAsia"/>
                      <w:color w:val="auto"/>
                    </w:rPr>
                    <w:t>24个班级，1131名学生</w:t>
                  </w:r>
                </w:p>
              </w:tc>
              <w:tc>
                <w:tcPr>
                  <w:tcW w:w="558" w:type="pct"/>
                  <w:tcBorders>
                    <w:tl2br w:val="nil"/>
                    <w:tr2bl w:val="nil"/>
                  </w:tcBorders>
                  <w:vAlign w:val="center"/>
                </w:tcPr>
                <w:p>
                  <w:pPr>
                    <w:pStyle w:val="36"/>
                    <w:ind w:left="-72" w:leftChars="-30" w:right="-72" w:rightChars="-30"/>
                    <w:rPr>
                      <w:color w:val="auto"/>
                    </w:rPr>
                  </w:pPr>
                  <w:r>
                    <w:rPr>
                      <w:rFonts w:hint="eastAsia"/>
                      <w:color w:val="auto"/>
                    </w:rPr>
                    <w:t>学校</w:t>
                  </w:r>
                </w:p>
              </w:tc>
              <w:tc>
                <w:tcPr>
                  <w:tcW w:w="1175" w:type="pct"/>
                  <w:vMerge w:val="continue"/>
                  <w:tcBorders>
                    <w:tl2br w:val="nil"/>
                    <w:tr2bl w:val="nil"/>
                  </w:tcBorders>
                  <w:vAlign w:val="center"/>
                </w:tcPr>
                <w:p>
                  <w:pPr>
                    <w:pStyle w:val="36"/>
                    <w:ind w:left="-72" w:leftChars="-30" w:right="-72" w:rightChars="-3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12" w:type="pct"/>
                  <w:tcBorders>
                    <w:tl2br w:val="nil"/>
                    <w:tr2bl w:val="nil"/>
                  </w:tcBorders>
                  <w:vAlign w:val="center"/>
                </w:tcPr>
                <w:p>
                  <w:pPr>
                    <w:pStyle w:val="36"/>
                    <w:ind w:left="-72" w:leftChars="-30" w:right="-72" w:rightChars="-30"/>
                    <w:rPr>
                      <w:color w:val="auto"/>
                    </w:rPr>
                  </w:pPr>
                  <w:r>
                    <w:rPr>
                      <w:color w:val="auto"/>
                    </w:rPr>
                    <w:t>声环境</w:t>
                  </w:r>
                </w:p>
              </w:tc>
              <w:tc>
                <w:tcPr>
                  <w:tcW w:w="768" w:type="pct"/>
                  <w:tcBorders>
                    <w:tl2br w:val="nil"/>
                    <w:tr2bl w:val="nil"/>
                  </w:tcBorders>
                  <w:vAlign w:val="center"/>
                </w:tcPr>
                <w:p>
                  <w:pPr>
                    <w:pStyle w:val="36"/>
                    <w:ind w:left="-72" w:leftChars="-30" w:right="-72" w:rightChars="-30"/>
                    <w:rPr>
                      <w:color w:val="auto"/>
                    </w:rPr>
                  </w:pPr>
                  <w:r>
                    <w:rPr>
                      <w:rFonts w:hint="eastAsia"/>
                      <w:color w:val="auto"/>
                    </w:rPr>
                    <w:t>屿边村</w:t>
                  </w:r>
                </w:p>
              </w:tc>
              <w:tc>
                <w:tcPr>
                  <w:tcW w:w="486" w:type="pct"/>
                  <w:tcBorders>
                    <w:tl2br w:val="nil"/>
                    <w:tr2bl w:val="nil"/>
                  </w:tcBorders>
                  <w:vAlign w:val="center"/>
                </w:tcPr>
                <w:p>
                  <w:pPr>
                    <w:pStyle w:val="36"/>
                    <w:ind w:left="-72" w:leftChars="-30" w:right="-72" w:rightChars="-30"/>
                    <w:rPr>
                      <w:color w:val="auto"/>
                    </w:rPr>
                  </w:pPr>
                  <w:r>
                    <w:rPr>
                      <w:rFonts w:hint="eastAsia"/>
                      <w:color w:val="auto"/>
                    </w:rPr>
                    <w:t>东，东南</w:t>
                  </w:r>
                </w:p>
              </w:tc>
              <w:tc>
                <w:tcPr>
                  <w:tcW w:w="679" w:type="pct"/>
                  <w:tcBorders>
                    <w:tl2br w:val="nil"/>
                    <w:tr2bl w:val="nil"/>
                  </w:tcBorders>
                  <w:vAlign w:val="center"/>
                </w:tcPr>
                <w:p>
                  <w:pPr>
                    <w:pStyle w:val="36"/>
                    <w:ind w:left="-72" w:leftChars="-30" w:right="-72" w:rightChars="-30"/>
                    <w:rPr>
                      <w:color w:val="auto"/>
                    </w:rPr>
                  </w:pPr>
                  <w:r>
                    <w:rPr>
                      <w:rFonts w:hint="eastAsia"/>
                      <w:color w:val="auto"/>
                    </w:rPr>
                    <w:t>21</w:t>
                  </w:r>
                </w:p>
              </w:tc>
              <w:tc>
                <w:tcPr>
                  <w:tcW w:w="718" w:type="pct"/>
                  <w:tcBorders>
                    <w:tl2br w:val="nil"/>
                    <w:tr2bl w:val="nil"/>
                  </w:tcBorders>
                  <w:vAlign w:val="center"/>
                </w:tcPr>
                <w:p>
                  <w:pPr>
                    <w:pStyle w:val="36"/>
                    <w:ind w:left="-72" w:leftChars="-30" w:right="-72" w:rightChars="-30"/>
                    <w:rPr>
                      <w:color w:val="auto"/>
                    </w:rPr>
                  </w:pPr>
                  <w:r>
                    <w:rPr>
                      <w:rFonts w:hint="eastAsia"/>
                      <w:color w:val="auto"/>
                    </w:rPr>
                    <w:t>11户，</w:t>
                  </w:r>
                </w:p>
                <w:p>
                  <w:pPr>
                    <w:pStyle w:val="36"/>
                    <w:ind w:left="-72" w:leftChars="-30" w:right="-72" w:rightChars="-30"/>
                    <w:rPr>
                      <w:color w:val="auto"/>
                    </w:rPr>
                  </w:pPr>
                  <w:r>
                    <w:rPr>
                      <w:rFonts w:hint="eastAsia"/>
                      <w:color w:val="auto"/>
                    </w:rPr>
                    <w:t>44人</w:t>
                  </w:r>
                </w:p>
              </w:tc>
              <w:tc>
                <w:tcPr>
                  <w:tcW w:w="558" w:type="pct"/>
                  <w:tcBorders>
                    <w:tl2br w:val="nil"/>
                    <w:tr2bl w:val="nil"/>
                  </w:tcBorders>
                  <w:vAlign w:val="center"/>
                </w:tcPr>
                <w:p>
                  <w:pPr>
                    <w:pStyle w:val="36"/>
                    <w:ind w:left="-72" w:leftChars="-30" w:right="-72" w:rightChars="-30"/>
                    <w:rPr>
                      <w:color w:val="auto"/>
                    </w:rPr>
                  </w:pPr>
                  <w:r>
                    <w:rPr>
                      <w:rFonts w:hint="eastAsia"/>
                      <w:color w:val="auto"/>
                    </w:rPr>
                    <w:t>居民区</w:t>
                  </w:r>
                </w:p>
              </w:tc>
              <w:tc>
                <w:tcPr>
                  <w:tcW w:w="1175" w:type="pct"/>
                  <w:tcBorders>
                    <w:tl2br w:val="nil"/>
                    <w:tr2bl w:val="nil"/>
                  </w:tcBorders>
                  <w:vAlign w:val="center"/>
                </w:tcPr>
                <w:p>
                  <w:pPr>
                    <w:pStyle w:val="36"/>
                    <w:ind w:left="-72" w:leftChars="-30" w:right="-72" w:rightChars="-30"/>
                    <w:rPr>
                      <w:color w:val="auto"/>
                    </w:rPr>
                  </w:pPr>
                  <w:r>
                    <w:rPr>
                      <w:rFonts w:hint="eastAsia"/>
                      <w:color w:val="auto"/>
                    </w:rPr>
                    <w:t>3类声环境功能区，</w:t>
                  </w:r>
                </w:p>
                <w:p>
                  <w:pPr>
                    <w:pStyle w:val="36"/>
                    <w:ind w:left="-72" w:leftChars="-30" w:right="-72" w:rightChars="-30"/>
                    <w:rPr>
                      <w:color w:val="auto"/>
                    </w:rPr>
                  </w:pPr>
                  <w:r>
                    <w:rPr>
                      <w:rFonts w:hint="eastAsia"/>
                      <w:color w:val="auto"/>
                    </w:rPr>
                    <w:t>《声环境质量标准》（GB3096-2008）中</w:t>
                  </w:r>
                </w:p>
                <w:p>
                  <w:pPr>
                    <w:pStyle w:val="36"/>
                    <w:ind w:left="-72" w:leftChars="-30" w:right="-72" w:rightChars="-30"/>
                    <w:rPr>
                      <w:color w:val="auto"/>
                    </w:rPr>
                  </w:pPr>
                  <w:r>
                    <w:rPr>
                      <w:rFonts w:hint="eastAsia"/>
                      <w:color w:val="auto"/>
                    </w:rPr>
                    <w:t>3类标准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12" w:type="pct"/>
                  <w:tcBorders>
                    <w:tl2br w:val="nil"/>
                    <w:tr2bl w:val="nil"/>
                  </w:tcBorders>
                  <w:vAlign w:val="center"/>
                </w:tcPr>
                <w:p>
                  <w:pPr>
                    <w:pStyle w:val="36"/>
                    <w:ind w:left="-72" w:leftChars="-30" w:right="-72" w:rightChars="-30"/>
                    <w:rPr>
                      <w:color w:val="auto"/>
                    </w:rPr>
                  </w:pPr>
                  <w:r>
                    <w:rPr>
                      <w:color w:val="auto"/>
                    </w:rPr>
                    <w:t>地下水</w:t>
                  </w:r>
                </w:p>
                <w:p>
                  <w:pPr>
                    <w:pStyle w:val="36"/>
                    <w:ind w:left="-72" w:leftChars="-30" w:right="-72" w:rightChars="-30"/>
                    <w:rPr>
                      <w:color w:val="auto"/>
                    </w:rPr>
                  </w:pPr>
                  <w:r>
                    <w:rPr>
                      <w:color w:val="auto"/>
                    </w:rPr>
                    <w:t>环境</w:t>
                  </w:r>
                </w:p>
              </w:tc>
              <w:tc>
                <w:tcPr>
                  <w:tcW w:w="4387" w:type="pct"/>
                  <w:gridSpan w:val="6"/>
                  <w:tcBorders>
                    <w:tl2br w:val="nil"/>
                    <w:tr2bl w:val="nil"/>
                  </w:tcBorders>
                  <w:vAlign w:val="center"/>
                </w:tcPr>
                <w:p>
                  <w:pPr>
                    <w:pStyle w:val="36"/>
                    <w:ind w:left="-72" w:leftChars="-30" w:right="-72" w:rightChars="-30"/>
                    <w:jc w:val="left"/>
                    <w:rPr>
                      <w:color w:val="auto"/>
                    </w:rPr>
                  </w:pPr>
                  <w:r>
                    <w:rPr>
                      <w:rFonts w:hint="eastAsia"/>
                      <w:color w:val="auto"/>
                    </w:rPr>
                    <w:t>厂界</w:t>
                  </w:r>
                  <w:r>
                    <w:rPr>
                      <w:color w:val="auto"/>
                    </w:rPr>
                    <w:t>外500米范围内无地下水集中式饮用水水源和热水、矿泉水、泉水等特殊地下水资源。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12" w:type="pct"/>
                  <w:tcBorders>
                    <w:tl2br w:val="nil"/>
                    <w:tr2bl w:val="nil"/>
                  </w:tcBorders>
                  <w:vAlign w:val="center"/>
                </w:tcPr>
                <w:p>
                  <w:pPr>
                    <w:pStyle w:val="36"/>
                    <w:ind w:left="-72" w:leftChars="-30" w:right="-72" w:rightChars="-30"/>
                    <w:rPr>
                      <w:color w:val="auto"/>
                    </w:rPr>
                  </w:pPr>
                  <w:r>
                    <w:rPr>
                      <w:color w:val="auto"/>
                    </w:rPr>
                    <w:t>生态</w:t>
                  </w:r>
                </w:p>
                <w:p>
                  <w:pPr>
                    <w:pStyle w:val="36"/>
                    <w:ind w:left="-72" w:leftChars="-30" w:right="-72" w:rightChars="-30"/>
                    <w:rPr>
                      <w:color w:val="auto"/>
                    </w:rPr>
                  </w:pPr>
                  <w:r>
                    <w:rPr>
                      <w:color w:val="auto"/>
                    </w:rPr>
                    <w:t>环境</w:t>
                  </w:r>
                </w:p>
              </w:tc>
              <w:tc>
                <w:tcPr>
                  <w:tcW w:w="4387" w:type="pct"/>
                  <w:gridSpan w:val="6"/>
                  <w:tcBorders>
                    <w:tl2br w:val="nil"/>
                    <w:tr2bl w:val="nil"/>
                  </w:tcBorders>
                  <w:vAlign w:val="center"/>
                </w:tcPr>
                <w:p>
                  <w:pPr>
                    <w:pStyle w:val="36"/>
                    <w:ind w:left="-72" w:leftChars="-30" w:right="-72" w:rightChars="-30"/>
                    <w:jc w:val="left"/>
                    <w:rPr>
                      <w:color w:val="auto"/>
                    </w:rPr>
                  </w:pPr>
                  <w:r>
                    <w:rPr>
                      <w:color w:val="auto"/>
                      <w:kern w:val="18"/>
                    </w:rPr>
                    <w:t>项目所在地生态结构现状主要为以工业区为基础的人工生态系统为主，评价范围内不涉及自然保护区、森林公园、风景名胜区等生态敏感区</w:t>
                  </w:r>
                </w:p>
              </w:tc>
            </w:tr>
          </w:tbl>
          <w:p>
            <w:pPr>
              <w:pStyle w:val="168"/>
              <w:ind w:firstLine="0" w:firstLineChars="0"/>
              <w:rPr>
                <w:rFonts w:cs="Times New Roman"/>
                <w:color w:val="auto"/>
              </w:rPr>
            </w:pPr>
          </w:p>
          <w:p>
            <w:pPr>
              <w:pStyle w:val="168"/>
              <w:ind w:firstLine="0" w:firstLineChars="0"/>
              <w:rPr>
                <w:rFonts w:cs="Times New Roman"/>
                <w:color w:val="auto"/>
              </w:rPr>
            </w:pPr>
          </w:p>
          <w:p>
            <w:pPr>
              <w:pStyle w:val="168"/>
              <w:ind w:firstLine="0" w:firstLineChars="0"/>
              <w:rPr>
                <w:rFonts w:cs="Times New Roman"/>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97" w:hRule="atLeast"/>
          <w:jc w:val="center"/>
        </w:trPr>
        <w:tc>
          <w:tcPr>
            <w:tcW w:w="459" w:type="dxa"/>
            <w:tcMar>
              <w:left w:w="28" w:type="dxa"/>
              <w:right w:w="28" w:type="dxa"/>
            </w:tcMar>
            <w:vAlign w:val="center"/>
          </w:tcPr>
          <w:p>
            <w:pPr>
              <w:pStyle w:val="36"/>
              <w:rPr>
                <w:rFonts w:cs="Times New Roman"/>
                <w:color w:val="auto"/>
                <w:sz w:val="24"/>
                <w:szCs w:val="24"/>
              </w:rPr>
            </w:pPr>
            <w:r>
              <w:rPr>
                <w:rFonts w:cs="Times New Roman"/>
                <w:color w:val="auto"/>
                <w:sz w:val="24"/>
                <w:szCs w:val="24"/>
              </w:rPr>
              <w:t>污染</w:t>
            </w:r>
          </w:p>
          <w:p>
            <w:pPr>
              <w:pStyle w:val="36"/>
              <w:rPr>
                <w:rFonts w:cs="Times New Roman"/>
                <w:color w:val="auto"/>
                <w:sz w:val="24"/>
                <w:szCs w:val="24"/>
              </w:rPr>
            </w:pPr>
            <w:r>
              <w:rPr>
                <w:rFonts w:cs="Times New Roman"/>
                <w:color w:val="auto"/>
                <w:sz w:val="24"/>
                <w:szCs w:val="24"/>
              </w:rPr>
              <w:t>物排</w:t>
            </w:r>
          </w:p>
          <w:p>
            <w:pPr>
              <w:pStyle w:val="36"/>
              <w:rPr>
                <w:rFonts w:cs="Times New Roman"/>
                <w:color w:val="auto"/>
                <w:sz w:val="24"/>
                <w:szCs w:val="24"/>
              </w:rPr>
            </w:pPr>
            <w:r>
              <w:rPr>
                <w:rFonts w:cs="Times New Roman"/>
                <w:color w:val="auto"/>
                <w:sz w:val="24"/>
                <w:szCs w:val="24"/>
              </w:rPr>
              <w:t>放控</w:t>
            </w:r>
          </w:p>
          <w:p>
            <w:pPr>
              <w:pStyle w:val="36"/>
              <w:rPr>
                <w:rFonts w:cs="Times New Roman"/>
                <w:color w:val="auto"/>
                <w:sz w:val="24"/>
                <w:szCs w:val="24"/>
              </w:rPr>
            </w:pPr>
            <w:r>
              <w:rPr>
                <w:rFonts w:cs="Times New Roman"/>
                <w:color w:val="auto"/>
                <w:sz w:val="24"/>
                <w:szCs w:val="24"/>
              </w:rPr>
              <w:t>制标</w:t>
            </w:r>
          </w:p>
          <w:p>
            <w:pPr>
              <w:pStyle w:val="36"/>
              <w:rPr>
                <w:rFonts w:cs="Times New Roman"/>
                <w:color w:val="auto"/>
              </w:rPr>
            </w:pPr>
            <w:r>
              <w:rPr>
                <w:rFonts w:cs="Times New Roman"/>
                <w:color w:val="auto"/>
                <w:sz w:val="24"/>
                <w:szCs w:val="24"/>
              </w:rPr>
              <w:t>准</w:t>
            </w:r>
          </w:p>
        </w:tc>
        <w:tc>
          <w:tcPr>
            <w:tcW w:w="8942" w:type="dxa"/>
            <w:vAlign w:val="center"/>
          </w:tcPr>
          <w:p>
            <w:pPr>
              <w:pStyle w:val="55"/>
              <w:rPr>
                <w:rFonts w:cs="Times New Roman"/>
                <w:color w:val="auto"/>
              </w:rPr>
            </w:pPr>
            <w:bookmarkStart w:id="51" w:name="_Toc11756"/>
            <w:r>
              <w:rPr>
                <w:rFonts w:cs="Times New Roman"/>
                <w:color w:val="auto"/>
              </w:rPr>
              <w:t>3.3污染物排放控制标准</w:t>
            </w:r>
            <w:bookmarkEnd w:id="51"/>
          </w:p>
          <w:p>
            <w:pPr>
              <w:pStyle w:val="56"/>
              <w:rPr>
                <w:rFonts w:cs="Times New Roman"/>
                <w:color w:val="auto"/>
              </w:rPr>
            </w:pPr>
            <w:bookmarkStart w:id="52" w:name="_Toc22285"/>
            <w:r>
              <w:rPr>
                <w:rFonts w:cs="Times New Roman"/>
                <w:color w:val="auto"/>
              </w:rPr>
              <w:t>3.3.1废水</w:t>
            </w:r>
            <w:r>
              <w:rPr>
                <w:rFonts w:hint="eastAsia" w:cs="Times New Roman"/>
                <w:color w:val="auto"/>
              </w:rPr>
              <w:t>排放标准</w:t>
            </w:r>
            <w:bookmarkEnd w:id="52"/>
          </w:p>
          <w:p>
            <w:pPr>
              <w:adjustRightInd w:val="0"/>
              <w:snapToGrid w:val="0"/>
              <w:ind w:firstLine="480"/>
              <w:rPr>
                <w:rFonts w:hint="default" w:eastAsia="宋体"/>
                <w:color w:val="auto"/>
                <w:lang w:val="en-US" w:eastAsia="zh-CN"/>
              </w:rPr>
            </w:pPr>
            <w:r>
              <w:rPr>
                <w:rFonts w:hint="eastAsia"/>
                <w:color w:val="auto"/>
                <w:lang w:eastAsia="zh-CN"/>
              </w:rPr>
              <w:t>（</w:t>
            </w:r>
            <w:r>
              <w:rPr>
                <w:rFonts w:hint="eastAsia"/>
                <w:color w:val="auto"/>
                <w:lang w:val="en-US" w:eastAsia="zh-CN"/>
              </w:rPr>
              <w:t>1）</w:t>
            </w:r>
            <w:r>
              <w:rPr>
                <w:rFonts w:hint="default" w:ascii="Times New Roman" w:hAnsi="Times New Roman" w:cs="Times New Roman" w:eastAsiaTheme="minorEastAsia"/>
                <w:color w:val="auto"/>
                <w:sz w:val="24"/>
                <w:szCs w:val="24"/>
                <w:lang w:val="en-US" w:eastAsia="zh-CN"/>
              </w:rPr>
              <w:t>项目污水排放标准</w:t>
            </w:r>
          </w:p>
          <w:p>
            <w:pPr>
              <w:pStyle w:val="38"/>
              <w:bidi w:val="0"/>
              <w:rPr>
                <w:color w:val="auto"/>
              </w:rPr>
            </w:pPr>
            <w:r>
              <w:rPr>
                <w:rFonts w:hint="eastAsia"/>
                <w:color w:val="auto"/>
              </w:rPr>
              <w:t>项目</w:t>
            </w:r>
            <w:r>
              <w:rPr>
                <w:rFonts w:hint="eastAsia"/>
                <w:color w:val="auto"/>
                <w:lang w:val="en-US" w:eastAsia="zh-CN"/>
              </w:rPr>
              <w:t>冷却塔用水</w:t>
            </w:r>
            <w:r>
              <w:rPr>
                <w:rFonts w:hint="default"/>
                <w:color w:val="auto"/>
                <w:lang w:eastAsia="zh-CN"/>
              </w:rPr>
              <w:t>循环使用，</w:t>
            </w:r>
            <w:r>
              <w:rPr>
                <w:rFonts w:hint="eastAsia"/>
                <w:color w:val="auto"/>
                <w:lang w:val="en-US" w:eastAsia="zh-CN"/>
              </w:rPr>
              <w:t>不外排</w:t>
            </w:r>
            <w:r>
              <w:rPr>
                <w:rFonts w:hint="default" w:ascii="Times New Roman" w:hAnsi="Times New Roman" w:cs="Times New Roman" w:eastAsiaTheme="minorEastAsia"/>
                <w:color w:val="auto"/>
                <w:sz w:val="24"/>
                <w:szCs w:val="22"/>
                <w:highlight w:val="none"/>
                <w:lang w:eastAsia="zh-CN"/>
              </w:rPr>
              <w:t>；项目无其他生产废水，</w:t>
            </w:r>
            <w:r>
              <w:rPr>
                <w:rFonts w:hint="eastAsia"/>
                <w:color w:val="auto"/>
              </w:rPr>
              <w:t>外排废水主要为生活污水，经化粪池预处理后</w:t>
            </w:r>
            <w:r>
              <w:rPr>
                <w:color w:val="auto"/>
              </w:rPr>
              <w:t>排入市政污水管网送往</w:t>
            </w:r>
            <w:r>
              <w:rPr>
                <w:rFonts w:hint="eastAsia"/>
                <w:color w:val="auto"/>
              </w:rPr>
              <w:t>福清市融元污水处理厂</w:t>
            </w:r>
            <w:r>
              <w:rPr>
                <w:color w:val="auto"/>
              </w:rPr>
              <w:t>集中处理</w:t>
            </w:r>
            <w:r>
              <w:rPr>
                <w:rFonts w:hint="eastAsia"/>
                <w:color w:val="auto"/>
              </w:rPr>
              <w:t>。</w:t>
            </w:r>
            <w:r>
              <w:rPr>
                <w:color w:val="auto"/>
              </w:rPr>
              <w:t>生活污水排放执行《污水综合排放标准》</w:t>
            </w:r>
            <w:r>
              <w:rPr>
                <w:rFonts w:hint="eastAsia"/>
                <w:color w:val="auto"/>
              </w:rPr>
              <w:t>（</w:t>
            </w:r>
            <w:r>
              <w:rPr>
                <w:color w:val="auto"/>
              </w:rPr>
              <w:t>GB</w:t>
            </w:r>
            <w:r>
              <w:rPr>
                <w:rFonts w:hint="eastAsia"/>
                <w:color w:val="auto"/>
              </w:rPr>
              <w:t xml:space="preserve"> </w:t>
            </w:r>
            <w:r>
              <w:rPr>
                <w:color w:val="auto"/>
              </w:rPr>
              <w:t>8978-1996</w:t>
            </w:r>
            <w:r>
              <w:rPr>
                <w:rFonts w:hint="eastAsia"/>
                <w:color w:val="auto"/>
              </w:rPr>
              <w:t>）</w:t>
            </w:r>
            <w:r>
              <w:rPr>
                <w:color w:val="auto"/>
              </w:rPr>
              <w:t>表4三级标准</w:t>
            </w:r>
            <w:r>
              <w:rPr>
                <w:rFonts w:hint="eastAsia"/>
                <w:color w:val="auto"/>
              </w:rPr>
              <w:t>（</w:t>
            </w:r>
            <w:r>
              <w:rPr>
                <w:color w:val="auto"/>
              </w:rPr>
              <w:t>其中NH</w:t>
            </w:r>
            <w:r>
              <w:rPr>
                <w:color w:val="auto"/>
                <w:vertAlign w:val="subscript"/>
              </w:rPr>
              <w:t>3</w:t>
            </w:r>
            <w:r>
              <w:rPr>
                <w:color w:val="auto"/>
              </w:rPr>
              <w:t>-N参照《污水排入城镇下水道水质标准》</w:t>
            </w:r>
            <w:r>
              <w:rPr>
                <w:rFonts w:hint="eastAsia"/>
                <w:color w:val="auto"/>
              </w:rPr>
              <w:t>（</w:t>
            </w:r>
            <w:r>
              <w:rPr>
                <w:color w:val="auto"/>
              </w:rPr>
              <w:t>GB/T 31962-201</w:t>
            </w:r>
            <w:r>
              <w:rPr>
                <w:rFonts w:hint="eastAsia"/>
                <w:color w:val="auto"/>
              </w:rPr>
              <w:t>5）</w:t>
            </w:r>
            <w:r>
              <w:rPr>
                <w:color w:val="auto"/>
              </w:rPr>
              <w:t>表1中B级标准限值，详见表</w:t>
            </w:r>
            <w:r>
              <w:rPr>
                <w:rFonts w:hint="eastAsia"/>
                <w:color w:val="auto"/>
              </w:rPr>
              <w:t>3.3-1</w:t>
            </w:r>
            <w:r>
              <w:rPr>
                <w:color w:val="auto"/>
              </w:rPr>
              <w:t>。</w:t>
            </w:r>
          </w:p>
          <w:p>
            <w:pPr>
              <w:pStyle w:val="37"/>
              <w:rPr>
                <w:rFonts w:cs="Times New Roman"/>
                <w:color w:val="auto"/>
              </w:rPr>
            </w:pPr>
            <w:r>
              <w:rPr>
                <w:rFonts w:cs="Times New Roman"/>
                <w:color w:val="auto"/>
              </w:rPr>
              <w:t>表3.3-</w:t>
            </w:r>
            <w:r>
              <w:rPr>
                <w:rFonts w:hint="eastAsia" w:cs="Times New Roman"/>
                <w:color w:val="auto"/>
                <w:lang w:val="en-US"/>
              </w:rPr>
              <w:t>1</w:t>
            </w:r>
            <w:r>
              <w:rPr>
                <w:rFonts w:cs="Times New Roman"/>
                <w:color w:val="auto"/>
              </w:rPr>
              <w:t xml:space="preserve"> </w:t>
            </w:r>
            <w:r>
              <w:rPr>
                <w:rFonts w:hint="eastAsia" w:cs="Times New Roman"/>
                <w:color w:val="auto"/>
                <w:lang w:val="en-US"/>
              </w:rPr>
              <w:t>项目污水排放标准限值一览表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37"/>
              <w:gridCol w:w="2260"/>
              <w:gridCol w:w="1942"/>
              <w:gridCol w:w="358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78" w:type="pct"/>
                  <w:vAlign w:val="center"/>
                </w:tcPr>
                <w:p>
                  <w:pPr>
                    <w:pStyle w:val="36"/>
                    <w:rPr>
                      <w:rFonts w:cs="Times New Roman"/>
                      <w:color w:val="auto"/>
                    </w:rPr>
                  </w:pPr>
                  <w:r>
                    <w:rPr>
                      <w:rFonts w:cs="Times New Roman"/>
                      <w:color w:val="auto"/>
                    </w:rPr>
                    <w:t>序号</w:t>
                  </w:r>
                </w:p>
              </w:tc>
              <w:tc>
                <w:tcPr>
                  <w:tcW w:w="1341" w:type="pct"/>
                  <w:vAlign w:val="center"/>
                </w:tcPr>
                <w:p>
                  <w:pPr>
                    <w:pStyle w:val="36"/>
                    <w:rPr>
                      <w:rFonts w:cs="Times New Roman"/>
                      <w:color w:val="auto"/>
                    </w:rPr>
                  </w:pPr>
                  <w:r>
                    <w:rPr>
                      <w:rFonts w:cs="Times New Roman"/>
                      <w:color w:val="auto"/>
                    </w:rPr>
                    <w:t>污染物名称</w:t>
                  </w:r>
                </w:p>
              </w:tc>
              <w:tc>
                <w:tcPr>
                  <w:tcW w:w="1153" w:type="pct"/>
                  <w:vAlign w:val="center"/>
                </w:tcPr>
                <w:p>
                  <w:pPr>
                    <w:pStyle w:val="36"/>
                    <w:rPr>
                      <w:rFonts w:cs="Times New Roman"/>
                      <w:color w:val="auto"/>
                    </w:rPr>
                  </w:pPr>
                  <w:r>
                    <w:rPr>
                      <w:rFonts w:cs="Times New Roman"/>
                      <w:color w:val="auto"/>
                    </w:rPr>
                    <w:t>标准</w:t>
                  </w:r>
                  <w:r>
                    <w:rPr>
                      <w:rFonts w:hint="eastAsia" w:cs="Times New Roman"/>
                      <w:color w:val="auto"/>
                    </w:rPr>
                    <w:t>值</w:t>
                  </w:r>
                </w:p>
              </w:tc>
              <w:tc>
                <w:tcPr>
                  <w:tcW w:w="2126" w:type="pct"/>
                  <w:vAlign w:val="center"/>
                </w:tcPr>
                <w:p>
                  <w:pPr>
                    <w:pStyle w:val="36"/>
                    <w:rPr>
                      <w:rFonts w:cs="Times New Roman"/>
                      <w:color w:val="auto"/>
                    </w:rPr>
                  </w:pPr>
                  <w:r>
                    <w:rPr>
                      <w:rFonts w:cs="Times New Roman"/>
                      <w:color w:val="auto"/>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78" w:type="pct"/>
                  <w:vAlign w:val="center"/>
                </w:tcPr>
                <w:p>
                  <w:pPr>
                    <w:pStyle w:val="36"/>
                    <w:rPr>
                      <w:rFonts w:cs="Times New Roman"/>
                      <w:color w:val="auto"/>
                    </w:rPr>
                  </w:pPr>
                  <w:r>
                    <w:rPr>
                      <w:rFonts w:cs="Times New Roman"/>
                      <w:color w:val="auto"/>
                    </w:rPr>
                    <w:t>1</w:t>
                  </w:r>
                </w:p>
              </w:tc>
              <w:tc>
                <w:tcPr>
                  <w:tcW w:w="1341" w:type="pct"/>
                  <w:vAlign w:val="center"/>
                </w:tcPr>
                <w:p>
                  <w:pPr>
                    <w:pStyle w:val="36"/>
                    <w:rPr>
                      <w:rFonts w:cs="Times New Roman"/>
                      <w:color w:val="auto"/>
                    </w:rPr>
                  </w:pPr>
                  <w:r>
                    <w:rPr>
                      <w:rFonts w:cs="Times New Roman"/>
                      <w:color w:val="auto"/>
                    </w:rPr>
                    <w:t>pH（无量纲）</w:t>
                  </w:r>
                </w:p>
              </w:tc>
              <w:tc>
                <w:tcPr>
                  <w:tcW w:w="1153" w:type="pct"/>
                  <w:vAlign w:val="center"/>
                </w:tcPr>
                <w:p>
                  <w:pPr>
                    <w:pStyle w:val="36"/>
                    <w:rPr>
                      <w:rFonts w:cs="Times New Roman"/>
                      <w:color w:val="auto"/>
                    </w:rPr>
                  </w:pPr>
                  <w:r>
                    <w:rPr>
                      <w:rFonts w:cs="Times New Roman"/>
                      <w:color w:val="auto"/>
                    </w:rPr>
                    <w:t>6～9</w:t>
                  </w:r>
                </w:p>
              </w:tc>
              <w:tc>
                <w:tcPr>
                  <w:tcW w:w="2126" w:type="pct"/>
                  <w:vMerge w:val="restart"/>
                  <w:vAlign w:val="center"/>
                </w:tcPr>
                <w:p>
                  <w:pPr>
                    <w:pStyle w:val="36"/>
                    <w:rPr>
                      <w:rFonts w:cs="Times New Roman"/>
                      <w:color w:val="auto"/>
                    </w:rPr>
                  </w:pPr>
                  <w:r>
                    <w:rPr>
                      <w:rFonts w:cs="Times New Roman"/>
                      <w:color w:val="auto"/>
                    </w:rPr>
                    <w:t>《污水综合排放标准》</w:t>
                  </w:r>
                </w:p>
                <w:p>
                  <w:pPr>
                    <w:pStyle w:val="36"/>
                    <w:rPr>
                      <w:rFonts w:cs="Times New Roman"/>
                      <w:color w:val="auto"/>
                    </w:rPr>
                  </w:pPr>
                  <w:r>
                    <w:rPr>
                      <w:rFonts w:hint="eastAsia" w:cs="Times New Roman"/>
                      <w:color w:val="auto"/>
                    </w:rPr>
                    <w:t>（</w:t>
                  </w:r>
                  <w:r>
                    <w:rPr>
                      <w:rFonts w:cs="Times New Roman"/>
                      <w:color w:val="auto"/>
                    </w:rPr>
                    <w:t>GB8978-1996</w:t>
                  </w:r>
                  <w:r>
                    <w:rPr>
                      <w:rFonts w:hint="eastAsia" w:cs="Times New Roman"/>
                      <w:color w:val="auto"/>
                    </w:rPr>
                    <w:t>）</w:t>
                  </w:r>
                  <w:r>
                    <w:rPr>
                      <w:rFonts w:cs="Times New Roman"/>
                      <w:color w:val="auto"/>
                    </w:rPr>
                    <w:t>表4</w:t>
                  </w:r>
                  <w:r>
                    <w:rPr>
                      <w:rFonts w:hint="eastAsia" w:cs="Times New Roman"/>
                      <w:color w:val="auto"/>
                    </w:rPr>
                    <w:t xml:space="preserve"> </w:t>
                  </w:r>
                  <w:r>
                    <w:rPr>
                      <w:rFonts w:cs="Times New Roman"/>
                      <w:color w:val="auto"/>
                    </w:rPr>
                    <w:t>三级标准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78" w:type="pct"/>
                  <w:vAlign w:val="center"/>
                </w:tcPr>
                <w:p>
                  <w:pPr>
                    <w:pStyle w:val="36"/>
                    <w:rPr>
                      <w:rFonts w:cs="Times New Roman"/>
                      <w:color w:val="auto"/>
                    </w:rPr>
                  </w:pPr>
                  <w:r>
                    <w:rPr>
                      <w:rFonts w:cs="Times New Roman"/>
                      <w:color w:val="auto"/>
                    </w:rPr>
                    <w:t>2</w:t>
                  </w:r>
                </w:p>
              </w:tc>
              <w:tc>
                <w:tcPr>
                  <w:tcW w:w="1341" w:type="pct"/>
                  <w:vAlign w:val="center"/>
                </w:tcPr>
                <w:p>
                  <w:pPr>
                    <w:pStyle w:val="36"/>
                    <w:rPr>
                      <w:rFonts w:cs="Times New Roman"/>
                      <w:color w:val="auto"/>
                    </w:rPr>
                  </w:pPr>
                  <w:r>
                    <w:rPr>
                      <w:rFonts w:cs="Times New Roman"/>
                      <w:color w:val="auto"/>
                    </w:rPr>
                    <w:t>悬浮物（SS）</w:t>
                  </w:r>
                </w:p>
              </w:tc>
              <w:tc>
                <w:tcPr>
                  <w:tcW w:w="1153" w:type="pct"/>
                  <w:vAlign w:val="center"/>
                </w:tcPr>
                <w:p>
                  <w:pPr>
                    <w:pStyle w:val="36"/>
                    <w:rPr>
                      <w:rFonts w:cs="Times New Roman"/>
                      <w:color w:val="auto"/>
                    </w:rPr>
                  </w:pPr>
                  <w:r>
                    <w:rPr>
                      <w:rFonts w:cs="Times New Roman"/>
                      <w:color w:val="auto"/>
                    </w:rPr>
                    <w:t>400mg/L</w:t>
                  </w:r>
                </w:p>
              </w:tc>
              <w:tc>
                <w:tcPr>
                  <w:tcW w:w="2126" w:type="pct"/>
                  <w:vMerge w:val="continue"/>
                  <w:vAlign w:val="center"/>
                </w:tcPr>
                <w:p>
                  <w:pPr>
                    <w:pStyle w:val="36"/>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78" w:type="pct"/>
                  <w:vAlign w:val="center"/>
                </w:tcPr>
                <w:p>
                  <w:pPr>
                    <w:pStyle w:val="36"/>
                    <w:rPr>
                      <w:rFonts w:cs="Times New Roman"/>
                      <w:color w:val="auto"/>
                    </w:rPr>
                  </w:pPr>
                  <w:r>
                    <w:rPr>
                      <w:rFonts w:cs="Times New Roman"/>
                      <w:color w:val="auto"/>
                    </w:rPr>
                    <w:t>3</w:t>
                  </w:r>
                </w:p>
              </w:tc>
              <w:tc>
                <w:tcPr>
                  <w:tcW w:w="1341" w:type="pct"/>
                  <w:vAlign w:val="center"/>
                </w:tcPr>
                <w:p>
                  <w:pPr>
                    <w:pStyle w:val="36"/>
                    <w:rPr>
                      <w:rFonts w:cs="Times New Roman"/>
                      <w:color w:val="auto"/>
                    </w:rPr>
                  </w:pPr>
                  <w:r>
                    <w:rPr>
                      <w:rFonts w:cs="Times New Roman"/>
                      <w:color w:val="auto"/>
                    </w:rPr>
                    <w:t>化学需氧量（COD）</w:t>
                  </w:r>
                </w:p>
              </w:tc>
              <w:tc>
                <w:tcPr>
                  <w:tcW w:w="1153" w:type="pct"/>
                  <w:vAlign w:val="center"/>
                </w:tcPr>
                <w:p>
                  <w:pPr>
                    <w:pStyle w:val="36"/>
                    <w:rPr>
                      <w:rFonts w:cs="Times New Roman"/>
                      <w:color w:val="auto"/>
                    </w:rPr>
                  </w:pPr>
                  <w:r>
                    <w:rPr>
                      <w:rFonts w:cs="Times New Roman"/>
                      <w:color w:val="auto"/>
                    </w:rPr>
                    <w:t>500mg/L</w:t>
                  </w:r>
                </w:p>
              </w:tc>
              <w:tc>
                <w:tcPr>
                  <w:tcW w:w="2126" w:type="pct"/>
                  <w:vMerge w:val="continue"/>
                  <w:vAlign w:val="center"/>
                </w:tcPr>
                <w:p>
                  <w:pPr>
                    <w:pStyle w:val="36"/>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78" w:type="pct"/>
                  <w:vAlign w:val="center"/>
                </w:tcPr>
                <w:p>
                  <w:pPr>
                    <w:pStyle w:val="36"/>
                    <w:rPr>
                      <w:rFonts w:cs="Times New Roman"/>
                      <w:color w:val="auto"/>
                    </w:rPr>
                  </w:pPr>
                  <w:r>
                    <w:rPr>
                      <w:rFonts w:cs="Times New Roman"/>
                      <w:color w:val="auto"/>
                    </w:rPr>
                    <w:t>4</w:t>
                  </w:r>
                </w:p>
              </w:tc>
              <w:tc>
                <w:tcPr>
                  <w:tcW w:w="1341" w:type="pct"/>
                  <w:vAlign w:val="center"/>
                </w:tcPr>
                <w:p>
                  <w:pPr>
                    <w:pStyle w:val="36"/>
                    <w:rPr>
                      <w:rFonts w:cs="Times New Roman"/>
                      <w:color w:val="auto"/>
                    </w:rPr>
                  </w:pPr>
                  <w:r>
                    <w:rPr>
                      <w:rFonts w:cs="Times New Roman"/>
                      <w:color w:val="auto"/>
                    </w:rPr>
                    <w:t>五日生化需氧量（BOD</w:t>
                  </w:r>
                  <w:r>
                    <w:rPr>
                      <w:rFonts w:cs="Times New Roman"/>
                      <w:color w:val="auto"/>
                      <w:vertAlign w:val="subscript"/>
                    </w:rPr>
                    <w:t>5</w:t>
                  </w:r>
                  <w:r>
                    <w:rPr>
                      <w:rFonts w:cs="Times New Roman"/>
                      <w:color w:val="auto"/>
                    </w:rPr>
                    <w:t>）</w:t>
                  </w:r>
                </w:p>
              </w:tc>
              <w:tc>
                <w:tcPr>
                  <w:tcW w:w="1153" w:type="pct"/>
                  <w:vAlign w:val="center"/>
                </w:tcPr>
                <w:p>
                  <w:pPr>
                    <w:pStyle w:val="36"/>
                    <w:rPr>
                      <w:rFonts w:cs="Times New Roman"/>
                      <w:color w:val="auto"/>
                    </w:rPr>
                  </w:pPr>
                  <w:r>
                    <w:rPr>
                      <w:rFonts w:cs="Times New Roman"/>
                      <w:color w:val="auto"/>
                    </w:rPr>
                    <w:t>300mg/L</w:t>
                  </w:r>
                </w:p>
              </w:tc>
              <w:tc>
                <w:tcPr>
                  <w:tcW w:w="2126" w:type="pct"/>
                  <w:vMerge w:val="continue"/>
                  <w:vAlign w:val="center"/>
                </w:tcPr>
                <w:p>
                  <w:pPr>
                    <w:pStyle w:val="36"/>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78" w:type="pct"/>
                  <w:vAlign w:val="center"/>
                </w:tcPr>
                <w:p>
                  <w:pPr>
                    <w:pStyle w:val="36"/>
                    <w:rPr>
                      <w:rFonts w:cs="Times New Roman"/>
                      <w:color w:val="auto"/>
                    </w:rPr>
                  </w:pPr>
                  <w:r>
                    <w:rPr>
                      <w:rFonts w:hint="eastAsia" w:cs="Times New Roman"/>
                      <w:color w:val="auto"/>
                    </w:rPr>
                    <w:t>5</w:t>
                  </w:r>
                </w:p>
              </w:tc>
              <w:tc>
                <w:tcPr>
                  <w:tcW w:w="1341" w:type="pct"/>
                  <w:vAlign w:val="center"/>
                </w:tcPr>
                <w:p>
                  <w:pPr>
                    <w:pStyle w:val="36"/>
                    <w:rPr>
                      <w:rFonts w:cs="Times New Roman"/>
                      <w:color w:val="auto"/>
                    </w:rPr>
                  </w:pPr>
                  <w:r>
                    <w:rPr>
                      <w:rFonts w:cs="Times New Roman"/>
                      <w:color w:val="auto"/>
                    </w:rPr>
                    <w:t>氨氮（NH</w:t>
                  </w:r>
                  <w:r>
                    <w:rPr>
                      <w:rFonts w:cs="Times New Roman"/>
                      <w:color w:val="auto"/>
                      <w:vertAlign w:val="subscript"/>
                    </w:rPr>
                    <w:t>3</w:t>
                  </w:r>
                  <w:r>
                    <w:rPr>
                      <w:rFonts w:cs="Times New Roman"/>
                      <w:color w:val="auto"/>
                    </w:rPr>
                    <w:t>-N）</w:t>
                  </w:r>
                </w:p>
              </w:tc>
              <w:tc>
                <w:tcPr>
                  <w:tcW w:w="1153" w:type="pct"/>
                  <w:vAlign w:val="center"/>
                </w:tcPr>
                <w:p>
                  <w:pPr>
                    <w:pStyle w:val="36"/>
                    <w:rPr>
                      <w:rFonts w:cs="Times New Roman"/>
                      <w:color w:val="auto"/>
                    </w:rPr>
                  </w:pPr>
                  <w:r>
                    <w:rPr>
                      <w:rFonts w:cs="Times New Roman"/>
                      <w:color w:val="auto"/>
                    </w:rPr>
                    <w:t>45mg/L</w:t>
                  </w:r>
                </w:p>
              </w:tc>
              <w:tc>
                <w:tcPr>
                  <w:tcW w:w="2126" w:type="pct"/>
                  <w:vAlign w:val="center"/>
                </w:tcPr>
                <w:p>
                  <w:pPr>
                    <w:pStyle w:val="36"/>
                    <w:adjustRightInd w:val="0"/>
                    <w:snapToGrid w:val="0"/>
                    <w:ind w:left="-120" w:leftChars="-50" w:right="-120" w:rightChars="-50"/>
                    <w:rPr>
                      <w:rFonts w:cs="Times New Roman"/>
                      <w:color w:val="auto"/>
                    </w:rPr>
                  </w:pPr>
                  <w:r>
                    <w:rPr>
                      <w:rFonts w:cs="Times New Roman"/>
                      <w:color w:val="auto"/>
                    </w:rPr>
                    <w:t>《污水排入城镇下水道水质标准》</w:t>
                  </w:r>
                </w:p>
                <w:p>
                  <w:pPr>
                    <w:pStyle w:val="36"/>
                    <w:adjustRightInd w:val="0"/>
                    <w:snapToGrid w:val="0"/>
                    <w:ind w:left="-120" w:leftChars="-50" w:right="-120" w:rightChars="-50"/>
                    <w:rPr>
                      <w:rFonts w:cs="Times New Roman"/>
                      <w:color w:val="auto"/>
                    </w:rPr>
                  </w:pPr>
                  <w:r>
                    <w:rPr>
                      <w:rFonts w:cs="Times New Roman"/>
                      <w:color w:val="auto"/>
                    </w:rPr>
                    <w:t>（GB/T 31962-2015）表1中的B级标准</w:t>
                  </w:r>
                </w:p>
              </w:tc>
            </w:tr>
          </w:tbl>
          <w:p>
            <w:pPr>
              <w:adjustRightInd w:val="0"/>
              <w:snapToGrid w:val="0"/>
              <w:ind w:firstLine="480"/>
              <w:rPr>
                <w:rFonts w:hint="default" w:ascii="Times New Roman" w:hAnsi="Times New Roman" w:eastAsia="宋体" w:cs="宋体"/>
                <w:color w:val="auto"/>
                <w:lang w:eastAsia="zh-CN"/>
              </w:rPr>
            </w:pPr>
            <w:bookmarkStart w:id="53" w:name="_Toc25499"/>
            <w:r>
              <w:rPr>
                <w:rFonts w:hint="eastAsia" w:ascii="Times New Roman" w:hAnsi="Times New Roman" w:eastAsia="宋体" w:cs="宋体"/>
                <w:color w:val="auto"/>
                <w:lang w:eastAsia="zh-CN"/>
              </w:rPr>
              <w:t>（</w:t>
            </w:r>
            <w:r>
              <w:rPr>
                <w:rFonts w:hint="eastAsia" w:ascii="Times New Roman" w:hAnsi="Times New Roman" w:eastAsia="宋体" w:cs="宋体"/>
                <w:color w:val="auto"/>
                <w:lang w:val="en-US" w:eastAsia="zh-CN"/>
              </w:rPr>
              <w:t>2）污水处理厂</w:t>
            </w:r>
            <w:r>
              <w:rPr>
                <w:rFonts w:hint="default" w:ascii="Times New Roman" w:hAnsi="Times New Roman" w:eastAsia="宋体" w:cs="宋体"/>
                <w:color w:val="auto"/>
                <w:lang w:eastAsia="zh-CN"/>
              </w:rPr>
              <w:t>排放标准</w:t>
            </w:r>
          </w:p>
          <w:p>
            <w:pPr>
              <w:adjustRightInd w:val="0"/>
              <w:snapToGrid w:val="0"/>
              <w:ind w:firstLine="480"/>
              <w:rPr>
                <w:rFonts w:hint="default" w:ascii="Times New Roman" w:hAnsi="Times New Roman" w:eastAsia="宋体" w:cs="宋体"/>
                <w:color w:val="auto"/>
                <w:lang w:eastAsia="zh-CN"/>
              </w:rPr>
            </w:pPr>
            <w:r>
              <w:rPr>
                <w:rFonts w:hint="default" w:ascii="Times New Roman" w:hAnsi="Times New Roman" w:eastAsia="宋体" w:cs="宋体"/>
                <w:color w:val="auto"/>
                <w:lang w:eastAsia="zh-CN"/>
              </w:rPr>
              <w:t>福清市融元污水处理厂尾水排放执行《城镇污水处理厂污染物排放标准》</w:t>
            </w:r>
            <w:r>
              <w:rPr>
                <w:rFonts w:hint="eastAsia" w:ascii="Times New Roman" w:hAnsi="Times New Roman" w:eastAsia="宋体" w:cs="宋体"/>
                <w:color w:val="auto"/>
                <w:lang w:eastAsia="zh-CN"/>
              </w:rPr>
              <w:t>（</w:t>
            </w:r>
            <w:r>
              <w:rPr>
                <w:rFonts w:hint="default" w:ascii="Times New Roman" w:hAnsi="Times New Roman" w:eastAsia="宋体" w:cs="宋体"/>
                <w:color w:val="auto"/>
                <w:lang w:eastAsia="zh-CN"/>
              </w:rPr>
              <w:t>GB</w:t>
            </w:r>
            <w:r>
              <w:rPr>
                <w:rFonts w:hint="eastAsia" w:ascii="Times New Roman" w:hAnsi="Times New Roman" w:eastAsia="宋体" w:cs="宋体"/>
                <w:color w:val="auto"/>
                <w:lang w:val="en-US" w:eastAsia="zh-CN"/>
              </w:rPr>
              <w:t xml:space="preserve"> </w:t>
            </w:r>
            <w:r>
              <w:rPr>
                <w:rFonts w:hint="default" w:ascii="Times New Roman" w:hAnsi="Times New Roman" w:eastAsia="宋体" w:cs="宋体"/>
                <w:color w:val="auto"/>
                <w:lang w:eastAsia="zh-CN"/>
              </w:rPr>
              <w:t>18918-2002</w:t>
            </w:r>
            <w:r>
              <w:rPr>
                <w:rFonts w:hint="eastAsia" w:ascii="Times New Roman" w:hAnsi="Times New Roman" w:eastAsia="宋体" w:cs="宋体"/>
                <w:color w:val="auto"/>
                <w:lang w:eastAsia="zh-CN"/>
              </w:rPr>
              <w:t>）</w:t>
            </w:r>
            <w:r>
              <w:rPr>
                <w:rFonts w:hint="default" w:ascii="Times New Roman" w:hAnsi="Times New Roman" w:eastAsia="宋体" w:cs="宋体"/>
                <w:color w:val="auto"/>
                <w:lang w:eastAsia="zh-CN"/>
              </w:rPr>
              <w:t>及其修改单表1的一级A标准，尾水达标后排入龙江。具体详见表</w:t>
            </w:r>
            <w:r>
              <w:rPr>
                <w:rFonts w:hint="default" w:ascii="Times New Roman" w:hAnsi="Times New Roman" w:eastAsia="宋体" w:cs="宋体"/>
                <w:color w:val="auto"/>
                <w:lang w:val="en-US" w:eastAsia="zh-CN"/>
              </w:rPr>
              <w:t>3.3-2</w:t>
            </w:r>
            <w:r>
              <w:rPr>
                <w:rFonts w:hint="default" w:ascii="Times New Roman" w:hAnsi="Times New Roman" w:eastAsia="宋体" w:cs="宋体"/>
                <w:color w:val="auto"/>
                <w:lang w:eastAsia="zh-CN"/>
              </w:rPr>
              <w:t>。</w:t>
            </w:r>
          </w:p>
          <w:p>
            <w:pPr>
              <w:pStyle w:val="37"/>
              <w:rPr>
                <w:rFonts w:hint="default" w:ascii="Times New Roman" w:hAnsi="Times New Roman" w:cs="Times New Roman"/>
                <w:color w:val="auto"/>
              </w:rPr>
            </w:pPr>
            <w:r>
              <w:rPr>
                <w:rFonts w:hint="default" w:ascii="Times New Roman" w:hAnsi="Times New Roman" w:cs="Times New Roman"/>
                <w:color w:val="auto"/>
              </w:rPr>
              <w:t>表3.3-</w:t>
            </w:r>
            <w:r>
              <w:rPr>
                <w:rFonts w:hint="default" w:ascii="Times New Roman" w:hAnsi="Times New Roman" w:cs="Times New Roman"/>
                <w:color w:val="auto"/>
                <w:lang w:val="en-US" w:eastAsia="zh-CN"/>
              </w:rPr>
              <w:t xml:space="preserve">2  </w:t>
            </w:r>
            <w:r>
              <w:rPr>
                <w:rFonts w:hint="default" w:ascii="Times New Roman" w:hAnsi="Times New Roman" w:cs="Times New Roman"/>
                <w:color w:val="auto"/>
              </w:rPr>
              <w:t>污水处理厂</w:t>
            </w:r>
            <w:r>
              <w:rPr>
                <w:rFonts w:hint="eastAsia" w:ascii="Times New Roman" w:hAnsi="Times New Roman" w:cs="Times New Roman"/>
                <w:color w:val="auto"/>
                <w:lang w:val="en-US" w:eastAsia="zh-CN"/>
              </w:rPr>
              <w:t>尾水</w:t>
            </w:r>
            <w:r>
              <w:rPr>
                <w:rFonts w:hint="default" w:ascii="Times New Roman" w:hAnsi="Times New Roman" w:cs="Times New Roman"/>
                <w:color w:val="auto"/>
              </w:rPr>
              <w:t>排放标准</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37"/>
              <w:gridCol w:w="2237"/>
              <w:gridCol w:w="1962"/>
              <w:gridCol w:w="358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78" w:type="pct"/>
                  <w:vAlign w:val="center"/>
                </w:tcPr>
                <w:p>
                  <w:pPr>
                    <w:pStyle w:val="36"/>
                    <w:rPr>
                      <w:rFonts w:cs="Times New Roman"/>
                      <w:color w:val="auto"/>
                    </w:rPr>
                  </w:pPr>
                  <w:r>
                    <w:rPr>
                      <w:rFonts w:cs="Times New Roman"/>
                      <w:color w:val="auto"/>
                    </w:rPr>
                    <w:t>序号</w:t>
                  </w:r>
                </w:p>
              </w:tc>
              <w:tc>
                <w:tcPr>
                  <w:tcW w:w="1328" w:type="pct"/>
                  <w:vAlign w:val="center"/>
                </w:tcPr>
                <w:p>
                  <w:pPr>
                    <w:pStyle w:val="36"/>
                    <w:rPr>
                      <w:rFonts w:cs="Times New Roman"/>
                      <w:color w:val="auto"/>
                    </w:rPr>
                  </w:pPr>
                  <w:r>
                    <w:rPr>
                      <w:rFonts w:cs="Times New Roman"/>
                      <w:color w:val="auto"/>
                    </w:rPr>
                    <w:t>污染物名称</w:t>
                  </w:r>
                </w:p>
              </w:tc>
              <w:tc>
                <w:tcPr>
                  <w:tcW w:w="1164" w:type="pct"/>
                  <w:vAlign w:val="center"/>
                </w:tcPr>
                <w:p>
                  <w:pPr>
                    <w:pStyle w:val="36"/>
                    <w:rPr>
                      <w:rFonts w:hint="eastAsia" w:cs="Times New Roman" w:eastAsiaTheme="minorEastAsia"/>
                      <w:color w:val="auto"/>
                      <w:lang w:val="en-US" w:eastAsia="zh-CN"/>
                    </w:rPr>
                  </w:pPr>
                  <w:r>
                    <w:rPr>
                      <w:rFonts w:hint="default" w:ascii="Times New Roman" w:hAnsi="Times New Roman" w:cs="Times New Roman" w:eastAsiaTheme="minorEastAsia"/>
                      <w:snapToGrid w:val="0"/>
                      <w:color w:val="auto"/>
                      <w:kern w:val="18"/>
                    </w:rPr>
                    <w:t>一级</w:t>
                  </w:r>
                  <w:r>
                    <w:rPr>
                      <w:rFonts w:hint="eastAsia" w:ascii="Times New Roman" w:hAnsi="Times New Roman" w:cs="Times New Roman" w:eastAsiaTheme="minorEastAsia"/>
                      <w:snapToGrid w:val="0"/>
                      <w:color w:val="auto"/>
                      <w:kern w:val="18"/>
                      <w:lang w:val="en-US" w:eastAsia="zh-CN"/>
                    </w:rPr>
                    <w:t xml:space="preserve"> </w:t>
                  </w:r>
                  <w:r>
                    <w:rPr>
                      <w:rFonts w:hint="default" w:ascii="Times New Roman" w:hAnsi="Times New Roman" w:cs="Times New Roman" w:eastAsiaTheme="minorEastAsia"/>
                      <w:snapToGrid w:val="0"/>
                      <w:color w:val="auto"/>
                      <w:kern w:val="18"/>
                    </w:rPr>
                    <w:t>A标准</w:t>
                  </w:r>
                  <w:r>
                    <w:rPr>
                      <w:rFonts w:hint="eastAsia" w:ascii="Times New Roman" w:hAnsi="Times New Roman" w:cs="Times New Roman" w:eastAsiaTheme="minorEastAsia"/>
                      <w:snapToGrid w:val="0"/>
                      <w:color w:val="auto"/>
                      <w:kern w:val="18"/>
                      <w:lang w:val="en-US" w:eastAsia="zh-CN"/>
                    </w:rPr>
                    <w:t>限值</w:t>
                  </w:r>
                </w:p>
              </w:tc>
              <w:tc>
                <w:tcPr>
                  <w:tcW w:w="2128" w:type="pct"/>
                  <w:vAlign w:val="center"/>
                </w:tcPr>
                <w:p>
                  <w:pPr>
                    <w:pStyle w:val="36"/>
                    <w:rPr>
                      <w:rFonts w:cs="Times New Roman"/>
                      <w:color w:val="auto"/>
                    </w:rPr>
                  </w:pPr>
                  <w:r>
                    <w:rPr>
                      <w:rFonts w:cs="Times New Roman"/>
                      <w:color w:val="auto"/>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78" w:type="pct"/>
                  <w:vAlign w:val="center"/>
                </w:tcPr>
                <w:p>
                  <w:pPr>
                    <w:pStyle w:val="36"/>
                    <w:rPr>
                      <w:rFonts w:cs="Times New Roman"/>
                      <w:color w:val="auto"/>
                    </w:rPr>
                  </w:pPr>
                  <w:r>
                    <w:rPr>
                      <w:rFonts w:cs="Times New Roman"/>
                      <w:color w:val="auto"/>
                    </w:rPr>
                    <w:t>1</w:t>
                  </w:r>
                </w:p>
              </w:tc>
              <w:tc>
                <w:tcPr>
                  <w:tcW w:w="1328" w:type="pct"/>
                  <w:vAlign w:val="center"/>
                </w:tcPr>
                <w:p>
                  <w:pPr>
                    <w:pStyle w:val="36"/>
                    <w:rPr>
                      <w:rFonts w:cs="Times New Roman"/>
                      <w:color w:val="auto"/>
                    </w:rPr>
                  </w:pPr>
                  <w:r>
                    <w:rPr>
                      <w:rFonts w:cs="Times New Roman"/>
                      <w:color w:val="auto"/>
                    </w:rPr>
                    <w:t>pH（无量纲）</w:t>
                  </w:r>
                </w:p>
              </w:tc>
              <w:tc>
                <w:tcPr>
                  <w:tcW w:w="1164" w:type="pct"/>
                  <w:vAlign w:val="center"/>
                </w:tcPr>
                <w:p>
                  <w:pPr>
                    <w:pStyle w:val="36"/>
                    <w:rPr>
                      <w:rFonts w:cs="Times New Roman"/>
                      <w:color w:val="auto"/>
                    </w:rPr>
                  </w:pPr>
                  <w:r>
                    <w:rPr>
                      <w:rFonts w:cs="Times New Roman"/>
                      <w:color w:val="auto"/>
                    </w:rPr>
                    <w:t>6～9</w:t>
                  </w:r>
                </w:p>
              </w:tc>
              <w:tc>
                <w:tcPr>
                  <w:tcW w:w="2128" w:type="pct"/>
                  <w:vMerge w:val="restart"/>
                  <w:vAlign w:val="center"/>
                </w:tcPr>
                <w:p>
                  <w:pPr>
                    <w:pStyle w:val="36"/>
                    <w:rPr>
                      <w:rFonts w:hint="eastAsia" w:ascii="Times New Roman" w:hAnsi="Times New Roman" w:eastAsia="宋体" w:cs="Times New Roman"/>
                      <w:color w:val="auto"/>
                    </w:rPr>
                  </w:pPr>
                  <w:r>
                    <w:rPr>
                      <w:rFonts w:hint="eastAsia" w:ascii="Times New Roman" w:hAnsi="Times New Roman" w:eastAsia="宋体" w:cs="Times New Roman"/>
                      <w:color w:val="auto"/>
                    </w:rPr>
                    <w:t>《城镇污水处理厂污染物排放标准》(GB18918-2002)及其修改单表1的</w:t>
                  </w:r>
                </w:p>
                <w:p>
                  <w:pPr>
                    <w:pStyle w:val="36"/>
                    <w:rPr>
                      <w:rFonts w:cs="Times New Roman"/>
                      <w:color w:val="auto"/>
                    </w:rPr>
                  </w:pPr>
                  <w:r>
                    <w:rPr>
                      <w:rFonts w:hint="eastAsia" w:ascii="Times New Roman" w:hAnsi="Times New Roman" w:eastAsia="宋体" w:cs="Times New Roman"/>
                      <w:color w:val="auto"/>
                    </w:rPr>
                    <w:t>一级标准</w:t>
                  </w:r>
                  <w:r>
                    <w:rPr>
                      <w:rFonts w:hint="eastAsia" w:ascii="Times New Roman" w:hAnsi="Times New Roman" w:eastAsia="宋体" w:cs="Times New Roman"/>
                      <w:color w:val="auto"/>
                      <w:lang w:val="en-US" w:eastAsia="zh-CN"/>
                    </w:rPr>
                    <w:t xml:space="preserve"> </w:t>
                  </w:r>
                  <w:r>
                    <w:rPr>
                      <w:rFonts w:hint="eastAsia" w:ascii="Times New Roman" w:hAnsi="Times New Roman" w:eastAsia="宋体" w:cs="Times New Roman"/>
                      <w:color w:val="auto"/>
                    </w:rPr>
                    <w:t>A标准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78" w:type="pct"/>
                  <w:vAlign w:val="center"/>
                </w:tcPr>
                <w:p>
                  <w:pPr>
                    <w:pStyle w:val="36"/>
                    <w:rPr>
                      <w:rFonts w:cs="Times New Roman"/>
                      <w:color w:val="auto"/>
                    </w:rPr>
                  </w:pPr>
                  <w:r>
                    <w:rPr>
                      <w:rFonts w:cs="Times New Roman"/>
                      <w:color w:val="auto"/>
                    </w:rPr>
                    <w:t>2</w:t>
                  </w:r>
                </w:p>
              </w:tc>
              <w:tc>
                <w:tcPr>
                  <w:tcW w:w="1328" w:type="pct"/>
                  <w:vAlign w:val="center"/>
                </w:tcPr>
                <w:p>
                  <w:pPr>
                    <w:pStyle w:val="36"/>
                    <w:rPr>
                      <w:rFonts w:cs="Times New Roman"/>
                      <w:color w:val="auto"/>
                    </w:rPr>
                  </w:pPr>
                  <w:r>
                    <w:rPr>
                      <w:rFonts w:cs="Times New Roman"/>
                      <w:color w:val="auto"/>
                    </w:rPr>
                    <w:t>悬浮物（SS）</w:t>
                  </w:r>
                </w:p>
              </w:tc>
              <w:tc>
                <w:tcPr>
                  <w:tcW w:w="1164" w:type="pct"/>
                  <w:vAlign w:val="center"/>
                </w:tcPr>
                <w:p>
                  <w:pPr>
                    <w:pStyle w:val="36"/>
                    <w:rPr>
                      <w:rFonts w:cs="Times New Roman"/>
                      <w:color w:val="auto"/>
                    </w:rPr>
                  </w:pPr>
                  <w:r>
                    <w:rPr>
                      <w:rFonts w:hint="eastAsia" w:cs="Times New Roman"/>
                      <w:color w:val="auto"/>
                      <w:lang w:val="en-US" w:eastAsia="zh-CN"/>
                    </w:rPr>
                    <w:t>10</w:t>
                  </w:r>
                  <w:r>
                    <w:rPr>
                      <w:rFonts w:cs="Times New Roman"/>
                      <w:color w:val="auto"/>
                    </w:rPr>
                    <w:t>mg/L</w:t>
                  </w:r>
                </w:p>
              </w:tc>
              <w:tc>
                <w:tcPr>
                  <w:tcW w:w="2128" w:type="pct"/>
                  <w:vMerge w:val="continue"/>
                  <w:vAlign w:val="center"/>
                </w:tcPr>
                <w:p>
                  <w:pPr>
                    <w:pStyle w:val="36"/>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78" w:type="pct"/>
                  <w:vAlign w:val="center"/>
                </w:tcPr>
                <w:p>
                  <w:pPr>
                    <w:pStyle w:val="36"/>
                    <w:rPr>
                      <w:rFonts w:cs="Times New Roman"/>
                      <w:color w:val="auto"/>
                    </w:rPr>
                  </w:pPr>
                  <w:r>
                    <w:rPr>
                      <w:rFonts w:cs="Times New Roman"/>
                      <w:color w:val="auto"/>
                    </w:rPr>
                    <w:t>3</w:t>
                  </w:r>
                </w:p>
              </w:tc>
              <w:tc>
                <w:tcPr>
                  <w:tcW w:w="1328" w:type="pct"/>
                  <w:vAlign w:val="center"/>
                </w:tcPr>
                <w:p>
                  <w:pPr>
                    <w:pStyle w:val="36"/>
                    <w:rPr>
                      <w:rFonts w:cs="Times New Roman"/>
                      <w:color w:val="auto"/>
                    </w:rPr>
                  </w:pPr>
                  <w:r>
                    <w:rPr>
                      <w:rFonts w:cs="Times New Roman"/>
                      <w:color w:val="auto"/>
                    </w:rPr>
                    <w:t>化学需氧量（COD）</w:t>
                  </w:r>
                </w:p>
              </w:tc>
              <w:tc>
                <w:tcPr>
                  <w:tcW w:w="1164" w:type="pct"/>
                  <w:vAlign w:val="center"/>
                </w:tcPr>
                <w:p>
                  <w:pPr>
                    <w:pStyle w:val="36"/>
                    <w:rPr>
                      <w:rFonts w:cs="Times New Roman"/>
                      <w:color w:val="auto"/>
                    </w:rPr>
                  </w:pPr>
                  <w:r>
                    <w:rPr>
                      <w:rFonts w:cs="Times New Roman"/>
                      <w:color w:val="auto"/>
                    </w:rPr>
                    <w:t>50mg/L</w:t>
                  </w:r>
                </w:p>
              </w:tc>
              <w:tc>
                <w:tcPr>
                  <w:tcW w:w="2128" w:type="pct"/>
                  <w:vMerge w:val="continue"/>
                  <w:vAlign w:val="center"/>
                </w:tcPr>
                <w:p>
                  <w:pPr>
                    <w:pStyle w:val="36"/>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78" w:type="pct"/>
                  <w:vAlign w:val="center"/>
                </w:tcPr>
                <w:p>
                  <w:pPr>
                    <w:pStyle w:val="36"/>
                    <w:rPr>
                      <w:rFonts w:cs="Times New Roman"/>
                      <w:color w:val="auto"/>
                    </w:rPr>
                  </w:pPr>
                  <w:r>
                    <w:rPr>
                      <w:rFonts w:cs="Times New Roman"/>
                      <w:color w:val="auto"/>
                    </w:rPr>
                    <w:t>4</w:t>
                  </w:r>
                </w:p>
              </w:tc>
              <w:tc>
                <w:tcPr>
                  <w:tcW w:w="1328" w:type="pct"/>
                  <w:vAlign w:val="center"/>
                </w:tcPr>
                <w:p>
                  <w:pPr>
                    <w:pStyle w:val="36"/>
                    <w:rPr>
                      <w:rFonts w:cs="Times New Roman"/>
                      <w:color w:val="auto"/>
                    </w:rPr>
                  </w:pPr>
                  <w:r>
                    <w:rPr>
                      <w:rFonts w:cs="Times New Roman"/>
                      <w:color w:val="auto"/>
                    </w:rPr>
                    <w:t>五日生化需氧量（BOD</w:t>
                  </w:r>
                  <w:r>
                    <w:rPr>
                      <w:rFonts w:cs="Times New Roman"/>
                      <w:color w:val="auto"/>
                      <w:vertAlign w:val="subscript"/>
                    </w:rPr>
                    <w:t>5</w:t>
                  </w:r>
                  <w:r>
                    <w:rPr>
                      <w:rFonts w:cs="Times New Roman"/>
                      <w:color w:val="auto"/>
                    </w:rPr>
                    <w:t>）</w:t>
                  </w:r>
                </w:p>
              </w:tc>
              <w:tc>
                <w:tcPr>
                  <w:tcW w:w="1164" w:type="pct"/>
                  <w:vAlign w:val="center"/>
                </w:tcPr>
                <w:p>
                  <w:pPr>
                    <w:pStyle w:val="36"/>
                    <w:rPr>
                      <w:rFonts w:cs="Times New Roman"/>
                      <w:color w:val="auto"/>
                    </w:rPr>
                  </w:pPr>
                  <w:r>
                    <w:rPr>
                      <w:rFonts w:hint="eastAsia" w:cs="Times New Roman"/>
                      <w:color w:val="auto"/>
                      <w:lang w:val="en-US" w:eastAsia="zh-CN"/>
                    </w:rPr>
                    <w:t>10</w:t>
                  </w:r>
                  <w:r>
                    <w:rPr>
                      <w:rFonts w:cs="Times New Roman"/>
                      <w:color w:val="auto"/>
                    </w:rPr>
                    <w:t>mg/L</w:t>
                  </w:r>
                </w:p>
              </w:tc>
              <w:tc>
                <w:tcPr>
                  <w:tcW w:w="2128" w:type="pct"/>
                  <w:vMerge w:val="continue"/>
                  <w:vAlign w:val="center"/>
                </w:tcPr>
                <w:p>
                  <w:pPr>
                    <w:pStyle w:val="36"/>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78" w:type="pct"/>
                  <w:vAlign w:val="center"/>
                </w:tcPr>
                <w:p>
                  <w:pPr>
                    <w:pStyle w:val="36"/>
                    <w:rPr>
                      <w:rFonts w:cs="Times New Roman"/>
                      <w:color w:val="auto"/>
                    </w:rPr>
                  </w:pPr>
                  <w:r>
                    <w:rPr>
                      <w:rFonts w:hint="eastAsia" w:cs="Times New Roman"/>
                      <w:color w:val="auto"/>
                    </w:rPr>
                    <w:t>5</w:t>
                  </w:r>
                </w:p>
              </w:tc>
              <w:tc>
                <w:tcPr>
                  <w:tcW w:w="1328" w:type="pct"/>
                  <w:vAlign w:val="center"/>
                </w:tcPr>
                <w:p>
                  <w:pPr>
                    <w:pStyle w:val="36"/>
                    <w:rPr>
                      <w:rFonts w:cs="Times New Roman"/>
                      <w:color w:val="auto"/>
                    </w:rPr>
                  </w:pPr>
                  <w:r>
                    <w:rPr>
                      <w:rFonts w:cs="Times New Roman"/>
                      <w:color w:val="auto"/>
                    </w:rPr>
                    <w:t>氨氮（NH</w:t>
                  </w:r>
                  <w:r>
                    <w:rPr>
                      <w:rFonts w:cs="Times New Roman"/>
                      <w:color w:val="auto"/>
                      <w:vertAlign w:val="subscript"/>
                    </w:rPr>
                    <w:t>3</w:t>
                  </w:r>
                  <w:r>
                    <w:rPr>
                      <w:rFonts w:cs="Times New Roman"/>
                      <w:color w:val="auto"/>
                    </w:rPr>
                    <w:t>-N）</w:t>
                  </w:r>
                </w:p>
              </w:tc>
              <w:tc>
                <w:tcPr>
                  <w:tcW w:w="1164" w:type="pct"/>
                  <w:vAlign w:val="center"/>
                </w:tcPr>
                <w:p>
                  <w:pPr>
                    <w:pStyle w:val="36"/>
                    <w:rPr>
                      <w:rFonts w:cs="Times New Roman"/>
                      <w:color w:val="auto"/>
                    </w:rPr>
                  </w:pPr>
                  <w:r>
                    <w:rPr>
                      <w:rFonts w:hint="eastAsia" w:cs="Times New Roman"/>
                      <w:color w:val="auto"/>
                      <w:lang w:val="en-US" w:eastAsia="zh-CN"/>
                    </w:rPr>
                    <w:t>5</w:t>
                  </w:r>
                  <w:r>
                    <w:rPr>
                      <w:rFonts w:cs="Times New Roman"/>
                      <w:color w:val="auto"/>
                    </w:rPr>
                    <w:t>mg/L</w:t>
                  </w:r>
                </w:p>
              </w:tc>
              <w:tc>
                <w:tcPr>
                  <w:tcW w:w="2128" w:type="pct"/>
                  <w:vMerge w:val="continue"/>
                  <w:vAlign w:val="center"/>
                </w:tcPr>
                <w:p>
                  <w:pPr>
                    <w:pStyle w:val="36"/>
                    <w:adjustRightInd w:val="0"/>
                    <w:snapToGrid w:val="0"/>
                    <w:ind w:left="-120" w:leftChars="-50" w:right="-120" w:rightChars="-50"/>
                    <w:rPr>
                      <w:rFonts w:cs="Times New Roman"/>
                      <w:color w:val="auto"/>
                    </w:rPr>
                  </w:pPr>
                </w:p>
              </w:tc>
            </w:tr>
          </w:tbl>
          <w:p>
            <w:pPr>
              <w:pStyle w:val="56"/>
              <w:rPr>
                <w:rFonts w:cs="Times New Roman"/>
                <w:color w:val="auto"/>
              </w:rPr>
            </w:pPr>
          </w:p>
          <w:p>
            <w:pPr>
              <w:pStyle w:val="56"/>
              <w:rPr>
                <w:rFonts w:cs="Times New Roman"/>
                <w:color w:val="auto"/>
              </w:rPr>
            </w:pPr>
          </w:p>
          <w:p>
            <w:pPr>
              <w:pStyle w:val="56"/>
              <w:rPr>
                <w:rFonts w:cs="Times New Roman"/>
                <w:color w:val="auto"/>
              </w:rPr>
            </w:pPr>
          </w:p>
          <w:p>
            <w:pPr>
              <w:pStyle w:val="56"/>
              <w:rPr>
                <w:rFonts w:cs="Times New Roman"/>
                <w:color w:val="auto"/>
              </w:rPr>
            </w:pPr>
          </w:p>
          <w:p>
            <w:pPr>
              <w:pStyle w:val="56"/>
              <w:rPr>
                <w:rFonts w:cs="Times New Roman"/>
                <w:color w:val="auto"/>
              </w:rPr>
            </w:pPr>
            <w:r>
              <w:rPr>
                <w:rFonts w:cs="Times New Roman"/>
                <w:color w:val="auto"/>
              </w:rPr>
              <w:t>3.3.2废气</w:t>
            </w:r>
            <w:r>
              <w:rPr>
                <w:rFonts w:hint="eastAsia" w:cs="Times New Roman"/>
                <w:color w:val="auto"/>
              </w:rPr>
              <w:t>排放标准</w:t>
            </w:r>
            <w:bookmarkEnd w:id="53"/>
          </w:p>
          <w:p>
            <w:pPr>
              <w:pStyle w:val="38"/>
              <w:ind w:firstLine="480"/>
              <w:rPr>
                <w:color w:val="auto"/>
              </w:rPr>
            </w:pPr>
            <w:r>
              <w:rPr>
                <w:rFonts w:hint="eastAsia"/>
                <w:color w:val="auto"/>
              </w:rPr>
              <w:t>本项目属于铜压延行业，主要污染物为非甲烷总烃。</w:t>
            </w:r>
            <w:r>
              <w:rPr>
                <w:rFonts w:hint="eastAsia"/>
                <w:color w:val="auto"/>
                <w:lang w:bidi="ar"/>
              </w:rPr>
              <w:t>厂界无组织废气</w:t>
            </w:r>
            <w:r>
              <w:rPr>
                <w:rFonts w:hint="eastAsia"/>
                <w:color w:val="auto"/>
                <w:lang w:val="en-US" w:eastAsia="zh-CN" w:bidi="ar"/>
              </w:rPr>
              <w:t>执行</w:t>
            </w:r>
            <w:r>
              <w:rPr>
                <w:rFonts w:hint="eastAsia"/>
                <w:bCs/>
                <w:color w:val="auto"/>
              </w:rPr>
              <w:t>《大气污染物综合排放标准》（GB 16297-1996）表2中无组织排放限值要求</w:t>
            </w:r>
            <w:r>
              <w:rPr>
                <w:rFonts w:hint="eastAsia"/>
                <w:color w:val="auto"/>
                <w:lang w:bidi="ar"/>
              </w:rPr>
              <w:t>；</w:t>
            </w:r>
            <w:r>
              <w:rPr>
                <w:rFonts w:hint="eastAsia"/>
                <w:color w:val="auto"/>
                <w:shd w:val="clear" w:color="auto" w:fill="FFFFFF"/>
              </w:rPr>
              <w:t>厂区内监控点执行</w:t>
            </w:r>
            <w:r>
              <w:rPr>
                <w:color w:val="auto"/>
                <w:shd w:val="clear" w:color="auto" w:fill="FFFFFF"/>
              </w:rPr>
              <w:t>《挥发性有机物无组织排放控制标准》</w:t>
            </w:r>
            <w:r>
              <w:rPr>
                <w:rFonts w:hint="eastAsia"/>
                <w:color w:val="auto"/>
                <w:shd w:val="clear" w:color="auto" w:fill="FFFFFF"/>
              </w:rPr>
              <w:t>（</w:t>
            </w:r>
            <w:r>
              <w:rPr>
                <w:color w:val="auto"/>
                <w:shd w:val="clear" w:color="auto" w:fill="FFFFFF"/>
              </w:rPr>
              <w:t>GB 37822-2019</w:t>
            </w:r>
            <w:r>
              <w:rPr>
                <w:rFonts w:hint="eastAsia"/>
                <w:color w:val="auto"/>
                <w:shd w:val="clear" w:color="auto" w:fill="FFFFFF"/>
              </w:rPr>
              <w:t>）</w:t>
            </w:r>
            <w:r>
              <w:rPr>
                <w:color w:val="auto"/>
                <w:shd w:val="clear" w:color="auto" w:fill="FFFFFF"/>
              </w:rPr>
              <w:t>中附录A</w:t>
            </w:r>
            <w:r>
              <w:rPr>
                <w:rFonts w:hint="eastAsia"/>
                <w:color w:val="auto"/>
                <w:shd w:val="clear" w:color="auto" w:fill="FFFFFF"/>
              </w:rPr>
              <w:t>中</w:t>
            </w:r>
            <w:r>
              <w:rPr>
                <w:color w:val="auto"/>
                <w:shd w:val="clear" w:color="auto" w:fill="FFFFFF"/>
              </w:rPr>
              <w:t>表A.1</w:t>
            </w:r>
            <w:r>
              <w:rPr>
                <w:rFonts w:hint="eastAsia"/>
                <w:color w:val="auto"/>
                <w:shd w:val="clear" w:color="auto" w:fill="FFFFFF"/>
                <w:lang w:val="en-US" w:eastAsia="zh-CN"/>
              </w:rPr>
              <w:t>中</w:t>
            </w:r>
            <w:r>
              <w:rPr>
                <w:rFonts w:hint="eastAsia"/>
                <w:bCs/>
                <w:color w:val="auto"/>
                <w:lang w:val="en-US" w:eastAsia="zh-CN"/>
              </w:rPr>
              <w:t>特别</w:t>
            </w:r>
            <w:r>
              <w:rPr>
                <w:rFonts w:hint="eastAsia"/>
                <w:bCs/>
                <w:color w:val="auto"/>
              </w:rPr>
              <w:t>排放限值</w:t>
            </w:r>
            <w:r>
              <w:rPr>
                <w:rFonts w:hint="eastAsia"/>
                <w:color w:val="auto"/>
                <w:shd w:val="clear" w:color="auto" w:fill="FFFFFF"/>
              </w:rPr>
              <w:t>，详见表3.3-</w:t>
            </w:r>
            <w:r>
              <w:rPr>
                <w:rFonts w:hint="eastAsia"/>
                <w:color w:val="auto"/>
                <w:shd w:val="clear" w:color="auto" w:fill="FFFFFF"/>
                <w:lang w:val="en-US" w:eastAsia="zh-CN"/>
              </w:rPr>
              <w:t>3</w:t>
            </w:r>
            <w:r>
              <w:rPr>
                <w:rFonts w:hint="eastAsia"/>
                <w:color w:val="auto"/>
                <w:shd w:val="clear" w:color="auto" w:fill="FFFFFF"/>
              </w:rPr>
              <w:t>。</w:t>
            </w:r>
          </w:p>
          <w:p>
            <w:pPr>
              <w:pStyle w:val="37"/>
              <w:rPr>
                <w:rFonts w:cs="Times New Roman"/>
                <w:color w:val="auto"/>
              </w:rPr>
            </w:pPr>
            <w:r>
              <w:rPr>
                <w:rFonts w:cs="Times New Roman"/>
                <w:color w:val="auto"/>
              </w:rPr>
              <w:t>表</w:t>
            </w:r>
            <w:r>
              <w:rPr>
                <w:rFonts w:hint="eastAsia" w:cs="Times New Roman"/>
                <w:color w:val="auto"/>
                <w:lang w:val="en-US"/>
              </w:rPr>
              <w:t>3</w:t>
            </w:r>
            <w:r>
              <w:rPr>
                <w:rFonts w:cs="Times New Roman"/>
                <w:color w:val="auto"/>
              </w:rPr>
              <w:t>.</w:t>
            </w:r>
            <w:r>
              <w:rPr>
                <w:rFonts w:hint="eastAsia" w:cs="Times New Roman"/>
                <w:color w:val="auto"/>
                <w:lang w:val="en-US"/>
              </w:rPr>
              <w:t>3</w:t>
            </w:r>
            <w:r>
              <w:rPr>
                <w:rFonts w:cs="Times New Roman"/>
                <w:color w:val="auto"/>
              </w:rPr>
              <w:t>-</w:t>
            </w:r>
            <w:r>
              <w:rPr>
                <w:rFonts w:hint="eastAsia" w:cs="Times New Roman"/>
                <w:color w:val="auto"/>
                <w:lang w:val="en-US" w:eastAsia="zh-CN"/>
              </w:rPr>
              <w:t>3</w:t>
            </w:r>
            <w:r>
              <w:rPr>
                <w:rFonts w:hint="eastAsia" w:cs="Times New Roman"/>
                <w:color w:val="auto"/>
                <w:lang w:val="en-US"/>
              </w:rPr>
              <w:t xml:space="preserve"> </w:t>
            </w:r>
            <w:r>
              <w:rPr>
                <w:rFonts w:cs="Times New Roman"/>
                <w:color w:val="auto"/>
              </w:rPr>
              <w:t>无组织废气排放标准一览表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522"/>
              <w:gridCol w:w="1813"/>
              <w:gridCol w:w="1809"/>
              <w:gridCol w:w="32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83" w:hRule="atLeast"/>
                <w:jc w:val="center"/>
              </w:trPr>
              <w:tc>
                <w:tcPr>
                  <w:tcW w:w="903" w:type="pct"/>
                  <w:tcBorders>
                    <w:tl2br w:val="nil"/>
                    <w:tr2bl w:val="nil"/>
                  </w:tcBorders>
                  <w:tcMar>
                    <w:top w:w="15" w:type="dxa"/>
                    <w:left w:w="15" w:type="dxa"/>
                    <w:right w:w="15" w:type="dxa"/>
                  </w:tcMar>
                  <w:vAlign w:val="center"/>
                </w:tcPr>
                <w:p>
                  <w:pPr>
                    <w:pStyle w:val="36"/>
                    <w:rPr>
                      <w:color w:val="auto"/>
                    </w:rPr>
                  </w:pPr>
                  <w:r>
                    <w:rPr>
                      <w:color w:val="auto"/>
                    </w:rPr>
                    <w:t>污染物</w:t>
                  </w:r>
                </w:p>
              </w:tc>
              <w:tc>
                <w:tcPr>
                  <w:tcW w:w="1076" w:type="pct"/>
                  <w:tcBorders>
                    <w:tl2br w:val="nil"/>
                    <w:tr2bl w:val="nil"/>
                  </w:tcBorders>
                  <w:tcMar>
                    <w:top w:w="15" w:type="dxa"/>
                    <w:left w:w="15" w:type="dxa"/>
                    <w:right w:w="15" w:type="dxa"/>
                  </w:tcMar>
                  <w:vAlign w:val="center"/>
                </w:tcPr>
                <w:p>
                  <w:pPr>
                    <w:pStyle w:val="36"/>
                    <w:rPr>
                      <w:color w:val="auto"/>
                    </w:rPr>
                  </w:pPr>
                  <w:r>
                    <w:rPr>
                      <w:color w:val="auto"/>
                    </w:rPr>
                    <w:t>监控点</w:t>
                  </w:r>
                </w:p>
              </w:tc>
              <w:tc>
                <w:tcPr>
                  <w:tcW w:w="1074" w:type="pct"/>
                  <w:tcBorders>
                    <w:tl2br w:val="nil"/>
                    <w:tr2bl w:val="nil"/>
                  </w:tcBorders>
                  <w:tcMar>
                    <w:top w:w="15" w:type="dxa"/>
                    <w:left w:w="15" w:type="dxa"/>
                    <w:right w:w="15" w:type="dxa"/>
                  </w:tcMar>
                  <w:vAlign w:val="center"/>
                </w:tcPr>
                <w:p>
                  <w:pPr>
                    <w:pStyle w:val="36"/>
                    <w:rPr>
                      <w:color w:val="auto"/>
                    </w:rPr>
                  </w:pPr>
                  <w:r>
                    <w:rPr>
                      <w:color w:val="auto"/>
                    </w:rPr>
                    <w:t>浓度限值</w:t>
                  </w:r>
                  <w:r>
                    <w:rPr>
                      <w:rFonts w:hint="eastAsia"/>
                      <w:color w:val="auto"/>
                    </w:rPr>
                    <w:t>（mg/m</w:t>
                  </w:r>
                  <w:r>
                    <w:rPr>
                      <w:rFonts w:hint="eastAsia"/>
                      <w:color w:val="auto"/>
                      <w:vertAlign w:val="superscript"/>
                    </w:rPr>
                    <w:t>3</w:t>
                  </w:r>
                  <w:r>
                    <w:rPr>
                      <w:rFonts w:hint="eastAsia"/>
                      <w:color w:val="auto"/>
                    </w:rPr>
                    <w:t>）</w:t>
                  </w:r>
                </w:p>
              </w:tc>
              <w:tc>
                <w:tcPr>
                  <w:tcW w:w="1945" w:type="pct"/>
                  <w:tcBorders>
                    <w:tl2br w:val="nil"/>
                    <w:tr2bl w:val="nil"/>
                  </w:tcBorders>
                  <w:tcMar>
                    <w:top w:w="15" w:type="dxa"/>
                    <w:left w:w="15" w:type="dxa"/>
                    <w:right w:w="15" w:type="dxa"/>
                  </w:tcMar>
                  <w:vAlign w:val="center"/>
                </w:tcPr>
                <w:p>
                  <w:pPr>
                    <w:pStyle w:val="36"/>
                    <w:rPr>
                      <w:color w:val="auto"/>
                    </w:rPr>
                  </w:pPr>
                  <w:r>
                    <w:rPr>
                      <w:color w:val="auto"/>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03" w:type="pct"/>
                  <w:vMerge w:val="restart"/>
                  <w:tcBorders>
                    <w:tl2br w:val="nil"/>
                    <w:tr2bl w:val="nil"/>
                  </w:tcBorders>
                  <w:tcMar>
                    <w:top w:w="15" w:type="dxa"/>
                    <w:left w:w="15" w:type="dxa"/>
                    <w:right w:w="15" w:type="dxa"/>
                  </w:tcMar>
                  <w:vAlign w:val="center"/>
                </w:tcPr>
                <w:p>
                  <w:pPr>
                    <w:pStyle w:val="36"/>
                    <w:rPr>
                      <w:color w:val="auto"/>
                    </w:rPr>
                  </w:pPr>
                  <w:r>
                    <w:rPr>
                      <w:color w:val="auto"/>
                    </w:rPr>
                    <w:t>非甲烷总烃</w:t>
                  </w:r>
                </w:p>
              </w:tc>
              <w:tc>
                <w:tcPr>
                  <w:tcW w:w="1076" w:type="pct"/>
                  <w:tcBorders>
                    <w:tl2br w:val="nil"/>
                    <w:tr2bl w:val="nil"/>
                  </w:tcBorders>
                  <w:tcMar>
                    <w:top w:w="15" w:type="dxa"/>
                    <w:left w:w="15" w:type="dxa"/>
                    <w:right w:w="15" w:type="dxa"/>
                  </w:tcMar>
                  <w:vAlign w:val="center"/>
                </w:tcPr>
                <w:p>
                  <w:pPr>
                    <w:pStyle w:val="36"/>
                    <w:rPr>
                      <w:color w:val="auto"/>
                    </w:rPr>
                  </w:pPr>
                  <w:r>
                    <w:rPr>
                      <w:color w:val="auto"/>
                    </w:rPr>
                    <w:t>企业边界</w:t>
                  </w:r>
                </w:p>
              </w:tc>
              <w:tc>
                <w:tcPr>
                  <w:tcW w:w="1809" w:type="dxa"/>
                  <w:tcBorders>
                    <w:tl2br w:val="nil"/>
                    <w:tr2bl w:val="nil"/>
                  </w:tcBorders>
                  <w:tcMar>
                    <w:top w:w="15" w:type="dxa"/>
                    <w:left w:w="15" w:type="dxa"/>
                    <w:right w:w="15" w:type="dxa"/>
                  </w:tcMar>
                  <w:vAlign w:val="center"/>
                </w:tcPr>
                <w:p>
                  <w:pPr>
                    <w:pStyle w:val="36"/>
                    <w:ind w:firstLine="0" w:firstLineChars="0"/>
                    <w:rPr>
                      <w:rFonts w:hint="default" w:eastAsia="宋体"/>
                      <w:color w:val="auto"/>
                      <w:lang w:val="en-US" w:eastAsia="zh-CN"/>
                    </w:rPr>
                  </w:pPr>
                  <w:r>
                    <w:rPr>
                      <w:rFonts w:hint="eastAsia"/>
                      <w:color w:val="auto"/>
                      <w:lang w:val="en-US" w:eastAsia="zh-CN"/>
                    </w:rPr>
                    <w:t>4.0</w:t>
                  </w:r>
                </w:p>
              </w:tc>
              <w:tc>
                <w:tcPr>
                  <w:tcW w:w="3277" w:type="dxa"/>
                  <w:tcBorders>
                    <w:tl2br w:val="nil"/>
                    <w:tr2bl w:val="nil"/>
                  </w:tcBorders>
                  <w:tcMar>
                    <w:top w:w="15" w:type="dxa"/>
                    <w:left w:w="15" w:type="dxa"/>
                    <w:right w:w="15" w:type="dxa"/>
                  </w:tcMar>
                  <w:vAlign w:val="center"/>
                </w:tcPr>
                <w:p>
                  <w:pPr>
                    <w:pStyle w:val="36"/>
                    <w:ind w:firstLine="0" w:firstLineChars="0"/>
                    <w:rPr>
                      <w:color w:val="auto"/>
                    </w:rPr>
                  </w:pPr>
                  <w:r>
                    <w:rPr>
                      <w:rFonts w:hint="eastAsia"/>
                      <w:color w:val="auto"/>
                    </w:rPr>
                    <w:t>《大气污染物综合排放标准》（GB 16297-1996）表2中无组织排放限值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83" w:hRule="atLeast"/>
                <w:jc w:val="center"/>
              </w:trPr>
              <w:tc>
                <w:tcPr>
                  <w:tcW w:w="903" w:type="pct"/>
                  <w:vMerge w:val="continue"/>
                  <w:tcBorders>
                    <w:tl2br w:val="nil"/>
                    <w:tr2bl w:val="nil"/>
                  </w:tcBorders>
                  <w:tcMar>
                    <w:top w:w="15" w:type="dxa"/>
                    <w:left w:w="15" w:type="dxa"/>
                    <w:right w:w="15" w:type="dxa"/>
                  </w:tcMar>
                  <w:vAlign w:val="center"/>
                </w:tcPr>
                <w:p>
                  <w:pPr>
                    <w:pStyle w:val="36"/>
                    <w:rPr>
                      <w:color w:val="auto"/>
                    </w:rPr>
                  </w:pPr>
                </w:p>
              </w:tc>
              <w:tc>
                <w:tcPr>
                  <w:tcW w:w="1076" w:type="pct"/>
                  <w:tcBorders>
                    <w:tl2br w:val="nil"/>
                    <w:tr2bl w:val="nil"/>
                  </w:tcBorders>
                  <w:tcMar>
                    <w:top w:w="15" w:type="dxa"/>
                    <w:left w:w="15" w:type="dxa"/>
                    <w:right w:w="15" w:type="dxa"/>
                  </w:tcMar>
                  <w:vAlign w:val="center"/>
                </w:tcPr>
                <w:p>
                  <w:pPr>
                    <w:pStyle w:val="36"/>
                    <w:rPr>
                      <w:rFonts w:cs="Times New Roman"/>
                      <w:snapToGrid w:val="0"/>
                      <w:color w:val="auto"/>
                      <w:kern w:val="18"/>
                    </w:rPr>
                  </w:pPr>
                  <w:r>
                    <w:rPr>
                      <w:rFonts w:hint="eastAsia" w:cs="Times New Roman"/>
                      <w:snapToGrid w:val="0"/>
                      <w:color w:val="auto"/>
                      <w:kern w:val="18"/>
                    </w:rPr>
                    <w:t>厂区内监控点1h</w:t>
                  </w:r>
                </w:p>
                <w:p>
                  <w:pPr>
                    <w:pStyle w:val="36"/>
                    <w:rPr>
                      <w:color w:val="auto"/>
                    </w:rPr>
                  </w:pPr>
                  <w:r>
                    <w:rPr>
                      <w:rFonts w:hint="eastAsia" w:cs="Times New Roman"/>
                      <w:snapToGrid w:val="0"/>
                      <w:color w:val="auto"/>
                      <w:kern w:val="18"/>
                    </w:rPr>
                    <w:t>平均浓度值</w:t>
                  </w:r>
                </w:p>
              </w:tc>
              <w:tc>
                <w:tcPr>
                  <w:tcW w:w="1074" w:type="pct"/>
                  <w:tcBorders>
                    <w:tl2br w:val="nil"/>
                    <w:tr2bl w:val="nil"/>
                  </w:tcBorders>
                  <w:tcMar>
                    <w:top w:w="15" w:type="dxa"/>
                    <w:left w:w="15" w:type="dxa"/>
                    <w:right w:w="15" w:type="dxa"/>
                  </w:tcMar>
                  <w:vAlign w:val="center"/>
                </w:tcPr>
                <w:p>
                  <w:pPr>
                    <w:pStyle w:val="36"/>
                    <w:rPr>
                      <w:rFonts w:hint="eastAsia" w:eastAsia="宋体"/>
                      <w:color w:val="auto"/>
                      <w:lang w:eastAsia="zh-CN"/>
                    </w:rPr>
                  </w:pPr>
                  <w:r>
                    <w:rPr>
                      <w:rFonts w:hint="eastAsia"/>
                      <w:color w:val="auto"/>
                      <w:lang w:val="en-US" w:eastAsia="zh-CN"/>
                    </w:rPr>
                    <w:t>6</w:t>
                  </w:r>
                </w:p>
              </w:tc>
              <w:tc>
                <w:tcPr>
                  <w:tcW w:w="1945" w:type="pct"/>
                  <w:vMerge w:val="restart"/>
                  <w:tcBorders>
                    <w:tl2br w:val="nil"/>
                    <w:tr2bl w:val="nil"/>
                  </w:tcBorders>
                  <w:tcMar>
                    <w:top w:w="15" w:type="dxa"/>
                    <w:left w:w="15" w:type="dxa"/>
                    <w:right w:w="15" w:type="dxa"/>
                  </w:tcMar>
                  <w:vAlign w:val="center"/>
                </w:tcPr>
                <w:p>
                  <w:pPr>
                    <w:pStyle w:val="36"/>
                    <w:rPr>
                      <w:color w:val="auto"/>
                    </w:rPr>
                  </w:pPr>
                  <w:r>
                    <w:rPr>
                      <w:rFonts w:hint="eastAsia"/>
                      <w:color w:val="auto"/>
                    </w:rPr>
                    <w:t>《挥发性有机物无组织排放控制标准》（GB 37822-2019）</w:t>
                  </w:r>
                </w:p>
                <w:p>
                  <w:pPr>
                    <w:pStyle w:val="36"/>
                    <w:rPr>
                      <w:color w:val="auto"/>
                    </w:rPr>
                  </w:pPr>
                  <w:r>
                    <w:rPr>
                      <w:rFonts w:hint="eastAsia"/>
                      <w:color w:val="auto"/>
                    </w:rPr>
                    <w:t>附录A中表A.1</w:t>
                  </w:r>
                  <w:r>
                    <w:rPr>
                      <w:rFonts w:hint="eastAsia"/>
                      <w:color w:val="auto"/>
                      <w:lang w:val="en-US" w:eastAsia="zh-CN"/>
                    </w:rPr>
                    <w:t>中</w:t>
                  </w:r>
                  <w:r>
                    <w:rPr>
                      <w:rFonts w:hint="eastAsia"/>
                      <w:bCs/>
                      <w:color w:val="auto"/>
                      <w:lang w:val="en-US" w:eastAsia="zh-CN"/>
                    </w:rPr>
                    <w:t>特别</w:t>
                  </w:r>
                  <w:r>
                    <w:rPr>
                      <w:rFonts w:hint="eastAsia"/>
                      <w:bCs/>
                      <w:color w:val="auto"/>
                    </w:rPr>
                    <w:t>排放限值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03" w:type="pct"/>
                  <w:vMerge w:val="continue"/>
                  <w:tcBorders>
                    <w:tl2br w:val="nil"/>
                    <w:tr2bl w:val="nil"/>
                  </w:tcBorders>
                  <w:tcMar>
                    <w:top w:w="15" w:type="dxa"/>
                    <w:left w:w="15" w:type="dxa"/>
                    <w:right w:w="15" w:type="dxa"/>
                  </w:tcMar>
                  <w:vAlign w:val="center"/>
                </w:tcPr>
                <w:p>
                  <w:pPr>
                    <w:pStyle w:val="36"/>
                    <w:rPr>
                      <w:color w:val="auto"/>
                    </w:rPr>
                  </w:pPr>
                </w:p>
              </w:tc>
              <w:tc>
                <w:tcPr>
                  <w:tcW w:w="1076" w:type="pct"/>
                  <w:tcBorders>
                    <w:tl2br w:val="nil"/>
                    <w:tr2bl w:val="nil"/>
                  </w:tcBorders>
                  <w:tcMar>
                    <w:top w:w="15" w:type="dxa"/>
                    <w:left w:w="15" w:type="dxa"/>
                    <w:right w:w="15" w:type="dxa"/>
                  </w:tcMar>
                  <w:vAlign w:val="center"/>
                </w:tcPr>
                <w:p>
                  <w:pPr>
                    <w:pStyle w:val="36"/>
                    <w:rPr>
                      <w:color w:val="auto"/>
                    </w:rPr>
                  </w:pPr>
                  <w:r>
                    <w:rPr>
                      <w:rFonts w:hint="eastAsia"/>
                      <w:color w:val="auto"/>
                    </w:rPr>
                    <w:t>厂区内监控点处</w:t>
                  </w:r>
                </w:p>
                <w:p>
                  <w:pPr>
                    <w:pStyle w:val="36"/>
                    <w:rPr>
                      <w:color w:val="auto"/>
                    </w:rPr>
                  </w:pPr>
                  <w:r>
                    <w:rPr>
                      <w:rFonts w:hint="eastAsia"/>
                      <w:color w:val="auto"/>
                    </w:rPr>
                    <w:t>任意一次浓度值</w:t>
                  </w:r>
                </w:p>
              </w:tc>
              <w:tc>
                <w:tcPr>
                  <w:tcW w:w="1074" w:type="pct"/>
                  <w:tcBorders>
                    <w:tl2br w:val="nil"/>
                    <w:tr2bl w:val="nil"/>
                  </w:tcBorders>
                  <w:tcMar>
                    <w:top w:w="15" w:type="dxa"/>
                    <w:left w:w="15" w:type="dxa"/>
                    <w:right w:w="15" w:type="dxa"/>
                  </w:tcMar>
                  <w:vAlign w:val="center"/>
                </w:tcPr>
                <w:p>
                  <w:pPr>
                    <w:pStyle w:val="36"/>
                    <w:rPr>
                      <w:rFonts w:hint="default" w:eastAsia="宋体"/>
                      <w:color w:val="auto"/>
                      <w:lang w:val="en-US" w:eastAsia="zh-CN"/>
                    </w:rPr>
                  </w:pPr>
                  <w:r>
                    <w:rPr>
                      <w:rFonts w:hint="eastAsia"/>
                      <w:color w:val="auto"/>
                      <w:lang w:val="en-US" w:eastAsia="zh-CN"/>
                    </w:rPr>
                    <w:t>20</w:t>
                  </w:r>
                </w:p>
              </w:tc>
              <w:tc>
                <w:tcPr>
                  <w:tcW w:w="1945" w:type="pct"/>
                  <w:vMerge w:val="continue"/>
                  <w:tcBorders>
                    <w:tl2br w:val="nil"/>
                    <w:tr2bl w:val="nil"/>
                  </w:tcBorders>
                  <w:tcMar>
                    <w:top w:w="15" w:type="dxa"/>
                    <w:left w:w="15" w:type="dxa"/>
                    <w:right w:w="15" w:type="dxa"/>
                  </w:tcMar>
                  <w:vAlign w:val="center"/>
                </w:tcPr>
                <w:p>
                  <w:pPr>
                    <w:pStyle w:val="36"/>
                    <w:rPr>
                      <w:color w:val="auto"/>
                    </w:rPr>
                  </w:pPr>
                </w:p>
              </w:tc>
            </w:tr>
          </w:tbl>
          <w:p>
            <w:pPr>
              <w:pStyle w:val="56"/>
              <w:rPr>
                <w:rFonts w:cs="Times New Roman"/>
                <w:color w:val="auto"/>
              </w:rPr>
            </w:pPr>
            <w:bookmarkStart w:id="54" w:name="_Toc8083"/>
            <w:r>
              <w:rPr>
                <w:rFonts w:cs="Times New Roman"/>
                <w:color w:val="auto"/>
              </w:rPr>
              <w:t>3.3.3噪声</w:t>
            </w:r>
            <w:r>
              <w:rPr>
                <w:rFonts w:hint="eastAsia" w:cs="Times New Roman"/>
                <w:color w:val="auto"/>
              </w:rPr>
              <w:t>排放标准</w:t>
            </w:r>
            <w:bookmarkEnd w:id="54"/>
          </w:p>
          <w:p>
            <w:pPr>
              <w:pStyle w:val="37"/>
              <w:spacing w:line="360" w:lineRule="auto"/>
              <w:ind w:firstLine="480" w:firstLineChars="200"/>
              <w:jc w:val="left"/>
              <w:rPr>
                <w:rStyle w:val="39"/>
                <w:rFonts w:cs="Times New Roman"/>
                <w:color w:val="auto"/>
              </w:rPr>
            </w:pPr>
            <w:r>
              <w:rPr>
                <w:rStyle w:val="39"/>
                <w:rFonts w:hint="eastAsia" w:cs="Times New Roman"/>
                <w:color w:val="auto"/>
              </w:rPr>
              <w:t>根据《福清市人民政府办公室关于印发福清市城市建成区声环境功能区划的通知》融政办〔2022〕48号可知，项目所在区域为</w:t>
            </w:r>
            <w:r>
              <w:rPr>
                <w:rStyle w:val="39"/>
                <w:rFonts w:hint="eastAsia" w:eastAsia="宋体" w:cs="Times New Roman"/>
                <w:color w:val="auto"/>
                <w:lang w:val="en-US" w:eastAsia="zh-CN"/>
              </w:rPr>
              <w:t>洪宽工业村片区</w:t>
            </w:r>
            <w:r>
              <w:rPr>
                <w:rStyle w:val="39"/>
                <w:rFonts w:hint="eastAsia" w:cs="Times New Roman"/>
                <w:color w:val="auto"/>
              </w:rPr>
              <w:t>，区域声环境为3类功能区，洪宽三路道路及两侧</w:t>
            </w:r>
            <w:r>
              <w:rPr>
                <w:rStyle w:val="39"/>
                <w:rFonts w:hint="eastAsia" w:eastAsia="宋体" w:cs="Times New Roman"/>
                <w:color w:val="auto"/>
                <w:lang w:val="en-US" w:eastAsia="zh-CN"/>
              </w:rPr>
              <w:t>25</w:t>
            </w:r>
            <w:r>
              <w:rPr>
                <w:rStyle w:val="39"/>
                <w:rFonts w:hint="eastAsia" w:cs="Times New Roman"/>
                <w:color w:val="auto"/>
              </w:rPr>
              <w:t>m范围内区域为4a类声环境功能区。</w:t>
            </w:r>
            <w:r>
              <w:rPr>
                <w:rStyle w:val="39"/>
                <w:rFonts w:hint="eastAsia" w:cs="Times New Roman"/>
                <w:color w:val="auto"/>
                <w:lang w:val="en-US"/>
              </w:rPr>
              <w:t>本</w:t>
            </w:r>
            <w:r>
              <w:rPr>
                <w:rStyle w:val="39"/>
                <w:rFonts w:cs="Times New Roman"/>
                <w:color w:val="auto"/>
              </w:rPr>
              <w:t>项目南侧</w:t>
            </w:r>
            <w:r>
              <w:rPr>
                <w:rStyle w:val="39"/>
                <w:rFonts w:hint="eastAsia" w:cs="Times New Roman"/>
                <w:color w:val="auto"/>
                <w:lang w:val="en-US"/>
              </w:rPr>
              <w:t>临近</w:t>
            </w:r>
            <w:r>
              <w:rPr>
                <w:rStyle w:val="39"/>
                <w:rFonts w:cs="Times New Roman"/>
                <w:color w:val="auto"/>
              </w:rPr>
              <w:t>洪宽三路</w:t>
            </w:r>
            <w:r>
              <w:rPr>
                <w:rStyle w:val="39"/>
                <w:rFonts w:hint="eastAsia" w:cs="Times New Roman"/>
                <w:color w:val="auto"/>
              </w:rPr>
              <w:t>（</w:t>
            </w:r>
            <w:r>
              <w:rPr>
                <w:rStyle w:val="39"/>
                <w:rFonts w:hint="eastAsia" w:cs="Times New Roman"/>
                <w:color w:val="auto"/>
                <w:lang w:val="en-US"/>
              </w:rPr>
              <w:t>相距约7m）</w:t>
            </w:r>
            <w:r>
              <w:rPr>
                <w:rStyle w:val="39"/>
                <w:rFonts w:cs="Times New Roman"/>
                <w:color w:val="auto"/>
              </w:rPr>
              <w:t>，</w:t>
            </w:r>
            <w:r>
              <w:rPr>
                <w:rStyle w:val="39"/>
                <w:rFonts w:hint="eastAsia" w:cs="Times New Roman"/>
                <w:color w:val="auto"/>
                <w:lang w:val="en-US"/>
              </w:rPr>
              <w:t>南侧厂界</w:t>
            </w:r>
            <w:r>
              <w:rPr>
                <w:rStyle w:val="39"/>
                <w:rFonts w:cs="Times New Roman"/>
                <w:color w:val="auto"/>
              </w:rPr>
              <w:t>噪声执行《工业企业厂界环境噪声排放标准》（GB</w:t>
            </w:r>
            <w:r>
              <w:rPr>
                <w:rStyle w:val="39"/>
                <w:rFonts w:hint="eastAsia" w:cs="Times New Roman"/>
                <w:color w:val="auto"/>
                <w:lang w:val="en-US"/>
              </w:rPr>
              <w:t xml:space="preserve"> </w:t>
            </w:r>
            <w:r>
              <w:rPr>
                <w:rStyle w:val="39"/>
                <w:rFonts w:cs="Times New Roman"/>
                <w:color w:val="auto"/>
              </w:rPr>
              <w:t>12348-2008）4类标准，</w:t>
            </w:r>
            <w:r>
              <w:rPr>
                <w:rStyle w:val="39"/>
                <w:rFonts w:hint="eastAsia" w:cs="Times New Roman"/>
                <w:color w:val="auto"/>
                <w:lang w:val="en-US"/>
              </w:rPr>
              <w:t>其余</w:t>
            </w:r>
            <w:r>
              <w:rPr>
                <w:rStyle w:val="39"/>
                <w:rFonts w:cs="Times New Roman"/>
                <w:color w:val="auto"/>
              </w:rPr>
              <w:t>厂界执行《工业企业厂界环境噪声排放标准》（GB</w:t>
            </w:r>
            <w:r>
              <w:rPr>
                <w:rStyle w:val="39"/>
                <w:rFonts w:hint="eastAsia" w:cs="Times New Roman"/>
                <w:color w:val="auto"/>
                <w:lang w:val="en-US"/>
              </w:rPr>
              <w:t xml:space="preserve"> </w:t>
            </w:r>
            <w:r>
              <w:rPr>
                <w:rStyle w:val="39"/>
                <w:rFonts w:cs="Times New Roman"/>
                <w:color w:val="auto"/>
              </w:rPr>
              <w:t>12348-2008）3类标准，标准值详见表3.</w:t>
            </w:r>
            <w:r>
              <w:rPr>
                <w:rStyle w:val="39"/>
                <w:rFonts w:hint="eastAsia" w:cs="Times New Roman"/>
                <w:color w:val="auto"/>
                <w:lang w:val="en-US"/>
              </w:rPr>
              <w:t>3</w:t>
            </w:r>
            <w:r>
              <w:rPr>
                <w:rStyle w:val="39"/>
                <w:rFonts w:cs="Times New Roman"/>
                <w:color w:val="auto"/>
              </w:rPr>
              <w:t>-</w:t>
            </w:r>
            <w:r>
              <w:rPr>
                <w:rStyle w:val="39"/>
                <w:rFonts w:hint="eastAsia" w:cs="Times New Roman"/>
                <w:color w:val="auto"/>
                <w:lang w:val="en-US"/>
              </w:rPr>
              <w:t>3</w:t>
            </w:r>
            <w:r>
              <w:rPr>
                <w:rStyle w:val="39"/>
                <w:rFonts w:cs="Times New Roman"/>
                <w:color w:val="auto"/>
              </w:rPr>
              <w:t>。</w:t>
            </w:r>
          </w:p>
          <w:p>
            <w:pPr>
              <w:pStyle w:val="37"/>
              <w:ind w:firstLine="480" w:firstLineChars="200"/>
              <w:jc w:val="left"/>
              <w:rPr>
                <w:rFonts w:cs="Times New Roman"/>
                <w:color w:val="auto"/>
              </w:rPr>
            </w:pPr>
            <w:r>
              <w:rPr>
                <w:rFonts w:hint="eastAsia" w:cs="Times New Roman"/>
                <w:color w:val="auto"/>
                <w:lang w:val="en-US"/>
              </w:rPr>
              <w:t xml:space="preserve">  </w:t>
            </w:r>
            <w:r>
              <w:rPr>
                <w:rFonts w:cs="Times New Roman"/>
                <w:color w:val="auto"/>
              </w:rPr>
              <w:t>表3.</w:t>
            </w:r>
            <w:r>
              <w:rPr>
                <w:rFonts w:hint="eastAsia" w:cs="Times New Roman"/>
                <w:color w:val="auto"/>
                <w:lang w:val="en-US"/>
              </w:rPr>
              <w:t>3</w:t>
            </w:r>
            <w:r>
              <w:rPr>
                <w:rFonts w:cs="Times New Roman"/>
                <w:color w:val="auto"/>
              </w:rPr>
              <w:t>-</w:t>
            </w:r>
            <w:r>
              <w:rPr>
                <w:rFonts w:hint="eastAsia" w:cs="Times New Roman"/>
                <w:color w:val="auto"/>
                <w:lang w:val="en-US" w:eastAsia="zh-CN"/>
              </w:rPr>
              <w:t>4</w:t>
            </w:r>
            <w:r>
              <w:rPr>
                <w:rFonts w:hint="eastAsia" w:cs="Times New Roman"/>
                <w:color w:val="auto"/>
                <w:lang w:val="en-US"/>
              </w:rPr>
              <w:t xml:space="preserve"> </w:t>
            </w:r>
            <w:r>
              <w:rPr>
                <w:rFonts w:cs="Times New Roman"/>
                <w:color w:val="auto"/>
              </w:rPr>
              <w:t>《工业企业厂界环境噪声排放标准》（GB</w:t>
            </w:r>
            <w:r>
              <w:rPr>
                <w:rFonts w:cs="Times New Roman"/>
                <w:color w:val="auto"/>
                <w:lang w:val="en-US"/>
              </w:rPr>
              <w:t xml:space="preserve"> </w:t>
            </w:r>
            <w:r>
              <w:rPr>
                <w:rFonts w:cs="Times New Roman"/>
                <w:color w:val="auto"/>
              </w:rPr>
              <w:t>12348-2008）（摘录）</w:t>
            </w:r>
          </w:p>
          <w:tbl>
            <w:tblPr>
              <w:tblStyle w:val="27"/>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373"/>
              <w:gridCol w:w="3107"/>
              <w:gridCol w:w="293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409" w:type="pct"/>
                  <w:vAlign w:val="center"/>
                </w:tcPr>
                <w:p>
                  <w:pPr>
                    <w:pStyle w:val="36"/>
                    <w:rPr>
                      <w:rFonts w:cs="Times New Roman"/>
                      <w:color w:val="auto"/>
                    </w:rPr>
                  </w:pPr>
                  <w:r>
                    <w:rPr>
                      <w:rFonts w:cs="Times New Roman"/>
                      <w:color w:val="auto"/>
                    </w:rPr>
                    <w:t>类别</w:t>
                  </w:r>
                </w:p>
              </w:tc>
              <w:tc>
                <w:tcPr>
                  <w:tcW w:w="1846" w:type="pct"/>
                  <w:vAlign w:val="center"/>
                </w:tcPr>
                <w:p>
                  <w:pPr>
                    <w:pStyle w:val="36"/>
                    <w:rPr>
                      <w:rFonts w:cs="Times New Roman"/>
                      <w:color w:val="auto"/>
                    </w:rPr>
                  </w:pPr>
                  <w:r>
                    <w:rPr>
                      <w:rFonts w:cs="Times New Roman"/>
                      <w:color w:val="auto"/>
                    </w:rPr>
                    <w:t>昼间（dB</w:t>
                  </w:r>
                  <w:r>
                    <w:rPr>
                      <w:rFonts w:hint="eastAsia" w:cs="Times New Roman"/>
                      <w:color w:val="auto"/>
                    </w:rPr>
                    <w:t>（A）</w:t>
                  </w:r>
                  <w:r>
                    <w:rPr>
                      <w:rFonts w:cs="Times New Roman"/>
                      <w:color w:val="auto"/>
                    </w:rPr>
                    <w:t>）</w:t>
                  </w:r>
                </w:p>
              </w:tc>
              <w:tc>
                <w:tcPr>
                  <w:tcW w:w="1744" w:type="pct"/>
                  <w:vAlign w:val="center"/>
                </w:tcPr>
                <w:p>
                  <w:pPr>
                    <w:pStyle w:val="36"/>
                    <w:rPr>
                      <w:rFonts w:cs="Times New Roman"/>
                      <w:color w:val="auto"/>
                    </w:rPr>
                  </w:pPr>
                  <w:r>
                    <w:rPr>
                      <w:rFonts w:cs="Times New Roman"/>
                      <w:color w:val="auto"/>
                    </w:rPr>
                    <w:t>夜间（dB</w:t>
                  </w:r>
                  <w:r>
                    <w:rPr>
                      <w:rFonts w:hint="eastAsia" w:cs="Times New Roman"/>
                      <w:color w:val="auto"/>
                    </w:rPr>
                    <w:t>（A）</w:t>
                  </w:r>
                  <w:r>
                    <w:rPr>
                      <w:rFonts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409" w:type="pct"/>
                  <w:vAlign w:val="center"/>
                </w:tcPr>
                <w:p>
                  <w:pPr>
                    <w:pStyle w:val="36"/>
                    <w:rPr>
                      <w:rFonts w:cs="Times New Roman"/>
                      <w:color w:val="auto"/>
                    </w:rPr>
                  </w:pPr>
                  <w:r>
                    <w:rPr>
                      <w:rFonts w:hint="eastAsia" w:cs="Times New Roman"/>
                      <w:color w:val="auto"/>
                    </w:rPr>
                    <w:t>3</w:t>
                  </w:r>
                  <w:r>
                    <w:rPr>
                      <w:rFonts w:cs="Times New Roman"/>
                      <w:color w:val="auto"/>
                    </w:rPr>
                    <w:t>类</w:t>
                  </w:r>
                </w:p>
              </w:tc>
              <w:tc>
                <w:tcPr>
                  <w:tcW w:w="1846" w:type="pct"/>
                  <w:vAlign w:val="center"/>
                </w:tcPr>
                <w:p>
                  <w:pPr>
                    <w:pStyle w:val="36"/>
                    <w:rPr>
                      <w:rFonts w:cs="Times New Roman"/>
                      <w:color w:val="auto"/>
                    </w:rPr>
                  </w:pPr>
                  <w:r>
                    <w:rPr>
                      <w:rFonts w:cs="Times New Roman"/>
                      <w:color w:val="auto"/>
                    </w:rPr>
                    <w:t>6</w:t>
                  </w:r>
                  <w:r>
                    <w:rPr>
                      <w:rFonts w:hint="eastAsia" w:cs="Times New Roman"/>
                      <w:color w:val="auto"/>
                    </w:rPr>
                    <w:t>5</w:t>
                  </w:r>
                </w:p>
              </w:tc>
              <w:tc>
                <w:tcPr>
                  <w:tcW w:w="1744" w:type="pct"/>
                  <w:vAlign w:val="center"/>
                </w:tcPr>
                <w:p>
                  <w:pPr>
                    <w:pStyle w:val="36"/>
                    <w:rPr>
                      <w:rFonts w:cs="Times New Roman"/>
                      <w:color w:val="auto"/>
                    </w:rPr>
                  </w:pPr>
                  <w:r>
                    <w:rPr>
                      <w:rFonts w:cs="Times New Roman"/>
                      <w:color w:val="auto"/>
                    </w:rPr>
                    <w:t>5</w:t>
                  </w:r>
                  <w:r>
                    <w:rPr>
                      <w:rFonts w:hint="eastAsia" w:cs="Times New Roman"/>
                      <w:color w:val="auto"/>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409" w:type="pct"/>
                  <w:vAlign w:val="center"/>
                </w:tcPr>
                <w:p>
                  <w:pPr>
                    <w:pStyle w:val="36"/>
                    <w:rPr>
                      <w:rFonts w:cs="Times New Roman"/>
                      <w:color w:val="auto"/>
                    </w:rPr>
                  </w:pPr>
                  <w:r>
                    <w:rPr>
                      <w:rFonts w:hint="eastAsia" w:cs="Times New Roman"/>
                      <w:color w:val="auto"/>
                    </w:rPr>
                    <w:t>4</w:t>
                  </w:r>
                  <w:r>
                    <w:rPr>
                      <w:rFonts w:cs="Times New Roman"/>
                      <w:color w:val="auto"/>
                    </w:rPr>
                    <w:t>类</w:t>
                  </w:r>
                </w:p>
              </w:tc>
              <w:tc>
                <w:tcPr>
                  <w:tcW w:w="1846" w:type="pct"/>
                  <w:vAlign w:val="center"/>
                </w:tcPr>
                <w:p>
                  <w:pPr>
                    <w:pStyle w:val="36"/>
                    <w:rPr>
                      <w:rFonts w:cs="Times New Roman"/>
                      <w:color w:val="auto"/>
                    </w:rPr>
                  </w:pPr>
                  <w:r>
                    <w:rPr>
                      <w:rFonts w:hint="eastAsia" w:cs="Times New Roman"/>
                      <w:color w:val="auto"/>
                    </w:rPr>
                    <w:t>70</w:t>
                  </w:r>
                </w:p>
              </w:tc>
              <w:tc>
                <w:tcPr>
                  <w:tcW w:w="1744" w:type="pct"/>
                  <w:vAlign w:val="center"/>
                </w:tcPr>
                <w:p>
                  <w:pPr>
                    <w:pStyle w:val="36"/>
                    <w:rPr>
                      <w:rFonts w:cs="Times New Roman"/>
                      <w:color w:val="auto"/>
                    </w:rPr>
                  </w:pPr>
                  <w:r>
                    <w:rPr>
                      <w:rFonts w:cs="Times New Roman"/>
                      <w:color w:val="auto"/>
                    </w:rPr>
                    <w:t>5</w:t>
                  </w:r>
                  <w:r>
                    <w:rPr>
                      <w:rFonts w:hint="eastAsia" w:cs="Times New Roman"/>
                      <w:color w:val="auto"/>
                    </w:rPr>
                    <w:t>5</w:t>
                  </w:r>
                </w:p>
              </w:tc>
            </w:tr>
          </w:tbl>
          <w:p>
            <w:pPr>
              <w:pStyle w:val="56"/>
              <w:rPr>
                <w:rFonts w:cs="Times New Roman"/>
                <w:color w:val="auto"/>
              </w:rPr>
            </w:pPr>
            <w:bookmarkStart w:id="55" w:name="_Toc6775"/>
            <w:r>
              <w:rPr>
                <w:rFonts w:cs="Times New Roman"/>
                <w:color w:val="auto"/>
              </w:rPr>
              <w:t>3.3.4固体废物</w:t>
            </w:r>
            <w:bookmarkEnd w:id="55"/>
          </w:p>
          <w:p>
            <w:pPr>
              <w:pStyle w:val="38"/>
              <w:keepNext w:val="0"/>
              <w:keepLines w:val="0"/>
              <w:pageBreakBefore w:val="0"/>
              <w:widowControl/>
              <w:kinsoku/>
              <w:wordWrap w:val="0"/>
              <w:overflowPunct/>
              <w:topLinePunct w:val="0"/>
              <w:autoSpaceDE/>
              <w:autoSpaceDN/>
              <w:bidi w:val="0"/>
              <w:adjustRightInd/>
              <w:snapToGrid/>
              <w:spacing w:line="336" w:lineRule="auto"/>
              <w:ind w:firstLine="480"/>
              <w:textAlignment w:val="auto"/>
              <w:rPr>
                <w:rFonts w:cs="Times New Roman"/>
                <w:color w:val="auto"/>
              </w:rPr>
            </w:pPr>
            <w:r>
              <w:rPr>
                <w:rFonts w:hint="eastAsia" w:cs="Times New Roman"/>
                <w:color w:val="auto"/>
              </w:rPr>
              <w:t>（1）一般工业固体废物</w:t>
            </w:r>
          </w:p>
          <w:p>
            <w:pPr>
              <w:pStyle w:val="38"/>
              <w:keepNext w:val="0"/>
              <w:keepLines w:val="0"/>
              <w:pageBreakBefore w:val="0"/>
              <w:widowControl/>
              <w:kinsoku/>
              <w:wordWrap w:val="0"/>
              <w:overflowPunct/>
              <w:topLinePunct w:val="0"/>
              <w:autoSpaceDE/>
              <w:autoSpaceDN/>
              <w:bidi w:val="0"/>
              <w:adjustRightInd/>
              <w:snapToGrid/>
              <w:spacing w:line="336" w:lineRule="auto"/>
              <w:ind w:firstLine="480"/>
              <w:textAlignment w:val="auto"/>
              <w:rPr>
                <w:rFonts w:cs="Times New Roman"/>
                <w:color w:val="auto"/>
              </w:rPr>
            </w:pPr>
            <w:r>
              <w:rPr>
                <w:rFonts w:hint="eastAsia" w:cs="Times New Roman"/>
                <w:color w:val="auto"/>
              </w:rPr>
              <w:t>一般工业固体废物贮存、处置执行《一般工业固体废物贮存和填埋污染控制标准》（GB 18599-2020）、《固体废物分类与代码目录》（生态环境部办公厅2024年1月22日印发）。</w:t>
            </w:r>
          </w:p>
          <w:p>
            <w:pPr>
              <w:pStyle w:val="38"/>
              <w:keepNext w:val="0"/>
              <w:keepLines w:val="0"/>
              <w:pageBreakBefore w:val="0"/>
              <w:widowControl/>
              <w:kinsoku/>
              <w:wordWrap w:val="0"/>
              <w:overflowPunct/>
              <w:topLinePunct w:val="0"/>
              <w:autoSpaceDE/>
              <w:autoSpaceDN/>
              <w:bidi w:val="0"/>
              <w:adjustRightInd/>
              <w:snapToGrid/>
              <w:spacing w:line="336" w:lineRule="auto"/>
              <w:ind w:firstLine="480"/>
              <w:textAlignment w:val="auto"/>
              <w:rPr>
                <w:rFonts w:cs="Times New Roman"/>
                <w:color w:val="auto"/>
              </w:rPr>
            </w:pPr>
            <w:r>
              <w:rPr>
                <w:rFonts w:hint="eastAsia" w:cs="Times New Roman"/>
                <w:color w:val="auto"/>
              </w:rPr>
              <w:t>（2）危险废物</w:t>
            </w:r>
          </w:p>
          <w:p>
            <w:pPr>
              <w:pStyle w:val="38"/>
              <w:keepNext w:val="0"/>
              <w:keepLines w:val="0"/>
              <w:pageBreakBefore w:val="0"/>
              <w:widowControl/>
              <w:kinsoku/>
              <w:wordWrap w:val="0"/>
              <w:overflowPunct/>
              <w:topLinePunct w:val="0"/>
              <w:autoSpaceDE/>
              <w:autoSpaceDN/>
              <w:bidi w:val="0"/>
              <w:adjustRightInd/>
              <w:snapToGrid/>
              <w:spacing w:line="336" w:lineRule="auto"/>
              <w:ind w:firstLine="480"/>
              <w:textAlignment w:val="auto"/>
              <w:rPr>
                <w:rFonts w:cs="Times New Roman"/>
                <w:color w:val="auto"/>
              </w:rPr>
            </w:pPr>
            <w:r>
              <w:rPr>
                <w:rFonts w:hint="eastAsia" w:cs="Times New Roman"/>
                <w:color w:val="auto"/>
              </w:rPr>
              <w:t>危险废物贮存执行《危险废物贮存污染控制标准》（GB 18597-2023）中的相关规定；危险废物管理计划的台账制定执行《危险废物管理计划和管理台账制定技术导则》（HJ 1259-2022）和《危险废物识别标志设置技术规范》（HJ 1276-2022）、《排污单位污染物排放口二维码标识技术规范》（HJ 1297-2023）相关规定。</w:t>
            </w:r>
          </w:p>
          <w:p>
            <w:pPr>
              <w:pStyle w:val="38"/>
              <w:keepNext w:val="0"/>
              <w:keepLines w:val="0"/>
              <w:pageBreakBefore w:val="0"/>
              <w:widowControl/>
              <w:kinsoku/>
              <w:wordWrap w:val="0"/>
              <w:overflowPunct/>
              <w:topLinePunct w:val="0"/>
              <w:autoSpaceDE/>
              <w:autoSpaceDN/>
              <w:bidi w:val="0"/>
              <w:adjustRightInd/>
              <w:snapToGrid/>
              <w:spacing w:line="336" w:lineRule="auto"/>
              <w:ind w:firstLine="480"/>
              <w:textAlignment w:val="auto"/>
              <w:rPr>
                <w:rFonts w:cs="Times New Roman"/>
                <w:color w:val="auto"/>
              </w:rPr>
            </w:pPr>
            <w:r>
              <w:rPr>
                <w:rFonts w:hint="eastAsia" w:cs="Times New Roman"/>
                <w:color w:val="auto"/>
              </w:rPr>
              <w:t>（3）生活垃圾</w:t>
            </w:r>
          </w:p>
          <w:p>
            <w:pPr>
              <w:pStyle w:val="38"/>
              <w:keepNext w:val="0"/>
              <w:keepLines w:val="0"/>
              <w:pageBreakBefore w:val="0"/>
              <w:widowControl/>
              <w:kinsoku/>
              <w:wordWrap w:val="0"/>
              <w:overflowPunct/>
              <w:topLinePunct w:val="0"/>
              <w:autoSpaceDE/>
              <w:autoSpaceDN/>
              <w:bidi w:val="0"/>
              <w:adjustRightInd/>
              <w:snapToGrid/>
              <w:spacing w:line="336" w:lineRule="auto"/>
              <w:ind w:firstLine="480"/>
              <w:textAlignment w:val="auto"/>
              <w:rPr>
                <w:rFonts w:cs="Times New Roman"/>
                <w:color w:val="auto"/>
              </w:rPr>
            </w:pPr>
            <w:r>
              <w:rPr>
                <w:rFonts w:hint="eastAsia" w:cs="Times New Roman"/>
                <w:color w:val="auto"/>
              </w:rPr>
              <w:t>生活垃圾处置执行《中华人民共和国固体废物污染环境防治法》（2020年4月29日修正）的“第四章 生活垃圾”相关规定要求。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52" w:hRule="atLeast"/>
          <w:jc w:val="center"/>
        </w:trPr>
        <w:tc>
          <w:tcPr>
            <w:tcW w:w="459" w:type="dxa"/>
            <w:tcMar>
              <w:left w:w="28" w:type="dxa"/>
              <w:right w:w="28" w:type="dxa"/>
            </w:tcMar>
            <w:vAlign w:val="center"/>
          </w:tcPr>
          <w:p>
            <w:pPr>
              <w:pStyle w:val="36"/>
              <w:rPr>
                <w:rFonts w:cs="Times New Roman"/>
                <w:color w:val="auto"/>
                <w:sz w:val="24"/>
                <w:szCs w:val="24"/>
              </w:rPr>
            </w:pPr>
            <w:r>
              <w:rPr>
                <w:rFonts w:hint="eastAsia" w:cs="Times New Roman"/>
                <w:color w:val="auto"/>
                <w:sz w:val="24"/>
                <w:szCs w:val="24"/>
              </w:rPr>
              <w:t>总量控制指标</w:t>
            </w:r>
          </w:p>
        </w:tc>
        <w:tc>
          <w:tcPr>
            <w:tcW w:w="8942" w:type="dxa"/>
            <w:vAlign w:val="center"/>
          </w:tcPr>
          <w:p>
            <w:pPr>
              <w:pStyle w:val="55"/>
              <w:rPr>
                <w:rFonts w:cs="Times New Roman"/>
                <w:color w:val="auto"/>
              </w:rPr>
            </w:pPr>
            <w:bookmarkStart w:id="56" w:name="_Toc25172"/>
            <w:r>
              <w:rPr>
                <w:rFonts w:cs="Times New Roman"/>
                <w:color w:val="auto"/>
              </w:rPr>
              <w:t>3.4总量控制分析</w:t>
            </w:r>
            <w:bookmarkEnd w:id="56"/>
          </w:p>
          <w:p>
            <w:pPr>
              <w:pStyle w:val="38"/>
              <w:ind w:firstLine="480"/>
              <w:rPr>
                <w:rFonts w:cs="Times New Roman"/>
                <w:color w:val="auto"/>
              </w:rPr>
            </w:pPr>
            <w:r>
              <w:rPr>
                <w:rFonts w:cs="Times New Roman"/>
                <w:color w:val="auto"/>
              </w:rPr>
              <w:t>根据国家</w:t>
            </w:r>
            <w:r>
              <w:rPr>
                <w:rFonts w:hint="eastAsia" w:cs="Times New Roman"/>
                <w:color w:val="auto"/>
              </w:rPr>
              <w:t>“</w:t>
            </w:r>
            <w:r>
              <w:rPr>
                <w:rFonts w:cs="Times New Roman"/>
                <w:color w:val="auto"/>
              </w:rPr>
              <w:t>十三五</w:t>
            </w:r>
            <w:r>
              <w:rPr>
                <w:rFonts w:hint="eastAsia" w:cs="Times New Roman"/>
                <w:color w:val="auto"/>
              </w:rPr>
              <w:t>”</w:t>
            </w:r>
            <w:r>
              <w:rPr>
                <w:rFonts w:cs="Times New Roman"/>
                <w:color w:val="auto"/>
              </w:rPr>
              <w:t>期间污染物总量控制要求及《福建省</w:t>
            </w:r>
            <w:r>
              <w:rPr>
                <w:rFonts w:hint="eastAsia" w:cs="Times New Roman"/>
                <w:color w:val="auto"/>
              </w:rPr>
              <w:t>“</w:t>
            </w:r>
            <w:r>
              <w:rPr>
                <w:rFonts w:cs="Times New Roman"/>
                <w:color w:val="auto"/>
              </w:rPr>
              <w:t>十四五</w:t>
            </w:r>
            <w:r>
              <w:rPr>
                <w:rFonts w:hint="eastAsia" w:cs="Times New Roman"/>
                <w:color w:val="auto"/>
              </w:rPr>
              <w:t>”</w:t>
            </w:r>
            <w:r>
              <w:rPr>
                <w:rFonts w:cs="Times New Roman"/>
                <w:color w:val="auto"/>
              </w:rPr>
              <w:t>生态环境保护专项规划》（闽政办〔2021〕59号）、《福建省人民政府关于推进排污权有偿使用和交易工作的意见</w:t>
            </w:r>
            <w:r>
              <w:rPr>
                <w:rFonts w:hint="eastAsia" w:cs="Times New Roman"/>
                <w:color w:val="auto"/>
              </w:rPr>
              <w:t>（</w:t>
            </w:r>
            <w:r>
              <w:rPr>
                <w:rFonts w:cs="Times New Roman"/>
                <w:color w:val="auto"/>
              </w:rPr>
              <w:t>试行</w:t>
            </w:r>
            <w:r>
              <w:rPr>
                <w:rFonts w:hint="eastAsia" w:cs="Times New Roman"/>
                <w:color w:val="auto"/>
              </w:rPr>
              <w:t>）</w:t>
            </w:r>
            <w:r>
              <w:rPr>
                <w:rFonts w:cs="Times New Roman"/>
                <w:color w:val="auto"/>
              </w:rPr>
              <w:t>》（闽政</w:t>
            </w:r>
            <w:r>
              <w:rPr>
                <w:rFonts w:hint="eastAsia" w:cs="Times New Roman"/>
                <w:color w:val="auto"/>
              </w:rPr>
              <w:t>〔2014〕24号</w:t>
            </w:r>
            <w:r>
              <w:rPr>
                <w:rFonts w:cs="Times New Roman"/>
                <w:color w:val="auto"/>
              </w:rPr>
              <w:t>）、《福建省环保厅关于贯彻落实&lt;推进排污权有偿使用和交易工作的意见（试行）&gt;的通知》（闽环发</w:t>
            </w:r>
            <w:r>
              <w:rPr>
                <w:rFonts w:hint="eastAsia" w:cs="Times New Roman"/>
                <w:color w:val="auto"/>
              </w:rPr>
              <w:t>〔2014〕9号</w:t>
            </w:r>
            <w:r>
              <w:rPr>
                <w:rFonts w:cs="Times New Roman"/>
                <w:color w:val="auto"/>
              </w:rPr>
              <w:t>）、《福建省环保厅关于环评审批中落实排污权交易工作要求的通知》（闽环保评</w:t>
            </w:r>
            <w:r>
              <w:rPr>
                <w:rFonts w:hint="eastAsia" w:cs="Times New Roman"/>
                <w:color w:val="auto"/>
              </w:rPr>
              <w:t>〔2014〕43号</w:t>
            </w:r>
            <w:r>
              <w:rPr>
                <w:rFonts w:cs="Times New Roman"/>
                <w:color w:val="auto"/>
              </w:rPr>
              <w:t>）等有关文件要求，需进行排放总量控制的污染物为COD、NH</w:t>
            </w:r>
            <w:r>
              <w:rPr>
                <w:rFonts w:cs="Times New Roman"/>
                <w:color w:val="auto"/>
                <w:vertAlign w:val="subscript"/>
              </w:rPr>
              <w:t>3</w:t>
            </w:r>
            <w:r>
              <w:rPr>
                <w:rFonts w:cs="Times New Roman"/>
                <w:color w:val="auto"/>
              </w:rPr>
              <w:t>-N、SO</w:t>
            </w:r>
            <w:r>
              <w:rPr>
                <w:rFonts w:cs="Times New Roman"/>
                <w:color w:val="auto"/>
                <w:vertAlign w:val="subscript"/>
              </w:rPr>
              <w:t>2</w:t>
            </w:r>
            <w:r>
              <w:rPr>
                <w:rFonts w:cs="Times New Roman"/>
                <w:color w:val="auto"/>
              </w:rPr>
              <w:t>、NO</w:t>
            </w:r>
            <w:r>
              <w:rPr>
                <w:rFonts w:cs="Times New Roman"/>
                <w:color w:val="auto"/>
                <w:vertAlign w:val="subscript"/>
              </w:rPr>
              <w:t>X</w:t>
            </w:r>
            <w:r>
              <w:rPr>
                <w:rFonts w:cs="Times New Roman"/>
                <w:color w:val="auto"/>
              </w:rPr>
              <w:t>。</w:t>
            </w:r>
          </w:p>
          <w:p>
            <w:pPr>
              <w:pStyle w:val="38"/>
              <w:ind w:firstLine="480"/>
              <w:rPr>
                <w:rFonts w:cs="Times New Roman"/>
                <w:color w:val="auto"/>
              </w:rPr>
            </w:pPr>
            <w:r>
              <w:rPr>
                <w:rFonts w:hint="eastAsia" w:cs="Times New Roman"/>
                <w:color w:val="auto"/>
              </w:rPr>
              <w:t>（1）水污染物总量控制指标</w:t>
            </w:r>
          </w:p>
          <w:p>
            <w:pPr>
              <w:pStyle w:val="38"/>
              <w:ind w:firstLine="480"/>
              <w:rPr>
                <w:rFonts w:cs="Times New Roman"/>
                <w:color w:val="auto"/>
              </w:rPr>
            </w:pPr>
            <w:r>
              <w:rPr>
                <w:rFonts w:hint="eastAsia" w:cs="Times New Roman"/>
                <w:color w:val="auto"/>
              </w:rPr>
              <w:t>根据《福建省环保厅关于进一步明确排污权工作有关问题的通知》</w:t>
            </w:r>
            <w:r>
              <w:rPr>
                <w:rFonts w:cs="Times New Roman"/>
                <w:color w:val="auto"/>
              </w:rPr>
              <w:t>（</w:t>
            </w:r>
            <w:r>
              <w:rPr>
                <w:rFonts w:hint="eastAsia" w:cs="Times New Roman"/>
                <w:color w:val="auto"/>
              </w:rPr>
              <w:t>闽环保财</w:t>
            </w:r>
            <w:r>
              <w:rPr>
                <w:rFonts w:cs="Times New Roman"/>
                <w:color w:val="auto"/>
              </w:rPr>
              <w:t>〔20</w:t>
            </w:r>
            <w:r>
              <w:rPr>
                <w:rFonts w:hint="eastAsia" w:cs="Times New Roman"/>
                <w:color w:val="auto"/>
              </w:rPr>
              <w:t>17</w:t>
            </w:r>
            <w:r>
              <w:rPr>
                <w:rFonts w:cs="Times New Roman"/>
                <w:color w:val="auto"/>
              </w:rPr>
              <w:t>〕</w:t>
            </w:r>
            <w:r>
              <w:rPr>
                <w:rFonts w:hint="eastAsia" w:cs="Times New Roman"/>
                <w:color w:val="auto"/>
              </w:rPr>
              <w:t>22号</w:t>
            </w:r>
            <w:r>
              <w:rPr>
                <w:rFonts w:cs="Times New Roman"/>
                <w:color w:val="auto"/>
              </w:rPr>
              <w:t>）</w:t>
            </w:r>
            <w:r>
              <w:rPr>
                <w:rFonts w:hint="eastAsia" w:cs="Times New Roman"/>
                <w:color w:val="auto"/>
              </w:rPr>
              <w:t>，现有工业排污单位的水污染物的初始排污权只核定工业废水部分，项目生活污水</w:t>
            </w:r>
            <w:r>
              <w:rPr>
                <w:rFonts w:cs="Times New Roman"/>
                <w:color w:val="auto"/>
              </w:rPr>
              <w:t>接入市政污水管网</w:t>
            </w:r>
            <w:r>
              <w:rPr>
                <w:rFonts w:hint="eastAsia" w:cs="Times New Roman"/>
                <w:color w:val="auto"/>
              </w:rPr>
              <w:t>纳入福清市融元污水处理厂</w:t>
            </w:r>
            <w:r>
              <w:rPr>
                <w:rFonts w:cs="Times New Roman"/>
                <w:color w:val="auto"/>
              </w:rPr>
              <w:t>集中处理</w:t>
            </w:r>
            <w:r>
              <w:rPr>
                <w:rFonts w:hint="eastAsia" w:cs="Times New Roman"/>
                <w:color w:val="auto"/>
              </w:rPr>
              <w:t>，</w:t>
            </w:r>
            <w:r>
              <w:rPr>
                <w:rFonts w:cs="Times New Roman"/>
                <w:color w:val="auto"/>
              </w:rPr>
              <w:t>生活污水中COD、NH</w:t>
            </w:r>
            <w:r>
              <w:rPr>
                <w:rFonts w:cs="Times New Roman"/>
                <w:color w:val="auto"/>
                <w:vertAlign w:val="subscript"/>
              </w:rPr>
              <w:t>3</w:t>
            </w:r>
            <w:r>
              <w:rPr>
                <w:rFonts w:cs="Times New Roman"/>
                <w:color w:val="auto"/>
              </w:rPr>
              <w:t>-N总量纳入城市生活污水指标中</w:t>
            </w:r>
            <w:r>
              <w:rPr>
                <w:rFonts w:hint="eastAsia" w:cs="Times New Roman"/>
                <w:color w:val="auto"/>
              </w:rPr>
              <w:t>，</w:t>
            </w:r>
            <w:r>
              <w:rPr>
                <w:rFonts w:cs="Times New Roman"/>
                <w:color w:val="auto"/>
              </w:rPr>
              <w:t>无需购买</w:t>
            </w:r>
            <w:r>
              <w:rPr>
                <w:rFonts w:hint="eastAsia" w:cs="Times New Roman"/>
                <w:color w:val="auto"/>
              </w:rPr>
              <w:t>。</w:t>
            </w:r>
          </w:p>
          <w:p>
            <w:pPr>
              <w:pStyle w:val="38"/>
              <w:ind w:firstLine="480"/>
              <w:rPr>
                <w:rFonts w:cs="Times New Roman"/>
                <w:color w:val="auto"/>
              </w:rPr>
            </w:pPr>
            <w:r>
              <w:rPr>
                <w:rFonts w:hint="eastAsia" w:cs="Times New Roman"/>
                <w:color w:val="auto"/>
              </w:rPr>
              <w:t>（2）大气污染物总量控制指标</w:t>
            </w:r>
          </w:p>
          <w:p>
            <w:pPr>
              <w:ind w:firstLine="480"/>
              <w:rPr>
                <w:bCs/>
                <w:color w:val="auto"/>
              </w:rPr>
            </w:pPr>
            <w:r>
              <w:rPr>
                <w:bCs/>
                <w:color w:val="auto"/>
              </w:rPr>
              <w:t>大气总量控制项目为二氧化硫（SO</w:t>
            </w:r>
            <w:r>
              <w:rPr>
                <w:bCs/>
                <w:color w:val="auto"/>
                <w:vertAlign w:val="subscript"/>
              </w:rPr>
              <w:t>2</w:t>
            </w:r>
            <w:r>
              <w:rPr>
                <w:bCs/>
                <w:color w:val="auto"/>
              </w:rPr>
              <w:t>）、氮氧化物（NO</w:t>
            </w:r>
            <w:r>
              <w:rPr>
                <w:bCs/>
                <w:color w:val="auto"/>
                <w:vertAlign w:val="subscript"/>
              </w:rPr>
              <w:t>x</w:t>
            </w:r>
            <w:r>
              <w:rPr>
                <w:bCs/>
                <w:color w:val="auto"/>
              </w:rPr>
              <w:t>）。本项目不排放二氧化硫、氮氧化物。</w:t>
            </w:r>
          </w:p>
          <w:p>
            <w:pPr>
              <w:ind w:firstLine="480"/>
              <w:rPr>
                <w:bCs/>
                <w:color w:val="auto"/>
              </w:rPr>
            </w:pPr>
            <w:r>
              <w:rPr>
                <w:color w:val="auto"/>
              </w:rPr>
              <w:t>项目</w:t>
            </w:r>
            <w:r>
              <w:rPr>
                <w:rFonts w:hint="eastAsia"/>
                <w:color w:val="auto"/>
              </w:rPr>
              <w:t>新增</w:t>
            </w:r>
            <w:r>
              <w:rPr>
                <w:color w:val="auto"/>
              </w:rPr>
              <w:t>VOC</w:t>
            </w:r>
            <w:r>
              <w:rPr>
                <w:color w:val="auto"/>
                <w:vertAlign w:val="subscript"/>
              </w:rPr>
              <w:t>S</w:t>
            </w:r>
            <w:r>
              <w:rPr>
                <w:color w:val="auto"/>
              </w:rPr>
              <w:t>（以非甲烷总烃计）</w:t>
            </w:r>
            <w:r>
              <w:rPr>
                <w:rFonts w:hint="eastAsia"/>
                <w:color w:val="auto"/>
              </w:rPr>
              <w:t>排放量0.129</w:t>
            </w:r>
            <w:r>
              <w:rPr>
                <w:rFonts w:cs="Times New Roman"/>
                <w:color w:val="auto"/>
                <w:kern w:val="2"/>
                <w:shd w:val="clear" w:color="auto" w:fill="FFFFFF"/>
              </w:rPr>
              <w:t>t/a</w:t>
            </w:r>
            <w:r>
              <w:rPr>
                <w:color w:val="auto"/>
              </w:rPr>
              <w:t>，需区域实行倍量调剂</w:t>
            </w:r>
            <w:r>
              <w:rPr>
                <w:bCs/>
                <w:color w:val="auto"/>
              </w:rPr>
              <w:t>。</w:t>
            </w: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tc>
      </w:tr>
    </w:tbl>
    <w:p>
      <w:pPr>
        <w:ind w:firstLine="480"/>
        <w:rPr>
          <w:color w:val="auto"/>
        </w:rPr>
      </w:pPr>
    </w:p>
    <w:p>
      <w:pPr>
        <w:pStyle w:val="59"/>
        <w:rPr>
          <w:rFonts w:cs="Times New Roman"/>
          <w:snapToGrid w:val="0"/>
          <w:color w:val="auto"/>
        </w:rPr>
      </w:pPr>
      <w:bookmarkStart w:id="57" w:name="_Toc21071"/>
      <w:r>
        <w:rPr>
          <w:rFonts w:hint="eastAsia" w:cs="Times New Roman"/>
          <w:snapToGrid w:val="0"/>
          <w:color w:val="auto"/>
        </w:rPr>
        <w:t>四、</w:t>
      </w:r>
      <w:r>
        <w:rPr>
          <w:rFonts w:cs="Times New Roman"/>
          <w:snapToGrid w:val="0"/>
          <w:color w:val="auto"/>
        </w:rPr>
        <w:t>主要环境影响和保护措施</w:t>
      </w:r>
      <w:bookmarkEnd w:id="57"/>
    </w:p>
    <w:tbl>
      <w:tblPr>
        <w:tblStyle w:val="2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5"/>
        <w:gridCol w:w="496"/>
        <w:gridCol w:w="8512"/>
        <w:gridCol w:w="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58" w:type="dxa"/>
          <w:trHeight w:val="8351" w:hRule="atLeast"/>
          <w:jc w:val="center"/>
        </w:trPr>
        <w:tc>
          <w:tcPr>
            <w:tcW w:w="561" w:type="dxa"/>
            <w:gridSpan w:val="2"/>
            <w:vAlign w:val="center"/>
          </w:tcPr>
          <w:p>
            <w:pPr>
              <w:pStyle w:val="36"/>
              <w:rPr>
                <w:rFonts w:cs="Times New Roman"/>
                <w:color w:val="auto"/>
                <w:sz w:val="24"/>
                <w:szCs w:val="24"/>
              </w:rPr>
            </w:pPr>
            <w:r>
              <w:rPr>
                <w:rFonts w:cs="Times New Roman"/>
                <w:color w:val="auto"/>
                <w:sz w:val="24"/>
                <w:szCs w:val="24"/>
              </w:rPr>
              <w:t>施工</w:t>
            </w:r>
          </w:p>
          <w:p>
            <w:pPr>
              <w:pStyle w:val="36"/>
              <w:rPr>
                <w:rFonts w:cs="Times New Roman"/>
                <w:color w:val="auto"/>
                <w:sz w:val="24"/>
                <w:szCs w:val="24"/>
              </w:rPr>
            </w:pPr>
            <w:r>
              <w:rPr>
                <w:rFonts w:cs="Times New Roman"/>
                <w:color w:val="auto"/>
                <w:sz w:val="24"/>
                <w:szCs w:val="24"/>
              </w:rPr>
              <w:t>期环</w:t>
            </w:r>
          </w:p>
          <w:p>
            <w:pPr>
              <w:pStyle w:val="36"/>
              <w:rPr>
                <w:rFonts w:cs="Times New Roman"/>
                <w:color w:val="auto"/>
                <w:sz w:val="24"/>
                <w:szCs w:val="24"/>
              </w:rPr>
            </w:pPr>
            <w:r>
              <w:rPr>
                <w:rFonts w:cs="Times New Roman"/>
                <w:color w:val="auto"/>
                <w:sz w:val="24"/>
                <w:szCs w:val="24"/>
              </w:rPr>
              <w:t>境保</w:t>
            </w:r>
          </w:p>
          <w:p>
            <w:pPr>
              <w:pStyle w:val="36"/>
              <w:rPr>
                <w:rFonts w:cs="Times New Roman"/>
                <w:color w:val="auto"/>
                <w:sz w:val="24"/>
                <w:szCs w:val="24"/>
              </w:rPr>
            </w:pPr>
            <w:r>
              <w:rPr>
                <w:rFonts w:cs="Times New Roman"/>
                <w:color w:val="auto"/>
                <w:sz w:val="24"/>
                <w:szCs w:val="24"/>
              </w:rPr>
              <w:t>护措</w:t>
            </w:r>
          </w:p>
          <w:p>
            <w:pPr>
              <w:pStyle w:val="36"/>
              <w:rPr>
                <w:rFonts w:cs="Times New Roman"/>
                <w:color w:val="auto"/>
              </w:rPr>
            </w:pPr>
            <w:r>
              <w:rPr>
                <w:rFonts w:cs="Times New Roman"/>
                <w:color w:val="auto"/>
                <w:sz w:val="24"/>
                <w:szCs w:val="24"/>
              </w:rPr>
              <w:t>施</w:t>
            </w:r>
          </w:p>
        </w:tc>
        <w:tc>
          <w:tcPr>
            <w:tcW w:w="8782" w:type="dxa"/>
          </w:tcPr>
          <w:p>
            <w:pPr>
              <w:pStyle w:val="55"/>
              <w:rPr>
                <w:rFonts w:cs="Times New Roman"/>
                <w:color w:val="auto"/>
              </w:rPr>
            </w:pPr>
            <w:bookmarkStart w:id="58" w:name="_Toc6173"/>
            <w:r>
              <w:rPr>
                <w:rFonts w:cs="Times New Roman"/>
                <w:color w:val="auto"/>
              </w:rPr>
              <w:t>4.1施工期环境保护措施</w:t>
            </w:r>
            <w:bookmarkEnd w:id="58"/>
          </w:p>
          <w:p>
            <w:pPr>
              <w:pStyle w:val="184"/>
              <w:spacing w:line="341" w:lineRule="auto"/>
              <w:rPr>
                <w:rFonts w:cs="Times New Roman"/>
                <w:color w:val="auto"/>
              </w:rPr>
            </w:pPr>
            <w:bookmarkStart w:id="59" w:name="_Toc17361639"/>
            <w:bookmarkStart w:id="60" w:name="_Toc279492221"/>
            <w:bookmarkStart w:id="61" w:name="_Toc234833275"/>
            <w:bookmarkStart w:id="62" w:name="_Toc211967612"/>
            <w:bookmarkStart w:id="63" w:name="_Toc233386843"/>
            <w:bookmarkStart w:id="64" w:name="_Toc224713628"/>
            <w:bookmarkStart w:id="65" w:name="_Toc85178610"/>
            <w:bookmarkStart w:id="66" w:name="_Toc225766861"/>
            <w:bookmarkStart w:id="67" w:name="_Toc278977997"/>
            <w:bookmarkStart w:id="68" w:name="_Toc232930955"/>
            <w:bookmarkStart w:id="69" w:name="_Toc212261317"/>
            <w:bookmarkStart w:id="70" w:name="_Toc56498815"/>
            <w:bookmarkStart w:id="71" w:name="_Toc281777364"/>
            <w:bookmarkStart w:id="72" w:name="_Toc222825971"/>
            <w:bookmarkStart w:id="73" w:name="_Toc56498971"/>
            <w:bookmarkStart w:id="74" w:name="_Toc235065596"/>
            <w:bookmarkStart w:id="75" w:name="_Toc213206595"/>
            <w:bookmarkStart w:id="76" w:name="_Toc235459029"/>
            <w:bookmarkStart w:id="77" w:name="_Toc17361640"/>
            <w:r>
              <w:rPr>
                <w:rFonts w:hint="eastAsia" w:cs="Times New Roman"/>
                <w:color w:val="auto"/>
              </w:rPr>
              <w:t>本项目位于</w:t>
            </w:r>
            <w:r>
              <w:rPr>
                <w:rFonts w:hint="eastAsia" w:cs="Times New Roman"/>
                <w:color w:val="auto"/>
                <w:lang w:eastAsia="zh-CN"/>
              </w:rPr>
              <w:t>福清融侨经济技术开发区洪宽工业村</w:t>
            </w:r>
            <w:r>
              <w:rPr>
                <w:rFonts w:hint="eastAsia" w:cs="Times New Roman"/>
                <w:color w:val="auto"/>
              </w:rPr>
              <w:t>（福清市阳下街道屿边村160号），改建原有1#厂房、新建3#、4#、5#标准化厂房等，施工期污染集中在土方工程阶段、基础工程阶段、结构工程阶段和装修阶段。施工期污染物主要有扬尘、噪声、废水和固体废物，</w:t>
            </w:r>
            <w:r>
              <w:rPr>
                <w:rFonts w:hint="eastAsia"/>
                <w:color w:val="auto"/>
                <w:szCs w:val="24"/>
              </w:rPr>
              <w:t>由于施工期对环境的影响是属于局部、短期的，随着施工期的结束而消除的环境影响，一般在可接受的影响范围以内。</w:t>
            </w:r>
          </w:p>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p>
            <w:pPr>
              <w:pStyle w:val="56"/>
              <w:spacing w:line="341" w:lineRule="auto"/>
              <w:rPr>
                <w:rFonts w:cs="Times New Roman"/>
                <w:color w:val="auto"/>
              </w:rPr>
            </w:pPr>
            <w:bookmarkStart w:id="78" w:name="_Toc36"/>
            <w:r>
              <w:rPr>
                <w:rFonts w:cs="Times New Roman"/>
                <w:color w:val="auto"/>
              </w:rPr>
              <w:t>4.1.</w:t>
            </w:r>
            <w:r>
              <w:rPr>
                <w:rFonts w:hint="eastAsia" w:cs="Times New Roman"/>
                <w:color w:val="auto"/>
              </w:rPr>
              <w:t>1</w:t>
            </w:r>
            <w:r>
              <w:rPr>
                <w:rFonts w:cs="Times New Roman"/>
                <w:color w:val="auto"/>
              </w:rPr>
              <w:t>施工期</w:t>
            </w:r>
            <w:r>
              <w:rPr>
                <w:rFonts w:hint="eastAsia" w:cs="Times New Roman"/>
                <w:color w:val="auto"/>
              </w:rPr>
              <w:t>大气污染防治措施</w:t>
            </w:r>
            <w:bookmarkEnd w:id="78"/>
          </w:p>
          <w:p>
            <w:pPr>
              <w:pStyle w:val="38"/>
              <w:spacing w:line="341" w:lineRule="auto"/>
              <w:ind w:firstLine="480"/>
              <w:rPr>
                <w:rFonts w:cs="Times New Roman"/>
                <w:color w:val="auto"/>
              </w:rPr>
            </w:pPr>
            <w:r>
              <w:rPr>
                <w:rFonts w:hint="eastAsia" w:cs="Times New Roman"/>
                <w:color w:val="auto"/>
              </w:rPr>
              <w:t>（1）施工机械废气：选择环保型机械设备，运输车辆按规定方向进出，减少怠速行驶。</w:t>
            </w:r>
          </w:p>
          <w:p>
            <w:pPr>
              <w:pStyle w:val="38"/>
              <w:spacing w:line="341" w:lineRule="auto"/>
              <w:ind w:firstLine="480"/>
              <w:rPr>
                <w:rFonts w:cs="Times New Roman"/>
                <w:color w:val="auto"/>
              </w:rPr>
            </w:pPr>
            <w:r>
              <w:rPr>
                <w:rFonts w:hint="eastAsia" w:cs="Times New Roman"/>
                <w:color w:val="auto"/>
              </w:rPr>
              <w:t>（2）项目施工过程中依照《建筑施工现场环境与卫生标准》（JGJ 146-2004）和《防治城市扬尘污染技术规范》（HJ/T 393-2007）有关规定，采用“湿式施工作业”，对施工现场易产生扬尘的作业面（点）、道路等进行洒水降尘，在大风日加大洒水量及洒水次数。</w:t>
            </w:r>
          </w:p>
          <w:p>
            <w:pPr>
              <w:pStyle w:val="56"/>
              <w:spacing w:line="341" w:lineRule="auto"/>
              <w:rPr>
                <w:rFonts w:cs="Times New Roman"/>
                <w:color w:val="auto"/>
              </w:rPr>
            </w:pPr>
            <w:bookmarkStart w:id="79" w:name="_Toc27559"/>
            <w:r>
              <w:rPr>
                <w:rFonts w:cs="Times New Roman"/>
                <w:color w:val="auto"/>
              </w:rPr>
              <w:t>4.1.</w:t>
            </w:r>
            <w:r>
              <w:rPr>
                <w:rFonts w:hint="eastAsia" w:cs="Times New Roman"/>
                <w:color w:val="auto"/>
              </w:rPr>
              <w:t>2</w:t>
            </w:r>
            <w:r>
              <w:rPr>
                <w:rFonts w:cs="Times New Roman"/>
                <w:color w:val="auto"/>
              </w:rPr>
              <w:t>施工废水防治措施</w:t>
            </w:r>
            <w:bookmarkEnd w:id="79"/>
          </w:p>
          <w:p>
            <w:pPr>
              <w:pStyle w:val="38"/>
              <w:spacing w:line="341" w:lineRule="auto"/>
              <w:ind w:firstLine="480"/>
              <w:rPr>
                <w:rFonts w:cs="Times New Roman"/>
                <w:color w:val="auto"/>
              </w:rPr>
            </w:pPr>
            <w:r>
              <w:rPr>
                <w:rFonts w:hint="eastAsia" w:cs="Times New Roman"/>
                <w:color w:val="auto"/>
              </w:rPr>
              <w:t>（1）建筑材料需集中堆放，采取一定的防雨淋措施，及时清扫施工运输过程中抛洒的建筑材料，以免这些物质随雨水进入附近水体。</w:t>
            </w:r>
          </w:p>
          <w:p>
            <w:pPr>
              <w:pStyle w:val="38"/>
              <w:spacing w:line="341" w:lineRule="auto"/>
              <w:ind w:firstLine="480"/>
              <w:rPr>
                <w:rFonts w:cs="Times New Roman"/>
                <w:color w:val="auto"/>
              </w:rPr>
            </w:pPr>
            <w:r>
              <w:rPr>
                <w:rFonts w:hint="eastAsia" w:cs="Times New Roman"/>
                <w:color w:val="auto"/>
              </w:rPr>
              <w:t>（2）项目不设置施工营地，施工人员租用周边民房居住，生活污水依托当地生活污水处理设施统一处理，对周边水体影响小。</w:t>
            </w:r>
          </w:p>
          <w:p>
            <w:pPr>
              <w:pStyle w:val="38"/>
              <w:spacing w:line="341" w:lineRule="auto"/>
              <w:ind w:firstLine="480"/>
              <w:rPr>
                <w:rFonts w:cs="Times New Roman"/>
                <w:color w:val="auto"/>
              </w:rPr>
            </w:pPr>
            <w:r>
              <w:rPr>
                <w:rFonts w:hint="eastAsia" w:cs="Times New Roman"/>
                <w:color w:val="auto"/>
              </w:rPr>
              <w:t>（3）施工场地应设置沉淀池、隔油池设施，施工废水经处理后进行回用。</w:t>
            </w:r>
          </w:p>
          <w:p>
            <w:pPr>
              <w:pStyle w:val="56"/>
              <w:spacing w:line="341" w:lineRule="auto"/>
              <w:rPr>
                <w:rFonts w:cs="Times New Roman"/>
                <w:color w:val="auto"/>
              </w:rPr>
            </w:pPr>
            <w:bookmarkStart w:id="80" w:name="_Toc3723"/>
            <w:r>
              <w:rPr>
                <w:rFonts w:cs="Times New Roman"/>
                <w:color w:val="auto"/>
              </w:rPr>
              <w:t>4.1.3施工噪声防治措施</w:t>
            </w:r>
            <w:bookmarkEnd w:id="80"/>
          </w:p>
          <w:p>
            <w:pPr>
              <w:pStyle w:val="38"/>
              <w:spacing w:line="341" w:lineRule="auto"/>
              <w:ind w:firstLine="480"/>
              <w:rPr>
                <w:rFonts w:cs="Times New Roman"/>
                <w:color w:val="auto"/>
              </w:rPr>
            </w:pPr>
            <w:r>
              <w:rPr>
                <w:rFonts w:hint="eastAsia" w:cs="Times New Roman"/>
                <w:color w:val="auto"/>
              </w:rPr>
              <w:t>合理安排施工方式，尽量采用噪声较低的施工设备，并加强维修保养，不在午间（12时至14时）和夜间（22时至次日6时）进行施工。对于进入施工场地的运输车辆，必须减速慢行、禁鸣喇叭。</w:t>
            </w:r>
            <w:r>
              <w:rPr>
                <w:color w:val="auto"/>
              </w:rPr>
              <w:t>施工</w:t>
            </w:r>
            <w:r>
              <w:rPr>
                <w:rFonts w:hint="eastAsia"/>
                <w:color w:val="auto"/>
              </w:rPr>
              <w:t>期厂界噪声执行</w:t>
            </w:r>
            <w:r>
              <w:rPr>
                <w:color w:val="auto"/>
              </w:rPr>
              <w:t>《建筑施工场界环境噪声排放标准》（GB</w:t>
            </w:r>
            <w:r>
              <w:rPr>
                <w:rFonts w:hint="eastAsia"/>
                <w:color w:val="auto"/>
              </w:rPr>
              <w:t xml:space="preserve"> </w:t>
            </w:r>
            <w:r>
              <w:rPr>
                <w:color w:val="auto"/>
              </w:rPr>
              <w:t>12523-2011）（昼间≤75dB(A)</w:t>
            </w:r>
            <w:r>
              <w:rPr>
                <w:rFonts w:hint="eastAsia"/>
                <w:color w:val="auto"/>
              </w:rPr>
              <w:t>，</w:t>
            </w:r>
            <w:r>
              <w:rPr>
                <w:color w:val="auto"/>
              </w:rPr>
              <w:t>夜间≤55dB(A)）</w:t>
            </w:r>
            <w:r>
              <w:rPr>
                <w:rFonts w:hint="eastAsia"/>
                <w:color w:val="auto"/>
              </w:rPr>
              <w:t>。</w:t>
            </w:r>
          </w:p>
          <w:p>
            <w:pPr>
              <w:pStyle w:val="56"/>
              <w:spacing w:line="341" w:lineRule="auto"/>
              <w:rPr>
                <w:rFonts w:cs="Times New Roman"/>
                <w:color w:val="auto"/>
              </w:rPr>
            </w:pPr>
            <w:bookmarkStart w:id="81" w:name="_Toc17671"/>
            <w:r>
              <w:rPr>
                <w:rFonts w:cs="Times New Roman"/>
                <w:color w:val="auto"/>
              </w:rPr>
              <w:t>4.1.4固废处置措施</w:t>
            </w:r>
            <w:bookmarkEnd w:id="81"/>
          </w:p>
          <w:p>
            <w:pPr>
              <w:pStyle w:val="184"/>
              <w:spacing w:line="341" w:lineRule="auto"/>
              <w:rPr>
                <w:color w:val="auto"/>
              </w:rPr>
            </w:pPr>
            <w:r>
              <w:rPr>
                <w:rFonts w:hint="eastAsia"/>
                <w:color w:val="auto"/>
              </w:rPr>
              <w:t>施工期建筑垃圾集中堆放，及时清运。对可回用的建筑垃圾外运作为建筑材料二次利用；废金属经分拣、集中后由废旧金属回收单位回收再利用。</w:t>
            </w:r>
          </w:p>
          <w:p>
            <w:pPr>
              <w:pStyle w:val="38"/>
              <w:ind w:firstLine="480"/>
              <w:rPr>
                <w:color w:val="auto"/>
              </w:rPr>
            </w:pPr>
            <w:r>
              <w:rPr>
                <w:color w:val="auto"/>
              </w:rPr>
              <w:t>设备安装过程产生的废包装材料委托物资回收公司综合利用。</w:t>
            </w:r>
          </w:p>
          <w:p>
            <w:pPr>
              <w:ind w:firstLine="480"/>
              <w:rPr>
                <w:color w:val="auto"/>
              </w:rPr>
            </w:pPr>
            <w:r>
              <w:rPr>
                <w:color w:val="auto"/>
              </w:rPr>
              <w:t>施工人员的生活垃圾及时清理，由环卫部门清运。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57" w:type="dxa"/>
          <w:trHeight w:val="13566" w:hRule="atLeast"/>
          <w:jc w:val="center"/>
        </w:trPr>
        <w:tc>
          <w:tcPr>
            <w:tcW w:w="504" w:type="dxa"/>
            <w:vAlign w:val="center"/>
          </w:tcPr>
          <w:p>
            <w:pPr>
              <w:spacing w:line="240" w:lineRule="auto"/>
              <w:ind w:firstLine="0" w:firstLineChars="0"/>
              <w:jc w:val="center"/>
              <w:rPr>
                <w:rFonts w:cs="Times New Roman"/>
                <w:color w:val="auto"/>
              </w:rPr>
            </w:pPr>
            <w:r>
              <w:rPr>
                <w:color w:val="auto"/>
              </w:rPr>
              <w:br w:type="page"/>
            </w:r>
            <w:r>
              <w:rPr>
                <w:rFonts w:cs="Times New Roman"/>
                <w:color w:val="auto"/>
              </w:rPr>
              <w:t>运营</w:t>
            </w:r>
          </w:p>
          <w:p>
            <w:pPr>
              <w:pStyle w:val="36"/>
              <w:rPr>
                <w:rFonts w:cs="Times New Roman"/>
                <w:color w:val="auto"/>
                <w:sz w:val="24"/>
                <w:szCs w:val="24"/>
              </w:rPr>
            </w:pPr>
            <w:r>
              <w:rPr>
                <w:rFonts w:cs="Times New Roman"/>
                <w:color w:val="auto"/>
                <w:sz w:val="24"/>
                <w:szCs w:val="24"/>
              </w:rPr>
              <w:t>期环</w:t>
            </w:r>
          </w:p>
          <w:p>
            <w:pPr>
              <w:pStyle w:val="36"/>
              <w:rPr>
                <w:rFonts w:cs="Times New Roman"/>
                <w:color w:val="auto"/>
                <w:sz w:val="24"/>
                <w:szCs w:val="24"/>
              </w:rPr>
            </w:pPr>
            <w:r>
              <w:rPr>
                <w:rFonts w:cs="Times New Roman"/>
                <w:color w:val="auto"/>
                <w:sz w:val="24"/>
                <w:szCs w:val="24"/>
              </w:rPr>
              <w:t>境影</w:t>
            </w:r>
          </w:p>
          <w:p>
            <w:pPr>
              <w:pStyle w:val="36"/>
              <w:rPr>
                <w:rFonts w:cs="Times New Roman"/>
                <w:color w:val="auto"/>
                <w:sz w:val="24"/>
                <w:szCs w:val="24"/>
              </w:rPr>
            </w:pPr>
            <w:r>
              <w:rPr>
                <w:rFonts w:cs="Times New Roman"/>
                <w:color w:val="auto"/>
                <w:sz w:val="24"/>
                <w:szCs w:val="24"/>
              </w:rPr>
              <w:t>响和</w:t>
            </w:r>
          </w:p>
          <w:p>
            <w:pPr>
              <w:pStyle w:val="36"/>
              <w:rPr>
                <w:rFonts w:cs="Times New Roman"/>
                <w:color w:val="auto"/>
                <w:sz w:val="24"/>
                <w:szCs w:val="24"/>
              </w:rPr>
            </w:pPr>
            <w:r>
              <w:rPr>
                <w:rFonts w:cs="Times New Roman"/>
                <w:color w:val="auto"/>
                <w:sz w:val="24"/>
                <w:szCs w:val="24"/>
              </w:rPr>
              <w:t>保护</w:t>
            </w:r>
          </w:p>
          <w:p>
            <w:pPr>
              <w:pStyle w:val="36"/>
              <w:rPr>
                <w:rFonts w:cs="Times New Roman"/>
                <w:color w:val="auto"/>
              </w:rPr>
            </w:pPr>
            <w:r>
              <w:rPr>
                <w:rFonts w:cs="Times New Roman"/>
                <w:color w:val="auto"/>
                <w:sz w:val="24"/>
                <w:szCs w:val="24"/>
              </w:rPr>
              <w:t>措施</w:t>
            </w:r>
          </w:p>
        </w:tc>
        <w:tc>
          <w:tcPr>
            <w:tcW w:w="8840" w:type="dxa"/>
            <w:gridSpan w:val="2"/>
          </w:tcPr>
          <w:p>
            <w:pPr>
              <w:pStyle w:val="55"/>
              <w:rPr>
                <w:rFonts w:cs="Times New Roman"/>
                <w:color w:val="auto"/>
              </w:rPr>
            </w:pPr>
            <w:bookmarkStart w:id="82" w:name="_Toc5579"/>
            <w:r>
              <w:rPr>
                <w:rFonts w:cs="Times New Roman"/>
                <w:color w:val="auto"/>
              </w:rPr>
              <w:t>4.2运营期环境影响分析及保护措施</w:t>
            </w:r>
            <w:bookmarkEnd w:id="82"/>
          </w:p>
          <w:p>
            <w:pPr>
              <w:pStyle w:val="56"/>
              <w:rPr>
                <w:rFonts w:cs="Times New Roman"/>
                <w:color w:val="auto"/>
              </w:rPr>
            </w:pPr>
            <w:bookmarkStart w:id="83" w:name="_Toc4556"/>
            <w:r>
              <w:rPr>
                <w:rFonts w:cs="Times New Roman"/>
                <w:color w:val="auto"/>
              </w:rPr>
              <w:t>4.2.1</w:t>
            </w:r>
            <w:r>
              <w:rPr>
                <w:rFonts w:hint="eastAsia" w:cs="Times New Roman"/>
                <w:color w:val="auto"/>
              </w:rPr>
              <w:t>废气</w:t>
            </w:r>
            <w:bookmarkEnd w:id="83"/>
          </w:p>
          <w:p>
            <w:pPr>
              <w:pStyle w:val="61"/>
              <w:rPr>
                <w:rFonts w:ascii="Times New Roman" w:hAnsi="Times New Roman" w:cs="Times New Roman"/>
                <w:color w:val="auto"/>
              </w:rPr>
            </w:pPr>
            <w:r>
              <w:rPr>
                <w:rFonts w:ascii="Times New Roman" w:hAnsi="Times New Roman" w:cs="Times New Roman"/>
                <w:color w:val="auto"/>
              </w:rPr>
              <w:t>4.2.1.1</w:t>
            </w:r>
            <w:r>
              <w:rPr>
                <w:rFonts w:hint="eastAsia" w:ascii="Times New Roman" w:hAnsi="Times New Roman" w:cs="Times New Roman"/>
                <w:color w:val="auto"/>
              </w:rPr>
              <w:t>废气</w:t>
            </w:r>
            <w:r>
              <w:rPr>
                <w:rFonts w:ascii="Times New Roman" w:hAnsi="Times New Roman" w:cs="Times New Roman"/>
                <w:color w:val="auto"/>
              </w:rPr>
              <w:t>污染源强分析</w:t>
            </w:r>
          </w:p>
          <w:p>
            <w:pPr>
              <w:pStyle w:val="38"/>
              <w:ind w:firstLine="480"/>
              <w:rPr>
                <w:color w:val="auto"/>
              </w:rPr>
            </w:pPr>
            <w:r>
              <w:rPr>
                <w:rFonts w:hint="eastAsia"/>
                <w:color w:val="auto"/>
              </w:rPr>
              <w:t>项目运营期主要废气为冷轧废气、拉拔废气、拉丝废气、退火废气。</w:t>
            </w:r>
          </w:p>
          <w:p>
            <w:pPr>
              <w:ind w:firstLine="480"/>
              <w:rPr>
                <w:color w:val="auto"/>
                <w:highlight w:val="none"/>
              </w:rPr>
            </w:pPr>
            <w:r>
              <w:rPr>
                <w:rFonts w:hint="eastAsia"/>
                <w:color w:val="auto"/>
                <w:highlight w:val="none"/>
              </w:rPr>
              <w:t>（1）冷轧废气、拉拔废气、拉丝废气</w:t>
            </w:r>
          </w:p>
          <w:p>
            <w:pPr>
              <w:ind w:firstLine="480"/>
              <w:rPr>
                <w:rFonts w:cs="Times New Roman"/>
                <w:color w:val="auto"/>
                <w:highlight w:val="none"/>
              </w:rPr>
            </w:pPr>
            <w:r>
              <w:rPr>
                <w:rFonts w:hint="eastAsia" w:cs="Times New Roman"/>
                <w:color w:val="auto"/>
                <w:highlight w:val="none"/>
              </w:rPr>
              <w:t>项目在冷轧、拉拔及拉丝工序中，均采用拉丝油与水按1:15比例配制的拉丝液进行润滑和冷却，稀释后拉丝油质量分数约为6.3%。生产过程中，冷轧工序温度控制在40℃～45℃，拉拔工序温度控制在30℃～35℃，拉丝工序温度控制在40℃～50℃，各环节操作温度均较低。根据拉丝油MSDS，其沸点为≥100℃（水），是高沸点、低挥发性物质。项目工艺最高温度（50℃）远低于其沸点下限，加之经和水配比稀释后，拉丝液实际挥发量进一步降低，整体挥发量极少，因此不对其进行定量分析。</w:t>
            </w:r>
          </w:p>
          <w:p>
            <w:pPr>
              <w:ind w:firstLine="480"/>
              <w:rPr>
                <w:color w:val="auto"/>
                <w:highlight w:val="none"/>
              </w:rPr>
            </w:pPr>
            <w:r>
              <w:rPr>
                <w:rFonts w:hint="eastAsia"/>
                <w:color w:val="auto"/>
                <w:highlight w:val="none"/>
              </w:rPr>
              <w:t>（2）退火废气</w:t>
            </w:r>
          </w:p>
          <w:p>
            <w:pPr>
              <w:ind w:firstLine="480"/>
              <w:rPr>
                <w:rFonts w:cs="Times New Roman"/>
                <w:color w:val="auto"/>
                <w:lang w:bidi="ar"/>
              </w:rPr>
            </w:pPr>
            <w:r>
              <w:rPr>
                <w:rFonts w:hint="eastAsia"/>
                <w:color w:val="auto"/>
                <w:highlight w:val="none"/>
              </w:rPr>
              <w:t>项目在拉丝机的末端放置毛毡，拉丝后的铜线先经过毛毡擦拭再进入退火工序。少量拉丝液附着于铜线表面进入退火工序，退火温度控制在300~500℃，附着的拉丝油在高温退火时挥发产生有机废气。查询《排放源统计调查产排污核算方法和系数手册》“C3251 铜压延加工行业系数手册”中无相关源强系数，根据建设单位提供行业数据：项目拉丝液年用量40.8t/a（含拉丝油2.55t、水38.25t），退火工序被铜线带走的拉丝液约占在线量的5%（即2.04t/a），拉</w:t>
            </w:r>
            <w:r>
              <w:rPr>
                <w:rFonts w:hint="eastAsia"/>
                <w:color w:val="auto"/>
              </w:rPr>
              <w:t>丝油含量为6.3%，在高温退火时按全部挥发计，挥发性有机物（VOCs）产生量为0.129t/a</w:t>
            </w:r>
            <w:r>
              <w:rPr>
                <w:rFonts w:hint="eastAsia" w:ascii="宋体" w:hAnsi="宋体"/>
                <w:color w:val="auto"/>
                <w:lang w:bidi="ar"/>
              </w:rPr>
              <w:t>。</w:t>
            </w:r>
            <w:r>
              <w:rPr>
                <w:rFonts w:cs="Times New Roman"/>
                <w:color w:val="auto"/>
                <w:lang w:bidi="ar"/>
              </w:rPr>
              <w:t>项目废气污染源源强核算结果见表4.</w:t>
            </w:r>
            <w:r>
              <w:rPr>
                <w:rFonts w:hint="eastAsia" w:cs="Times New Roman"/>
                <w:color w:val="auto"/>
                <w:lang w:bidi="ar"/>
              </w:rPr>
              <w:t>2-1</w:t>
            </w:r>
            <w:r>
              <w:rPr>
                <w:rFonts w:cs="Times New Roman"/>
                <w:color w:val="auto"/>
                <w:lang w:bidi="ar"/>
              </w:rPr>
              <w:t>。</w:t>
            </w:r>
          </w:p>
          <w:p>
            <w:pPr>
              <w:pStyle w:val="37"/>
              <w:rPr>
                <w:rFonts w:cs="Times New Roman"/>
                <w:color w:val="auto"/>
              </w:rPr>
            </w:pPr>
            <w:r>
              <w:rPr>
                <w:rFonts w:cs="Times New Roman"/>
                <w:color w:val="auto"/>
              </w:rPr>
              <w:t>表4.</w:t>
            </w:r>
            <w:r>
              <w:rPr>
                <w:rFonts w:hint="eastAsia" w:cs="Times New Roman"/>
                <w:color w:val="auto"/>
                <w:lang w:val="en-US"/>
              </w:rPr>
              <w:t xml:space="preserve">2-1 </w:t>
            </w:r>
            <w:r>
              <w:rPr>
                <w:rFonts w:cs="Times New Roman"/>
                <w:color w:val="auto"/>
              </w:rPr>
              <w:t>废气污染源源强核算结果及相关参数一览表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9"/>
              <w:gridCol w:w="921"/>
              <w:gridCol w:w="741"/>
              <w:gridCol w:w="885"/>
              <w:gridCol w:w="928"/>
              <w:gridCol w:w="1019"/>
              <w:gridCol w:w="1096"/>
              <w:gridCol w:w="1068"/>
              <w:gridCol w:w="8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4" w:type="dxa"/>
                  <w:vMerge w:val="restart"/>
                  <w:tcBorders>
                    <w:tl2br w:val="nil"/>
                    <w:tr2bl w:val="nil"/>
                  </w:tcBorders>
                  <w:vAlign w:val="center"/>
                </w:tcPr>
                <w:p>
                  <w:pPr>
                    <w:pStyle w:val="36"/>
                    <w:ind w:left="-72" w:leftChars="-30" w:right="-72" w:rightChars="-30"/>
                    <w:rPr>
                      <w:rFonts w:cs="Times New Roman"/>
                      <w:color w:val="auto"/>
                    </w:rPr>
                  </w:pPr>
                  <w:r>
                    <w:rPr>
                      <w:rFonts w:cs="Times New Roman"/>
                      <w:color w:val="auto"/>
                    </w:rPr>
                    <w:t>产污</w:t>
                  </w:r>
                </w:p>
                <w:p>
                  <w:pPr>
                    <w:pStyle w:val="36"/>
                    <w:ind w:left="-72" w:leftChars="-30" w:right="-72" w:rightChars="-30"/>
                    <w:rPr>
                      <w:rFonts w:cs="Times New Roman"/>
                      <w:color w:val="auto"/>
                    </w:rPr>
                  </w:pPr>
                  <w:r>
                    <w:rPr>
                      <w:rFonts w:cs="Times New Roman"/>
                      <w:color w:val="auto"/>
                    </w:rPr>
                    <w:t>环节</w:t>
                  </w:r>
                </w:p>
              </w:tc>
              <w:tc>
                <w:tcPr>
                  <w:tcW w:w="951" w:type="dxa"/>
                  <w:vMerge w:val="restart"/>
                  <w:tcBorders>
                    <w:tl2br w:val="nil"/>
                    <w:tr2bl w:val="nil"/>
                  </w:tcBorders>
                  <w:vAlign w:val="center"/>
                </w:tcPr>
                <w:p>
                  <w:pPr>
                    <w:pStyle w:val="36"/>
                    <w:ind w:left="-72" w:leftChars="-30" w:right="-72" w:rightChars="-30"/>
                    <w:rPr>
                      <w:rFonts w:cs="Times New Roman"/>
                      <w:color w:val="auto"/>
                    </w:rPr>
                  </w:pPr>
                  <w:r>
                    <w:rPr>
                      <w:rFonts w:cs="Times New Roman"/>
                      <w:color w:val="auto"/>
                    </w:rPr>
                    <w:t>污染物</w:t>
                  </w:r>
                </w:p>
              </w:tc>
              <w:tc>
                <w:tcPr>
                  <w:tcW w:w="763" w:type="dxa"/>
                  <w:vMerge w:val="restart"/>
                  <w:tcBorders>
                    <w:tl2br w:val="nil"/>
                    <w:tr2bl w:val="nil"/>
                  </w:tcBorders>
                  <w:vAlign w:val="center"/>
                </w:tcPr>
                <w:p>
                  <w:pPr>
                    <w:pStyle w:val="36"/>
                    <w:ind w:left="-72" w:leftChars="-30" w:right="-72" w:rightChars="-30"/>
                    <w:rPr>
                      <w:rFonts w:cs="Times New Roman"/>
                      <w:color w:val="auto"/>
                    </w:rPr>
                  </w:pPr>
                  <w:r>
                    <w:rPr>
                      <w:rFonts w:cs="Times New Roman"/>
                      <w:color w:val="auto"/>
                    </w:rPr>
                    <w:t>核算</w:t>
                  </w:r>
                </w:p>
                <w:p>
                  <w:pPr>
                    <w:pStyle w:val="36"/>
                    <w:ind w:left="-72" w:leftChars="-30" w:right="-72" w:rightChars="-30"/>
                    <w:rPr>
                      <w:rFonts w:cs="Times New Roman"/>
                      <w:color w:val="auto"/>
                    </w:rPr>
                  </w:pPr>
                  <w:r>
                    <w:rPr>
                      <w:rFonts w:cs="Times New Roman"/>
                      <w:color w:val="auto"/>
                    </w:rPr>
                    <w:t>方法</w:t>
                  </w:r>
                </w:p>
              </w:tc>
              <w:tc>
                <w:tcPr>
                  <w:tcW w:w="1871" w:type="dxa"/>
                  <w:gridSpan w:val="2"/>
                  <w:tcBorders>
                    <w:tl2br w:val="nil"/>
                    <w:tr2bl w:val="nil"/>
                  </w:tcBorders>
                  <w:vAlign w:val="center"/>
                </w:tcPr>
                <w:p>
                  <w:pPr>
                    <w:pStyle w:val="36"/>
                    <w:ind w:left="-72" w:leftChars="-30" w:right="-72" w:rightChars="-30"/>
                    <w:rPr>
                      <w:rFonts w:cs="Times New Roman"/>
                      <w:color w:val="auto"/>
                    </w:rPr>
                  </w:pPr>
                  <w:r>
                    <w:rPr>
                      <w:rFonts w:cs="Times New Roman"/>
                      <w:color w:val="auto"/>
                    </w:rPr>
                    <w:t>污染物产生</w:t>
                  </w:r>
                </w:p>
              </w:tc>
              <w:tc>
                <w:tcPr>
                  <w:tcW w:w="1053" w:type="dxa"/>
                  <w:vMerge w:val="restart"/>
                  <w:tcBorders>
                    <w:tl2br w:val="nil"/>
                    <w:tr2bl w:val="nil"/>
                  </w:tcBorders>
                  <w:shd w:val="clear" w:color="000000" w:fill="FFFFFF"/>
                  <w:vAlign w:val="center"/>
                </w:tcPr>
                <w:p>
                  <w:pPr>
                    <w:pStyle w:val="36"/>
                    <w:ind w:left="-72" w:leftChars="-30" w:right="-72" w:rightChars="-30"/>
                    <w:rPr>
                      <w:rFonts w:cs="Times New Roman"/>
                      <w:color w:val="auto"/>
                    </w:rPr>
                  </w:pPr>
                  <w:r>
                    <w:rPr>
                      <w:rFonts w:cs="Times New Roman"/>
                      <w:color w:val="auto"/>
                    </w:rPr>
                    <w:t>排放</w:t>
                  </w:r>
                </w:p>
                <w:p>
                  <w:pPr>
                    <w:pStyle w:val="36"/>
                    <w:ind w:left="-72" w:leftChars="-30" w:right="-72" w:rightChars="-30"/>
                    <w:rPr>
                      <w:rFonts w:cs="Times New Roman"/>
                      <w:color w:val="auto"/>
                    </w:rPr>
                  </w:pPr>
                  <w:r>
                    <w:rPr>
                      <w:rFonts w:cs="Times New Roman"/>
                      <w:color w:val="auto"/>
                    </w:rPr>
                    <w:t>方式</w:t>
                  </w:r>
                </w:p>
              </w:tc>
              <w:tc>
                <w:tcPr>
                  <w:tcW w:w="2239" w:type="dxa"/>
                  <w:gridSpan w:val="2"/>
                  <w:tcBorders>
                    <w:tl2br w:val="nil"/>
                    <w:tr2bl w:val="nil"/>
                  </w:tcBorders>
                  <w:shd w:val="clear" w:color="000000" w:fill="FFFFFF"/>
                  <w:vAlign w:val="center"/>
                </w:tcPr>
                <w:p>
                  <w:pPr>
                    <w:pStyle w:val="36"/>
                    <w:ind w:left="-72" w:leftChars="-30" w:right="-72" w:rightChars="-30"/>
                    <w:rPr>
                      <w:rFonts w:cs="Times New Roman"/>
                      <w:color w:val="auto"/>
                    </w:rPr>
                  </w:pPr>
                  <w:r>
                    <w:rPr>
                      <w:rFonts w:cs="Times New Roman"/>
                      <w:color w:val="auto"/>
                    </w:rPr>
                    <w:t>污染物</w:t>
                  </w:r>
                  <w:r>
                    <w:rPr>
                      <w:rFonts w:hint="eastAsia" w:cs="Times New Roman"/>
                      <w:color w:val="auto"/>
                    </w:rPr>
                    <w:t>排放</w:t>
                  </w:r>
                </w:p>
              </w:tc>
              <w:tc>
                <w:tcPr>
                  <w:tcW w:w="913" w:type="dxa"/>
                  <w:vMerge w:val="restart"/>
                  <w:tcBorders>
                    <w:tl2br w:val="nil"/>
                    <w:tr2bl w:val="nil"/>
                  </w:tcBorders>
                  <w:shd w:val="clear" w:color="000000" w:fill="FFFFFF"/>
                  <w:vAlign w:val="center"/>
                </w:tcPr>
                <w:p>
                  <w:pPr>
                    <w:pStyle w:val="36"/>
                    <w:ind w:left="-72" w:leftChars="-30" w:right="-72" w:rightChars="-30"/>
                    <w:rPr>
                      <w:rFonts w:cs="Times New Roman"/>
                      <w:color w:val="auto"/>
                    </w:rPr>
                  </w:pPr>
                  <w:r>
                    <w:rPr>
                      <w:rFonts w:hint="eastAsia" w:cs="Times New Roman"/>
                      <w:color w:val="auto"/>
                    </w:rPr>
                    <w:t>排放时间</w:t>
                  </w:r>
                  <w:r>
                    <w:rPr>
                      <w:color w:val="auto"/>
                    </w:rPr>
                    <w:t>（</w:t>
                  </w:r>
                  <w:r>
                    <w:rPr>
                      <w:rFonts w:hint="eastAsia"/>
                      <w:color w:val="auto"/>
                    </w:rPr>
                    <w:t>h</w:t>
                  </w:r>
                  <w:r>
                    <w:rPr>
                      <w:color w:val="auto"/>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4" w:type="dxa"/>
                  <w:vMerge w:val="continue"/>
                  <w:tcBorders>
                    <w:tl2br w:val="nil"/>
                    <w:tr2bl w:val="nil"/>
                  </w:tcBorders>
                  <w:vAlign w:val="center"/>
                </w:tcPr>
                <w:p>
                  <w:pPr>
                    <w:pStyle w:val="36"/>
                    <w:ind w:left="-72" w:leftChars="-30" w:right="-72" w:rightChars="-30"/>
                    <w:rPr>
                      <w:rFonts w:cs="Times New Roman"/>
                      <w:color w:val="auto"/>
                    </w:rPr>
                  </w:pPr>
                </w:p>
              </w:tc>
              <w:tc>
                <w:tcPr>
                  <w:tcW w:w="951" w:type="dxa"/>
                  <w:vMerge w:val="continue"/>
                  <w:tcBorders>
                    <w:tl2br w:val="nil"/>
                    <w:tr2bl w:val="nil"/>
                  </w:tcBorders>
                  <w:vAlign w:val="center"/>
                </w:tcPr>
                <w:p>
                  <w:pPr>
                    <w:pStyle w:val="36"/>
                    <w:ind w:left="-72" w:leftChars="-30" w:right="-72" w:rightChars="-30"/>
                    <w:rPr>
                      <w:rFonts w:cs="Times New Roman"/>
                      <w:color w:val="auto"/>
                    </w:rPr>
                  </w:pPr>
                </w:p>
              </w:tc>
              <w:tc>
                <w:tcPr>
                  <w:tcW w:w="763" w:type="dxa"/>
                  <w:vMerge w:val="continue"/>
                  <w:tcBorders>
                    <w:tl2br w:val="nil"/>
                    <w:tr2bl w:val="nil"/>
                  </w:tcBorders>
                  <w:vAlign w:val="center"/>
                </w:tcPr>
                <w:p>
                  <w:pPr>
                    <w:pStyle w:val="36"/>
                    <w:ind w:left="-72" w:leftChars="-30" w:right="-72" w:rightChars="-30"/>
                    <w:rPr>
                      <w:rFonts w:cs="Times New Roman"/>
                      <w:color w:val="auto"/>
                    </w:rPr>
                  </w:pPr>
                </w:p>
              </w:tc>
              <w:tc>
                <w:tcPr>
                  <w:tcW w:w="913" w:type="dxa"/>
                  <w:tcBorders>
                    <w:tl2br w:val="nil"/>
                    <w:tr2bl w:val="nil"/>
                  </w:tcBorders>
                  <w:vAlign w:val="center"/>
                </w:tcPr>
                <w:p>
                  <w:pPr>
                    <w:pStyle w:val="36"/>
                    <w:ind w:left="-72" w:leftChars="-30" w:right="-72" w:rightChars="-30"/>
                    <w:rPr>
                      <w:rFonts w:cs="Times New Roman"/>
                      <w:color w:val="auto"/>
                    </w:rPr>
                  </w:pPr>
                  <w:r>
                    <w:rPr>
                      <w:rFonts w:hint="eastAsia"/>
                      <w:color w:val="auto"/>
                    </w:rPr>
                    <w:t>产生</w:t>
                  </w:r>
                  <w:r>
                    <w:rPr>
                      <w:color w:val="auto"/>
                    </w:rPr>
                    <w:t>量（t/a）</w:t>
                  </w:r>
                </w:p>
              </w:tc>
              <w:tc>
                <w:tcPr>
                  <w:tcW w:w="958" w:type="dxa"/>
                  <w:tcBorders>
                    <w:tl2br w:val="nil"/>
                    <w:tr2bl w:val="nil"/>
                  </w:tcBorders>
                  <w:vAlign w:val="center"/>
                </w:tcPr>
                <w:p>
                  <w:pPr>
                    <w:pStyle w:val="36"/>
                    <w:ind w:left="-72" w:leftChars="-30" w:right="-72" w:rightChars="-30"/>
                    <w:rPr>
                      <w:rFonts w:cs="Times New Roman"/>
                      <w:color w:val="auto"/>
                    </w:rPr>
                  </w:pPr>
                  <w:r>
                    <w:rPr>
                      <w:rFonts w:hint="eastAsia"/>
                      <w:color w:val="auto"/>
                    </w:rPr>
                    <w:t>产生</w:t>
                  </w:r>
                  <w:r>
                    <w:rPr>
                      <w:color w:val="auto"/>
                    </w:rPr>
                    <w:t>速率（kg/h）</w:t>
                  </w:r>
                </w:p>
              </w:tc>
              <w:tc>
                <w:tcPr>
                  <w:tcW w:w="1053" w:type="dxa"/>
                  <w:vMerge w:val="continue"/>
                  <w:tcBorders>
                    <w:tl2br w:val="nil"/>
                    <w:tr2bl w:val="nil"/>
                  </w:tcBorders>
                  <w:shd w:val="clear" w:color="000000" w:fill="FFFFFF"/>
                  <w:vAlign w:val="center"/>
                </w:tcPr>
                <w:p>
                  <w:pPr>
                    <w:pStyle w:val="36"/>
                    <w:ind w:left="-72" w:leftChars="-30" w:right="-72" w:rightChars="-30"/>
                    <w:rPr>
                      <w:rFonts w:cs="Times New Roman"/>
                      <w:color w:val="auto"/>
                    </w:rPr>
                  </w:pPr>
                </w:p>
              </w:tc>
              <w:tc>
                <w:tcPr>
                  <w:tcW w:w="1134" w:type="dxa"/>
                  <w:tcBorders>
                    <w:tl2br w:val="nil"/>
                    <w:tr2bl w:val="nil"/>
                  </w:tcBorders>
                  <w:shd w:val="clear" w:color="000000" w:fill="FFFFFF"/>
                  <w:vAlign w:val="center"/>
                </w:tcPr>
                <w:p>
                  <w:pPr>
                    <w:pStyle w:val="36"/>
                    <w:ind w:left="-72" w:leftChars="-30" w:right="-72" w:rightChars="-30"/>
                    <w:rPr>
                      <w:color w:val="auto"/>
                    </w:rPr>
                  </w:pPr>
                  <w:r>
                    <w:rPr>
                      <w:rFonts w:hint="eastAsia"/>
                      <w:color w:val="auto"/>
                    </w:rPr>
                    <w:t>排放</w:t>
                  </w:r>
                  <w:r>
                    <w:rPr>
                      <w:color w:val="auto"/>
                    </w:rPr>
                    <w:t>量</w:t>
                  </w:r>
                </w:p>
                <w:p>
                  <w:pPr>
                    <w:pStyle w:val="36"/>
                    <w:ind w:left="-72" w:leftChars="-30" w:right="-72" w:rightChars="-30"/>
                    <w:rPr>
                      <w:rFonts w:cs="Times New Roman"/>
                      <w:color w:val="auto"/>
                    </w:rPr>
                  </w:pPr>
                  <w:r>
                    <w:rPr>
                      <w:color w:val="auto"/>
                    </w:rPr>
                    <w:t>（t/a）</w:t>
                  </w:r>
                </w:p>
              </w:tc>
              <w:tc>
                <w:tcPr>
                  <w:tcW w:w="1105" w:type="dxa"/>
                  <w:tcBorders>
                    <w:tl2br w:val="nil"/>
                    <w:tr2bl w:val="nil"/>
                  </w:tcBorders>
                  <w:shd w:val="clear" w:color="000000" w:fill="FFFFFF"/>
                  <w:vAlign w:val="center"/>
                </w:tcPr>
                <w:p>
                  <w:pPr>
                    <w:pStyle w:val="36"/>
                    <w:ind w:left="-72" w:leftChars="-30" w:right="-72" w:rightChars="-30"/>
                    <w:rPr>
                      <w:rFonts w:cs="Times New Roman"/>
                      <w:color w:val="auto"/>
                    </w:rPr>
                  </w:pPr>
                  <w:r>
                    <w:rPr>
                      <w:rFonts w:hint="eastAsia"/>
                      <w:color w:val="auto"/>
                    </w:rPr>
                    <w:t>排放</w:t>
                  </w:r>
                  <w:r>
                    <w:rPr>
                      <w:color w:val="auto"/>
                    </w:rPr>
                    <w:t>速率（kg/h）</w:t>
                  </w:r>
                </w:p>
              </w:tc>
              <w:tc>
                <w:tcPr>
                  <w:tcW w:w="913" w:type="dxa"/>
                  <w:vMerge w:val="continue"/>
                  <w:tcBorders>
                    <w:tl2br w:val="nil"/>
                    <w:tr2bl w:val="nil"/>
                  </w:tcBorders>
                  <w:shd w:val="clear" w:color="000000" w:fill="FFFFFF"/>
                  <w:vAlign w:val="center"/>
                </w:tcPr>
                <w:p>
                  <w:pPr>
                    <w:pStyle w:val="36"/>
                    <w:ind w:left="-72" w:leftChars="-30" w:right="-72" w:rightChars="-30"/>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4" w:type="dxa"/>
                  <w:tcBorders>
                    <w:tl2br w:val="nil"/>
                    <w:tr2bl w:val="nil"/>
                  </w:tcBorders>
                  <w:vAlign w:val="center"/>
                </w:tcPr>
                <w:p>
                  <w:pPr>
                    <w:pStyle w:val="36"/>
                    <w:ind w:left="-72" w:leftChars="-30" w:right="-72" w:rightChars="-30"/>
                    <w:rPr>
                      <w:rFonts w:cs="Times New Roman"/>
                      <w:color w:val="auto"/>
                    </w:rPr>
                  </w:pPr>
                  <w:r>
                    <w:rPr>
                      <w:rFonts w:hint="eastAsia" w:cs="Times New Roman"/>
                      <w:color w:val="auto"/>
                    </w:rPr>
                    <w:t>退火</w:t>
                  </w:r>
                </w:p>
                <w:p>
                  <w:pPr>
                    <w:pStyle w:val="36"/>
                    <w:ind w:left="-72" w:leftChars="-30" w:right="-72" w:rightChars="-30"/>
                    <w:rPr>
                      <w:rFonts w:cs="Times New Roman"/>
                      <w:color w:val="auto"/>
                    </w:rPr>
                  </w:pPr>
                  <w:r>
                    <w:rPr>
                      <w:rFonts w:hint="eastAsia" w:cs="Times New Roman"/>
                      <w:color w:val="auto"/>
                    </w:rPr>
                    <w:t>废气</w:t>
                  </w:r>
                </w:p>
              </w:tc>
              <w:tc>
                <w:tcPr>
                  <w:tcW w:w="951" w:type="dxa"/>
                  <w:tcBorders>
                    <w:tl2br w:val="nil"/>
                    <w:tr2bl w:val="nil"/>
                  </w:tcBorders>
                  <w:vAlign w:val="center"/>
                </w:tcPr>
                <w:p>
                  <w:pPr>
                    <w:pStyle w:val="36"/>
                    <w:ind w:left="-72" w:leftChars="-30" w:right="-72" w:rightChars="-30"/>
                    <w:rPr>
                      <w:rFonts w:cs="Times New Roman"/>
                      <w:color w:val="auto"/>
                    </w:rPr>
                  </w:pPr>
                  <w:r>
                    <w:rPr>
                      <w:rFonts w:hint="eastAsia" w:cs="Times New Roman"/>
                      <w:color w:val="auto"/>
                    </w:rPr>
                    <w:t>非甲烷</w:t>
                  </w:r>
                </w:p>
                <w:p>
                  <w:pPr>
                    <w:pStyle w:val="36"/>
                    <w:ind w:left="-72" w:leftChars="-30" w:right="-72" w:rightChars="-30"/>
                    <w:rPr>
                      <w:rFonts w:cs="Times New Roman"/>
                      <w:color w:val="auto"/>
                    </w:rPr>
                  </w:pPr>
                  <w:r>
                    <w:rPr>
                      <w:rFonts w:hint="eastAsia" w:cs="Times New Roman"/>
                      <w:color w:val="auto"/>
                    </w:rPr>
                    <w:t>总烃</w:t>
                  </w:r>
                </w:p>
              </w:tc>
              <w:tc>
                <w:tcPr>
                  <w:tcW w:w="763" w:type="dxa"/>
                  <w:tcBorders>
                    <w:tl2br w:val="nil"/>
                    <w:tr2bl w:val="nil"/>
                  </w:tcBorders>
                  <w:vAlign w:val="center"/>
                </w:tcPr>
                <w:p>
                  <w:pPr>
                    <w:pStyle w:val="36"/>
                    <w:ind w:left="-72" w:leftChars="-30" w:right="-72" w:rightChars="-30"/>
                    <w:rPr>
                      <w:rStyle w:val="34"/>
                      <w:color w:val="auto"/>
                    </w:rPr>
                  </w:pPr>
                  <w:r>
                    <w:rPr>
                      <w:rStyle w:val="34"/>
                      <w:rFonts w:hint="eastAsia"/>
                      <w:color w:val="auto"/>
                    </w:rPr>
                    <w:t>物料</w:t>
                  </w:r>
                </w:p>
                <w:p>
                  <w:pPr>
                    <w:pStyle w:val="36"/>
                    <w:ind w:left="-72" w:leftChars="-30" w:right="-72" w:rightChars="-30"/>
                    <w:rPr>
                      <w:rFonts w:cs="Times New Roman"/>
                      <w:color w:val="auto"/>
                    </w:rPr>
                  </w:pPr>
                  <w:r>
                    <w:rPr>
                      <w:rStyle w:val="34"/>
                      <w:rFonts w:hint="eastAsia"/>
                      <w:color w:val="auto"/>
                    </w:rPr>
                    <w:t>衡算</w:t>
                  </w:r>
                </w:p>
              </w:tc>
              <w:tc>
                <w:tcPr>
                  <w:tcW w:w="913" w:type="dxa"/>
                  <w:tcBorders>
                    <w:tl2br w:val="nil"/>
                    <w:tr2bl w:val="nil"/>
                  </w:tcBorders>
                  <w:vAlign w:val="center"/>
                </w:tcPr>
                <w:p>
                  <w:pPr>
                    <w:pStyle w:val="36"/>
                    <w:ind w:left="-72" w:leftChars="-30" w:right="-72" w:rightChars="-30"/>
                    <w:rPr>
                      <w:rFonts w:cs="Times New Roman"/>
                      <w:color w:val="auto"/>
                    </w:rPr>
                  </w:pPr>
                  <w:r>
                    <w:rPr>
                      <w:rFonts w:hint="eastAsia" w:cs="Times New Roman"/>
                      <w:color w:val="auto"/>
                    </w:rPr>
                    <w:t>0.129</w:t>
                  </w:r>
                </w:p>
              </w:tc>
              <w:tc>
                <w:tcPr>
                  <w:tcW w:w="958" w:type="dxa"/>
                  <w:tcBorders>
                    <w:tl2br w:val="nil"/>
                    <w:tr2bl w:val="nil"/>
                  </w:tcBorders>
                  <w:vAlign w:val="center"/>
                </w:tcPr>
                <w:p>
                  <w:pPr>
                    <w:pStyle w:val="36"/>
                    <w:ind w:left="-72" w:leftChars="-30" w:right="-72" w:rightChars="-30"/>
                    <w:rPr>
                      <w:rFonts w:cs="Times New Roman"/>
                      <w:color w:val="auto"/>
                    </w:rPr>
                  </w:pPr>
                  <w:r>
                    <w:rPr>
                      <w:rFonts w:hint="eastAsia" w:cs="Times New Roman"/>
                      <w:color w:val="auto"/>
                    </w:rPr>
                    <w:t>0.018</w:t>
                  </w:r>
                </w:p>
              </w:tc>
              <w:tc>
                <w:tcPr>
                  <w:tcW w:w="1053" w:type="dxa"/>
                  <w:tcBorders>
                    <w:tl2br w:val="nil"/>
                    <w:tr2bl w:val="nil"/>
                  </w:tcBorders>
                  <w:shd w:val="clear" w:color="000000" w:fill="FFFFFF"/>
                  <w:vAlign w:val="center"/>
                </w:tcPr>
                <w:p>
                  <w:pPr>
                    <w:pStyle w:val="36"/>
                    <w:ind w:left="-72" w:leftChars="-30" w:right="-72" w:rightChars="-30"/>
                    <w:rPr>
                      <w:rFonts w:cs="Times New Roman"/>
                      <w:color w:val="auto"/>
                    </w:rPr>
                  </w:pPr>
                  <w:r>
                    <w:rPr>
                      <w:rFonts w:hint="eastAsia" w:cs="Times New Roman"/>
                      <w:color w:val="auto"/>
                    </w:rPr>
                    <w:t>无组织</w:t>
                  </w:r>
                </w:p>
              </w:tc>
              <w:tc>
                <w:tcPr>
                  <w:tcW w:w="1134" w:type="dxa"/>
                  <w:tcBorders>
                    <w:tl2br w:val="nil"/>
                    <w:tr2bl w:val="nil"/>
                  </w:tcBorders>
                  <w:shd w:val="clear" w:color="000000" w:fill="FFFFFF"/>
                  <w:vAlign w:val="center"/>
                </w:tcPr>
                <w:p>
                  <w:pPr>
                    <w:pStyle w:val="36"/>
                    <w:ind w:left="-72" w:leftChars="-30" w:right="-72" w:rightChars="-30"/>
                    <w:rPr>
                      <w:rFonts w:cs="Times New Roman"/>
                      <w:color w:val="auto"/>
                    </w:rPr>
                  </w:pPr>
                  <w:r>
                    <w:rPr>
                      <w:rFonts w:hint="eastAsia" w:cs="Times New Roman"/>
                      <w:color w:val="auto"/>
                    </w:rPr>
                    <w:t>0.129</w:t>
                  </w:r>
                </w:p>
              </w:tc>
              <w:tc>
                <w:tcPr>
                  <w:tcW w:w="1105" w:type="dxa"/>
                  <w:tcBorders>
                    <w:tl2br w:val="nil"/>
                    <w:tr2bl w:val="nil"/>
                  </w:tcBorders>
                  <w:shd w:val="clear" w:color="000000" w:fill="FFFFFF"/>
                  <w:vAlign w:val="center"/>
                </w:tcPr>
                <w:p>
                  <w:pPr>
                    <w:pStyle w:val="36"/>
                    <w:ind w:left="-72" w:leftChars="-30" w:right="-72" w:rightChars="-30"/>
                    <w:rPr>
                      <w:rFonts w:cs="Times New Roman"/>
                      <w:color w:val="auto"/>
                    </w:rPr>
                  </w:pPr>
                  <w:r>
                    <w:rPr>
                      <w:rFonts w:hint="eastAsia" w:cs="Times New Roman"/>
                      <w:color w:val="auto"/>
                    </w:rPr>
                    <w:t>0.018</w:t>
                  </w:r>
                </w:p>
              </w:tc>
              <w:tc>
                <w:tcPr>
                  <w:tcW w:w="913" w:type="dxa"/>
                  <w:tcBorders>
                    <w:tl2br w:val="nil"/>
                    <w:tr2bl w:val="nil"/>
                  </w:tcBorders>
                  <w:shd w:val="clear" w:color="000000" w:fill="FFFFFF"/>
                  <w:vAlign w:val="center"/>
                </w:tcPr>
                <w:p>
                  <w:pPr>
                    <w:pStyle w:val="36"/>
                    <w:ind w:left="-72" w:leftChars="-30" w:right="-72" w:rightChars="-30"/>
                    <w:rPr>
                      <w:rFonts w:cs="Times New Roman"/>
                      <w:color w:val="auto"/>
                    </w:rPr>
                  </w:pPr>
                  <w:r>
                    <w:rPr>
                      <w:rFonts w:hint="eastAsia" w:cs="Times New Roman"/>
                      <w:color w:val="auto"/>
                    </w:rPr>
                    <w:t>7200</w:t>
                  </w:r>
                </w:p>
              </w:tc>
            </w:tr>
          </w:tbl>
          <w:p>
            <w:pPr>
              <w:spacing w:line="336" w:lineRule="auto"/>
              <w:ind w:firstLine="480"/>
              <w:rPr>
                <w:color w:val="auto"/>
              </w:rPr>
            </w:pPr>
          </w:p>
        </w:tc>
      </w:tr>
    </w:tbl>
    <w:p>
      <w:pPr>
        <w:pStyle w:val="59"/>
        <w:rPr>
          <w:rFonts w:cs="Times New Roman"/>
          <w:snapToGrid w:val="0"/>
          <w:color w:val="auto"/>
        </w:rPr>
        <w:sectPr>
          <w:pgSz w:w="11907" w:h="16840"/>
          <w:pgMar w:top="1417" w:right="1417" w:bottom="1417" w:left="1587" w:header="851" w:footer="851" w:gutter="0"/>
          <w:pgBorders>
            <w:top w:val="none" w:sz="0" w:space="0"/>
            <w:left w:val="none" w:sz="0" w:space="0"/>
            <w:bottom w:val="none" w:sz="0" w:space="0"/>
            <w:right w:val="none" w:sz="0" w:space="0"/>
          </w:pgBorders>
          <w:cols w:space="720" w:num="1"/>
          <w:docGrid w:linePitch="312" w:charSpace="0"/>
        </w:sectPr>
      </w:pPr>
    </w:p>
    <w:tbl>
      <w:tblPr>
        <w:tblStyle w:val="27"/>
        <w:tblW w:w="920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6"/>
        <w:gridCol w:w="84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43" w:hRule="atLeast"/>
          <w:jc w:val="center"/>
        </w:trPr>
        <w:tc>
          <w:tcPr>
            <w:tcW w:w="756" w:type="dxa"/>
            <w:tcMar>
              <w:left w:w="28" w:type="dxa"/>
              <w:right w:w="28" w:type="dxa"/>
            </w:tcMar>
            <w:vAlign w:val="center"/>
          </w:tcPr>
          <w:p>
            <w:pPr>
              <w:pStyle w:val="36"/>
              <w:rPr>
                <w:rFonts w:cs="Times New Roman"/>
                <w:color w:val="auto"/>
                <w:sz w:val="24"/>
                <w:szCs w:val="24"/>
              </w:rPr>
            </w:pPr>
            <w:r>
              <w:rPr>
                <w:rFonts w:cs="Times New Roman"/>
                <w:color w:val="auto"/>
                <w:sz w:val="24"/>
                <w:szCs w:val="24"/>
              </w:rPr>
              <w:t>运营</w:t>
            </w:r>
          </w:p>
          <w:p>
            <w:pPr>
              <w:pStyle w:val="36"/>
              <w:rPr>
                <w:rFonts w:cs="Times New Roman"/>
                <w:color w:val="auto"/>
                <w:sz w:val="24"/>
                <w:szCs w:val="24"/>
              </w:rPr>
            </w:pPr>
            <w:r>
              <w:rPr>
                <w:rFonts w:cs="Times New Roman"/>
                <w:color w:val="auto"/>
                <w:sz w:val="24"/>
                <w:szCs w:val="24"/>
              </w:rPr>
              <w:t>期环</w:t>
            </w:r>
          </w:p>
          <w:p>
            <w:pPr>
              <w:pStyle w:val="36"/>
              <w:rPr>
                <w:rFonts w:cs="Times New Roman"/>
                <w:color w:val="auto"/>
                <w:sz w:val="24"/>
                <w:szCs w:val="24"/>
              </w:rPr>
            </w:pPr>
            <w:r>
              <w:rPr>
                <w:rFonts w:cs="Times New Roman"/>
                <w:color w:val="auto"/>
                <w:sz w:val="24"/>
                <w:szCs w:val="24"/>
              </w:rPr>
              <w:t>境影</w:t>
            </w:r>
          </w:p>
          <w:p>
            <w:pPr>
              <w:pStyle w:val="36"/>
              <w:rPr>
                <w:rFonts w:cs="Times New Roman"/>
                <w:color w:val="auto"/>
                <w:sz w:val="24"/>
                <w:szCs w:val="24"/>
              </w:rPr>
            </w:pPr>
            <w:r>
              <w:rPr>
                <w:rFonts w:cs="Times New Roman"/>
                <w:color w:val="auto"/>
                <w:sz w:val="24"/>
                <w:szCs w:val="24"/>
              </w:rPr>
              <w:t>响和</w:t>
            </w:r>
          </w:p>
          <w:p>
            <w:pPr>
              <w:pStyle w:val="36"/>
              <w:rPr>
                <w:rFonts w:cs="Times New Roman"/>
                <w:color w:val="auto"/>
                <w:sz w:val="24"/>
                <w:szCs w:val="24"/>
              </w:rPr>
            </w:pPr>
            <w:r>
              <w:rPr>
                <w:rFonts w:cs="Times New Roman"/>
                <w:color w:val="auto"/>
                <w:sz w:val="24"/>
                <w:szCs w:val="24"/>
              </w:rPr>
              <w:t>保护</w:t>
            </w:r>
          </w:p>
          <w:p>
            <w:pPr>
              <w:pStyle w:val="36"/>
              <w:rPr>
                <w:rFonts w:cs="Times New Roman"/>
                <w:color w:val="auto"/>
                <w:sz w:val="24"/>
                <w:szCs w:val="24"/>
              </w:rPr>
            </w:pPr>
            <w:r>
              <w:rPr>
                <w:rFonts w:cs="Times New Roman"/>
                <w:color w:val="auto"/>
                <w:sz w:val="24"/>
                <w:szCs w:val="24"/>
              </w:rPr>
              <w:t>措施</w:t>
            </w:r>
          </w:p>
        </w:tc>
        <w:tc>
          <w:tcPr>
            <w:tcW w:w="8451" w:type="dxa"/>
            <w:vAlign w:val="center"/>
          </w:tcPr>
          <w:p>
            <w:pPr>
              <w:spacing w:line="336" w:lineRule="auto"/>
              <w:ind w:firstLine="480"/>
              <w:rPr>
                <w:rFonts w:cs="Times New Roman"/>
                <w:color w:val="auto"/>
              </w:rPr>
            </w:pPr>
            <w:r>
              <w:rPr>
                <w:rFonts w:cs="Times New Roman"/>
                <w:color w:val="auto"/>
              </w:rPr>
              <w:t>（</w:t>
            </w:r>
            <w:r>
              <w:rPr>
                <w:rFonts w:hint="eastAsia" w:cs="Times New Roman"/>
                <w:color w:val="auto"/>
              </w:rPr>
              <w:t>3</w:t>
            </w:r>
            <w:r>
              <w:rPr>
                <w:rFonts w:cs="Times New Roman"/>
                <w:color w:val="auto"/>
              </w:rPr>
              <w:t>）非正常排放</w:t>
            </w:r>
          </w:p>
          <w:p>
            <w:pPr>
              <w:spacing w:line="336" w:lineRule="auto"/>
              <w:ind w:firstLine="480"/>
              <w:rPr>
                <w:rFonts w:cs="Times New Roman"/>
                <w:color w:val="auto"/>
                <w:lang w:bidi="ar"/>
              </w:rPr>
            </w:pPr>
            <w:r>
              <w:rPr>
                <w:rFonts w:hint="eastAsia" w:cs="Times New Roman"/>
                <w:color w:val="auto"/>
                <w:lang w:bidi="ar"/>
              </w:rPr>
              <w:t>非正常工况是指生产过程中开停车（工、炉）、部分设备检修、工艺设备或环保设施达不到设计规定指标运行的可控排污。</w:t>
            </w:r>
          </w:p>
          <w:p>
            <w:pPr>
              <w:spacing w:line="336" w:lineRule="auto"/>
              <w:ind w:firstLine="480"/>
              <w:rPr>
                <w:rFonts w:cs="Times New Roman"/>
                <w:color w:val="auto"/>
                <w:lang w:bidi="ar"/>
              </w:rPr>
            </w:pPr>
            <w:r>
              <w:rPr>
                <w:rFonts w:hint="eastAsia" w:cs="Times New Roman"/>
                <w:color w:val="auto"/>
                <w:lang w:bidi="ar"/>
              </w:rPr>
              <w:t>本项目各设备工艺简单，开停车、设备检修等非正常情况无废气产生排放，</w:t>
            </w:r>
          </w:p>
          <w:p>
            <w:pPr>
              <w:spacing w:line="336" w:lineRule="auto"/>
              <w:ind w:firstLine="0" w:firstLineChars="0"/>
              <w:rPr>
                <w:rFonts w:cs="Times New Roman"/>
                <w:color w:val="auto"/>
                <w:lang w:bidi="ar"/>
              </w:rPr>
            </w:pPr>
            <w:r>
              <w:rPr>
                <w:rFonts w:hint="eastAsia" w:cs="Times New Roman"/>
                <w:color w:val="auto"/>
                <w:lang w:bidi="ar"/>
              </w:rPr>
              <w:t>项目废气为无组织排放，故本次评价不考虑废气非正常排放影响。</w:t>
            </w:r>
          </w:p>
          <w:p>
            <w:pPr>
              <w:pStyle w:val="61"/>
              <w:rPr>
                <w:rFonts w:ascii="Times New Roman" w:hAnsi="Times New Roman" w:cs="Times New Roman"/>
                <w:color w:val="auto"/>
              </w:rPr>
            </w:pPr>
            <w:r>
              <w:rPr>
                <w:rFonts w:ascii="Times New Roman" w:hAnsi="Times New Roman" w:cs="Times New Roman"/>
                <w:color w:val="auto"/>
              </w:rPr>
              <w:t>4.2.</w:t>
            </w:r>
            <w:r>
              <w:rPr>
                <w:rFonts w:hint="eastAsia" w:ascii="Times New Roman" w:hAnsi="Times New Roman" w:cs="Times New Roman"/>
                <w:color w:val="auto"/>
              </w:rPr>
              <w:t>1</w:t>
            </w:r>
            <w:r>
              <w:rPr>
                <w:rFonts w:ascii="Times New Roman" w:hAnsi="Times New Roman" w:cs="Times New Roman"/>
                <w:color w:val="auto"/>
              </w:rPr>
              <w:t>.2</w:t>
            </w:r>
            <w:r>
              <w:rPr>
                <w:rFonts w:hint="eastAsia" w:ascii="Times New Roman" w:hAnsi="Times New Roman" w:cs="Times New Roman"/>
                <w:color w:val="auto"/>
              </w:rPr>
              <w:t>大气污染防治措施及</w:t>
            </w:r>
            <w:r>
              <w:rPr>
                <w:rFonts w:ascii="Times New Roman" w:hAnsi="Times New Roman" w:cs="Times New Roman"/>
                <w:color w:val="auto"/>
              </w:rPr>
              <w:t>可行性分析</w:t>
            </w:r>
          </w:p>
          <w:p>
            <w:pPr>
              <w:ind w:firstLine="480"/>
              <w:rPr>
                <w:rFonts w:cs="Times New Roman"/>
                <w:color w:val="auto"/>
              </w:rPr>
            </w:pPr>
            <w:r>
              <w:rPr>
                <w:rFonts w:cs="Times New Roman"/>
                <w:color w:val="auto"/>
                <w:lang w:bidi="ar"/>
              </w:rPr>
              <w:t>（1）无组织废气防治措施</w:t>
            </w:r>
          </w:p>
          <w:p>
            <w:pPr>
              <w:ind w:firstLine="480"/>
              <w:rPr>
                <w:rFonts w:cs="Times New Roman"/>
                <w:color w:val="auto"/>
                <w:lang w:bidi="ar"/>
              </w:rPr>
            </w:pPr>
            <w:r>
              <w:rPr>
                <w:rFonts w:cs="Times New Roman"/>
                <w:color w:val="auto"/>
                <w:lang w:bidi="ar"/>
              </w:rPr>
              <w:t>①从源头上控制大气污染物的无组织排放。优先选用挥发性有机物含量低的原料；对含挥发性有机物的物料（如拉丝油）采取密闭包装或容器储存；生产过程中加强各加工工序的监控，最大限度实现封闭式作业，避免无组织排放量增加及大气污染物的过度逸散。</w:t>
            </w:r>
          </w:p>
          <w:p>
            <w:pPr>
              <w:ind w:firstLine="480"/>
              <w:rPr>
                <w:rFonts w:cs="Times New Roman"/>
                <w:color w:val="auto"/>
                <w:lang w:bidi="ar"/>
              </w:rPr>
            </w:pPr>
            <w:r>
              <w:rPr>
                <w:rFonts w:cs="Times New Roman"/>
                <w:color w:val="auto"/>
                <w:lang w:bidi="ar"/>
              </w:rPr>
              <w:t>②加强设备维护，定期对生产装置进行检验与检修，减少跑、冒、滴、漏现象。</w:t>
            </w:r>
          </w:p>
          <w:p>
            <w:pPr>
              <w:pStyle w:val="38"/>
              <w:ind w:firstLine="480"/>
              <w:rPr>
                <w:rFonts w:cs="Times New Roman"/>
                <w:color w:val="auto"/>
                <w:lang w:bidi="ar"/>
              </w:rPr>
            </w:pPr>
            <w:r>
              <w:rPr>
                <w:rFonts w:hint="eastAsia"/>
                <w:color w:val="auto"/>
              </w:rPr>
              <w:t>③</w:t>
            </w:r>
            <w:r>
              <w:rPr>
                <w:color w:val="auto"/>
              </w:rPr>
              <w:t>合理规划</w:t>
            </w:r>
            <w:r>
              <w:rPr>
                <w:rFonts w:hint="eastAsia"/>
                <w:color w:val="auto"/>
                <w:lang w:val="en-US" w:eastAsia="zh-CN"/>
              </w:rPr>
              <w:t>厂区</w:t>
            </w:r>
            <w:r>
              <w:rPr>
                <w:color w:val="auto"/>
              </w:rPr>
              <w:t>布局，</w:t>
            </w:r>
            <w:r>
              <w:rPr>
                <w:rFonts w:hint="eastAsia"/>
                <w:color w:val="auto"/>
              </w:rPr>
              <w:t>将主要产污的1#厂房和4#厂房（设退火工序）布置于远离东侧敏感点。</w:t>
            </w:r>
          </w:p>
          <w:p>
            <w:pPr>
              <w:ind w:firstLine="480"/>
              <w:rPr>
                <w:rFonts w:cs="Times New Roman"/>
                <w:color w:val="auto"/>
                <w:lang w:bidi="ar"/>
              </w:rPr>
            </w:pPr>
            <w:r>
              <w:rPr>
                <w:rFonts w:cs="Times New Roman"/>
                <w:color w:val="auto"/>
                <w:lang w:bidi="ar"/>
              </w:rPr>
              <w:t>通过以上措施处理后，无组织废气对周边影响较小，因此措施可行。</w:t>
            </w:r>
          </w:p>
          <w:p>
            <w:pPr>
              <w:pStyle w:val="61"/>
              <w:ind w:firstLine="480" w:firstLineChars="200"/>
              <w:rPr>
                <w:rFonts w:ascii="Times New Roman" w:hAnsi="Times New Roman" w:eastAsia="宋体" w:cs="Times New Roman"/>
                <w:color w:val="auto"/>
                <w:kern w:val="0"/>
                <w:lang w:bidi="ar"/>
              </w:rPr>
            </w:pPr>
            <w:r>
              <w:rPr>
                <w:rFonts w:ascii="Times New Roman" w:hAnsi="Times New Roman" w:eastAsia="宋体" w:cs="Times New Roman"/>
                <w:color w:val="auto"/>
                <w:kern w:val="0"/>
                <w:lang w:bidi="ar"/>
              </w:rPr>
              <w:t>（2）废气防治措施可行性分析</w:t>
            </w:r>
          </w:p>
          <w:p>
            <w:pPr>
              <w:pStyle w:val="61"/>
              <w:ind w:firstLine="480" w:firstLineChars="200"/>
              <w:rPr>
                <w:rFonts w:ascii="Times New Roman" w:hAnsi="Times New Roman" w:eastAsia="宋体" w:cs="Times New Roman"/>
                <w:color w:val="auto"/>
                <w:kern w:val="0"/>
                <w:lang w:bidi="ar"/>
              </w:rPr>
            </w:pPr>
            <w:r>
              <w:rPr>
                <w:rFonts w:ascii="Times New Roman" w:hAnsi="Times New Roman" w:eastAsia="宋体" w:cs="Times New Roman"/>
                <w:color w:val="auto"/>
                <w:kern w:val="0"/>
                <w:lang w:bidi="ar"/>
              </w:rPr>
              <w:t>根据《</w:t>
            </w:r>
            <w:bookmarkStart w:id="84" w:name="OLE_LINK9"/>
            <w:r>
              <w:rPr>
                <w:rFonts w:ascii="Times New Roman" w:hAnsi="Times New Roman" w:eastAsia="宋体" w:cs="Times New Roman"/>
                <w:color w:val="auto"/>
                <w:kern w:val="0"/>
                <w:lang w:bidi="ar"/>
              </w:rPr>
              <w:t>挥发性有机物无组织排放控制标准</w:t>
            </w:r>
            <w:bookmarkEnd w:id="84"/>
            <w:r>
              <w:rPr>
                <w:rFonts w:ascii="Times New Roman" w:hAnsi="Times New Roman" w:eastAsia="宋体" w:cs="Times New Roman"/>
                <w:color w:val="auto"/>
                <w:kern w:val="0"/>
                <w:lang w:bidi="ar"/>
              </w:rPr>
              <w:t>》（GB37822-2019）中“7.2.1VOCs质量占比大于等于10%的含VOCs产品，其使用过程应采用密闭设备或在密闭空间内操作，废气应排至VOCs废气收集处理系统；无法密闭的，应采取局部气体收集措施，废气应排至VOCs废气收集处理系统。”本项目使用拉丝液由拉丝油与水按1:15比例配制，稀释后拉丝液中VOCs质量占比约为6.3%，低于10%</w:t>
            </w:r>
            <w:r>
              <w:rPr>
                <w:rFonts w:hint="eastAsia" w:ascii="Times New Roman" w:hAnsi="Times New Roman" w:eastAsia="宋体" w:cs="Times New Roman"/>
                <w:color w:val="auto"/>
                <w:kern w:val="0"/>
                <w:lang w:eastAsia="zh-CN" w:bidi="ar"/>
              </w:rPr>
              <w:t>，</w:t>
            </w:r>
            <w:r>
              <w:rPr>
                <w:rFonts w:hint="eastAsia" w:ascii="Times New Roman" w:hAnsi="Times New Roman" w:eastAsia="宋体" w:cs="Times New Roman"/>
                <w:color w:val="auto"/>
                <w:kern w:val="0"/>
                <w:lang w:bidi="ar"/>
              </w:rPr>
              <w:t>可不采取</w:t>
            </w:r>
            <w:r>
              <w:rPr>
                <w:rFonts w:hint="eastAsia" w:ascii="Times New Roman" w:hAnsi="Times New Roman" w:eastAsia="宋体" w:cs="Times New Roman"/>
                <w:color w:val="auto"/>
                <w:kern w:val="0"/>
                <w:lang w:val="en-US" w:eastAsia="zh-CN" w:bidi="ar"/>
              </w:rPr>
              <w:t>废气</w:t>
            </w:r>
            <w:r>
              <w:rPr>
                <w:rFonts w:hint="eastAsia" w:ascii="Times New Roman" w:hAnsi="Times New Roman" w:eastAsia="宋体" w:cs="Times New Roman"/>
                <w:color w:val="auto"/>
                <w:kern w:val="0"/>
                <w:lang w:bidi="ar"/>
              </w:rPr>
              <w:t>收集措施</w:t>
            </w:r>
            <w:r>
              <w:rPr>
                <w:rFonts w:ascii="Times New Roman" w:hAnsi="Times New Roman" w:eastAsia="宋体" w:cs="Times New Roman"/>
                <w:color w:val="auto"/>
                <w:kern w:val="0"/>
                <w:lang w:bidi="ar"/>
              </w:rPr>
              <w:t>。</w:t>
            </w:r>
          </w:p>
          <w:p>
            <w:pPr>
              <w:pStyle w:val="61"/>
              <w:ind w:firstLine="480" w:firstLineChars="200"/>
              <w:rPr>
                <w:rFonts w:hint="default" w:ascii="Times New Roman" w:hAnsi="Times New Roman" w:eastAsia="宋体" w:cs="Times New Roman"/>
                <w:color w:val="auto"/>
                <w:kern w:val="0"/>
                <w:lang w:val="en-US" w:eastAsia="zh-CN" w:bidi="ar"/>
              </w:rPr>
            </w:pPr>
            <w:r>
              <w:rPr>
                <w:rFonts w:hint="eastAsia" w:ascii="Times New Roman" w:hAnsi="Times New Roman" w:eastAsia="宋体" w:cs="Times New Roman"/>
                <w:color w:val="auto"/>
                <w:kern w:val="0"/>
                <w:lang w:val="en-US" w:eastAsia="zh-CN" w:bidi="ar"/>
              </w:rPr>
              <w:t>综上，</w:t>
            </w:r>
            <w:r>
              <w:rPr>
                <w:rFonts w:ascii="Times New Roman" w:hAnsi="Times New Roman" w:eastAsia="宋体" w:cs="Times New Roman"/>
                <w:color w:val="auto"/>
                <w:kern w:val="0"/>
                <w:lang w:bidi="ar"/>
              </w:rPr>
              <w:t>本项目</w:t>
            </w:r>
            <w:r>
              <w:rPr>
                <w:rFonts w:hint="eastAsia" w:ascii="Times New Roman" w:hAnsi="Times New Roman" w:eastAsia="宋体" w:cs="Times New Roman"/>
                <w:color w:val="auto"/>
                <w:kern w:val="0"/>
                <w:lang w:bidi="ar"/>
              </w:rPr>
              <w:t>退火</w:t>
            </w:r>
            <w:r>
              <w:rPr>
                <w:rFonts w:ascii="Times New Roman" w:hAnsi="Times New Roman" w:eastAsia="宋体" w:cs="Times New Roman"/>
                <w:color w:val="auto"/>
                <w:kern w:val="0"/>
                <w:lang w:bidi="ar"/>
              </w:rPr>
              <w:t>废气</w:t>
            </w:r>
            <w:r>
              <w:rPr>
                <w:rFonts w:hint="eastAsia" w:ascii="Times New Roman" w:hAnsi="Times New Roman" w:eastAsia="宋体" w:cs="Times New Roman"/>
                <w:color w:val="auto"/>
                <w:kern w:val="0"/>
                <w:lang w:val="en-US" w:eastAsia="zh-CN" w:bidi="ar"/>
              </w:rPr>
              <w:t>无组织排放可行</w:t>
            </w:r>
            <w:r>
              <w:rPr>
                <w:rFonts w:ascii="Times New Roman" w:hAnsi="Times New Roman" w:eastAsia="宋体" w:cs="Times New Roman"/>
                <w:color w:val="auto"/>
                <w:kern w:val="0"/>
                <w:lang w:bidi="ar"/>
              </w:rPr>
              <w:t>。</w:t>
            </w:r>
          </w:p>
          <w:p>
            <w:pPr>
              <w:ind w:firstLine="480"/>
              <w:rPr>
                <w:rFonts w:cs="Times New Roman"/>
                <w:color w:val="auto"/>
              </w:rPr>
            </w:pPr>
            <w:r>
              <w:rPr>
                <w:rFonts w:cs="Times New Roman"/>
                <w:color w:val="auto"/>
              </w:rPr>
              <w:t>（</w:t>
            </w:r>
            <w:r>
              <w:rPr>
                <w:rFonts w:hint="eastAsia" w:cs="Times New Roman"/>
                <w:color w:val="auto"/>
              </w:rPr>
              <w:t>3</w:t>
            </w:r>
            <w:r>
              <w:rPr>
                <w:rFonts w:cs="Times New Roman"/>
                <w:color w:val="auto"/>
              </w:rPr>
              <w:t>）</w:t>
            </w:r>
            <w:r>
              <w:rPr>
                <w:rFonts w:hint="eastAsia" w:cs="Times New Roman"/>
                <w:color w:val="auto"/>
              </w:rPr>
              <w:t>环境防护距离</w:t>
            </w:r>
          </w:p>
          <w:p>
            <w:pPr>
              <w:ind w:firstLine="480"/>
              <w:rPr>
                <w:rFonts w:hint="eastAsia" w:cs="Times New Roman"/>
                <w:color w:val="auto"/>
                <w:lang w:val="en-US" w:eastAsia="zh-CN"/>
              </w:rPr>
            </w:pPr>
            <w:r>
              <w:rPr>
                <w:rFonts w:hint="eastAsia" w:cs="Times New Roman"/>
                <w:color w:val="auto"/>
                <w:lang w:val="en-US" w:eastAsia="zh-CN"/>
              </w:rPr>
              <w:t>1）大气环境防护距离</w:t>
            </w:r>
          </w:p>
          <w:p>
            <w:pPr>
              <w:pStyle w:val="38"/>
              <w:ind w:firstLine="480"/>
              <w:rPr>
                <w:rFonts w:ascii="Times New Roman" w:hAnsi="Times New Roman"/>
                <w:color w:val="auto"/>
              </w:rPr>
            </w:pPr>
            <w:r>
              <w:rPr>
                <w:rFonts w:hint="eastAsia"/>
                <w:color w:val="auto"/>
                <w:lang w:val="en-US" w:eastAsia="zh-CN"/>
              </w:rPr>
              <w:t>根据</w:t>
            </w:r>
            <w:r>
              <w:rPr>
                <w:rFonts w:ascii="Times New Roman" w:hAnsi="Times New Roman"/>
                <w:color w:val="auto"/>
              </w:rPr>
              <w:t>依据《环境影响评价技术导则-大气环境》(HJ</w:t>
            </w:r>
            <w:r>
              <w:rPr>
                <w:rFonts w:hint="eastAsia" w:ascii="Times New Roman" w:hAnsi="Times New Roman"/>
                <w:color w:val="auto"/>
                <w:lang w:val="en-US" w:eastAsia="zh-CN"/>
              </w:rPr>
              <w:t xml:space="preserve"> </w:t>
            </w:r>
            <w:r>
              <w:rPr>
                <w:rFonts w:ascii="Times New Roman" w:hAnsi="Times New Roman"/>
                <w:color w:val="auto"/>
              </w:rPr>
              <w:t>2.2-2018)中5.3节工作等级的确定方法，结合项目工程分析结果，选择正常排放的主要污染物及排放参数，采用附录A推荐模型中的AERSCREEN模式计算项目污染源的最大环境影响，然后按评价工作分级判据进行分级。</w:t>
            </w:r>
          </w:p>
          <w:p>
            <w:pPr>
              <w:pStyle w:val="38"/>
              <w:ind w:firstLine="480"/>
              <w:rPr>
                <w:rFonts w:ascii="Times New Roman" w:hAnsi="Times New Roman"/>
                <w:color w:val="auto"/>
              </w:rPr>
            </w:pPr>
            <w:r>
              <w:rPr>
                <w:rFonts w:hint="eastAsia" w:cs="Times New Roman"/>
                <w:color w:val="auto"/>
                <w:sz w:val="24"/>
                <w:lang w:val="en-US" w:eastAsia="zh-CN"/>
              </w:rPr>
              <w:t>①</w:t>
            </w:r>
            <w:r>
              <w:rPr>
                <w:rFonts w:ascii="Times New Roman" w:hAnsi="Times New Roman"/>
                <w:color w:val="auto"/>
              </w:rPr>
              <w:t>P</w:t>
            </w:r>
            <w:r>
              <w:rPr>
                <w:rFonts w:ascii="Times New Roman" w:hAnsi="Times New Roman"/>
                <w:color w:val="auto"/>
                <w:vertAlign w:val="subscript"/>
              </w:rPr>
              <w:t>max</w:t>
            </w:r>
            <w:r>
              <w:rPr>
                <w:rFonts w:ascii="Times New Roman" w:hAnsi="Times New Roman"/>
                <w:color w:val="auto"/>
              </w:rPr>
              <w:t>及D</w:t>
            </w:r>
            <w:r>
              <w:rPr>
                <w:rFonts w:ascii="Times New Roman" w:hAnsi="Times New Roman"/>
                <w:color w:val="auto"/>
                <w:vertAlign w:val="subscript"/>
              </w:rPr>
              <w:t>10%</w:t>
            </w:r>
            <w:r>
              <w:rPr>
                <w:rFonts w:ascii="Times New Roman" w:hAnsi="Times New Roman"/>
                <w:color w:val="auto"/>
              </w:rPr>
              <w:t>的确定</w:t>
            </w:r>
          </w:p>
          <w:p>
            <w:pPr>
              <w:pStyle w:val="38"/>
              <w:ind w:firstLine="480"/>
              <w:rPr>
                <w:rFonts w:ascii="Times New Roman" w:hAnsi="Times New Roman"/>
                <w:color w:val="auto"/>
              </w:rPr>
            </w:pPr>
            <w:r>
              <w:rPr>
                <w:rFonts w:ascii="Times New Roman" w:hAnsi="Times New Roman"/>
                <w:color w:val="auto"/>
              </w:rPr>
              <w:t>依据《环境影响评价技术导则大气环境》(HJ2.2-2018)中最大地面浓度占标率P</w:t>
            </w:r>
            <w:r>
              <w:rPr>
                <w:rFonts w:ascii="Times New Roman" w:hAnsi="Times New Roman"/>
                <w:i/>
                <w:color w:val="auto"/>
              </w:rPr>
              <w:t>i</w:t>
            </w:r>
            <w:r>
              <w:rPr>
                <w:rFonts w:ascii="Times New Roman" w:hAnsi="Times New Roman"/>
                <w:color w:val="auto"/>
              </w:rPr>
              <w:t>定义如下：</w:t>
            </w:r>
          </w:p>
          <w:p>
            <w:pPr>
              <w:pStyle w:val="37"/>
              <w:rPr>
                <w:color w:val="auto"/>
              </w:rPr>
            </w:pPr>
            <w:r>
              <w:rPr>
                <w:color w:val="auto"/>
              </w:rPr>
              <w:pict>
                <v:shape id="_x0000_i1036" o:spt="75" alt="C:\Users\ADMINI~1\AppData\Local\Temp\ksohtml9824\wps21.jpg" type="#_x0000_t75" style="height:33pt;width:85.5pt;" filled="f" stroked="f" coordsize="21600,21600">
                  <v:path/>
                  <v:fill on="f" focussize="0,0"/>
                  <v:stroke on="f"/>
                  <v:imagedata r:id="rId22" o:title="wps21"/>
                  <o:lock v:ext="edit" grouping="f" rotation="f" aspectratio="t"/>
                  <w10:wrap type="none"/>
                  <w10:anchorlock/>
                </v:shape>
              </w:pict>
            </w:r>
            <w:r>
              <w:rPr>
                <w:color w:val="auto"/>
              </w:rPr>
              <w:t xml:space="preserve"> </w:t>
            </w:r>
          </w:p>
          <w:p>
            <w:pPr>
              <w:pStyle w:val="38"/>
              <w:ind w:firstLine="480"/>
              <w:rPr>
                <w:rFonts w:ascii="Times New Roman" w:hAnsi="Times New Roman"/>
                <w:color w:val="auto"/>
              </w:rPr>
            </w:pPr>
            <w:r>
              <w:rPr>
                <w:rFonts w:ascii="Times New Roman" w:hAnsi="Times New Roman"/>
                <w:color w:val="auto"/>
              </w:rPr>
              <w:pict>
                <v:shape id="_x0000_i1037" o:spt="75" alt="C:\Users\ADMINI~1\AppData\Local\Temp\ksohtml9824\wps22.png" type="#_x0000_t75" style="height:15.75pt;width:9.75pt;" filled="f" stroked="f" coordsize="21600,21600">
                  <v:path/>
                  <v:fill on="f" focussize="0,0"/>
                  <v:stroke on="f"/>
                  <v:imagedata r:id="rId23" o:title="wps22"/>
                  <o:lock v:ext="edit" grouping="f" rotation="f" aspectratio="t"/>
                  <w10:wrap type="none"/>
                  <w10:anchorlock/>
                </v:shape>
              </w:pict>
            </w:r>
            <w:r>
              <w:rPr>
                <w:rFonts w:ascii="Times New Roman" w:hAnsi="Times New Roman"/>
                <w:color w:val="auto"/>
              </w:rPr>
              <w:t>——第i个污染物的最大地面空气质量浓度占标率，%；</w:t>
            </w:r>
          </w:p>
          <w:p>
            <w:pPr>
              <w:pStyle w:val="38"/>
              <w:ind w:firstLine="480"/>
              <w:rPr>
                <w:rFonts w:ascii="Times New Roman" w:hAnsi="Times New Roman"/>
                <w:color w:val="auto"/>
              </w:rPr>
            </w:pPr>
            <w:r>
              <w:rPr>
                <w:rFonts w:ascii="Times New Roman" w:hAnsi="Times New Roman"/>
                <w:color w:val="auto"/>
              </w:rPr>
              <w:pict>
                <v:shape id="_x0000_i1038" o:spt="75" alt="C:\Users\ADMINI~1\AppData\Local\Temp\ksohtml9824\wps24.png" type="#_x0000_t75" style="height:15.75pt;width:9.75pt;" filled="f" stroked="f" coordsize="21600,21600">
                  <v:path/>
                  <v:fill on="f" focussize="0,0"/>
                  <v:stroke on="f"/>
                  <v:imagedata r:id="rId24" o:title="wps24"/>
                  <o:lock v:ext="edit" grouping="f" rotation="f" aspectratio="t"/>
                  <w10:wrap type="none"/>
                  <w10:anchorlock/>
                </v:shape>
              </w:pict>
            </w:r>
            <w:r>
              <w:rPr>
                <w:rFonts w:ascii="Times New Roman" w:hAnsi="Times New Roman"/>
                <w:color w:val="auto"/>
              </w:rPr>
              <w:t>——采用估算模型计算出的第i个污染物的最大1h地面空气质量浓度，μg/m</w:t>
            </w:r>
            <w:r>
              <w:rPr>
                <w:rFonts w:ascii="Times New Roman" w:hAnsi="Times New Roman"/>
                <w:color w:val="auto"/>
                <w:vertAlign w:val="superscript"/>
              </w:rPr>
              <w:t>3</w:t>
            </w:r>
            <w:r>
              <w:rPr>
                <w:rFonts w:ascii="Times New Roman" w:hAnsi="Times New Roman"/>
                <w:color w:val="auto"/>
              </w:rPr>
              <w:t>；</w:t>
            </w:r>
          </w:p>
          <w:p>
            <w:pPr>
              <w:pStyle w:val="38"/>
              <w:ind w:firstLine="480"/>
              <w:rPr>
                <w:rFonts w:ascii="Times New Roman" w:hAnsi="Times New Roman"/>
                <w:color w:val="auto"/>
              </w:rPr>
            </w:pPr>
            <w:r>
              <w:rPr>
                <w:rFonts w:ascii="Times New Roman" w:hAnsi="Times New Roman"/>
                <w:color w:val="auto"/>
              </w:rPr>
              <w:pict>
                <v:shape id="_x0000_i1039" o:spt="75" alt="C:\Users\ADMINI~1\AppData\Local\Temp\ksohtml9824\wps26.png" type="#_x0000_t75" style="height:15.75pt;width:15pt;" filled="f" stroked="f" coordsize="21600,21600">
                  <v:path/>
                  <v:fill on="f" focussize="0,0"/>
                  <v:stroke on="f"/>
                  <v:imagedata r:id="rId25" o:title="wps26"/>
                  <o:lock v:ext="edit" grouping="f" rotation="f" aspectratio="t"/>
                  <w10:wrap type="none"/>
                  <w10:anchorlock/>
                </v:shape>
              </w:pict>
            </w:r>
            <w:r>
              <w:rPr>
                <w:rFonts w:ascii="Times New Roman" w:hAnsi="Times New Roman"/>
                <w:color w:val="auto"/>
              </w:rPr>
              <w:t>——第i个污染物的环境空气质量浓度标准，μg/m</w:t>
            </w:r>
            <w:r>
              <w:rPr>
                <w:rFonts w:ascii="Times New Roman" w:hAnsi="Times New Roman"/>
                <w:color w:val="auto"/>
                <w:vertAlign w:val="superscript"/>
              </w:rPr>
              <w:t>3</w:t>
            </w:r>
            <w:r>
              <w:rPr>
                <w:rFonts w:ascii="Times New Roman" w:hAnsi="Times New Roman"/>
                <w:color w:val="auto"/>
              </w:rPr>
              <w:t>。</w:t>
            </w:r>
          </w:p>
          <w:p>
            <w:pPr>
              <w:pStyle w:val="38"/>
              <w:ind w:firstLine="480"/>
              <w:rPr>
                <w:rFonts w:ascii="Times New Roman" w:hAnsi="Times New Roman"/>
                <w:color w:val="auto"/>
              </w:rPr>
            </w:pPr>
            <w:r>
              <w:rPr>
                <w:rFonts w:hint="eastAsia" w:ascii="Times New Roman" w:hAnsi="Times New Roman" w:eastAsia="宋体" w:cs="Times New Roman"/>
                <w:color w:val="auto"/>
                <w:sz w:val="24"/>
                <w:lang w:val="en-US" w:eastAsia="zh-CN"/>
              </w:rPr>
              <w:t>②</w:t>
            </w:r>
            <w:r>
              <w:rPr>
                <w:rFonts w:ascii="Times New Roman" w:hAnsi="Times New Roman"/>
                <w:color w:val="auto"/>
              </w:rPr>
              <w:t>评价等级判别表</w:t>
            </w:r>
          </w:p>
          <w:p>
            <w:pPr>
              <w:pStyle w:val="38"/>
              <w:ind w:firstLine="480"/>
              <w:rPr>
                <w:rFonts w:ascii="Times New Roman" w:hAnsi="Times New Roman"/>
                <w:color w:val="auto"/>
              </w:rPr>
            </w:pPr>
            <w:r>
              <w:rPr>
                <w:rFonts w:ascii="Times New Roman" w:hAnsi="Times New Roman"/>
                <w:color w:val="auto"/>
              </w:rPr>
              <w:t>评价等级按下表的分级判据进行划分</w:t>
            </w:r>
          </w:p>
          <w:p>
            <w:pPr>
              <w:pStyle w:val="37"/>
              <w:rPr>
                <w:rFonts w:ascii="Times New Roman" w:hAnsi="Times New Roman" w:cs="Times New Roman"/>
                <w:color w:val="auto"/>
              </w:rPr>
            </w:pPr>
            <w:r>
              <w:rPr>
                <w:rFonts w:ascii="Times New Roman" w:hAnsi="Times New Roman" w:cs="Times New Roman"/>
                <w:color w:val="auto"/>
              </w:rPr>
              <w:t>表4.</w:t>
            </w:r>
            <w:r>
              <w:rPr>
                <w:rFonts w:hint="eastAsia" w:ascii="Times New Roman" w:hAnsi="Times New Roman" w:cs="Times New Roman"/>
                <w:color w:val="auto"/>
                <w:lang w:val="en-US" w:eastAsia="zh-CN"/>
              </w:rPr>
              <w:t>2</w:t>
            </w:r>
            <w:r>
              <w:rPr>
                <w:rFonts w:ascii="Times New Roman" w:hAnsi="Times New Roman" w:cs="Times New Roman"/>
                <w:color w:val="auto"/>
              </w:rPr>
              <w:t>-</w:t>
            </w:r>
            <w:r>
              <w:rPr>
                <w:rFonts w:hint="eastAsia" w:ascii="Times New Roman" w:hAnsi="Times New Roman" w:cs="Times New Roman"/>
                <w:color w:val="auto"/>
                <w:lang w:val="en-US" w:eastAsia="zh-CN"/>
              </w:rPr>
              <w:t xml:space="preserve">2  </w:t>
            </w:r>
            <w:r>
              <w:rPr>
                <w:rFonts w:ascii="Times New Roman" w:hAnsi="Times New Roman" w:cs="Times New Roman"/>
                <w:color w:val="auto"/>
              </w:rPr>
              <w:t>评价等级判别表</w:t>
            </w:r>
          </w:p>
          <w:tbl>
            <w:tblPr>
              <w:tblStyle w:val="27"/>
              <w:tblW w:w="5000" w:type="pct"/>
              <w:tblInd w:w="0" w:type="dxa"/>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Layout w:type="fixed"/>
              <w:tblCellMar>
                <w:top w:w="0" w:type="dxa"/>
                <w:left w:w="108" w:type="dxa"/>
                <w:bottom w:w="0" w:type="dxa"/>
                <w:right w:w="108" w:type="dxa"/>
              </w:tblCellMar>
            </w:tblPr>
            <w:tblGrid>
              <w:gridCol w:w="3814"/>
              <w:gridCol w:w="4391"/>
            </w:tblGrid>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108" w:type="dxa"/>
                  <w:bottom w:w="0" w:type="dxa"/>
                  <w:right w:w="108" w:type="dxa"/>
                </w:tblCellMar>
              </w:tblPrEx>
              <w:trPr>
                <w:trHeight w:val="327" w:hRule="atLeast"/>
              </w:trPr>
              <w:tc>
                <w:tcPr>
                  <w:tcW w:w="2324" w:type="pct"/>
                  <w:tcBorders>
                    <w:top w:val="single" w:color="auto" w:sz="12" w:space="0"/>
                    <w:left w:val="single" w:color="auto" w:sz="12" w:space="0"/>
                    <w:bottom w:val="single" w:color="000000" w:sz="8" w:space="0"/>
                    <w:right w:val="single" w:color="000000" w:sz="8" w:space="0"/>
                  </w:tcBorders>
                  <w:noWrap w:val="0"/>
                  <w:vAlign w:val="center"/>
                </w:tcPr>
                <w:p>
                  <w:pPr>
                    <w:widowControl/>
                    <w:adjustRightInd w:val="0"/>
                    <w:snapToGrid w:val="0"/>
                    <w:spacing w:line="240" w:lineRule="auto"/>
                    <w:ind w:firstLine="0" w:firstLineChars="0"/>
                    <w:jc w:val="center"/>
                    <w:rPr>
                      <w:color w:val="auto"/>
                      <w:kern w:val="0"/>
                      <w:sz w:val="21"/>
                    </w:rPr>
                  </w:pPr>
                  <w:r>
                    <w:rPr>
                      <w:color w:val="auto"/>
                      <w:kern w:val="0"/>
                      <w:sz w:val="21"/>
                    </w:rPr>
                    <w:t>评价工作等级</w:t>
                  </w:r>
                </w:p>
              </w:tc>
              <w:tc>
                <w:tcPr>
                  <w:tcW w:w="2676" w:type="pct"/>
                  <w:tcBorders>
                    <w:top w:val="single" w:color="auto" w:sz="12" w:space="0"/>
                    <w:left w:val="single" w:color="000000" w:sz="8" w:space="0"/>
                    <w:bottom w:val="single" w:color="000000" w:sz="8" w:space="0"/>
                    <w:right w:val="single" w:color="auto" w:sz="12" w:space="0"/>
                  </w:tcBorders>
                  <w:noWrap w:val="0"/>
                  <w:vAlign w:val="center"/>
                </w:tcPr>
                <w:p>
                  <w:pPr>
                    <w:widowControl/>
                    <w:adjustRightInd w:val="0"/>
                    <w:snapToGrid w:val="0"/>
                    <w:spacing w:line="240" w:lineRule="auto"/>
                    <w:ind w:firstLine="0" w:firstLineChars="0"/>
                    <w:jc w:val="center"/>
                    <w:rPr>
                      <w:color w:val="auto"/>
                      <w:kern w:val="0"/>
                      <w:sz w:val="21"/>
                    </w:rPr>
                  </w:pPr>
                  <w:r>
                    <w:rPr>
                      <w:color w:val="auto"/>
                      <w:kern w:val="0"/>
                      <w:sz w:val="21"/>
                    </w:rPr>
                    <w:t>评价工作分级判据</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108" w:type="dxa"/>
                  <w:bottom w:w="0" w:type="dxa"/>
                  <w:right w:w="108" w:type="dxa"/>
                </w:tblCellMar>
              </w:tblPrEx>
              <w:trPr>
                <w:trHeight w:val="327" w:hRule="atLeast"/>
              </w:trPr>
              <w:tc>
                <w:tcPr>
                  <w:tcW w:w="2324" w:type="pct"/>
                  <w:tcBorders>
                    <w:top w:val="single" w:color="000000" w:sz="8" w:space="0"/>
                    <w:left w:val="single" w:color="auto" w:sz="12" w:space="0"/>
                    <w:bottom w:val="single" w:color="000000" w:sz="8" w:space="0"/>
                    <w:right w:val="single" w:color="000000" w:sz="8" w:space="0"/>
                  </w:tcBorders>
                  <w:noWrap w:val="0"/>
                  <w:vAlign w:val="center"/>
                </w:tcPr>
                <w:p>
                  <w:pPr>
                    <w:widowControl/>
                    <w:adjustRightInd w:val="0"/>
                    <w:snapToGrid w:val="0"/>
                    <w:spacing w:line="240" w:lineRule="auto"/>
                    <w:ind w:firstLine="0" w:firstLineChars="0"/>
                    <w:jc w:val="center"/>
                    <w:rPr>
                      <w:color w:val="auto"/>
                      <w:kern w:val="0"/>
                      <w:sz w:val="21"/>
                    </w:rPr>
                  </w:pPr>
                  <w:r>
                    <w:rPr>
                      <w:color w:val="auto"/>
                      <w:kern w:val="0"/>
                      <w:sz w:val="21"/>
                    </w:rPr>
                    <w:t>一级评价</w:t>
                  </w:r>
                </w:p>
              </w:tc>
              <w:tc>
                <w:tcPr>
                  <w:tcW w:w="2676" w:type="pct"/>
                  <w:tcBorders>
                    <w:top w:val="single" w:color="000000" w:sz="8" w:space="0"/>
                    <w:left w:val="single" w:color="000000" w:sz="8" w:space="0"/>
                    <w:bottom w:val="single" w:color="000000" w:sz="8" w:space="0"/>
                    <w:right w:val="single" w:color="auto" w:sz="12" w:space="0"/>
                  </w:tcBorders>
                  <w:noWrap w:val="0"/>
                  <w:vAlign w:val="center"/>
                </w:tcPr>
                <w:p>
                  <w:pPr>
                    <w:widowControl/>
                    <w:adjustRightInd w:val="0"/>
                    <w:snapToGrid w:val="0"/>
                    <w:spacing w:line="240" w:lineRule="auto"/>
                    <w:ind w:firstLine="0" w:firstLineChars="0"/>
                    <w:jc w:val="center"/>
                    <w:rPr>
                      <w:color w:val="auto"/>
                      <w:kern w:val="0"/>
                      <w:sz w:val="21"/>
                    </w:rPr>
                  </w:pPr>
                  <w:r>
                    <w:rPr>
                      <w:color w:val="auto"/>
                      <w:kern w:val="0"/>
                      <w:sz w:val="21"/>
                    </w:rPr>
                    <w:t>Pmax</w:t>
                  </w:r>
                  <w:r>
                    <w:rPr>
                      <w:rFonts w:hint="eastAsia" w:ascii="宋体" w:hAnsi="宋体" w:cs="宋体"/>
                      <w:color w:val="auto"/>
                      <w:kern w:val="0"/>
                      <w:sz w:val="21"/>
                    </w:rPr>
                    <w:t>≧</w:t>
                  </w:r>
                  <w:r>
                    <w:rPr>
                      <w:color w:val="auto"/>
                      <w:kern w:val="0"/>
                      <w:sz w:val="21"/>
                    </w:rPr>
                    <w:t>10%</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108" w:type="dxa"/>
                  <w:bottom w:w="0" w:type="dxa"/>
                  <w:right w:w="108" w:type="dxa"/>
                </w:tblCellMar>
              </w:tblPrEx>
              <w:trPr>
                <w:trHeight w:val="327" w:hRule="atLeast"/>
              </w:trPr>
              <w:tc>
                <w:tcPr>
                  <w:tcW w:w="2324" w:type="pct"/>
                  <w:tcBorders>
                    <w:top w:val="single" w:color="000000" w:sz="8" w:space="0"/>
                    <w:left w:val="single" w:color="auto" w:sz="12" w:space="0"/>
                    <w:bottom w:val="single" w:color="000000" w:sz="8" w:space="0"/>
                    <w:right w:val="single" w:color="000000" w:sz="8" w:space="0"/>
                  </w:tcBorders>
                  <w:noWrap w:val="0"/>
                  <w:vAlign w:val="center"/>
                </w:tcPr>
                <w:p>
                  <w:pPr>
                    <w:widowControl/>
                    <w:adjustRightInd w:val="0"/>
                    <w:snapToGrid w:val="0"/>
                    <w:spacing w:line="240" w:lineRule="auto"/>
                    <w:ind w:firstLine="0" w:firstLineChars="0"/>
                    <w:jc w:val="center"/>
                    <w:rPr>
                      <w:color w:val="auto"/>
                      <w:kern w:val="0"/>
                      <w:sz w:val="21"/>
                    </w:rPr>
                  </w:pPr>
                  <w:r>
                    <w:rPr>
                      <w:color w:val="auto"/>
                      <w:kern w:val="0"/>
                      <w:sz w:val="21"/>
                    </w:rPr>
                    <w:t>二级评价</w:t>
                  </w:r>
                </w:p>
              </w:tc>
              <w:tc>
                <w:tcPr>
                  <w:tcW w:w="2676" w:type="pct"/>
                  <w:tcBorders>
                    <w:top w:val="single" w:color="000000" w:sz="8" w:space="0"/>
                    <w:left w:val="single" w:color="000000" w:sz="8" w:space="0"/>
                    <w:bottom w:val="single" w:color="000000" w:sz="8" w:space="0"/>
                    <w:right w:val="single" w:color="auto" w:sz="12" w:space="0"/>
                  </w:tcBorders>
                  <w:noWrap w:val="0"/>
                  <w:vAlign w:val="center"/>
                </w:tcPr>
                <w:p>
                  <w:pPr>
                    <w:widowControl/>
                    <w:adjustRightInd w:val="0"/>
                    <w:snapToGrid w:val="0"/>
                    <w:spacing w:line="240" w:lineRule="auto"/>
                    <w:ind w:firstLine="0" w:firstLineChars="0"/>
                    <w:jc w:val="center"/>
                    <w:rPr>
                      <w:color w:val="auto"/>
                      <w:kern w:val="0"/>
                      <w:sz w:val="21"/>
                    </w:rPr>
                  </w:pPr>
                  <w:r>
                    <w:rPr>
                      <w:color w:val="auto"/>
                      <w:kern w:val="0"/>
                      <w:sz w:val="21"/>
                    </w:rPr>
                    <w:t>1%</w:t>
                  </w:r>
                  <w:r>
                    <w:rPr>
                      <w:rFonts w:hint="eastAsia" w:ascii="宋体" w:hAnsi="宋体" w:cs="宋体"/>
                      <w:color w:val="auto"/>
                      <w:kern w:val="0"/>
                      <w:sz w:val="21"/>
                    </w:rPr>
                    <w:t>≦</w:t>
                  </w:r>
                  <w:r>
                    <w:rPr>
                      <w:color w:val="auto"/>
                      <w:kern w:val="0"/>
                      <w:sz w:val="21"/>
                    </w:rPr>
                    <w:t>Pmax&lt;10%</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108" w:type="dxa"/>
                  <w:bottom w:w="0" w:type="dxa"/>
                  <w:right w:w="108" w:type="dxa"/>
                </w:tblCellMar>
              </w:tblPrEx>
              <w:trPr>
                <w:trHeight w:val="327" w:hRule="atLeast"/>
              </w:trPr>
              <w:tc>
                <w:tcPr>
                  <w:tcW w:w="2324" w:type="pct"/>
                  <w:tcBorders>
                    <w:top w:val="single" w:color="000000" w:sz="8" w:space="0"/>
                    <w:left w:val="single" w:color="auto" w:sz="12" w:space="0"/>
                    <w:bottom w:val="single" w:color="auto" w:sz="12" w:space="0"/>
                    <w:right w:val="single" w:color="000000" w:sz="8" w:space="0"/>
                  </w:tcBorders>
                  <w:noWrap w:val="0"/>
                  <w:vAlign w:val="center"/>
                </w:tcPr>
                <w:p>
                  <w:pPr>
                    <w:widowControl/>
                    <w:adjustRightInd w:val="0"/>
                    <w:snapToGrid w:val="0"/>
                    <w:spacing w:line="240" w:lineRule="auto"/>
                    <w:ind w:firstLine="0" w:firstLineChars="0"/>
                    <w:jc w:val="center"/>
                    <w:rPr>
                      <w:color w:val="auto"/>
                      <w:kern w:val="0"/>
                      <w:sz w:val="21"/>
                    </w:rPr>
                  </w:pPr>
                  <w:r>
                    <w:rPr>
                      <w:color w:val="auto"/>
                      <w:kern w:val="0"/>
                      <w:sz w:val="21"/>
                    </w:rPr>
                    <w:t>三级评价</w:t>
                  </w:r>
                </w:p>
              </w:tc>
              <w:tc>
                <w:tcPr>
                  <w:tcW w:w="2676" w:type="pct"/>
                  <w:tcBorders>
                    <w:top w:val="single" w:color="000000" w:sz="8" w:space="0"/>
                    <w:left w:val="single" w:color="000000" w:sz="8" w:space="0"/>
                    <w:bottom w:val="single" w:color="auto" w:sz="12" w:space="0"/>
                    <w:right w:val="single" w:color="auto" w:sz="12" w:space="0"/>
                  </w:tcBorders>
                  <w:noWrap w:val="0"/>
                  <w:vAlign w:val="center"/>
                </w:tcPr>
                <w:p>
                  <w:pPr>
                    <w:widowControl/>
                    <w:adjustRightInd w:val="0"/>
                    <w:snapToGrid w:val="0"/>
                    <w:spacing w:line="240" w:lineRule="auto"/>
                    <w:ind w:firstLine="0" w:firstLineChars="0"/>
                    <w:jc w:val="center"/>
                    <w:rPr>
                      <w:color w:val="auto"/>
                      <w:kern w:val="0"/>
                      <w:sz w:val="21"/>
                    </w:rPr>
                  </w:pPr>
                  <w:r>
                    <w:rPr>
                      <w:color w:val="auto"/>
                      <w:kern w:val="0"/>
                      <w:sz w:val="21"/>
                    </w:rPr>
                    <w:t>Pmax&lt;1%</w:t>
                  </w:r>
                </w:p>
              </w:tc>
            </w:tr>
          </w:tbl>
          <w:p>
            <w:pPr>
              <w:pStyle w:val="38"/>
              <w:ind w:firstLine="480"/>
              <w:rPr>
                <w:rFonts w:ascii="Times New Roman" w:hAnsi="Times New Roman"/>
                <w:color w:val="auto"/>
              </w:rPr>
            </w:pPr>
            <w:r>
              <w:rPr>
                <w:rFonts w:hint="eastAsia" w:ascii="Times New Roman" w:hAnsi="Times New Roman" w:eastAsia="宋体" w:cs="Times New Roman"/>
                <w:color w:val="auto"/>
                <w:sz w:val="24"/>
                <w:lang w:val="en-US" w:eastAsia="zh-CN"/>
              </w:rPr>
              <w:t>③</w:t>
            </w:r>
            <w:r>
              <w:rPr>
                <w:rFonts w:ascii="Times New Roman" w:hAnsi="Times New Roman"/>
                <w:color w:val="auto"/>
              </w:rPr>
              <w:t>评价因子与评价标准确定</w:t>
            </w:r>
          </w:p>
          <w:p>
            <w:pPr>
              <w:pStyle w:val="216"/>
              <w:rPr>
                <w:rFonts w:hint="default" w:ascii="Times New Roman" w:hAnsi="Times New Roman" w:cs="Times New Roman"/>
                <w:color w:val="auto"/>
                <w:sz w:val="24"/>
                <w:szCs w:val="24"/>
                <w:highlight w:val="none"/>
              </w:rPr>
            </w:pPr>
            <w:r>
              <w:rPr>
                <w:rFonts w:hint="eastAsia" w:cs="Times New Roman"/>
                <w:b w:val="0"/>
                <w:bCs/>
                <w:color w:val="auto"/>
                <w:sz w:val="24"/>
                <w:szCs w:val="24"/>
                <w:highlight w:val="none"/>
                <w:lang w:val="en-US" w:eastAsia="zh-CN"/>
              </w:rPr>
              <w:t>根</w:t>
            </w:r>
            <w:r>
              <w:rPr>
                <w:rFonts w:hint="default" w:ascii="Times New Roman" w:hAnsi="Times New Roman" w:cs="Times New Roman"/>
                <w:b w:val="0"/>
                <w:bCs/>
                <w:color w:val="auto"/>
                <w:sz w:val="24"/>
                <w:szCs w:val="24"/>
                <w:highlight w:val="none"/>
              </w:rPr>
              <w:t>据</w:t>
            </w:r>
            <w:r>
              <w:rPr>
                <w:rFonts w:hint="eastAsia" w:ascii="Times New Roman" w:hAnsi="Times New Roman" w:cs="Times New Roman"/>
                <w:b w:val="0"/>
                <w:bCs/>
                <w:color w:val="auto"/>
                <w:sz w:val="24"/>
                <w:szCs w:val="24"/>
                <w:highlight w:val="none"/>
                <w:lang w:eastAsia="zh-CN"/>
              </w:rPr>
              <w:t>项目对环境的影响，本评价因子取</w:t>
            </w:r>
            <w:r>
              <w:rPr>
                <w:rFonts w:hint="default" w:ascii="Times New Roman" w:hAnsi="Times New Roman" w:cs="Times New Roman"/>
                <w:b w:val="0"/>
                <w:bCs/>
                <w:color w:val="auto"/>
                <w:sz w:val="24"/>
                <w:szCs w:val="24"/>
                <w:highlight w:val="none"/>
                <w:lang w:eastAsia="zh-CN"/>
              </w:rPr>
              <w:t>非甲烷总烃</w:t>
            </w:r>
            <w:r>
              <w:rPr>
                <w:rFonts w:hint="eastAsia" w:cs="Times New Roman"/>
                <w:b w:val="0"/>
                <w:bCs/>
                <w:color w:val="auto"/>
                <w:sz w:val="24"/>
                <w:szCs w:val="24"/>
                <w:highlight w:val="none"/>
                <w:lang w:eastAsia="zh-CN"/>
              </w:rPr>
              <w:t>，</w:t>
            </w:r>
            <w:r>
              <w:rPr>
                <w:rFonts w:hint="eastAsia" w:cs="Times New Roman"/>
                <w:color w:val="auto"/>
                <w:sz w:val="24"/>
                <w:szCs w:val="24"/>
                <w:highlight w:val="none"/>
                <w:lang w:eastAsia="zh-CN"/>
              </w:rPr>
              <w:t>项目大气</w:t>
            </w:r>
            <w:r>
              <w:rPr>
                <w:rFonts w:hint="default" w:ascii="Times New Roman" w:hAnsi="Times New Roman" w:cs="Times New Roman"/>
                <w:color w:val="auto"/>
                <w:sz w:val="24"/>
                <w:szCs w:val="24"/>
                <w:highlight w:val="none"/>
              </w:rPr>
              <w:t>评价因子和评价标准详见表</w:t>
            </w:r>
            <w:r>
              <w:rPr>
                <w:rFonts w:hint="eastAsia" w:ascii="Times New Roman" w:hAnsi="Times New Roman" w:cs="Times New Roman"/>
                <w:color w:val="auto"/>
                <w:sz w:val="24"/>
                <w:szCs w:val="24"/>
                <w:highlight w:val="none"/>
                <w:lang w:val="en-US" w:eastAsia="zh-CN"/>
              </w:rPr>
              <w:t>4.2-</w:t>
            </w:r>
            <w:r>
              <w:rPr>
                <w:rFonts w:hint="eastAsia"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w:t>
            </w:r>
          </w:p>
          <w:p>
            <w:pPr>
              <w:pStyle w:val="37"/>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表4.2-3  项目评价因子和评价标准一览表</w:t>
            </w:r>
          </w:p>
          <w:tbl>
            <w:tblPr>
              <w:tblStyle w:val="27"/>
              <w:tblW w:w="4992"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28" w:type="dxa"/>
                <w:left w:w="28" w:type="dxa"/>
                <w:bottom w:w="28" w:type="dxa"/>
                <w:right w:w="28" w:type="dxa"/>
              </w:tblCellMar>
            </w:tblPr>
            <w:tblGrid>
              <w:gridCol w:w="1523"/>
              <w:gridCol w:w="1235"/>
              <w:gridCol w:w="1978"/>
              <w:gridCol w:w="345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929" w:type="pct"/>
                  <w:tcBorders>
                    <w:tl2br w:val="nil"/>
                    <w:tr2bl w:val="nil"/>
                  </w:tcBorders>
                  <w:noWrap w:val="0"/>
                  <w:vAlign w:val="center"/>
                </w:tcPr>
                <w:p>
                  <w:pPr>
                    <w:pStyle w:val="36"/>
                    <w:bidi w:val="0"/>
                    <w:rPr>
                      <w:rFonts w:hint="eastAsia"/>
                      <w:color w:val="auto"/>
                      <w:lang w:val="zh-CN" w:eastAsia="zh-CN"/>
                    </w:rPr>
                  </w:pPr>
                  <w:r>
                    <w:rPr>
                      <w:rFonts w:hint="eastAsia"/>
                      <w:color w:val="auto"/>
                      <w:lang w:val="zh-CN" w:eastAsia="zh-CN"/>
                    </w:rPr>
                    <w:t>评价因子</w:t>
                  </w:r>
                </w:p>
              </w:tc>
              <w:tc>
                <w:tcPr>
                  <w:tcW w:w="753" w:type="pct"/>
                  <w:tcBorders>
                    <w:tl2br w:val="nil"/>
                    <w:tr2bl w:val="nil"/>
                  </w:tcBorders>
                  <w:noWrap w:val="0"/>
                  <w:vAlign w:val="center"/>
                </w:tcPr>
                <w:p>
                  <w:pPr>
                    <w:pStyle w:val="36"/>
                    <w:bidi w:val="0"/>
                    <w:rPr>
                      <w:rFonts w:hint="eastAsia"/>
                      <w:color w:val="auto"/>
                      <w:lang w:val="zh-CN" w:eastAsia="zh-CN"/>
                    </w:rPr>
                  </w:pPr>
                  <w:r>
                    <w:rPr>
                      <w:rFonts w:hint="eastAsia"/>
                      <w:color w:val="auto"/>
                      <w:lang w:val="zh-CN" w:eastAsia="zh-CN"/>
                    </w:rPr>
                    <w:t>平均时段</w:t>
                  </w:r>
                </w:p>
              </w:tc>
              <w:tc>
                <w:tcPr>
                  <w:tcW w:w="1207" w:type="pct"/>
                  <w:tcBorders>
                    <w:tl2br w:val="nil"/>
                    <w:tr2bl w:val="nil"/>
                  </w:tcBorders>
                  <w:noWrap w:val="0"/>
                  <w:vAlign w:val="center"/>
                </w:tcPr>
                <w:p>
                  <w:pPr>
                    <w:pStyle w:val="36"/>
                    <w:bidi w:val="0"/>
                    <w:rPr>
                      <w:rFonts w:hint="eastAsia"/>
                      <w:color w:val="auto"/>
                      <w:lang w:val="zh-CN" w:eastAsia="zh-CN"/>
                    </w:rPr>
                  </w:pPr>
                  <w:r>
                    <w:rPr>
                      <w:rFonts w:hint="eastAsia"/>
                      <w:color w:val="auto"/>
                      <w:lang w:val="zh-CN" w:eastAsia="zh-CN"/>
                    </w:rPr>
                    <w:t>标准值</w:t>
                  </w:r>
                </w:p>
              </w:tc>
              <w:tc>
                <w:tcPr>
                  <w:tcW w:w="2109" w:type="pct"/>
                  <w:tcBorders>
                    <w:tl2br w:val="nil"/>
                    <w:tr2bl w:val="nil"/>
                  </w:tcBorders>
                  <w:noWrap w:val="0"/>
                  <w:vAlign w:val="center"/>
                </w:tcPr>
                <w:p>
                  <w:pPr>
                    <w:pStyle w:val="36"/>
                    <w:bidi w:val="0"/>
                    <w:rPr>
                      <w:rFonts w:hint="eastAsia"/>
                      <w:color w:val="auto"/>
                      <w:lang w:val="zh-CN" w:eastAsia="zh-CN"/>
                    </w:rPr>
                  </w:pPr>
                  <w:r>
                    <w:rPr>
                      <w:rFonts w:hint="eastAsia"/>
                      <w:color w:val="auto"/>
                      <w:lang w:val="zh-CN" w:eastAsia="zh-CN"/>
                    </w:rPr>
                    <w:t>标准来源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28" w:type="dxa"/>
                  <w:bottom w:w="28" w:type="dxa"/>
                  <w:right w:w="28" w:type="dxa"/>
                </w:tblCellMar>
              </w:tblPrEx>
              <w:trPr>
                <w:trHeight w:val="340" w:hRule="atLeast"/>
                <w:jc w:val="center"/>
              </w:trPr>
              <w:tc>
                <w:tcPr>
                  <w:tcW w:w="929"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非甲烷总烃</w:t>
                  </w:r>
                </w:p>
              </w:tc>
              <w:tc>
                <w:tcPr>
                  <w:tcW w:w="753"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1h</w:t>
                  </w:r>
                </w:p>
              </w:tc>
              <w:tc>
                <w:tcPr>
                  <w:tcW w:w="1207" w:type="pct"/>
                  <w:tcBorders>
                    <w:tl2br w:val="nil"/>
                    <w:tr2bl w:val="nil"/>
                  </w:tcBorders>
                  <w:noWrap w:val="0"/>
                  <w:vAlign w:val="center"/>
                </w:tcPr>
                <w:p>
                  <w:pPr>
                    <w:pStyle w:val="36"/>
                    <w:bidi w:val="0"/>
                    <w:rPr>
                      <w:rFonts w:hint="eastAsia"/>
                      <w:color w:val="auto"/>
                      <w:lang w:val="en-US" w:eastAsia="zh-CN"/>
                    </w:rPr>
                  </w:pPr>
                  <w:r>
                    <w:rPr>
                      <w:rFonts w:hint="eastAsia" w:ascii="Times New Roman" w:hAnsi="Times New Roman" w:cs="Times New Roman"/>
                      <w:color w:val="auto"/>
                      <w:sz w:val="21"/>
                      <w:szCs w:val="21"/>
                      <w:highlight w:val="none"/>
                      <w:lang w:val="en-US" w:eastAsia="zh-CN"/>
                    </w:rPr>
                    <w:t>2000</w:t>
                  </w:r>
                  <w:r>
                    <w:rPr>
                      <w:rFonts w:hint="default" w:ascii="Times New Roman" w:hAnsi="Times New Roman" w:cs="Times New Roman"/>
                      <w:color w:val="auto"/>
                      <w:highlight w:val="none"/>
                    </w:rPr>
                    <w:t>μg/m</w:t>
                  </w:r>
                  <w:r>
                    <w:rPr>
                      <w:rFonts w:hint="default" w:ascii="Times New Roman" w:hAnsi="Times New Roman" w:cs="Times New Roman"/>
                      <w:color w:val="auto"/>
                      <w:highlight w:val="none"/>
                      <w:vertAlign w:val="superscript"/>
                    </w:rPr>
                    <w:t>3</w:t>
                  </w:r>
                </w:p>
              </w:tc>
              <w:tc>
                <w:tcPr>
                  <w:tcW w:w="2109" w:type="pct"/>
                  <w:tcBorders>
                    <w:tl2br w:val="nil"/>
                    <w:tr2bl w:val="nil"/>
                  </w:tcBorders>
                  <w:noWrap w:val="0"/>
                  <w:vAlign w:val="center"/>
                </w:tcPr>
                <w:p>
                  <w:pPr>
                    <w:pStyle w:val="36"/>
                    <w:bidi w:val="0"/>
                    <w:rPr>
                      <w:rFonts w:hint="default"/>
                      <w:color w:val="auto"/>
                      <w:lang w:val="zh-CN" w:eastAsia="zh-CN"/>
                    </w:rPr>
                  </w:pPr>
                  <w:r>
                    <w:rPr>
                      <w:rFonts w:hint="default"/>
                      <w:color w:val="auto"/>
                      <w:lang w:val="zh-CN" w:eastAsia="zh-CN"/>
                    </w:rPr>
                    <w:t>《大气污染物综合排放标准详解》</w:t>
                  </w:r>
                </w:p>
                <w:p>
                  <w:pPr>
                    <w:pStyle w:val="36"/>
                    <w:bidi w:val="0"/>
                    <w:rPr>
                      <w:rFonts w:hint="eastAsia"/>
                      <w:color w:val="auto"/>
                      <w:lang w:val="zh-CN" w:eastAsia="zh-CN"/>
                    </w:rPr>
                  </w:pPr>
                  <w:r>
                    <w:rPr>
                      <w:rFonts w:hint="default"/>
                      <w:color w:val="auto"/>
                      <w:lang w:val="zh-CN" w:eastAsia="zh-CN"/>
                    </w:rPr>
                    <w:t>244页</w:t>
                  </w:r>
                </w:p>
              </w:tc>
            </w:tr>
          </w:tbl>
          <w:p>
            <w:pPr>
              <w:keepNext w:val="0"/>
              <w:keepLines w:val="0"/>
              <w:pageBreakBefore w:val="0"/>
              <w:widowControl w:val="0"/>
              <w:tabs>
                <w:tab w:val="left" w:pos="1470"/>
              </w:tabs>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④</w:t>
            </w:r>
            <w:r>
              <w:rPr>
                <w:rFonts w:hint="eastAsia" w:ascii="Times New Roman" w:hAnsi="Times New Roman" w:eastAsia="宋体" w:cs="Times New Roman"/>
                <w:color w:val="auto"/>
                <w:sz w:val="24"/>
                <w:lang w:val="en-US" w:eastAsia="zh-CN"/>
              </w:rPr>
              <w:t>估算参数</w:t>
            </w:r>
          </w:p>
          <w:p>
            <w:pPr>
              <w:keepNext w:val="0"/>
              <w:keepLines w:val="0"/>
              <w:pageBreakBefore w:val="0"/>
              <w:widowControl w:val="0"/>
              <w:tabs>
                <w:tab w:val="left" w:pos="1470"/>
              </w:tabs>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项目估算模型参数表见表4.</w:t>
            </w:r>
            <w:r>
              <w:rPr>
                <w:rFonts w:hint="eastAsia" w:cs="Times New Roman"/>
                <w:color w:val="auto"/>
                <w:sz w:val="24"/>
                <w:lang w:val="en-US" w:eastAsia="zh-CN"/>
              </w:rPr>
              <w:t>2</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4</w:t>
            </w:r>
            <w:r>
              <w:rPr>
                <w:rFonts w:hint="eastAsia" w:ascii="Times New Roman" w:hAnsi="Times New Roman" w:eastAsia="宋体"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color w:val="auto"/>
                <w:sz w:val="24"/>
                <w:lang w:val="en-US" w:eastAsia="zh-CN" w:bidi="ar"/>
              </w:rPr>
            </w:pPr>
            <w:bookmarkStart w:id="85" w:name="表4.2-2  项目估算模型参数一览表"/>
            <w:bookmarkEnd w:id="85"/>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color w:val="auto"/>
                <w:sz w:val="24"/>
                <w:lang w:val="en-US" w:eastAsia="zh-CN" w:bidi="ar"/>
              </w:rPr>
            </w:pPr>
          </w:p>
          <w:p>
            <w:pPr>
              <w:pStyle w:val="37"/>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表4.2-4  项目估算模型参数一览表</w:t>
            </w:r>
          </w:p>
          <w:tbl>
            <w:tblPr>
              <w:tblStyle w:val="2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977"/>
              <w:gridCol w:w="3554"/>
              <w:gridCol w:w="267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70" w:type="pct"/>
                  <w:gridSpan w:val="2"/>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参数</w:t>
                  </w:r>
                </w:p>
              </w:tc>
              <w:tc>
                <w:tcPr>
                  <w:tcW w:w="1629"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取值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05" w:type="pct"/>
                  <w:vMerge w:val="restar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城市/农村选项</w:t>
                  </w:r>
                </w:p>
              </w:tc>
              <w:tc>
                <w:tcPr>
                  <w:tcW w:w="2164"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城市/农村</w:t>
                  </w:r>
                </w:p>
              </w:tc>
              <w:tc>
                <w:tcPr>
                  <w:tcW w:w="1629"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城市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05" w:type="pct"/>
                  <w:vMerge w:val="continue"/>
                  <w:tcBorders>
                    <w:tl2br w:val="nil"/>
                    <w:tr2bl w:val="nil"/>
                  </w:tcBorders>
                  <w:noWrap w:val="0"/>
                  <w:vAlign w:val="center"/>
                </w:tcPr>
                <w:p>
                  <w:pPr>
                    <w:pStyle w:val="36"/>
                    <w:bidi w:val="0"/>
                    <w:rPr>
                      <w:rFonts w:hint="eastAsia"/>
                      <w:color w:val="auto"/>
                      <w:lang w:val="en-US" w:eastAsia="zh-CN"/>
                    </w:rPr>
                  </w:pPr>
                </w:p>
              </w:tc>
              <w:tc>
                <w:tcPr>
                  <w:tcW w:w="2164"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人口数（城市选项时）</w:t>
                  </w:r>
                </w:p>
              </w:tc>
              <w:tc>
                <w:tcPr>
                  <w:tcW w:w="1629"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141.4万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70" w:type="pct"/>
                  <w:gridSpan w:val="2"/>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最高环境温度/℃</w:t>
                  </w:r>
                </w:p>
              </w:tc>
              <w:tc>
                <w:tcPr>
                  <w:tcW w:w="1629"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38.4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70" w:type="pct"/>
                  <w:gridSpan w:val="2"/>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最低环境温度/℃</w:t>
                  </w:r>
                </w:p>
              </w:tc>
              <w:tc>
                <w:tcPr>
                  <w:tcW w:w="1629"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70" w:type="pct"/>
                  <w:gridSpan w:val="2"/>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土地利用类型</w:t>
                  </w:r>
                </w:p>
              </w:tc>
              <w:tc>
                <w:tcPr>
                  <w:tcW w:w="1629"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城市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370" w:type="pct"/>
                  <w:gridSpan w:val="2"/>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区域湿度条件</w:t>
                  </w:r>
                </w:p>
              </w:tc>
              <w:tc>
                <w:tcPr>
                  <w:tcW w:w="1629"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潮湿</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05" w:type="pct"/>
                  <w:vMerge w:val="restar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是否考虑地形</w:t>
                  </w:r>
                </w:p>
              </w:tc>
              <w:tc>
                <w:tcPr>
                  <w:tcW w:w="2164"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考虑地形</w:t>
                  </w:r>
                </w:p>
              </w:tc>
              <w:tc>
                <w:tcPr>
                  <w:tcW w:w="1629"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sym w:font="Wingdings 2" w:char="00A3"/>
                  </w:r>
                  <w:r>
                    <w:rPr>
                      <w:rFonts w:hint="eastAsia"/>
                      <w:color w:val="auto"/>
                      <w:lang w:val="en-US" w:eastAsia="zh-CN"/>
                    </w:rPr>
                    <w:t>是 ☑否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05" w:type="pct"/>
                  <w:vMerge w:val="continue"/>
                  <w:tcBorders>
                    <w:tl2br w:val="nil"/>
                    <w:tr2bl w:val="nil"/>
                  </w:tcBorders>
                  <w:noWrap w:val="0"/>
                  <w:vAlign w:val="center"/>
                </w:tcPr>
                <w:p>
                  <w:pPr>
                    <w:pStyle w:val="36"/>
                    <w:bidi w:val="0"/>
                    <w:rPr>
                      <w:rFonts w:hint="eastAsia"/>
                      <w:color w:val="auto"/>
                      <w:lang w:val="en-US" w:eastAsia="zh-CN"/>
                    </w:rPr>
                  </w:pPr>
                </w:p>
              </w:tc>
              <w:tc>
                <w:tcPr>
                  <w:tcW w:w="2164"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地形数据分辨率</w:t>
                  </w:r>
                </w:p>
              </w:tc>
              <w:tc>
                <w:tcPr>
                  <w:tcW w:w="1629"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05" w:type="pct"/>
                  <w:vMerge w:val="restart"/>
                  <w:tcBorders>
                    <w:tl2br w:val="nil"/>
                    <w:tr2bl w:val="nil"/>
                  </w:tcBorders>
                  <w:noWrap w:val="0"/>
                  <w:vAlign w:val="center"/>
                </w:tcPr>
                <w:p>
                  <w:pPr>
                    <w:pStyle w:val="36"/>
                    <w:bidi w:val="0"/>
                    <w:rPr>
                      <w:rFonts w:hint="eastAsia"/>
                      <w:color w:val="auto"/>
                      <w:lang w:val="en-US" w:eastAsia="zh-CN"/>
                    </w:rPr>
                  </w:pPr>
                </w:p>
                <w:p>
                  <w:pPr>
                    <w:pStyle w:val="36"/>
                    <w:bidi w:val="0"/>
                    <w:rPr>
                      <w:rFonts w:hint="eastAsia"/>
                      <w:color w:val="auto"/>
                      <w:lang w:val="en-US" w:eastAsia="zh-CN"/>
                    </w:rPr>
                  </w:pPr>
                  <w:r>
                    <w:rPr>
                      <w:rFonts w:hint="eastAsia"/>
                      <w:color w:val="auto"/>
                      <w:lang w:val="en-US" w:eastAsia="zh-CN"/>
                    </w:rPr>
                    <w:t>是否考虑岸边熏烟</w:t>
                  </w:r>
                </w:p>
              </w:tc>
              <w:tc>
                <w:tcPr>
                  <w:tcW w:w="2164"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考虑岸线熏烟</w:t>
                  </w:r>
                </w:p>
              </w:tc>
              <w:tc>
                <w:tcPr>
                  <w:tcW w:w="1629"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□是 ☑否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05" w:type="pct"/>
                  <w:vMerge w:val="continue"/>
                  <w:tcBorders>
                    <w:tl2br w:val="nil"/>
                    <w:tr2bl w:val="nil"/>
                  </w:tcBorders>
                  <w:noWrap w:val="0"/>
                  <w:vAlign w:val="center"/>
                </w:tcPr>
                <w:p>
                  <w:pPr>
                    <w:pStyle w:val="36"/>
                    <w:bidi w:val="0"/>
                    <w:rPr>
                      <w:rFonts w:hint="eastAsia"/>
                      <w:color w:val="auto"/>
                      <w:lang w:val="en-US" w:eastAsia="zh-CN"/>
                    </w:rPr>
                  </w:pPr>
                </w:p>
              </w:tc>
              <w:tc>
                <w:tcPr>
                  <w:tcW w:w="2164"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岸线距离/km</w:t>
                  </w:r>
                </w:p>
              </w:tc>
              <w:tc>
                <w:tcPr>
                  <w:tcW w:w="1629"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05" w:type="pct"/>
                  <w:vMerge w:val="continue"/>
                  <w:tcBorders>
                    <w:tl2br w:val="nil"/>
                    <w:tr2bl w:val="nil"/>
                  </w:tcBorders>
                  <w:noWrap w:val="0"/>
                  <w:vAlign w:val="center"/>
                </w:tcPr>
                <w:p>
                  <w:pPr>
                    <w:pStyle w:val="36"/>
                    <w:bidi w:val="0"/>
                    <w:rPr>
                      <w:rFonts w:hint="eastAsia"/>
                      <w:color w:val="auto"/>
                      <w:lang w:val="en-US" w:eastAsia="zh-CN"/>
                    </w:rPr>
                  </w:pPr>
                </w:p>
              </w:tc>
              <w:tc>
                <w:tcPr>
                  <w:tcW w:w="2164"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岸线方向/°</w:t>
                  </w:r>
                </w:p>
              </w:tc>
              <w:tc>
                <w:tcPr>
                  <w:tcW w:w="1629"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w:t>
                  </w:r>
                </w:p>
              </w:tc>
            </w:tr>
          </w:tbl>
          <w:p>
            <w:pPr>
              <w:keepNext w:val="0"/>
              <w:keepLines w:val="0"/>
              <w:pageBreakBefore w:val="0"/>
              <w:widowControl w:val="0"/>
              <w:tabs>
                <w:tab w:val="left" w:pos="1470"/>
              </w:tabs>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color w:val="auto"/>
                <w:sz w:val="24"/>
              </w:rPr>
            </w:pPr>
            <w:r>
              <w:rPr>
                <w:rFonts w:hint="eastAsia" w:cs="Times New Roman"/>
                <w:color w:val="auto"/>
                <w:sz w:val="24"/>
                <w:lang w:val="en-US" w:eastAsia="zh-CN"/>
              </w:rPr>
              <w:t>⑤</w:t>
            </w:r>
            <w:r>
              <w:rPr>
                <w:rFonts w:hint="eastAsia" w:ascii="Times New Roman" w:hAnsi="Times New Roman" w:eastAsia="宋体" w:cs="Times New Roman"/>
                <w:color w:val="auto"/>
                <w:sz w:val="24"/>
                <w:lang w:val="en-US" w:eastAsia="zh-CN"/>
              </w:rPr>
              <w:t>大气</w:t>
            </w:r>
            <w:r>
              <w:rPr>
                <w:rFonts w:hint="eastAsia" w:ascii="Times New Roman" w:hAnsi="Times New Roman" w:eastAsia="宋体" w:cs="Times New Roman"/>
                <w:color w:val="auto"/>
                <w:sz w:val="24"/>
              </w:rPr>
              <w:t>污染</w:t>
            </w:r>
            <w:r>
              <w:rPr>
                <w:rFonts w:hint="eastAsia" w:ascii="Times New Roman" w:hAnsi="Times New Roman" w:eastAsia="宋体" w:cs="Times New Roman"/>
                <w:color w:val="auto"/>
                <w:sz w:val="24"/>
                <w:lang w:val="en-US" w:eastAsia="zh-CN"/>
              </w:rPr>
              <w:t>面</w:t>
            </w:r>
            <w:r>
              <w:rPr>
                <w:rFonts w:hint="eastAsia" w:ascii="Times New Roman" w:hAnsi="Times New Roman" w:eastAsia="宋体" w:cs="Times New Roman"/>
                <w:color w:val="auto"/>
                <w:sz w:val="24"/>
              </w:rPr>
              <w:t>源强及参数</w:t>
            </w:r>
          </w:p>
          <w:p>
            <w:pPr>
              <w:keepNext w:val="0"/>
              <w:keepLines w:val="0"/>
              <w:pageBreakBefore w:val="0"/>
              <w:widowControl w:val="0"/>
              <w:tabs>
                <w:tab w:val="left" w:pos="1470"/>
              </w:tabs>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项目</w:t>
            </w:r>
            <w:r>
              <w:rPr>
                <w:rFonts w:hint="eastAsia" w:ascii="Times New Roman" w:hAnsi="Times New Roman" w:eastAsia="宋体" w:cs="Times New Roman"/>
                <w:color w:val="auto"/>
                <w:sz w:val="24"/>
                <w:lang w:val="en-US" w:eastAsia="zh-CN"/>
              </w:rPr>
              <w:t>大气</w:t>
            </w:r>
            <w:r>
              <w:rPr>
                <w:rFonts w:hint="eastAsia" w:ascii="Times New Roman" w:hAnsi="Times New Roman" w:eastAsia="宋体" w:cs="Times New Roman"/>
                <w:color w:val="auto"/>
                <w:sz w:val="24"/>
              </w:rPr>
              <w:t>污染物排放源强参数见下表</w:t>
            </w:r>
            <w:r>
              <w:rPr>
                <w:rFonts w:hint="eastAsia" w:cs="Times New Roman"/>
                <w:color w:val="auto"/>
                <w:sz w:val="24"/>
                <w:lang w:val="en-US" w:eastAsia="zh-CN"/>
              </w:rPr>
              <w:t>4.2-5</w:t>
            </w:r>
            <w:r>
              <w:rPr>
                <w:rFonts w:hint="eastAsia" w:ascii="Times New Roman" w:hAnsi="Times New Roman" w:eastAsia="宋体" w:cs="Times New Roman"/>
                <w:color w:val="auto"/>
                <w:sz w:val="24"/>
              </w:rPr>
              <w:t>。</w:t>
            </w:r>
          </w:p>
          <w:p>
            <w:pPr>
              <w:pStyle w:val="37"/>
              <w:rPr>
                <w:rFonts w:cs="Times New Roman"/>
                <w:color w:val="auto"/>
              </w:rPr>
            </w:pPr>
            <w:r>
              <w:rPr>
                <w:rFonts w:cs="Times New Roman"/>
                <w:color w:val="auto"/>
              </w:rPr>
              <w:t>表4.</w:t>
            </w:r>
            <w:r>
              <w:rPr>
                <w:rFonts w:hint="eastAsia" w:cs="Times New Roman"/>
                <w:color w:val="auto"/>
              </w:rPr>
              <w:t>2</w:t>
            </w:r>
            <w:r>
              <w:rPr>
                <w:rFonts w:cs="Times New Roman"/>
                <w:color w:val="auto"/>
              </w:rPr>
              <w:t>-</w:t>
            </w:r>
            <w:r>
              <w:rPr>
                <w:rFonts w:hint="eastAsia" w:cs="Times New Roman"/>
                <w:color w:val="auto"/>
                <w:lang w:val="en-US" w:eastAsia="zh-CN"/>
              </w:rPr>
              <w:t>5  项目</w:t>
            </w:r>
            <w:r>
              <w:rPr>
                <w:rFonts w:hint="eastAsia" w:cs="Times New Roman"/>
                <w:color w:val="auto"/>
              </w:rPr>
              <w:t>面源</w:t>
            </w:r>
            <w:r>
              <w:rPr>
                <w:rFonts w:hint="eastAsia" w:cs="Times New Roman"/>
                <w:color w:val="auto"/>
                <w:lang w:val="en-US"/>
              </w:rPr>
              <w:t>源强及参数</w:t>
            </w:r>
            <w:r>
              <w:rPr>
                <w:rFonts w:hint="eastAsia" w:cs="Times New Roman"/>
                <w:color w:val="auto"/>
              </w:rPr>
              <w:t>情况</w:t>
            </w:r>
            <w:r>
              <w:rPr>
                <w:rFonts w:hint="eastAsia" w:cs="Times New Roman"/>
                <w:color w:val="auto"/>
                <w:lang w:val="en-US"/>
              </w:rPr>
              <w:t>表</w:t>
            </w:r>
          </w:p>
          <w:tbl>
            <w:tblPr>
              <w:tblStyle w:val="27"/>
              <w:tblW w:w="827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148"/>
              <w:gridCol w:w="1271"/>
              <w:gridCol w:w="1170"/>
              <w:gridCol w:w="1115"/>
              <w:gridCol w:w="1115"/>
              <w:gridCol w:w="1115"/>
              <w:gridCol w:w="13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3" w:type="pct"/>
                  <w:vMerge w:val="restart"/>
                  <w:tcBorders>
                    <w:tl2br w:val="nil"/>
                    <w:tr2bl w:val="nil"/>
                  </w:tcBorders>
                  <w:vAlign w:val="center"/>
                </w:tcPr>
                <w:p>
                  <w:pPr>
                    <w:pStyle w:val="36"/>
                    <w:rPr>
                      <w:color w:val="auto"/>
                    </w:rPr>
                  </w:pPr>
                  <w:r>
                    <w:rPr>
                      <w:rFonts w:hint="eastAsia"/>
                      <w:color w:val="auto"/>
                    </w:rPr>
                    <w:t>面源名称</w:t>
                  </w:r>
                </w:p>
              </w:tc>
              <w:tc>
                <w:tcPr>
                  <w:tcW w:w="767" w:type="pct"/>
                  <w:vMerge w:val="restart"/>
                  <w:tcBorders>
                    <w:tl2br w:val="nil"/>
                    <w:tr2bl w:val="nil"/>
                  </w:tcBorders>
                  <w:vAlign w:val="center"/>
                </w:tcPr>
                <w:p>
                  <w:pPr>
                    <w:pStyle w:val="36"/>
                    <w:rPr>
                      <w:color w:val="auto"/>
                    </w:rPr>
                  </w:pPr>
                  <w:r>
                    <w:rPr>
                      <w:rFonts w:hint="eastAsia"/>
                      <w:color w:val="auto"/>
                    </w:rPr>
                    <w:t>污染物名称</w:t>
                  </w:r>
                </w:p>
              </w:tc>
              <w:tc>
                <w:tcPr>
                  <w:tcW w:w="706" w:type="pct"/>
                  <w:vMerge w:val="restart"/>
                  <w:tcBorders>
                    <w:tl2br w:val="nil"/>
                    <w:tr2bl w:val="nil"/>
                  </w:tcBorders>
                  <w:shd w:val="clear" w:color="auto" w:fill="auto"/>
                  <w:vAlign w:val="center"/>
                </w:tcPr>
                <w:p>
                  <w:pPr>
                    <w:pStyle w:val="36"/>
                    <w:ind w:left="-72" w:leftChars="-30" w:right="-72" w:rightChars="-30"/>
                    <w:rPr>
                      <w:color w:val="auto"/>
                    </w:rPr>
                  </w:pPr>
                  <w:r>
                    <w:rPr>
                      <w:rFonts w:hint="eastAsia"/>
                      <w:color w:val="auto"/>
                    </w:rPr>
                    <w:t>排放</w:t>
                  </w:r>
                  <w:r>
                    <w:rPr>
                      <w:color w:val="auto"/>
                    </w:rPr>
                    <w:t>速率</w:t>
                  </w:r>
                </w:p>
                <w:p>
                  <w:pPr>
                    <w:pStyle w:val="36"/>
                    <w:ind w:left="-72" w:leftChars="-30" w:right="-72" w:rightChars="-30" w:firstLine="0" w:firstLineChars="0"/>
                    <w:rPr>
                      <w:rFonts w:ascii="Times New Roman" w:hAnsi="Times New Roman" w:eastAsia="宋体" w:cs="宋体"/>
                      <w:color w:val="auto"/>
                      <w:sz w:val="21"/>
                      <w:szCs w:val="21"/>
                      <w:lang w:val="en-US" w:eastAsia="zh-CN" w:bidi="ar-SA"/>
                    </w:rPr>
                  </w:pPr>
                  <w:r>
                    <w:rPr>
                      <w:rFonts w:hint="eastAsia"/>
                      <w:color w:val="auto"/>
                    </w:rPr>
                    <w:t>(</w:t>
                  </w:r>
                  <w:r>
                    <w:rPr>
                      <w:color w:val="auto"/>
                    </w:rPr>
                    <w:t>kg/h</w:t>
                  </w:r>
                  <w:r>
                    <w:rPr>
                      <w:rFonts w:hint="eastAsia"/>
                      <w:color w:val="auto"/>
                    </w:rPr>
                    <w:t>)</w:t>
                  </w:r>
                </w:p>
              </w:tc>
              <w:tc>
                <w:tcPr>
                  <w:tcW w:w="2021" w:type="pct"/>
                  <w:gridSpan w:val="3"/>
                  <w:tcBorders>
                    <w:tl2br w:val="nil"/>
                    <w:tr2bl w:val="nil"/>
                  </w:tcBorders>
                  <w:shd w:val="clear" w:color="auto" w:fill="auto"/>
                  <w:vAlign w:val="center"/>
                </w:tcPr>
                <w:p>
                  <w:pPr>
                    <w:pStyle w:val="36"/>
                    <w:rPr>
                      <w:color w:val="auto"/>
                    </w:rPr>
                  </w:pPr>
                  <w:r>
                    <w:rPr>
                      <w:rFonts w:hint="eastAsia"/>
                      <w:color w:val="auto"/>
                    </w:rPr>
                    <w:t>面源参数</w:t>
                  </w:r>
                </w:p>
              </w:tc>
              <w:tc>
                <w:tcPr>
                  <w:tcW w:w="810" w:type="pct"/>
                  <w:vMerge w:val="restart"/>
                  <w:tcBorders>
                    <w:tl2br w:val="nil"/>
                    <w:tr2bl w:val="nil"/>
                  </w:tcBorders>
                  <w:vAlign w:val="center"/>
                </w:tcPr>
                <w:p>
                  <w:pPr>
                    <w:pStyle w:val="36"/>
                    <w:rPr>
                      <w:color w:val="auto"/>
                    </w:rPr>
                  </w:pPr>
                  <w:r>
                    <w:rPr>
                      <w:color w:val="auto"/>
                    </w:rPr>
                    <w:t>与正北向夹角/°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3" w:type="pct"/>
                  <w:vMerge w:val="continue"/>
                  <w:tcBorders>
                    <w:tl2br w:val="nil"/>
                    <w:tr2bl w:val="nil"/>
                  </w:tcBorders>
                  <w:vAlign w:val="center"/>
                </w:tcPr>
                <w:p>
                  <w:pPr>
                    <w:pStyle w:val="36"/>
                    <w:rPr>
                      <w:rFonts w:hint="eastAsia"/>
                      <w:color w:val="auto"/>
                    </w:rPr>
                  </w:pPr>
                </w:p>
              </w:tc>
              <w:tc>
                <w:tcPr>
                  <w:tcW w:w="767" w:type="pct"/>
                  <w:vMerge w:val="continue"/>
                  <w:tcBorders>
                    <w:tl2br w:val="nil"/>
                    <w:tr2bl w:val="nil"/>
                  </w:tcBorders>
                  <w:vAlign w:val="center"/>
                </w:tcPr>
                <w:p>
                  <w:pPr>
                    <w:pStyle w:val="36"/>
                    <w:rPr>
                      <w:rFonts w:hint="eastAsia"/>
                      <w:color w:val="auto"/>
                    </w:rPr>
                  </w:pPr>
                </w:p>
              </w:tc>
              <w:tc>
                <w:tcPr>
                  <w:tcW w:w="706" w:type="pct"/>
                  <w:vMerge w:val="continue"/>
                  <w:tcBorders>
                    <w:tl2br w:val="nil"/>
                    <w:tr2bl w:val="nil"/>
                  </w:tcBorders>
                  <w:shd w:val="clear" w:color="auto" w:fill="auto"/>
                  <w:vAlign w:val="center"/>
                </w:tcPr>
                <w:p>
                  <w:pPr>
                    <w:pStyle w:val="36"/>
                    <w:ind w:left="-72" w:leftChars="-30" w:right="-72" w:rightChars="-30" w:firstLine="0" w:firstLineChars="0"/>
                    <w:rPr>
                      <w:rFonts w:hint="eastAsia"/>
                      <w:color w:val="auto"/>
                    </w:rPr>
                  </w:pPr>
                </w:p>
              </w:tc>
              <w:tc>
                <w:tcPr>
                  <w:tcW w:w="673" w:type="pct"/>
                  <w:tcBorders>
                    <w:tl2br w:val="nil"/>
                    <w:tr2bl w:val="nil"/>
                  </w:tcBorders>
                  <w:shd w:val="clear" w:color="auto" w:fill="auto"/>
                  <w:vAlign w:val="center"/>
                </w:tcPr>
                <w:p>
                  <w:pPr>
                    <w:pStyle w:val="36"/>
                    <w:ind w:firstLine="0" w:firstLineChars="0"/>
                    <w:rPr>
                      <w:rFonts w:hint="eastAsia" w:eastAsia="宋体"/>
                      <w:color w:val="auto"/>
                      <w:lang w:val="en-US" w:eastAsia="zh-CN"/>
                    </w:rPr>
                  </w:pPr>
                  <w:r>
                    <w:rPr>
                      <w:rFonts w:hint="eastAsia"/>
                      <w:color w:val="auto"/>
                      <w:lang w:val="en-US" w:eastAsia="zh-CN"/>
                    </w:rPr>
                    <w:t>长度</w:t>
                  </w:r>
                  <w:r>
                    <w:rPr>
                      <w:rFonts w:hint="eastAsia"/>
                      <w:color w:val="auto"/>
                    </w:rPr>
                    <w:t>(m)</w:t>
                  </w:r>
                </w:p>
              </w:tc>
              <w:tc>
                <w:tcPr>
                  <w:tcW w:w="673" w:type="pct"/>
                  <w:tcBorders>
                    <w:tl2br w:val="nil"/>
                    <w:tr2bl w:val="nil"/>
                  </w:tcBorders>
                  <w:vAlign w:val="center"/>
                </w:tcPr>
                <w:p>
                  <w:pPr>
                    <w:pStyle w:val="36"/>
                    <w:rPr>
                      <w:rFonts w:hint="eastAsia" w:eastAsia="宋体"/>
                      <w:color w:val="auto"/>
                      <w:lang w:val="en-US" w:eastAsia="zh-CN"/>
                    </w:rPr>
                  </w:pPr>
                  <w:r>
                    <w:rPr>
                      <w:rFonts w:hint="eastAsia"/>
                      <w:color w:val="auto"/>
                      <w:lang w:val="en-US" w:eastAsia="zh-CN"/>
                    </w:rPr>
                    <w:t>宽度</w:t>
                  </w:r>
                  <w:r>
                    <w:rPr>
                      <w:rFonts w:hint="eastAsia"/>
                      <w:color w:val="auto"/>
                    </w:rPr>
                    <w:t>(m)</w:t>
                  </w:r>
                </w:p>
              </w:tc>
              <w:tc>
                <w:tcPr>
                  <w:tcW w:w="673" w:type="pct"/>
                  <w:tcBorders>
                    <w:tl2br w:val="nil"/>
                    <w:tr2bl w:val="nil"/>
                  </w:tcBorders>
                  <w:vAlign w:val="center"/>
                </w:tcPr>
                <w:p>
                  <w:pPr>
                    <w:pStyle w:val="36"/>
                    <w:rPr>
                      <w:rFonts w:hint="eastAsia"/>
                      <w:color w:val="auto"/>
                    </w:rPr>
                  </w:pPr>
                  <w:r>
                    <w:rPr>
                      <w:rFonts w:hint="eastAsia"/>
                      <w:color w:val="auto"/>
                    </w:rPr>
                    <w:t>高度(m)</w:t>
                  </w:r>
                </w:p>
              </w:tc>
              <w:tc>
                <w:tcPr>
                  <w:tcW w:w="810" w:type="pct"/>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3" w:type="pct"/>
                  <w:tcBorders>
                    <w:tl2br w:val="nil"/>
                    <w:tr2bl w:val="nil"/>
                  </w:tcBorders>
                  <w:vAlign w:val="center"/>
                </w:tcPr>
                <w:p>
                  <w:pPr>
                    <w:pStyle w:val="36"/>
                    <w:rPr>
                      <w:color w:val="auto"/>
                    </w:rPr>
                  </w:pPr>
                  <w:r>
                    <w:rPr>
                      <w:rFonts w:hint="eastAsia"/>
                      <w:color w:val="auto"/>
                    </w:rPr>
                    <w:t>1#厂房</w:t>
                  </w:r>
                </w:p>
              </w:tc>
              <w:tc>
                <w:tcPr>
                  <w:tcW w:w="767" w:type="pct"/>
                  <w:tcBorders>
                    <w:tl2br w:val="nil"/>
                    <w:tr2bl w:val="nil"/>
                  </w:tcBorders>
                  <w:vAlign w:val="center"/>
                </w:tcPr>
                <w:p>
                  <w:pPr>
                    <w:pStyle w:val="36"/>
                    <w:rPr>
                      <w:color w:val="auto"/>
                    </w:rPr>
                  </w:pPr>
                  <w:r>
                    <w:rPr>
                      <w:rFonts w:hint="eastAsia"/>
                      <w:color w:val="auto"/>
                    </w:rPr>
                    <w:t>非甲烷总烃</w:t>
                  </w:r>
                </w:p>
              </w:tc>
              <w:tc>
                <w:tcPr>
                  <w:tcW w:w="706" w:type="pct"/>
                  <w:tcBorders>
                    <w:tl2br w:val="nil"/>
                    <w:tr2bl w:val="nil"/>
                  </w:tcBorders>
                  <w:shd w:val="clear" w:color="auto" w:fill="auto"/>
                  <w:vAlign w:val="center"/>
                </w:tcPr>
                <w:p>
                  <w:pPr>
                    <w:pStyle w:val="36"/>
                    <w:ind w:left="-72" w:leftChars="-30" w:right="-72" w:rightChars="-30" w:firstLine="0" w:firstLineChars="0"/>
                    <w:rPr>
                      <w:rFonts w:ascii="Times New Roman" w:hAnsi="Times New Roman" w:eastAsia="宋体" w:cs="宋体"/>
                      <w:color w:val="auto"/>
                      <w:sz w:val="21"/>
                      <w:szCs w:val="21"/>
                      <w:lang w:val="en-US" w:eastAsia="zh-CN" w:bidi="ar-SA"/>
                    </w:rPr>
                  </w:pPr>
                  <w:r>
                    <w:rPr>
                      <w:rFonts w:hint="eastAsia" w:cs="Times New Roman"/>
                      <w:color w:val="auto"/>
                    </w:rPr>
                    <w:t>0.009</w:t>
                  </w:r>
                </w:p>
              </w:tc>
              <w:tc>
                <w:tcPr>
                  <w:tcW w:w="673" w:type="pct"/>
                  <w:tcBorders>
                    <w:tl2br w:val="nil"/>
                    <w:tr2bl w:val="nil"/>
                  </w:tcBorders>
                  <w:shd w:val="clear" w:color="auto" w:fill="auto"/>
                  <w:vAlign w:val="center"/>
                </w:tcPr>
                <w:p>
                  <w:pPr>
                    <w:pStyle w:val="36"/>
                    <w:ind w:firstLine="0" w:firstLineChars="0"/>
                    <w:rPr>
                      <w:rFonts w:ascii="Times New Roman" w:hAnsi="Times New Roman" w:eastAsia="宋体" w:cs="宋体"/>
                      <w:color w:val="auto"/>
                      <w:sz w:val="21"/>
                      <w:szCs w:val="21"/>
                      <w:lang w:val="en-US" w:eastAsia="zh-CN" w:bidi="ar-SA"/>
                    </w:rPr>
                  </w:pPr>
                  <w:r>
                    <w:rPr>
                      <w:rFonts w:hint="eastAsia"/>
                      <w:color w:val="auto"/>
                    </w:rPr>
                    <w:t>123</w:t>
                  </w:r>
                </w:p>
              </w:tc>
              <w:tc>
                <w:tcPr>
                  <w:tcW w:w="673" w:type="pct"/>
                  <w:tcBorders>
                    <w:tl2br w:val="nil"/>
                    <w:tr2bl w:val="nil"/>
                  </w:tcBorders>
                  <w:vAlign w:val="center"/>
                </w:tcPr>
                <w:p>
                  <w:pPr>
                    <w:pStyle w:val="36"/>
                    <w:ind w:left="-72" w:leftChars="-30" w:right="-72" w:rightChars="-30"/>
                    <w:rPr>
                      <w:color w:val="auto"/>
                    </w:rPr>
                  </w:pPr>
                  <w:r>
                    <w:rPr>
                      <w:rFonts w:hint="eastAsia"/>
                      <w:color w:val="auto"/>
                    </w:rPr>
                    <w:t>68</w:t>
                  </w:r>
                </w:p>
              </w:tc>
              <w:tc>
                <w:tcPr>
                  <w:tcW w:w="673" w:type="pct"/>
                  <w:tcBorders>
                    <w:tl2br w:val="nil"/>
                    <w:tr2bl w:val="nil"/>
                  </w:tcBorders>
                  <w:vAlign w:val="center"/>
                </w:tcPr>
                <w:p>
                  <w:pPr>
                    <w:pStyle w:val="36"/>
                    <w:rPr>
                      <w:rFonts w:hint="default" w:eastAsia="宋体"/>
                      <w:color w:val="auto"/>
                      <w:lang w:val="en-US" w:eastAsia="zh-CN"/>
                    </w:rPr>
                  </w:pPr>
                  <w:r>
                    <w:rPr>
                      <w:rFonts w:hint="eastAsia"/>
                      <w:color w:val="auto"/>
                      <w:lang w:val="en-US" w:eastAsia="zh-CN"/>
                    </w:rPr>
                    <w:t>29</w:t>
                  </w:r>
                </w:p>
              </w:tc>
              <w:tc>
                <w:tcPr>
                  <w:tcW w:w="810" w:type="pct"/>
                  <w:tcBorders>
                    <w:tl2br w:val="nil"/>
                    <w:tr2bl w:val="nil"/>
                  </w:tcBorders>
                  <w:vAlign w:val="center"/>
                </w:tcPr>
                <w:p>
                  <w:pPr>
                    <w:pStyle w:val="36"/>
                    <w:rPr>
                      <w:rFonts w:hint="default" w:eastAsia="宋体"/>
                      <w:color w:val="auto"/>
                      <w:lang w:val="en-US" w:eastAsia="zh-CN"/>
                    </w:rPr>
                  </w:pPr>
                  <w:r>
                    <w:rPr>
                      <w:rFonts w:hint="eastAsia"/>
                      <w:color w:val="auto"/>
                      <w:lang w:val="en-US" w:eastAsia="zh-CN"/>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3" w:type="pct"/>
                  <w:tcBorders>
                    <w:tl2br w:val="nil"/>
                    <w:tr2bl w:val="nil"/>
                  </w:tcBorders>
                  <w:vAlign w:val="center"/>
                </w:tcPr>
                <w:p>
                  <w:pPr>
                    <w:pStyle w:val="36"/>
                    <w:rPr>
                      <w:color w:val="auto"/>
                    </w:rPr>
                  </w:pPr>
                  <w:r>
                    <w:rPr>
                      <w:rFonts w:hint="eastAsia"/>
                      <w:color w:val="auto"/>
                    </w:rPr>
                    <w:t>4#厂房</w:t>
                  </w:r>
                </w:p>
              </w:tc>
              <w:tc>
                <w:tcPr>
                  <w:tcW w:w="767" w:type="pct"/>
                  <w:tcBorders>
                    <w:tl2br w:val="nil"/>
                    <w:tr2bl w:val="nil"/>
                  </w:tcBorders>
                  <w:vAlign w:val="center"/>
                </w:tcPr>
                <w:p>
                  <w:pPr>
                    <w:pStyle w:val="36"/>
                    <w:rPr>
                      <w:color w:val="auto"/>
                    </w:rPr>
                  </w:pPr>
                  <w:r>
                    <w:rPr>
                      <w:rFonts w:hint="eastAsia"/>
                      <w:color w:val="auto"/>
                    </w:rPr>
                    <w:t>非甲烷总烃</w:t>
                  </w:r>
                </w:p>
              </w:tc>
              <w:tc>
                <w:tcPr>
                  <w:tcW w:w="706" w:type="pct"/>
                  <w:tcBorders>
                    <w:tl2br w:val="nil"/>
                    <w:tr2bl w:val="nil"/>
                  </w:tcBorders>
                  <w:shd w:val="clear" w:color="auto" w:fill="auto"/>
                  <w:vAlign w:val="center"/>
                </w:tcPr>
                <w:p>
                  <w:pPr>
                    <w:pStyle w:val="36"/>
                    <w:ind w:left="-72" w:leftChars="-30" w:right="-72" w:rightChars="-30" w:firstLine="0" w:firstLineChars="0"/>
                    <w:rPr>
                      <w:rFonts w:ascii="Times New Roman" w:hAnsi="Times New Roman" w:eastAsia="宋体" w:cs="宋体"/>
                      <w:color w:val="auto"/>
                      <w:sz w:val="21"/>
                      <w:szCs w:val="21"/>
                      <w:lang w:val="en-US" w:eastAsia="zh-CN" w:bidi="ar-SA"/>
                    </w:rPr>
                  </w:pPr>
                  <w:r>
                    <w:rPr>
                      <w:rFonts w:hint="eastAsia" w:cs="Times New Roman"/>
                      <w:color w:val="auto"/>
                    </w:rPr>
                    <w:t>0.009</w:t>
                  </w:r>
                </w:p>
              </w:tc>
              <w:tc>
                <w:tcPr>
                  <w:tcW w:w="673" w:type="pct"/>
                  <w:tcBorders>
                    <w:tl2br w:val="nil"/>
                    <w:tr2bl w:val="nil"/>
                  </w:tcBorders>
                  <w:shd w:val="clear" w:color="auto" w:fill="auto"/>
                  <w:vAlign w:val="center"/>
                </w:tcPr>
                <w:p>
                  <w:pPr>
                    <w:pStyle w:val="36"/>
                    <w:ind w:firstLine="0" w:firstLineChars="0"/>
                    <w:rPr>
                      <w:rFonts w:ascii="Times New Roman" w:hAnsi="Times New Roman" w:eastAsia="宋体" w:cs="宋体"/>
                      <w:color w:val="auto"/>
                      <w:sz w:val="21"/>
                      <w:szCs w:val="21"/>
                      <w:lang w:val="en-US" w:eastAsia="zh-CN" w:bidi="ar-SA"/>
                    </w:rPr>
                  </w:pPr>
                  <w:r>
                    <w:rPr>
                      <w:rFonts w:hint="eastAsia"/>
                      <w:color w:val="auto"/>
                    </w:rPr>
                    <w:t>113</w:t>
                  </w:r>
                </w:p>
              </w:tc>
              <w:tc>
                <w:tcPr>
                  <w:tcW w:w="673" w:type="pct"/>
                  <w:tcBorders>
                    <w:tl2br w:val="nil"/>
                    <w:tr2bl w:val="nil"/>
                  </w:tcBorders>
                  <w:vAlign w:val="center"/>
                </w:tcPr>
                <w:p>
                  <w:pPr>
                    <w:pStyle w:val="36"/>
                    <w:ind w:left="-72" w:leftChars="-30" w:right="-72" w:rightChars="-30"/>
                    <w:rPr>
                      <w:color w:val="auto"/>
                    </w:rPr>
                  </w:pPr>
                  <w:r>
                    <w:rPr>
                      <w:rFonts w:hint="eastAsia"/>
                      <w:color w:val="auto"/>
                    </w:rPr>
                    <w:t>65</w:t>
                  </w:r>
                </w:p>
              </w:tc>
              <w:tc>
                <w:tcPr>
                  <w:tcW w:w="673" w:type="pct"/>
                  <w:tcBorders>
                    <w:tl2br w:val="nil"/>
                    <w:tr2bl w:val="nil"/>
                  </w:tcBorders>
                  <w:vAlign w:val="center"/>
                </w:tcPr>
                <w:p>
                  <w:pPr>
                    <w:pStyle w:val="36"/>
                    <w:rPr>
                      <w:color w:val="auto"/>
                    </w:rPr>
                  </w:pPr>
                  <w:r>
                    <w:rPr>
                      <w:rFonts w:hint="eastAsia"/>
                      <w:color w:val="auto"/>
                    </w:rPr>
                    <w:t>14</w:t>
                  </w:r>
                </w:p>
              </w:tc>
              <w:tc>
                <w:tcPr>
                  <w:tcW w:w="810" w:type="pct"/>
                  <w:tcBorders>
                    <w:tl2br w:val="nil"/>
                    <w:tr2bl w:val="nil"/>
                  </w:tcBorders>
                  <w:vAlign w:val="center"/>
                </w:tcPr>
                <w:p>
                  <w:pPr>
                    <w:pStyle w:val="36"/>
                    <w:rPr>
                      <w:rFonts w:hint="default" w:eastAsia="宋体"/>
                      <w:color w:val="auto"/>
                      <w:lang w:val="en-US" w:eastAsia="zh-CN"/>
                    </w:rPr>
                  </w:pPr>
                  <w:r>
                    <w:rPr>
                      <w:rFonts w:hint="eastAsia"/>
                      <w:color w:val="auto"/>
                      <w:lang w:val="en-US" w:eastAsia="zh-CN"/>
                    </w:rPr>
                    <w:t>28</w:t>
                  </w:r>
                </w:p>
              </w:tc>
            </w:tr>
          </w:tbl>
          <w:p>
            <w:pPr>
              <w:keepNext w:val="0"/>
              <w:keepLines w:val="0"/>
              <w:pageBreakBefore w:val="0"/>
              <w:widowControl w:val="0"/>
              <w:tabs>
                <w:tab w:val="left" w:pos="1470"/>
              </w:tabs>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color w:val="auto"/>
                <w:sz w:val="24"/>
              </w:rPr>
            </w:pPr>
            <w:r>
              <w:rPr>
                <w:rFonts w:hint="eastAsia" w:cs="Times New Roman"/>
                <w:color w:val="auto"/>
                <w:sz w:val="24"/>
                <w:lang w:val="en-US" w:eastAsia="zh-CN"/>
              </w:rPr>
              <w:t>⑥</w:t>
            </w:r>
            <w:r>
              <w:rPr>
                <w:rFonts w:hint="eastAsia" w:ascii="Times New Roman" w:hAnsi="Times New Roman" w:eastAsia="宋体" w:cs="Times New Roman"/>
                <w:color w:val="auto"/>
                <w:sz w:val="24"/>
                <w:lang w:val="en-US" w:eastAsia="zh-CN"/>
              </w:rPr>
              <w:t>估算结果</w:t>
            </w:r>
          </w:p>
          <w:p>
            <w:pPr>
              <w:keepNext w:val="0"/>
              <w:keepLines w:val="0"/>
              <w:pageBreakBefore w:val="0"/>
              <w:widowControl w:val="0"/>
              <w:tabs>
                <w:tab w:val="left" w:pos="1470"/>
              </w:tabs>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本项目在下风向的地面最大地面浓度贡献值的占标率及距离见</w:t>
            </w:r>
            <w:r>
              <w:rPr>
                <w:rFonts w:hint="eastAsia" w:ascii="Times New Roman" w:hAnsi="Times New Roman" w:eastAsia="宋体" w:cs="Times New Roman"/>
                <w:color w:val="auto"/>
                <w:sz w:val="24"/>
                <w:lang w:val="en-US" w:eastAsia="zh-CN"/>
              </w:rPr>
              <w:t>下</w:t>
            </w:r>
            <w:r>
              <w:rPr>
                <w:rFonts w:hint="eastAsia" w:ascii="Times New Roman" w:hAnsi="Times New Roman" w:eastAsia="宋体" w:cs="Times New Roman"/>
                <w:color w:val="auto"/>
                <w:sz w:val="24"/>
              </w:rPr>
              <w:t>表</w:t>
            </w:r>
            <w:r>
              <w:rPr>
                <w:rFonts w:hint="eastAsia" w:cs="Times New Roman"/>
                <w:color w:val="auto"/>
                <w:sz w:val="24"/>
                <w:lang w:val="en-US" w:eastAsia="zh-CN"/>
              </w:rPr>
              <w:t>4.2-6</w:t>
            </w:r>
            <w:r>
              <w:rPr>
                <w:rFonts w:hint="eastAsia" w:ascii="Times New Roman" w:hAnsi="Times New Roman" w:eastAsia="宋体" w:cs="Times New Roman"/>
                <w:color w:val="auto"/>
                <w:sz w:val="24"/>
              </w:rPr>
              <w:t>。</w:t>
            </w:r>
          </w:p>
          <w:p>
            <w:pPr>
              <w:pStyle w:val="37"/>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表4.2-6 正常工况下风向最大</w:t>
            </w:r>
            <w:r>
              <w:rPr>
                <w:rFonts w:hint="eastAsia" w:cs="Times New Roman"/>
                <w:color w:val="auto"/>
                <w:lang w:val="en-US" w:eastAsia="zh-CN"/>
              </w:rPr>
              <w:t>落地</w:t>
            </w:r>
            <w:r>
              <w:rPr>
                <w:rFonts w:hint="eastAsia" w:ascii="Times New Roman" w:hAnsi="Times New Roman" w:cs="Times New Roman"/>
                <w:color w:val="auto"/>
                <w:lang w:val="en-US" w:eastAsia="zh-CN"/>
              </w:rPr>
              <w:t>浓度贡献值占标率及距离预测结果</w:t>
            </w:r>
          </w:p>
          <w:tbl>
            <w:tblPr>
              <w:tblStyle w:val="27"/>
              <w:tblW w:w="4996"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95"/>
              <w:gridCol w:w="978"/>
              <w:gridCol w:w="1171"/>
              <w:gridCol w:w="1091"/>
              <w:gridCol w:w="934"/>
              <w:gridCol w:w="912"/>
              <w:gridCol w:w="810"/>
              <w:gridCol w:w="932"/>
              <w:gridCol w:w="8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01" w:type="pct"/>
                  <w:tcBorders>
                    <w:tl2br w:val="nil"/>
                    <w:tr2bl w:val="nil"/>
                  </w:tcBorders>
                  <w:noWrap w:val="0"/>
                  <w:tcMar>
                    <w:left w:w="28" w:type="dxa"/>
                    <w:right w:w="28" w:type="dxa"/>
                  </w:tcMar>
                  <w:vAlign w:val="center"/>
                </w:tcPr>
                <w:p>
                  <w:pPr>
                    <w:pStyle w:val="36"/>
                    <w:bidi w:val="0"/>
                    <w:rPr>
                      <w:rFonts w:hint="eastAsia"/>
                      <w:color w:val="auto"/>
                      <w:lang w:val="en-US" w:eastAsia="zh-CN"/>
                    </w:rPr>
                  </w:pPr>
                  <w:r>
                    <w:rPr>
                      <w:rFonts w:hint="eastAsia"/>
                      <w:color w:val="auto"/>
                      <w:lang w:val="en-US" w:eastAsia="zh-CN"/>
                    </w:rPr>
                    <w:t>序号</w:t>
                  </w:r>
                </w:p>
              </w:tc>
              <w:tc>
                <w:tcPr>
                  <w:tcW w:w="596" w:type="pct"/>
                  <w:tcBorders>
                    <w:tl2br w:val="nil"/>
                    <w:tr2bl w:val="nil"/>
                  </w:tcBorders>
                  <w:noWrap w:val="0"/>
                  <w:tcMar>
                    <w:left w:w="28" w:type="dxa"/>
                    <w:right w:w="28" w:type="dxa"/>
                  </w:tcMar>
                  <w:vAlign w:val="center"/>
                </w:tcPr>
                <w:p>
                  <w:pPr>
                    <w:pStyle w:val="36"/>
                    <w:bidi w:val="0"/>
                    <w:rPr>
                      <w:rFonts w:hint="eastAsia"/>
                      <w:color w:val="auto"/>
                      <w:lang w:val="en-US" w:eastAsia="zh-CN"/>
                    </w:rPr>
                  </w:pPr>
                  <w:r>
                    <w:rPr>
                      <w:rFonts w:hint="eastAsia"/>
                      <w:color w:val="auto"/>
                      <w:lang w:val="en-US" w:eastAsia="zh-CN"/>
                    </w:rPr>
                    <w:t>污染源</w:t>
                  </w:r>
                </w:p>
              </w:tc>
              <w:tc>
                <w:tcPr>
                  <w:tcW w:w="714"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污染因子</w:t>
                  </w:r>
                </w:p>
              </w:tc>
              <w:tc>
                <w:tcPr>
                  <w:tcW w:w="665" w:type="pct"/>
                  <w:tcBorders>
                    <w:tl2br w:val="nil"/>
                    <w:tr2bl w:val="nil"/>
                  </w:tcBorders>
                  <w:noWrap w:val="0"/>
                  <w:vAlign w:val="center"/>
                </w:tcPr>
                <w:p>
                  <w:pPr>
                    <w:pStyle w:val="36"/>
                    <w:bidi w:val="0"/>
                    <w:rPr>
                      <w:rFonts w:hint="eastAsia"/>
                      <w:color w:val="auto"/>
                      <w:lang w:val="en-US" w:eastAsia="zh-CN"/>
                    </w:rPr>
                  </w:pPr>
                  <w:r>
                    <w:rPr>
                      <w:color w:val="auto"/>
                    </w:rPr>
                    <w:t>下风向最大</w:t>
                  </w:r>
                  <w:r>
                    <w:rPr>
                      <w:rFonts w:hint="eastAsia" w:cs="Times New Roman"/>
                      <w:color w:val="auto"/>
                      <w:lang w:val="en-US" w:eastAsia="zh-CN"/>
                    </w:rPr>
                    <w:t>落地</w:t>
                  </w:r>
                  <w:r>
                    <w:rPr>
                      <w:color w:val="auto"/>
                    </w:rPr>
                    <w:t>浓度</w:t>
                  </w:r>
                  <w:r>
                    <w:rPr>
                      <w:rFonts w:hint="eastAsia"/>
                      <w:color w:val="auto"/>
                      <w:lang w:val="en-US" w:eastAsia="zh-CN"/>
                    </w:rPr>
                    <w:t>（</w:t>
                  </w:r>
                  <w:r>
                    <w:rPr>
                      <w:rFonts w:hint="default"/>
                      <w:color w:val="auto"/>
                      <w:lang w:val="en-US" w:eastAsia="zh-CN"/>
                    </w:rPr>
                    <w:t>μg</w:t>
                  </w:r>
                  <w:r>
                    <w:rPr>
                      <w:rFonts w:hint="eastAsia"/>
                      <w:color w:val="auto"/>
                      <w:lang w:val="en-US" w:eastAsia="zh-CN"/>
                    </w:rPr>
                    <w:t>/m</w:t>
                  </w:r>
                  <w:r>
                    <w:rPr>
                      <w:rFonts w:hint="eastAsia"/>
                      <w:color w:val="auto"/>
                      <w:vertAlign w:val="superscript"/>
                      <w:lang w:val="en-US" w:eastAsia="zh-CN"/>
                    </w:rPr>
                    <w:t>3</w:t>
                  </w:r>
                  <w:r>
                    <w:rPr>
                      <w:rFonts w:hint="eastAsia"/>
                      <w:color w:val="auto"/>
                      <w:lang w:val="en-US" w:eastAsia="zh-CN"/>
                    </w:rPr>
                    <w:t>）</w:t>
                  </w:r>
                </w:p>
              </w:tc>
              <w:tc>
                <w:tcPr>
                  <w:tcW w:w="569"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评价标准</w:t>
                  </w:r>
                </w:p>
                <w:p>
                  <w:pPr>
                    <w:pStyle w:val="36"/>
                    <w:bidi w:val="0"/>
                    <w:rPr>
                      <w:rFonts w:hint="default"/>
                      <w:color w:val="auto"/>
                      <w:lang w:val="en-US" w:eastAsia="zh-CN"/>
                    </w:rPr>
                  </w:pPr>
                  <w:r>
                    <w:rPr>
                      <w:rFonts w:hint="eastAsia"/>
                      <w:color w:val="auto"/>
                      <w:lang w:val="en-US" w:eastAsia="zh-CN"/>
                    </w:rPr>
                    <w:t>（</w:t>
                  </w:r>
                  <w:r>
                    <w:rPr>
                      <w:rFonts w:hint="default"/>
                      <w:color w:val="auto"/>
                      <w:lang w:val="en-US" w:eastAsia="zh-CN"/>
                    </w:rPr>
                    <w:t>μg</w:t>
                  </w:r>
                  <w:r>
                    <w:rPr>
                      <w:rFonts w:hint="eastAsia"/>
                      <w:color w:val="auto"/>
                      <w:lang w:val="en-US" w:eastAsia="zh-CN"/>
                    </w:rPr>
                    <w:t>/m</w:t>
                  </w:r>
                  <w:r>
                    <w:rPr>
                      <w:rFonts w:hint="eastAsia"/>
                      <w:color w:val="auto"/>
                      <w:vertAlign w:val="superscript"/>
                      <w:lang w:val="en-US" w:eastAsia="zh-CN"/>
                    </w:rPr>
                    <w:t>3</w:t>
                  </w:r>
                  <w:r>
                    <w:rPr>
                      <w:rFonts w:hint="eastAsia"/>
                      <w:color w:val="auto"/>
                      <w:lang w:val="en-US" w:eastAsia="zh-CN"/>
                    </w:rPr>
                    <w:t>）</w:t>
                  </w:r>
                </w:p>
              </w:tc>
              <w:tc>
                <w:tcPr>
                  <w:tcW w:w="556" w:type="pct"/>
                  <w:tcBorders>
                    <w:tl2br w:val="nil"/>
                    <w:tr2bl w:val="nil"/>
                  </w:tcBorders>
                  <w:noWrap w:val="0"/>
                  <w:vAlign w:val="center"/>
                </w:tcPr>
                <w:p>
                  <w:pPr>
                    <w:pStyle w:val="36"/>
                    <w:bidi w:val="0"/>
                    <w:rPr>
                      <w:rFonts w:hint="eastAsia"/>
                      <w:color w:val="auto"/>
                      <w:lang w:val="en-US" w:eastAsia="zh-CN"/>
                    </w:rPr>
                  </w:pPr>
                  <w:r>
                    <w:rPr>
                      <w:color w:val="auto"/>
                    </w:rPr>
                    <w:t>最大浓度占标率（%）</w:t>
                  </w:r>
                </w:p>
              </w:tc>
              <w:tc>
                <w:tcPr>
                  <w:tcW w:w="493"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D10%</w:t>
                  </w:r>
                </w:p>
                <w:p>
                  <w:pPr>
                    <w:pStyle w:val="36"/>
                    <w:bidi w:val="0"/>
                    <w:rPr>
                      <w:rFonts w:hint="eastAsia"/>
                      <w:color w:val="auto"/>
                      <w:lang w:val="en-US" w:eastAsia="zh-CN"/>
                    </w:rPr>
                  </w:pPr>
                  <w:r>
                    <w:rPr>
                      <w:rFonts w:hint="eastAsia"/>
                      <w:color w:val="auto"/>
                      <w:lang w:val="en-US" w:eastAsia="zh-CN"/>
                    </w:rPr>
                    <w:t>(m)</w:t>
                  </w:r>
                </w:p>
              </w:tc>
              <w:tc>
                <w:tcPr>
                  <w:tcW w:w="568"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最大浓度值离源距离(m)</w:t>
                  </w:r>
                </w:p>
              </w:tc>
              <w:tc>
                <w:tcPr>
                  <w:tcW w:w="534"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评价等级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01" w:type="pct"/>
                  <w:tcBorders>
                    <w:tl2br w:val="nil"/>
                    <w:tr2bl w:val="nil"/>
                  </w:tcBorders>
                  <w:noWrap w:val="0"/>
                  <w:tcMar>
                    <w:left w:w="28" w:type="dxa"/>
                    <w:right w:w="28" w:type="dxa"/>
                  </w:tcMar>
                  <w:vAlign w:val="center"/>
                </w:tcPr>
                <w:p>
                  <w:pPr>
                    <w:pStyle w:val="36"/>
                    <w:bidi w:val="0"/>
                    <w:rPr>
                      <w:rFonts w:hint="eastAsia"/>
                      <w:color w:val="auto"/>
                      <w:lang w:val="en-US" w:eastAsia="zh-CN"/>
                    </w:rPr>
                  </w:pPr>
                  <w:r>
                    <w:rPr>
                      <w:rFonts w:hint="eastAsia"/>
                      <w:color w:val="auto"/>
                      <w:lang w:val="en-US" w:eastAsia="zh-CN"/>
                    </w:rPr>
                    <w:t>1</w:t>
                  </w:r>
                </w:p>
              </w:tc>
              <w:tc>
                <w:tcPr>
                  <w:tcW w:w="596" w:type="pct"/>
                  <w:tcBorders>
                    <w:tl2br w:val="nil"/>
                    <w:tr2bl w:val="nil"/>
                  </w:tcBorders>
                  <w:noWrap w:val="0"/>
                  <w:tcMar>
                    <w:left w:w="28" w:type="dxa"/>
                    <w:right w:w="28" w:type="dxa"/>
                  </w:tcMar>
                  <w:vAlign w:val="center"/>
                </w:tcPr>
                <w:p>
                  <w:pPr>
                    <w:pStyle w:val="36"/>
                    <w:bidi w:val="0"/>
                    <w:rPr>
                      <w:rFonts w:hint="eastAsia"/>
                      <w:color w:val="auto"/>
                      <w:lang w:val="en-US" w:eastAsia="zh-CN"/>
                    </w:rPr>
                  </w:pPr>
                  <w:r>
                    <w:rPr>
                      <w:rFonts w:hint="eastAsia"/>
                      <w:color w:val="auto"/>
                    </w:rPr>
                    <w:t>1#厂房</w:t>
                  </w:r>
                </w:p>
              </w:tc>
              <w:tc>
                <w:tcPr>
                  <w:tcW w:w="714"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非甲烷总烃</w:t>
                  </w:r>
                </w:p>
              </w:tc>
              <w:tc>
                <w:tcPr>
                  <w:tcW w:w="665"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2.36</w:t>
                  </w:r>
                </w:p>
              </w:tc>
              <w:tc>
                <w:tcPr>
                  <w:tcW w:w="569"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2000</w:t>
                  </w:r>
                </w:p>
              </w:tc>
              <w:tc>
                <w:tcPr>
                  <w:tcW w:w="556"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0.12</w:t>
                  </w:r>
                </w:p>
              </w:tc>
              <w:tc>
                <w:tcPr>
                  <w:tcW w:w="493"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0</w:t>
                  </w:r>
                </w:p>
              </w:tc>
              <w:tc>
                <w:tcPr>
                  <w:tcW w:w="568"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73</w:t>
                  </w:r>
                </w:p>
              </w:tc>
              <w:tc>
                <w:tcPr>
                  <w:tcW w:w="534"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01" w:type="pct"/>
                  <w:tcBorders>
                    <w:tl2br w:val="nil"/>
                    <w:tr2bl w:val="nil"/>
                  </w:tcBorders>
                  <w:noWrap w:val="0"/>
                  <w:tcMar>
                    <w:left w:w="28" w:type="dxa"/>
                    <w:right w:w="28" w:type="dxa"/>
                  </w:tcMar>
                  <w:vAlign w:val="center"/>
                </w:tcPr>
                <w:p>
                  <w:pPr>
                    <w:pStyle w:val="36"/>
                    <w:bidi w:val="0"/>
                    <w:rPr>
                      <w:rFonts w:hint="default"/>
                      <w:color w:val="auto"/>
                      <w:lang w:val="en-US" w:eastAsia="zh-CN"/>
                    </w:rPr>
                  </w:pPr>
                  <w:r>
                    <w:rPr>
                      <w:rFonts w:hint="eastAsia"/>
                      <w:color w:val="auto"/>
                      <w:lang w:val="en-US" w:eastAsia="zh-CN"/>
                    </w:rPr>
                    <w:t>2</w:t>
                  </w:r>
                </w:p>
              </w:tc>
              <w:tc>
                <w:tcPr>
                  <w:tcW w:w="596" w:type="pct"/>
                  <w:tcBorders>
                    <w:tl2br w:val="nil"/>
                    <w:tr2bl w:val="nil"/>
                  </w:tcBorders>
                  <w:noWrap w:val="0"/>
                  <w:tcMar>
                    <w:left w:w="28" w:type="dxa"/>
                    <w:right w:w="28" w:type="dxa"/>
                  </w:tcMar>
                  <w:vAlign w:val="center"/>
                </w:tcPr>
                <w:p>
                  <w:pPr>
                    <w:pStyle w:val="36"/>
                    <w:bidi w:val="0"/>
                    <w:rPr>
                      <w:rFonts w:hint="default"/>
                      <w:color w:val="auto"/>
                      <w:lang w:val="en-US" w:eastAsia="zh-CN"/>
                    </w:rPr>
                  </w:pPr>
                  <w:r>
                    <w:rPr>
                      <w:rFonts w:hint="eastAsia"/>
                      <w:color w:val="auto"/>
                    </w:rPr>
                    <w:t>4#厂房</w:t>
                  </w:r>
                </w:p>
              </w:tc>
              <w:tc>
                <w:tcPr>
                  <w:tcW w:w="714"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非甲烷总烃</w:t>
                  </w:r>
                </w:p>
              </w:tc>
              <w:tc>
                <w:tcPr>
                  <w:tcW w:w="665"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1.70</w:t>
                  </w:r>
                </w:p>
              </w:tc>
              <w:tc>
                <w:tcPr>
                  <w:tcW w:w="569"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2000</w:t>
                  </w:r>
                </w:p>
              </w:tc>
              <w:tc>
                <w:tcPr>
                  <w:tcW w:w="556"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0.09</w:t>
                  </w:r>
                </w:p>
              </w:tc>
              <w:tc>
                <w:tcPr>
                  <w:tcW w:w="493"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0</w:t>
                  </w:r>
                </w:p>
              </w:tc>
              <w:tc>
                <w:tcPr>
                  <w:tcW w:w="568" w:type="pct"/>
                  <w:tcBorders>
                    <w:tl2br w:val="nil"/>
                    <w:tr2bl w:val="nil"/>
                  </w:tcBorders>
                  <w:noWrap w:val="0"/>
                  <w:vAlign w:val="center"/>
                </w:tcPr>
                <w:p>
                  <w:pPr>
                    <w:pStyle w:val="36"/>
                    <w:bidi w:val="0"/>
                    <w:rPr>
                      <w:rFonts w:hint="default"/>
                      <w:color w:val="auto"/>
                      <w:lang w:val="en-US" w:eastAsia="zh-CN"/>
                    </w:rPr>
                  </w:pPr>
                  <w:r>
                    <w:rPr>
                      <w:rFonts w:hint="eastAsia"/>
                      <w:color w:val="auto"/>
                      <w:lang w:val="en-US" w:eastAsia="zh-CN"/>
                    </w:rPr>
                    <w:t>116</w:t>
                  </w:r>
                </w:p>
              </w:tc>
              <w:tc>
                <w:tcPr>
                  <w:tcW w:w="534" w:type="pct"/>
                  <w:tcBorders>
                    <w:tl2br w:val="nil"/>
                    <w:tr2bl w:val="nil"/>
                  </w:tcBorders>
                  <w:noWrap w:val="0"/>
                  <w:vAlign w:val="center"/>
                </w:tcPr>
                <w:p>
                  <w:pPr>
                    <w:pStyle w:val="36"/>
                    <w:bidi w:val="0"/>
                    <w:rPr>
                      <w:rFonts w:hint="eastAsia"/>
                      <w:color w:val="auto"/>
                      <w:lang w:val="en-US" w:eastAsia="zh-CN"/>
                    </w:rPr>
                  </w:pPr>
                  <w:r>
                    <w:rPr>
                      <w:rFonts w:hint="eastAsia"/>
                      <w:color w:val="auto"/>
                      <w:lang w:val="en-US" w:eastAsia="zh-CN"/>
                    </w:rPr>
                    <w:t>三级</w:t>
                  </w:r>
                </w:p>
              </w:tc>
            </w:tr>
          </w:tbl>
          <w:p>
            <w:pPr>
              <w:keepNext w:val="0"/>
              <w:keepLines w:val="0"/>
              <w:pageBreakBefore w:val="0"/>
              <w:widowControl w:val="0"/>
              <w:tabs>
                <w:tab w:val="left" w:pos="1470"/>
              </w:tabs>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color w:val="auto"/>
                <w:sz w:val="24"/>
              </w:rPr>
            </w:pPr>
            <w:r>
              <w:rPr>
                <w:rFonts w:hint="eastAsia" w:cs="Times New Roman"/>
                <w:color w:val="auto"/>
                <w:sz w:val="24"/>
                <w:lang w:val="en-US" w:eastAsia="zh-CN"/>
              </w:rPr>
              <w:t>⑦</w:t>
            </w:r>
            <w:r>
              <w:rPr>
                <w:rFonts w:hint="eastAsia" w:cs="Times New Roman"/>
                <w:color w:val="auto"/>
                <w:lang w:val="en-US" w:eastAsia="zh-CN"/>
              </w:rPr>
              <w:t>大气环境防护距离</w:t>
            </w:r>
          </w:p>
          <w:p>
            <w:pPr>
              <w:pStyle w:val="38"/>
              <w:ind w:firstLine="48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环境影响评价技术导则-大气环境》（HJ2.2-2018）中“8.7.5大气环境防护距离”：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pPr>
              <w:pStyle w:val="38"/>
              <w:ind w:firstLine="48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根据上表</w:t>
            </w:r>
            <w:r>
              <w:rPr>
                <w:rFonts w:hint="eastAsia" w:cs="Times New Roman"/>
                <w:color w:val="auto"/>
                <w:sz w:val="24"/>
                <w:lang w:val="en-US" w:eastAsia="zh-CN"/>
              </w:rPr>
              <w:t>4.2-6</w:t>
            </w:r>
            <w:r>
              <w:rPr>
                <w:rFonts w:hint="eastAsia" w:ascii="Times New Roman" w:hAnsi="Times New Roman" w:eastAsia="宋体" w:cs="Times New Roman"/>
                <w:color w:val="auto"/>
                <w:sz w:val="24"/>
                <w:lang w:val="en-US" w:eastAsia="zh-CN"/>
              </w:rPr>
              <w:t>可知，本</w:t>
            </w:r>
            <w:r>
              <w:rPr>
                <w:rFonts w:ascii="Times New Roman" w:hAnsi="Times New Roman"/>
                <w:color w:val="auto"/>
              </w:rPr>
              <w:t>项目</w:t>
            </w:r>
            <w:r>
              <w:rPr>
                <w:rFonts w:hint="eastAsia" w:ascii="Times New Roman" w:hAnsi="Times New Roman" w:eastAsia="宋体" w:cs="Times New Roman"/>
                <w:color w:val="auto"/>
                <w:sz w:val="24"/>
                <w:lang w:val="en-US" w:eastAsia="zh-CN"/>
              </w:rPr>
              <w:t>下风向</w:t>
            </w:r>
            <w:r>
              <w:rPr>
                <w:color w:val="auto"/>
              </w:rPr>
              <w:t>最大</w:t>
            </w:r>
            <w:r>
              <w:rPr>
                <w:rFonts w:hint="eastAsia" w:cs="Times New Roman"/>
                <w:color w:val="auto"/>
                <w:lang w:val="en-US" w:eastAsia="zh-CN"/>
              </w:rPr>
              <w:t>落地</w:t>
            </w:r>
            <w:r>
              <w:rPr>
                <w:color w:val="auto"/>
              </w:rPr>
              <w:t>浓度</w:t>
            </w:r>
            <w:r>
              <w:rPr>
                <w:rFonts w:ascii="Times New Roman" w:hAnsi="Times New Roman"/>
                <w:color w:val="auto"/>
              </w:rPr>
              <w:t>为</w:t>
            </w:r>
            <w:r>
              <w:rPr>
                <w:rFonts w:hint="eastAsia" w:ascii="Times New Roman" w:hAnsi="Times New Roman"/>
                <w:color w:val="auto"/>
                <w:lang w:val="en-US" w:eastAsia="zh-CN"/>
              </w:rPr>
              <w:t>2.36</w:t>
            </w:r>
            <w:r>
              <w:rPr>
                <w:rFonts w:hint="default"/>
                <w:color w:val="auto"/>
                <w:lang w:val="en-US" w:eastAsia="zh-CN"/>
              </w:rPr>
              <w:t>μg</w:t>
            </w:r>
            <w:r>
              <w:rPr>
                <w:rFonts w:hint="eastAsia"/>
                <w:color w:val="auto"/>
                <w:lang w:val="en-US" w:eastAsia="zh-CN"/>
              </w:rPr>
              <w:t>/m</w:t>
            </w:r>
            <w:r>
              <w:rPr>
                <w:rFonts w:ascii="Times New Roman" w:hAnsi="Times New Roman"/>
                <w:color w:val="auto"/>
                <w:vertAlign w:val="superscript"/>
              </w:rPr>
              <w:t>3</w:t>
            </w:r>
            <w:r>
              <w:rPr>
                <w:rFonts w:ascii="Times New Roman" w:hAnsi="Times New Roman"/>
                <w:color w:val="auto"/>
              </w:rPr>
              <w:t>，最大占标率</w:t>
            </w:r>
            <w:r>
              <w:rPr>
                <w:rFonts w:hint="eastAsia" w:ascii="Times New Roman" w:hAnsi="Times New Roman"/>
                <w:color w:val="auto"/>
                <w:lang w:val="en-US" w:eastAsia="zh-CN"/>
              </w:rPr>
              <w:t>0.12</w:t>
            </w:r>
            <w:r>
              <w:rPr>
                <w:rFonts w:ascii="Times New Roman" w:hAnsi="Times New Roman"/>
                <w:color w:val="auto"/>
              </w:rPr>
              <w:t>%，</w:t>
            </w:r>
            <w:r>
              <w:rPr>
                <w:rFonts w:hint="eastAsia" w:ascii="Times New Roman" w:hAnsi="Times New Roman" w:eastAsia="宋体" w:cs="Times New Roman"/>
                <w:color w:val="auto"/>
                <w:sz w:val="24"/>
                <w:lang w:val="en-US" w:eastAsia="zh-CN"/>
              </w:rPr>
              <w:t>厂界外非甲烷总烃污染因子符合</w:t>
            </w:r>
            <w:r>
              <w:rPr>
                <w:rFonts w:hint="default" w:ascii="Times New Roman" w:hAnsi="Times New Roman" w:cs="Times New Roman"/>
                <w:color w:val="auto"/>
                <w:sz w:val="24"/>
                <w:highlight w:val="none"/>
              </w:rPr>
              <w:t>《大气污染物综合排放标准详解》</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国家</w:t>
            </w:r>
            <w:r>
              <w:rPr>
                <w:rFonts w:hint="eastAsia" w:ascii="Times New Roman" w:hAnsi="Times New Roman" w:cs="Times New Roman"/>
                <w:color w:val="auto"/>
                <w:sz w:val="24"/>
                <w:highlight w:val="none"/>
                <w:lang w:eastAsia="zh-CN"/>
              </w:rPr>
              <w:t>生态环境局</w:t>
            </w:r>
            <w:r>
              <w:rPr>
                <w:rFonts w:hint="default" w:ascii="Times New Roman" w:hAnsi="Times New Roman" w:cs="Times New Roman"/>
                <w:color w:val="auto"/>
                <w:sz w:val="24"/>
                <w:highlight w:val="none"/>
              </w:rPr>
              <w:t>科技标准司</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中关于非甲烷总烃质量标准的限值要求</w:t>
            </w:r>
            <w:r>
              <w:rPr>
                <w:rFonts w:hint="eastAsia" w:ascii="Times New Roman" w:hAnsi="Times New Roman" w:eastAsia="宋体" w:cs="Times New Roman"/>
                <w:color w:val="auto"/>
                <w:sz w:val="24"/>
                <w:lang w:val="en-US" w:eastAsia="zh-CN"/>
              </w:rPr>
              <w:t>，因此不需要设置大气环境防护距离。</w:t>
            </w:r>
          </w:p>
          <w:p>
            <w:pPr>
              <w:pStyle w:val="38"/>
              <w:ind w:firstLine="480"/>
              <w:rPr>
                <w:rFonts w:hint="eastAsia" w:ascii="Times New Roman" w:hAnsi="Times New Roman" w:eastAsia="宋体" w:cs="Times New Roman"/>
                <w:color w:val="auto"/>
                <w:sz w:val="24"/>
                <w:lang w:val="en-US" w:eastAsia="zh-CN"/>
              </w:rPr>
            </w:pPr>
          </w:p>
          <w:p>
            <w:pPr>
              <w:pStyle w:val="38"/>
              <w:ind w:firstLine="480"/>
              <w:rPr>
                <w:rFonts w:hint="eastAsia" w:ascii="Times New Roman" w:hAnsi="Times New Roman" w:eastAsia="宋体" w:cs="Times New Roman"/>
                <w:color w:val="auto"/>
                <w:sz w:val="24"/>
                <w:lang w:val="en-US" w:eastAsia="zh-CN"/>
              </w:rPr>
            </w:pPr>
          </w:p>
          <w:p>
            <w:pPr>
              <w:pStyle w:val="38"/>
              <w:ind w:firstLine="480"/>
              <w:rPr>
                <w:rFonts w:hint="eastAsia" w:ascii="Times New Roman" w:hAnsi="Times New Roman" w:eastAsia="宋体" w:cs="Times New Roman"/>
                <w:color w:val="auto"/>
                <w:sz w:val="24"/>
                <w:lang w:val="en-US" w:eastAsia="zh-CN"/>
              </w:rPr>
            </w:pPr>
          </w:p>
          <w:p>
            <w:pPr>
              <w:numPr>
                <w:ilvl w:val="0"/>
                <w:numId w:val="4"/>
              </w:numPr>
              <w:ind w:firstLine="480" w:firstLineChars="200"/>
              <w:rPr>
                <w:rFonts w:cs="Times New Roman"/>
                <w:color w:val="auto"/>
              </w:rPr>
            </w:pPr>
            <w:r>
              <w:rPr>
                <w:rFonts w:hint="eastAsia" w:cs="Times New Roman"/>
                <w:color w:val="auto"/>
              </w:rPr>
              <w:t>卫生</w:t>
            </w:r>
            <w:r>
              <w:rPr>
                <w:rFonts w:cs="Times New Roman"/>
                <w:color w:val="auto"/>
              </w:rPr>
              <w:t>环境防护距离设置要求</w:t>
            </w:r>
          </w:p>
          <w:p>
            <w:pPr>
              <w:widowControl/>
              <w:spacing w:line="360" w:lineRule="auto"/>
              <w:ind w:firstLine="480" w:firstLineChars="200"/>
              <w:jc w:val="left"/>
              <w:rPr>
                <w:rFonts w:hint="eastAsia"/>
                <w:color w:val="auto"/>
                <w:sz w:val="24"/>
              </w:rPr>
            </w:pPr>
            <w:r>
              <w:rPr>
                <w:rFonts w:hint="eastAsia"/>
                <w:color w:val="auto"/>
                <w:sz w:val="24"/>
                <w:szCs w:val="20"/>
              </w:rPr>
              <w:t>根据环境影响评价网</w:t>
            </w:r>
            <w:r>
              <w:rPr>
                <w:rFonts w:hint="eastAsia"/>
                <w:color w:val="auto"/>
                <w:sz w:val="24"/>
                <w:szCs w:val="20"/>
                <w:lang w:eastAsia="zh-CN"/>
              </w:rPr>
              <w:t>（</w:t>
            </w:r>
            <w:r>
              <w:rPr>
                <w:rFonts w:hint="eastAsia"/>
                <w:color w:val="auto"/>
                <w:sz w:val="24"/>
                <w:szCs w:val="20"/>
                <w:lang w:val="zh-CN"/>
              </w:rPr>
              <w:t>生态环境部环境工程评估中心</w:t>
            </w:r>
            <w:r>
              <w:rPr>
                <w:rFonts w:hint="eastAsia"/>
                <w:color w:val="auto"/>
                <w:sz w:val="24"/>
                <w:szCs w:val="20"/>
                <w:lang w:eastAsia="zh-CN"/>
              </w:rPr>
              <w:t>）</w:t>
            </w:r>
            <w:r>
              <w:rPr>
                <w:rFonts w:hint="eastAsia"/>
                <w:color w:val="auto"/>
                <w:sz w:val="24"/>
                <w:szCs w:val="20"/>
              </w:rPr>
              <w:t>关于</w:t>
            </w:r>
            <w:r>
              <w:rPr>
                <w:rFonts w:hint="eastAsia"/>
                <w:color w:val="auto"/>
                <w:sz w:val="24"/>
                <w:szCs w:val="20"/>
                <w:lang w:val="zh-CN"/>
              </w:rPr>
              <w:t>《建设项目环境影响报告表》内容、格式及编制技术指南常见问题解答：</w:t>
            </w:r>
            <w:r>
              <w:rPr>
                <w:rFonts w:hint="eastAsia"/>
                <w:color w:val="auto"/>
                <w:sz w:val="24"/>
                <w:szCs w:val="20"/>
              </w:rPr>
              <w:t>“《建设项目环境影响评价技术导则 总纲》(HJ</w:t>
            </w:r>
            <w:r>
              <w:rPr>
                <w:rFonts w:hint="eastAsia"/>
                <w:color w:val="auto"/>
                <w:sz w:val="24"/>
                <w:szCs w:val="20"/>
                <w:lang w:val="en-US" w:eastAsia="zh-CN"/>
              </w:rPr>
              <w:t xml:space="preserve"> </w:t>
            </w:r>
            <w:r>
              <w:rPr>
                <w:rFonts w:hint="eastAsia"/>
                <w:color w:val="auto"/>
                <w:sz w:val="24"/>
                <w:szCs w:val="20"/>
              </w:rPr>
              <w:t>2.1-2016)未对卫生防护距离提出评价要求，建设项目环境影响报告表编制技术指南</w:t>
            </w:r>
            <w:r>
              <w:rPr>
                <w:rFonts w:hint="eastAsia"/>
                <w:color w:val="auto"/>
                <w:sz w:val="24"/>
                <w:szCs w:val="20"/>
                <w:lang w:eastAsia="zh-CN"/>
              </w:rPr>
              <w:t>（</w:t>
            </w:r>
            <w:r>
              <w:rPr>
                <w:rFonts w:hint="eastAsia"/>
                <w:color w:val="auto"/>
                <w:sz w:val="24"/>
                <w:szCs w:val="20"/>
              </w:rPr>
              <w:t>以下简称技术指南</w:t>
            </w:r>
            <w:r>
              <w:rPr>
                <w:rFonts w:hint="eastAsia"/>
                <w:color w:val="auto"/>
                <w:sz w:val="24"/>
                <w:szCs w:val="20"/>
                <w:lang w:eastAsia="zh-CN"/>
              </w:rPr>
              <w:t>）</w:t>
            </w:r>
            <w:r>
              <w:rPr>
                <w:rFonts w:hint="eastAsia"/>
                <w:color w:val="auto"/>
                <w:sz w:val="24"/>
                <w:szCs w:val="20"/>
              </w:rPr>
              <w:t>不做要求。对于判定为需要开展大气专项评价的建设项目，根据《环境影响评价技术导则 大气环境》(HJ</w:t>
            </w:r>
            <w:r>
              <w:rPr>
                <w:rFonts w:hint="eastAsia"/>
                <w:color w:val="auto"/>
                <w:sz w:val="24"/>
                <w:szCs w:val="20"/>
                <w:lang w:val="en-US" w:eastAsia="zh-CN"/>
              </w:rPr>
              <w:t xml:space="preserve"> </w:t>
            </w:r>
            <w:r>
              <w:rPr>
                <w:rFonts w:hint="eastAsia"/>
                <w:color w:val="auto"/>
                <w:sz w:val="24"/>
                <w:szCs w:val="20"/>
              </w:rPr>
              <w:t>2.2-2018)需要计算大气环境防护距离的，应按要求计算”。本项目可不设置卫生防护距离。</w:t>
            </w:r>
          </w:p>
          <w:p>
            <w:pPr>
              <w:widowControl/>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根据《制定地方大气污染物排放标准的技术方法》(GB/T</w:t>
            </w:r>
            <w:r>
              <w:rPr>
                <w:rFonts w:hint="eastAsia" w:ascii="Times New Roman" w:hAnsi="Times New Roman" w:cs="Times New Roman" w:eastAsiaTheme="minorEastAsia"/>
                <w:color w:val="auto"/>
                <w:sz w:val="24"/>
                <w:szCs w:val="24"/>
                <w:lang w:val="en-US" w:eastAsia="zh-CN"/>
              </w:rPr>
              <w:t xml:space="preserve"> </w:t>
            </w:r>
            <w:r>
              <w:rPr>
                <w:rFonts w:hint="default" w:ascii="Times New Roman" w:hAnsi="Times New Roman" w:cs="Times New Roman" w:eastAsiaTheme="minorEastAsia"/>
                <w:color w:val="auto"/>
                <w:sz w:val="24"/>
                <w:szCs w:val="24"/>
              </w:rPr>
              <w:t>3840-91)7.2章节相关内容</w:t>
            </w:r>
            <w:r>
              <w:rPr>
                <w:rFonts w:hint="eastAsia"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无组织排放的有毒有害气体进入呼吸带大气层时，其浓度超GB3095与TJ36规定的居住区容许浓度限值，则无组织排放源所在的生产单元(生产区、车间或工段)与居住区之间应设置卫生防护距离</w:t>
            </w:r>
            <w:r>
              <w:rPr>
                <w:rFonts w:hint="eastAsia"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同时参照《大气影响评价实用技术》第10章</w:t>
            </w:r>
            <w:r>
              <w:rPr>
                <w:rFonts w:hint="eastAsia"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大气环境防护距离与卫生防护距离</w:t>
            </w:r>
            <w:r>
              <w:rPr>
                <w:rFonts w:hint="eastAsia"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10.2.2.2章计算确定卫生防护距离技术要点章节相关内容：</w:t>
            </w:r>
            <w:r>
              <w:rPr>
                <w:rFonts w:hint="eastAsia"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在污染源所有影响区域范围内，排放到环境中的污染物浓度如超过环境空气质量标准，包括厂区内、厂界、厂界外，则需设置卫生防护距离，如在厂区内满足GB3095及TJ36要求，可不设置卫生防护距离</w:t>
            </w:r>
            <w:r>
              <w:rPr>
                <w:rFonts w:hint="eastAsia"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根据表4.2-</w:t>
            </w:r>
            <w:r>
              <w:rPr>
                <w:rFonts w:hint="eastAsia" w:ascii="Times New Roman" w:hAnsi="Times New Roman" w:cs="Times New Roman" w:eastAsiaTheme="minorEastAsia"/>
                <w:color w:val="auto"/>
                <w:sz w:val="24"/>
                <w:szCs w:val="24"/>
                <w:lang w:val="en-US" w:eastAsia="zh-CN"/>
              </w:rPr>
              <w:t>6预测可知</w:t>
            </w:r>
            <w:r>
              <w:rPr>
                <w:rFonts w:hint="default" w:ascii="Times New Roman" w:hAnsi="Times New Roman"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rPr>
              <w:t>本项目</w:t>
            </w:r>
            <w:r>
              <w:rPr>
                <w:rFonts w:hint="default" w:ascii="Times New Roman" w:hAnsi="Times New Roman" w:cs="Times New Roman" w:eastAsiaTheme="minorEastAsia"/>
                <w:color w:val="auto"/>
                <w:sz w:val="24"/>
                <w:szCs w:val="24"/>
                <w:lang w:eastAsia="zh-CN"/>
              </w:rPr>
              <w:t>非甲烷总烃</w:t>
            </w:r>
            <w:r>
              <w:rPr>
                <w:rFonts w:hint="default" w:ascii="Times New Roman" w:hAnsi="Times New Roman" w:cs="Times New Roman" w:eastAsiaTheme="minorEastAsia"/>
                <w:color w:val="auto"/>
                <w:sz w:val="24"/>
                <w:szCs w:val="24"/>
              </w:rPr>
              <w:t>无浓度超标点，因此，本项目可不设置卫生防护距离。</w:t>
            </w:r>
          </w:p>
          <w:p>
            <w:pPr>
              <w:pStyle w:val="61"/>
              <w:rPr>
                <w:rFonts w:ascii="Times New Roman" w:hAnsi="Times New Roman" w:cs="Times New Roman"/>
                <w:color w:val="auto"/>
              </w:rPr>
            </w:pPr>
            <w:r>
              <w:rPr>
                <w:rFonts w:ascii="Times New Roman" w:hAnsi="Times New Roman" w:cs="Times New Roman"/>
                <w:color w:val="auto"/>
              </w:rPr>
              <w:t>4.2.</w:t>
            </w:r>
            <w:r>
              <w:rPr>
                <w:rFonts w:hint="eastAsia" w:ascii="Times New Roman" w:hAnsi="Times New Roman" w:cs="Times New Roman"/>
                <w:color w:val="auto"/>
              </w:rPr>
              <w:t>1</w:t>
            </w:r>
            <w:r>
              <w:rPr>
                <w:rFonts w:ascii="Times New Roman" w:hAnsi="Times New Roman" w:cs="Times New Roman"/>
                <w:color w:val="auto"/>
              </w:rPr>
              <w:t>.</w:t>
            </w:r>
            <w:r>
              <w:rPr>
                <w:rFonts w:hint="eastAsia" w:ascii="Times New Roman" w:hAnsi="Times New Roman" w:cs="Times New Roman"/>
                <w:color w:val="auto"/>
              </w:rPr>
              <w:t>3大气环境影响分析</w:t>
            </w:r>
          </w:p>
          <w:p>
            <w:pPr>
              <w:pStyle w:val="38"/>
              <w:ind w:firstLine="480"/>
              <w:rPr>
                <w:color w:val="auto"/>
              </w:rPr>
            </w:pPr>
            <w:r>
              <w:rPr>
                <w:rFonts w:hint="eastAsia"/>
                <w:color w:val="auto"/>
              </w:rPr>
              <w:t>本项目位于</w:t>
            </w:r>
            <w:r>
              <w:rPr>
                <w:rFonts w:hint="eastAsia"/>
                <w:color w:val="auto"/>
                <w:lang w:eastAsia="zh-CN"/>
              </w:rPr>
              <w:t>福清融侨经济技术开发区洪宽工业村</w:t>
            </w:r>
            <w:r>
              <w:rPr>
                <w:rFonts w:hint="eastAsia"/>
                <w:color w:val="auto"/>
              </w:rPr>
              <w:t>（福清市阳下街道屿边村160号）。福清市环境空气质量总体符合《环境空气质量标准》（GB</w:t>
            </w:r>
            <w:r>
              <w:rPr>
                <w:rFonts w:hint="eastAsia"/>
                <w:color w:val="auto"/>
                <w:lang w:val="en-US" w:eastAsia="zh-CN"/>
              </w:rPr>
              <w:t xml:space="preserve"> </w:t>
            </w:r>
            <w:r>
              <w:rPr>
                <w:rFonts w:hint="eastAsia"/>
                <w:color w:val="auto"/>
              </w:rPr>
              <w:t>3095-2018）二级标准，属于环境空气质量达标区域。福清地区常年主导风向为东北风，项目最近的环境敏感目标为东南方向21m处的屿边村，处于主导风向的侧风向位置。项目将主要产污的1#厂房和4#厂房（设退火工序）布置远离东侧敏感点（厂房距屿边村最近距离约</w:t>
            </w:r>
            <w:r>
              <w:rPr>
                <w:rFonts w:hint="eastAsia"/>
                <w:color w:val="auto"/>
                <w:lang w:eastAsia="zh-CN"/>
              </w:rPr>
              <w:t>80米</w:t>
            </w:r>
            <w:r>
              <w:rPr>
                <w:rFonts w:hint="eastAsia"/>
                <w:color w:val="auto"/>
              </w:rPr>
              <w:t>），</w:t>
            </w:r>
            <w:r>
              <w:rPr>
                <w:rFonts w:hint="eastAsia"/>
                <w:color w:val="auto"/>
                <w:lang w:val="en-US" w:eastAsia="zh-CN"/>
              </w:rPr>
              <w:t>可</w:t>
            </w:r>
            <w:r>
              <w:rPr>
                <w:rFonts w:hint="eastAsia"/>
                <w:color w:val="auto"/>
              </w:rPr>
              <w:t>减缓对敏感点影响</w:t>
            </w:r>
            <w:r>
              <w:rPr>
                <w:rFonts w:hint="eastAsia"/>
                <w:color w:val="auto"/>
                <w:lang w:eastAsia="zh-CN"/>
              </w:rPr>
              <w:t>，</w:t>
            </w:r>
            <w:r>
              <w:rPr>
                <w:rFonts w:hint="eastAsia"/>
                <w:color w:val="auto"/>
              </w:rPr>
              <w:t>退火工序产生少量VOCs，根据</w:t>
            </w:r>
            <w:r>
              <w:rPr>
                <w:rFonts w:hint="eastAsia"/>
                <w:color w:val="auto"/>
                <w:lang w:val="en-US" w:eastAsia="zh-CN"/>
              </w:rPr>
              <w:t>预测</w:t>
            </w:r>
            <w:r>
              <w:rPr>
                <w:rFonts w:hint="eastAsia"/>
                <w:color w:val="auto"/>
              </w:rPr>
              <w:t>结果，</w:t>
            </w:r>
            <w:r>
              <w:rPr>
                <w:rFonts w:hint="eastAsia"/>
                <w:color w:val="auto"/>
                <w:lang w:val="en-US" w:eastAsia="zh-CN"/>
              </w:rPr>
              <w:t>项目厂界外大气污染物</w:t>
            </w:r>
            <w:r>
              <w:rPr>
                <w:rFonts w:hint="eastAsia" w:ascii="Times New Roman" w:hAnsi="Times New Roman" w:eastAsia="宋体" w:cs="Times New Roman"/>
                <w:color w:val="auto"/>
                <w:sz w:val="24"/>
                <w:lang w:val="en-US" w:eastAsia="zh-CN"/>
              </w:rPr>
              <w:t>非甲烷总烃可达标排放</w:t>
            </w:r>
            <w:r>
              <w:rPr>
                <w:rFonts w:hint="eastAsia"/>
                <w:color w:val="auto"/>
              </w:rPr>
              <w:t>。</w:t>
            </w:r>
          </w:p>
          <w:p>
            <w:pPr>
              <w:pStyle w:val="38"/>
              <w:ind w:firstLine="480"/>
              <w:rPr>
                <w:rFonts w:hint="eastAsia"/>
                <w:color w:val="auto"/>
              </w:rPr>
            </w:pPr>
            <w:r>
              <w:rPr>
                <w:color w:val="auto"/>
              </w:rPr>
              <w:t>综上，</w:t>
            </w:r>
            <w:r>
              <w:rPr>
                <w:rFonts w:hint="eastAsia"/>
                <w:color w:val="auto"/>
              </w:rPr>
              <w:t>项目在生产过程中采取合理的污染防治措施，对大气环境影响较小，对周边</w:t>
            </w:r>
            <w:r>
              <w:rPr>
                <w:rFonts w:hint="eastAsia"/>
                <w:color w:val="auto"/>
                <w:lang w:val="en-US" w:eastAsia="zh-CN"/>
              </w:rPr>
              <w:t>敏感点</w:t>
            </w:r>
            <w:r>
              <w:rPr>
                <w:rFonts w:hint="eastAsia"/>
                <w:color w:val="auto"/>
              </w:rPr>
              <w:t>影响不大。</w:t>
            </w:r>
          </w:p>
          <w:p>
            <w:pPr>
              <w:pStyle w:val="38"/>
              <w:ind w:firstLine="480"/>
              <w:rPr>
                <w:rFonts w:hint="eastAsia"/>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0" w:hRule="atLeast"/>
          <w:jc w:val="center"/>
        </w:trPr>
        <w:tc>
          <w:tcPr>
            <w:tcW w:w="756" w:type="dxa"/>
            <w:tcMar>
              <w:left w:w="28" w:type="dxa"/>
              <w:right w:w="28" w:type="dxa"/>
            </w:tcMar>
            <w:vAlign w:val="center"/>
          </w:tcPr>
          <w:p>
            <w:pPr>
              <w:pStyle w:val="36"/>
              <w:rPr>
                <w:rFonts w:cs="Times New Roman"/>
                <w:color w:val="auto"/>
                <w:sz w:val="24"/>
                <w:szCs w:val="24"/>
              </w:rPr>
            </w:pPr>
            <w:r>
              <w:rPr>
                <w:rFonts w:cs="Times New Roman"/>
                <w:color w:val="auto"/>
                <w:sz w:val="24"/>
                <w:szCs w:val="24"/>
              </w:rPr>
              <w:t>运营</w:t>
            </w:r>
          </w:p>
          <w:p>
            <w:pPr>
              <w:pStyle w:val="36"/>
              <w:rPr>
                <w:rFonts w:cs="Times New Roman"/>
                <w:color w:val="auto"/>
                <w:sz w:val="24"/>
                <w:szCs w:val="24"/>
              </w:rPr>
            </w:pPr>
            <w:r>
              <w:rPr>
                <w:rFonts w:cs="Times New Roman"/>
                <w:color w:val="auto"/>
                <w:sz w:val="24"/>
                <w:szCs w:val="24"/>
              </w:rPr>
              <w:t>期环</w:t>
            </w:r>
          </w:p>
          <w:p>
            <w:pPr>
              <w:pStyle w:val="36"/>
              <w:rPr>
                <w:rFonts w:cs="Times New Roman"/>
                <w:color w:val="auto"/>
                <w:sz w:val="24"/>
                <w:szCs w:val="24"/>
              </w:rPr>
            </w:pPr>
            <w:r>
              <w:rPr>
                <w:rFonts w:cs="Times New Roman"/>
                <w:color w:val="auto"/>
                <w:sz w:val="24"/>
                <w:szCs w:val="24"/>
              </w:rPr>
              <w:t>境影</w:t>
            </w:r>
          </w:p>
          <w:p>
            <w:pPr>
              <w:pStyle w:val="36"/>
              <w:rPr>
                <w:rFonts w:cs="Times New Roman"/>
                <w:color w:val="auto"/>
                <w:sz w:val="24"/>
                <w:szCs w:val="24"/>
              </w:rPr>
            </w:pPr>
            <w:r>
              <w:rPr>
                <w:rFonts w:cs="Times New Roman"/>
                <w:color w:val="auto"/>
                <w:sz w:val="24"/>
                <w:szCs w:val="24"/>
              </w:rPr>
              <w:t>响和</w:t>
            </w:r>
          </w:p>
          <w:p>
            <w:pPr>
              <w:pStyle w:val="36"/>
              <w:rPr>
                <w:rFonts w:cs="Times New Roman"/>
                <w:color w:val="auto"/>
                <w:sz w:val="24"/>
                <w:szCs w:val="24"/>
              </w:rPr>
            </w:pPr>
            <w:r>
              <w:rPr>
                <w:rFonts w:cs="Times New Roman"/>
                <w:color w:val="auto"/>
                <w:sz w:val="24"/>
                <w:szCs w:val="24"/>
              </w:rPr>
              <w:t>保护</w:t>
            </w:r>
          </w:p>
          <w:p>
            <w:pPr>
              <w:pStyle w:val="36"/>
              <w:rPr>
                <w:rFonts w:cs="Times New Roman"/>
                <w:color w:val="auto"/>
                <w:sz w:val="24"/>
                <w:szCs w:val="24"/>
              </w:rPr>
            </w:pPr>
            <w:r>
              <w:rPr>
                <w:rFonts w:cs="Times New Roman"/>
                <w:color w:val="auto"/>
                <w:sz w:val="24"/>
                <w:szCs w:val="24"/>
              </w:rPr>
              <w:t>措施</w:t>
            </w:r>
          </w:p>
        </w:tc>
        <w:tc>
          <w:tcPr>
            <w:tcW w:w="8451" w:type="dxa"/>
            <w:vAlign w:val="center"/>
          </w:tcPr>
          <w:p>
            <w:pPr>
              <w:pStyle w:val="56"/>
              <w:rPr>
                <w:rFonts w:cs="Times New Roman"/>
                <w:color w:val="auto"/>
              </w:rPr>
            </w:pPr>
            <w:bookmarkStart w:id="86" w:name="_Toc12814"/>
            <w:r>
              <w:rPr>
                <w:rFonts w:cs="Times New Roman"/>
                <w:color w:val="auto"/>
              </w:rPr>
              <w:t>4.2.</w:t>
            </w:r>
            <w:r>
              <w:rPr>
                <w:rFonts w:hint="eastAsia" w:cs="Times New Roman"/>
                <w:color w:val="auto"/>
              </w:rPr>
              <w:t>2</w:t>
            </w:r>
            <w:r>
              <w:rPr>
                <w:rFonts w:cs="Times New Roman"/>
                <w:color w:val="auto"/>
              </w:rPr>
              <w:t>废水</w:t>
            </w:r>
            <w:r>
              <w:rPr>
                <w:rFonts w:hint="eastAsia" w:cs="Times New Roman"/>
                <w:color w:val="auto"/>
              </w:rPr>
              <w:t>环境影响及防治措施</w:t>
            </w:r>
            <w:bookmarkEnd w:id="86"/>
          </w:p>
          <w:p>
            <w:pPr>
              <w:pStyle w:val="61"/>
              <w:ind w:firstLine="480" w:firstLineChars="200"/>
              <w:rPr>
                <w:rFonts w:ascii="Times New Roman" w:hAnsi="Times New Roman" w:eastAsia="宋体"/>
                <w:bCs w:val="0"/>
                <w:color w:val="auto"/>
                <w:kern w:val="0"/>
              </w:rPr>
            </w:pPr>
            <w:r>
              <w:rPr>
                <w:rFonts w:hint="eastAsia" w:ascii="Times New Roman" w:hAnsi="Times New Roman" w:eastAsia="宋体"/>
                <w:bCs w:val="0"/>
                <w:color w:val="auto"/>
                <w:kern w:val="0"/>
              </w:rPr>
              <w:t>（1）废水污染源情况</w:t>
            </w:r>
          </w:p>
          <w:p>
            <w:pPr>
              <w:pStyle w:val="61"/>
              <w:ind w:firstLine="480" w:firstLineChars="200"/>
              <w:rPr>
                <w:rFonts w:ascii="Times New Roman" w:hAnsi="Times New Roman" w:eastAsia="宋体"/>
                <w:bCs w:val="0"/>
                <w:color w:val="auto"/>
                <w:kern w:val="0"/>
              </w:rPr>
            </w:pPr>
            <w:r>
              <w:rPr>
                <w:rFonts w:hint="eastAsia" w:ascii="Times New Roman" w:hAnsi="Times New Roman" w:eastAsia="宋体"/>
                <w:bCs w:val="0"/>
                <w:color w:val="auto"/>
                <w:kern w:val="0"/>
              </w:rPr>
              <w:t>本项目废水主要为生活污水。项目冷却塔用水循环使用，不外排</w:t>
            </w:r>
            <w:r>
              <w:rPr>
                <w:rFonts w:hint="eastAsia" w:ascii="Times New Roman" w:hAnsi="Times New Roman" w:eastAsia="宋体"/>
                <w:bCs w:val="0"/>
                <w:color w:val="auto"/>
                <w:kern w:val="0"/>
                <w:lang w:eastAsia="zh-CN"/>
              </w:rPr>
              <w:t>，</w:t>
            </w:r>
            <w:r>
              <w:rPr>
                <w:rFonts w:hint="eastAsia" w:ascii="Times New Roman" w:hAnsi="Times New Roman" w:eastAsia="宋体"/>
                <w:bCs w:val="0"/>
                <w:color w:val="auto"/>
                <w:kern w:val="0"/>
              </w:rPr>
              <w:t>无其他生产废水</w:t>
            </w:r>
            <w:r>
              <w:rPr>
                <w:rFonts w:hint="eastAsia" w:ascii="Times New Roman" w:hAnsi="Times New Roman" w:eastAsia="宋体"/>
                <w:bCs w:val="0"/>
                <w:color w:val="auto"/>
                <w:kern w:val="0"/>
                <w:lang w:val="en-US" w:eastAsia="zh-CN"/>
              </w:rPr>
              <w:t>排放，</w:t>
            </w:r>
            <w:r>
              <w:rPr>
                <w:rFonts w:hint="eastAsia" w:ascii="Times New Roman" w:hAnsi="Times New Roman" w:eastAsia="宋体"/>
                <w:bCs w:val="0"/>
                <w:color w:val="auto"/>
                <w:kern w:val="0"/>
              </w:rPr>
              <w:t>车间地面打扫方式为用扫帚清扫，不采用地面冲洗，因此，无冲洗废水产生。</w:t>
            </w:r>
          </w:p>
          <w:p>
            <w:pPr>
              <w:ind w:firstLine="480"/>
              <w:rPr>
                <w:rFonts w:cs="Times New Roman"/>
                <w:color w:val="auto"/>
              </w:rPr>
            </w:pPr>
            <w:r>
              <w:rPr>
                <w:rFonts w:cs="Times New Roman"/>
                <w:color w:val="auto"/>
              </w:rPr>
              <w:t>（</w:t>
            </w:r>
            <w:r>
              <w:rPr>
                <w:rFonts w:hint="eastAsia" w:cs="Times New Roman"/>
                <w:color w:val="auto"/>
              </w:rPr>
              <w:t>2</w:t>
            </w:r>
            <w:r>
              <w:rPr>
                <w:rFonts w:cs="Times New Roman"/>
                <w:color w:val="auto"/>
              </w:rPr>
              <w:t>）生活污水</w:t>
            </w:r>
            <w:r>
              <w:rPr>
                <w:rFonts w:hint="eastAsia" w:cs="Times New Roman"/>
                <w:color w:val="auto"/>
              </w:rPr>
              <w:t>源强分析</w:t>
            </w:r>
          </w:p>
          <w:p>
            <w:pPr>
              <w:wordWrap w:val="0"/>
              <w:ind w:firstLine="480"/>
              <w:rPr>
                <w:rFonts w:cs="Times New Roman"/>
                <w:color w:val="auto"/>
              </w:rPr>
            </w:pPr>
            <w:r>
              <w:rPr>
                <w:rFonts w:hint="eastAsia"/>
                <w:color w:val="auto"/>
              </w:rPr>
              <w:t>根据前文水平衡分析可知，</w:t>
            </w:r>
            <w:r>
              <w:rPr>
                <w:rFonts w:hint="eastAsia" w:cs="Times New Roman"/>
                <w:color w:val="auto"/>
              </w:rPr>
              <w:t>项目外排生活污水排放量为2.35</w:t>
            </w:r>
            <w:r>
              <w:rPr>
                <w:rFonts w:cs="Times New Roman"/>
                <w:color w:val="auto"/>
              </w:rPr>
              <w:t>t/d（</w:t>
            </w:r>
            <w:r>
              <w:rPr>
                <w:rFonts w:hint="eastAsia" w:cs="Times New Roman"/>
                <w:color w:val="auto"/>
                <w:lang w:val="en-US" w:eastAsia="zh-CN"/>
              </w:rPr>
              <w:t>705.6</w:t>
            </w:r>
            <w:r>
              <w:rPr>
                <w:rFonts w:cs="Times New Roman"/>
                <w:color w:val="auto"/>
              </w:rPr>
              <w:t>t/a）</w:t>
            </w:r>
          </w:p>
          <w:p>
            <w:pPr>
              <w:wordWrap w:val="0"/>
              <w:ind w:firstLine="0" w:firstLineChars="0"/>
              <w:rPr>
                <w:color w:val="auto"/>
                <w:lang w:bidi="he-IL"/>
              </w:rPr>
            </w:pPr>
            <w:r>
              <w:rPr>
                <w:rFonts w:hint="eastAsia"/>
                <w:color w:val="auto"/>
              </w:rPr>
              <w:t>，经化粪池处理后排入福清市融元污水处理厂集中处理。</w:t>
            </w:r>
            <w:r>
              <w:rPr>
                <w:rFonts w:hint="eastAsia" w:cs="Times New Roman"/>
                <w:color w:val="auto"/>
              </w:rPr>
              <w:t>参考《给排水设计手册》（第五册城镇排水）典型生活污水水质，确定本项目污水污染物浓度为COD：400mg/L、BOD</w:t>
            </w:r>
            <w:r>
              <w:rPr>
                <w:rFonts w:hint="eastAsia" w:cs="Times New Roman"/>
                <w:color w:val="auto"/>
                <w:vertAlign w:val="subscript"/>
              </w:rPr>
              <w:t>5</w:t>
            </w:r>
            <w:r>
              <w:rPr>
                <w:rFonts w:hint="eastAsia" w:cs="Times New Roman"/>
                <w:color w:val="auto"/>
              </w:rPr>
              <w:t>：250mg/L、SS：220mg/L、NH</w:t>
            </w:r>
            <w:r>
              <w:rPr>
                <w:rFonts w:hint="eastAsia" w:cs="Times New Roman"/>
                <w:color w:val="auto"/>
                <w:vertAlign w:val="subscript"/>
              </w:rPr>
              <w:t>3</w:t>
            </w:r>
            <w:r>
              <w:rPr>
                <w:rFonts w:hint="eastAsia" w:cs="Times New Roman"/>
                <w:color w:val="auto"/>
              </w:rPr>
              <w:t>-N：35mg/L。化粪池对各污染物去除效率参照《第一次全国污染源普查城镇生活源产排污系数手册》中“二区二类城市”：CODcr：21%、BOD</w:t>
            </w:r>
            <w:r>
              <w:rPr>
                <w:rFonts w:hint="eastAsia" w:cs="Times New Roman"/>
                <w:color w:val="auto"/>
                <w:vertAlign w:val="subscript"/>
              </w:rPr>
              <w:t>5</w:t>
            </w:r>
            <w:r>
              <w:rPr>
                <w:rFonts w:hint="eastAsia" w:cs="Times New Roman"/>
                <w:color w:val="auto"/>
              </w:rPr>
              <w:t>：23%、NH</w:t>
            </w:r>
            <w:r>
              <w:rPr>
                <w:rFonts w:hint="eastAsia" w:cs="Times New Roman"/>
                <w:color w:val="auto"/>
                <w:vertAlign w:val="subscript"/>
              </w:rPr>
              <w:t>3</w:t>
            </w:r>
            <w:r>
              <w:rPr>
                <w:rFonts w:hint="eastAsia" w:cs="Times New Roman"/>
                <w:color w:val="auto"/>
              </w:rPr>
              <w:t>-N：3%，SS去除效率参考《村镇生活污染防治最佳可行技术指南（试行）》（HJ-BAT-9），化粪池可去除60%~70%的悬浮物，本项目SS去除率取60%。</w:t>
            </w:r>
            <w:r>
              <w:rPr>
                <w:rFonts w:hint="eastAsia"/>
                <w:color w:val="auto"/>
                <w:lang w:bidi="he-IL"/>
              </w:rPr>
              <w:t>则经过化粪池处理后生活污水中COD、BOD</w:t>
            </w:r>
            <w:r>
              <w:rPr>
                <w:rFonts w:hint="eastAsia"/>
                <w:color w:val="auto"/>
                <w:vertAlign w:val="subscript"/>
                <w:lang w:bidi="he-IL"/>
              </w:rPr>
              <w:t>5</w:t>
            </w:r>
            <w:r>
              <w:rPr>
                <w:rFonts w:hint="eastAsia"/>
                <w:color w:val="auto"/>
                <w:lang w:bidi="he-IL"/>
              </w:rPr>
              <w:t>、SS、NH</w:t>
            </w:r>
            <w:r>
              <w:rPr>
                <w:rFonts w:hint="eastAsia"/>
                <w:color w:val="auto"/>
                <w:vertAlign w:val="subscript"/>
                <w:lang w:bidi="he-IL"/>
              </w:rPr>
              <w:t>3</w:t>
            </w:r>
            <w:r>
              <w:rPr>
                <w:rFonts w:hint="eastAsia"/>
                <w:color w:val="auto"/>
                <w:lang w:bidi="he-IL"/>
              </w:rPr>
              <w:t>-N的浓度分别为316mg/L、193mg/L、88mg/L、34mg/L。</w:t>
            </w:r>
          </w:p>
          <w:p>
            <w:pPr>
              <w:pStyle w:val="38"/>
              <w:ind w:firstLine="480"/>
              <w:rPr>
                <w:color w:val="auto"/>
                <w:lang w:bidi="he-IL"/>
              </w:rPr>
            </w:pPr>
            <w:r>
              <w:rPr>
                <w:rFonts w:hint="eastAsia"/>
                <w:color w:val="auto"/>
                <w:lang w:bidi="he-IL"/>
              </w:rPr>
              <w:t>项目废水源强核算结果及相关参数一览表见表4.2-</w:t>
            </w:r>
            <w:r>
              <w:rPr>
                <w:rFonts w:hint="eastAsia"/>
                <w:color w:val="auto"/>
                <w:lang w:val="en-US" w:eastAsia="zh-CN" w:bidi="he-IL"/>
              </w:rPr>
              <w:t>8</w:t>
            </w:r>
            <w:r>
              <w:rPr>
                <w:rFonts w:hint="eastAsia"/>
                <w:color w:val="auto"/>
                <w:lang w:bidi="he-IL"/>
              </w:rPr>
              <w:t>。</w:t>
            </w:r>
          </w:p>
          <w:p>
            <w:pPr>
              <w:wordWrap w:val="0"/>
              <w:ind w:firstLine="480"/>
              <w:rPr>
                <w:rStyle w:val="103"/>
                <w:color w:val="auto"/>
              </w:rPr>
            </w:pPr>
          </w:p>
          <w:p>
            <w:pPr>
              <w:wordWrap w:val="0"/>
              <w:ind w:firstLine="480"/>
              <w:rPr>
                <w:rStyle w:val="103"/>
                <w:color w:val="auto"/>
              </w:rPr>
            </w:pPr>
          </w:p>
          <w:p>
            <w:pPr>
              <w:wordWrap w:val="0"/>
              <w:ind w:firstLine="480"/>
              <w:rPr>
                <w:rStyle w:val="103"/>
                <w:color w:val="auto"/>
              </w:rPr>
            </w:pPr>
          </w:p>
          <w:p>
            <w:pPr>
              <w:wordWrap w:val="0"/>
              <w:ind w:firstLine="480"/>
              <w:rPr>
                <w:rStyle w:val="103"/>
                <w:color w:val="auto"/>
              </w:rPr>
            </w:pPr>
          </w:p>
          <w:p>
            <w:pPr>
              <w:wordWrap w:val="0"/>
              <w:ind w:firstLine="480"/>
              <w:rPr>
                <w:rStyle w:val="103"/>
                <w:color w:val="auto"/>
              </w:rPr>
            </w:pPr>
          </w:p>
          <w:p>
            <w:pPr>
              <w:wordWrap w:val="0"/>
              <w:ind w:firstLine="480"/>
              <w:rPr>
                <w:rStyle w:val="103"/>
                <w:color w:val="auto"/>
              </w:rPr>
            </w:pPr>
          </w:p>
          <w:p>
            <w:pPr>
              <w:wordWrap w:val="0"/>
              <w:ind w:firstLine="480"/>
              <w:rPr>
                <w:rStyle w:val="103"/>
                <w:color w:val="auto"/>
              </w:rPr>
            </w:pPr>
          </w:p>
          <w:p>
            <w:pPr>
              <w:wordWrap w:val="0"/>
              <w:ind w:firstLine="480"/>
              <w:rPr>
                <w:rStyle w:val="103"/>
                <w:color w:val="auto"/>
              </w:rPr>
            </w:pPr>
          </w:p>
          <w:p>
            <w:pPr>
              <w:wordWrap w:val="0"/>
              <w:ind w:firstLine="480"/>
              <w:rPr>
                <w:rStyle w:val="103"/>
                <w:color w:val="auto"/>
              </w:rPr>
            </w:pPr>
          </w:p>
          <w:p>
            <w:pPr>
              <w:wordWrap w:val="0"/>
              <w:ind w:firstLine="480"/>
              <w:rPr>
                <w:rStyle w:val="103"/>
                <w:color w:val="auto"/>
              </w:rPr>
            </w:pPr>
          </w:p>
          <w:p>
            <w:pPr>
              <w:wordWrap w:val="0"/>
              <w:ind w:firstLine="480"/>
              <w:rPr>
                <w:rStyle w:val="103"/>
                <w:color w:val="auto"/>
              </w:rPr>
            </w:pPr>
          </w:p>
          <w:p>
            <w:pPr>
              <w:wordWrap w:val="0"/>
              <w:ind w:firstLine="480"/>
              <w:rPr>
                <w:rStyle w:val="103"/>
                <w:color w:val="auto"/>
              </w:rPr>
            </w:pPr>
          </w:p>
          <w:p>
            <w:pPr>
              <w:wordWrap w:val="0"/>
              <w:ind w:firstLine="480"/>
              <w:rPr>
                <w:rStyle w:val="103"/>
                <w:color w:val="auto"/>
              </w:rPr>
            </w:pPr>
          </w:p>
          <w:p>
            <w:pPr>
              <w:wordWrap w:val="0"/>
              <w:ind w:firstLine="480"/>
              <w:rPr>
                <w:rStyle w:val="103"/>
                <w:color w:val="auto"/>
              </w:rPr>
            </w:pPr>
          </w:p>
        </w:tc>
      </w:tr>
    </w:tbl>
    <w:p>
      <w:pPr>
        <w:ind w:firstLine="480"/>
        <w:rPr>
          <w:color w:val="auto"/>
        </w:rPr>
        <w:sectPr>
          <w:pgSz w:w="11906" w:h="16838"/>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pPr>
    </w:p>
    <w:tbl>
      <w:tblPr>
        <w:tblStyle w:val="27"/>
        <w:tblW w:w="495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84"/>
        <w:gridCol w:w="1409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45" w:hRule="atLeast"/>
          <w:jc w:val="center"/>
        </w:trPr>
        <w:tc>
          <w:tcPr>
            <w:tcW w:w="663" w:type="dxa"/>
            <w:tcMar>
              <w:left w:w="28" w:type="dxa"/>
              <w:right w:w="28" w:type="dxa"/>
            </w:tcMar>
            <w:vAlign w:val="center"/>
          </w:tcPr>
          <w:p>
            <w:pPr>
              <w:pStyle w:val="36"/>
              <w:rPr>
                <w:rFonts w:cs="Times New Roman"/>
                <w:color w:val="auto"/>
                <w:sz w:val="24"/>
                <w:szCs w:val="24"/>
              </w:rPr>
            </w:pPr>
            <w:r>
              <w:rPr>
                <w:rFonts w:cs="Times New Roman"/>
                <w:color w:val="auto"/>
                <w:sz w:val="24"/>
                <w:szCs w:val="24"/>
              </w:rPr>
              <w:t>运营</w:t>
            </w:r>
          </w:p>
          <w:p>
            <w:pPr>
              <w:pStyle w:val="36"/>
              <w:rPr>
                <w:rFonts w:cs="Times New Roman"/>
                <w:color w:val="auto"/>
                <w:sz w:val="24"/>
                <w:szCs w:val="24"/>
              </w:rPr>
            </w:pPr>
            <w:r>
              <w:rPr>
                <w:rFonts w:cs="Times New Roman"/>
                <w:color w:val="auto"/>
                <w:sz w:val="24"/>
                <w:szCs w:val="24"/>
              </w:rPr>
              <w:t>期环</w:t>
            </w:r>
          </w:p>
          <w:p>
            <w:pPr>
              <w:pStyle w:val="36"/>
              <w:rPr>
                <w:rFonts w:cs="Times New Roman"/>
                <w:color w:val="auto"/>
                <w:sz w:val="24"/>
                <w:szCs w:val="24"/>
              </w:rPr>
            </w:pPr>
            <w:r>
              <w:rPr>
                <w:rFonts w:cs="Times New Roman"/>
                <w:color w:val="auto"/>
                <w:sz w:val="24"/>
                <w:szCs w:val="24"/>
              </w:rPr>
              <w:t>境影</w:t>
            </w:r>
          </w:p>
          <w:p>
            <w:pPr>
              <w:pStyle w:val="36"/>
              <w:rPr>
                <w:rFonts w:cs="Times New Roman"/>
                <w:color w:val="auto"/>
                <w:sz w:val="24"/>
                <w:szCs w:val="24"/>
              </w:rPr>
            </w:pPr>
            <w:r>
              <w:rPr>
                <w:rFonts w:cs="Times New Roman"/>
                <w:color w:val="auto"/>
                <w:sz w:val="24"/>
                <w:szCs w:val="24"/>
              </w:rPr>
              <w:t>响和</w:t>
            </w:r>
          </w:p>
          <w:p>
            <w:pPr>
              <w:pStyle w:val="36"/>
              <w:rPr>
                <w:rFonts w:cs="Times New Roman"/>
                <w:color w:val="auto"/>
                <w:sz w:val="24"/>
                <w:szCs w:val="24"/>
              </w:rPr>
            </w:pPr>
            <w:r>
              <w:rPr>
                <w:rFonts w:cs="Times New Roman"/>
                <w:color w:val="auto"/>
                <w:sz w:val="24"/>
                <w:szCs w:val="24"/>
              </w:rPr>
              <w:t>保护</w:t>
            </w:r>
          </w:p>
          <w:p>
            <w:pPr>
              <w:pStyle w:val="36"/>
              <w:rPr>
                <w:rFonts w:cs="Times New Roman"/>
                <w:color w:val="auto"/>
                <w:sz w:val="24"/>
                <w:szCs w:val="24"/>
              </w:rPr>
            </w:pPr>
            <w:r>
              <w:rPr>
                <w:rFonts w:cs="Times New Roman"/>
                <w:color w:val="auto"/>
                <w:sz w:val="24"/>
                <w:szCs w:val="24"/>
              </w:rPr>
              <w:t>措施</w:t>
            </w:r>
          </w:p>
        </w:tc>
        <w:tc>
          <w:tcPr>
            <w:tcW w:w="20195" w:type="dxa"/>
          </w:tcPr>
          <w:p>
            <w:pPr>
              <w:pStyle w:val="37"/>
              <w:spacing w:line="360" w:lineRule="auto"/>
              <w:rPr>
                <w:rFonts w:cs="Times New Roman"/>
                <w:color w:val="auto"/>
              </w:rPr>
            </w:pPr>
          </w:p>
          <w:p>
            <w:pPr>
              <w:pStyle w:val="37"/>
              <w:spacing w:line="360" w:lineRule="auto"/>
              <w:rPr>
                <w:rFonts w:cs="Times New Roman"/>
                <w:color w:val="auto"/>
                <w:lang w:val="en-US"/>
              </w:rPr>
            </w:pPr>
            <w:r>
              <w:rPr>
                <w:rFonts w:cs="Times New Roman"/>
                <w:color w:val="auto"/>
              </w:rPr>
              <w:t>表4.2-</w:t>
            </w:r>
            <w:r>
              <w:rPr>
                <w:rFonts w:hint="eastAsia" w:cs="Times New Roman"/>
                <w:color w:val="auto"/>
                <w:lang w:val="en-US" w:eastAsia="zh-CN"/>
              </w:rPr>
              <w:t>8</w:t>
            </w:r>
            <w:r>
              <w:rPr>
                <w:rFonts w:hint="eastAsia" w:cs="Times New Roman"/>
                <w:color w:val="auto"/>
                <w:lang w:val="en-US"/>
              </w:rPr>
              <w:t xml:space="preserve"> 项目废水源强核算结果及相关参数一览表</w:t>
            </w:r>
          </w:p>
          <w:tbl>
            <w:tblPr>
              <w:tblStyle w:val="27"/>
              <w:tblW w:w="498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FFFFFF"/>
              <w:tblLayout w:type="fixed"/>
              <w:tblCellMar>
                <w:top w:w="0" w:type="dxa"/>
                <w:left w:w="28" w:type="dxa"/>
                <w:bottom w:w="0" w:type="dxa"/>
                <w:right w:w="28" w:type="dxa"/>
              </w:tblCellMar>
            </w:tblPr>
            <w:tblGrid>
              <w:gridCol w:w="562"/>
              <w:gridCol w:w="463"/>
              <w:gridCol w:w="557"/>
              <w:gridCol w:w="546"/>
              <w:gridCol w:w="512"/>
              <w:gridCol w:w="561"/>
              <w:gridCol w:w="560"/>
              <w:gridCol w:w="506"/>
              <w:gridCol w:w="529"/>
              <w:gridCol w:w="754"/>
              <w:gridCol w:w="573"/>
              <w:gridCol w:w="506"/>
              <w:gridCol w:w="644"/>
              <w:gridCol w:w="645"/>
              <w:gridCol w:w="446"/>
              <w:gridCol w:w="616"/>
              <w:gridCol w:w="478"/>
              <w:gridCol w:w="733"/>
              <w:gridCol w:w="573"/>
              <w:gridCol w:w="982"/>
              <w:gridCol w:w="491"/>
              <w:gridCol w:w="157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FFFFFF"/>
                <w:tblCellMar>
                  <w:top w:w="0" w:type="dxa"/>
                  <w:left w:w="28" w:type="dxa"/>
                  <w:bottom w:w="0" w:type="dxa"/>
                  <w:right w:w="28" w:type="dxa"/>
                </w:tblCellMar>
              </w:tblPrEx>
              <w:trPr>
                <w:trHeight w:val="510" w:hRule="atLeast"/>
                <w:jc w:val="center"/>
              </w:trPr>
              <w:tc>
                <w:tcPr>
                  <w:tcW w:w="562"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产污</w:t>
                  </w:r>
                </w:p>
                <w:p>
                  <w:pPr>
                    <w:pStyle w:val="36"/>
                    <w:adjustRightInd w:val="0"/>
                    <w:snapToGrid w:val="0"/>
                    <w:ind w:left="-48" w:leftChars="-20" w:right="-48" w:rightChars="-20"/>
                    <w:rPr>
                      <w:color w:val="auto"/>
                      <w:sz w:val="18"/>
                      <w:szCs w:val="18"/>
                    </w:rPr>
                  </w:pPr>
                  <w:r>
                    <w:rPr>
                      <w:color w:val="auto"/>
                      <w:sz w:val="18"/>
                      <w:szCs w:val="18"/>
                    </w:rPr>
                    <w:t>环节</w:t>
                  </w:r>
                </w:p>
              </w:tc>
              <w:tc>
                <w:tcPr>
                  <w:tcW w:w="463"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类别</w:t>
                  </w:r>
                </w:p>
              </w:tc>
              <w:tc>
                <w:tcPr>
                  <w:tcW w:w="558"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污染物</w:t>
                  </w:r>
                </w:p>
                <w:p>
                  <w:pPr>
                    <w:pStyle w:val="36"/>
                    <w:adjustRightInd w:val="0"/>
                    <w:snapToGrid w:val="0"/>
                    <w:ind w:left="-48" w:leftChars="-20" w:right="-48" w:rightChars="-20"/>
                    <w:rPr>
                      <w:color w:val="auto"/>
                      <w:sz w:val="18"/>
                      <w:szCs w:val="18"/>
                    </w:rPr>
                  </w:pPr>
                  <w:r>
                    <w:rPr>
                      <w:color w:val="auto"/>
                      <w:sz w:val="18"/>
                      <w:szCs w:val="18"/>
                    </w:rPr>
                    <w:t>种类</w:t>
                  </w:r>
                </w:p>
              </w:tc>
              <w:tc>
                <w:tcPr>
                  <w:tcW w:w="2183" w:type="dxa"/>
                  <w:gridSpan w:val="4"/>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污染源产生</w:t>
                  </w:r>
                </w:p>
              </w:tc>
              <w:tc>
                <w:tcPr>
                  <w:tcW w:w="1792" w:type="dxa"/>
                  <w:gridSpan w:val="3"/>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治理措施</w:t>
                  </w:r>
                </w:p>
              </w:tc>
              <w:tc>
                <w:tcPr>
                  <w:tcW w:w="2372" w:type="dxa"/>
                  <w:gridSpan w:val="4"/>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污染物排放</w:t>
                  </w:r>
                </w:p>
              </w:tc>
              <w:tc>
                <w:tcPr>
                  <w:tcW w:w="447"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排放</w:t>
                  </w:r>
                </w:p>
                <w:p>
                  <w:pPr>
                    <w:pStyle w:val="36"/>
                    <w:adjustRightInd w:val="0"/>
                    <w:snapToGrid w:val="0"/>
                    <w:ind w:left="-48" w:leftChars="-20" w:right="-48" w:rightChars="-20"/>
                    <w:rPr>
                      <w:color w:val="auto"/>
                      <w:sz w:val="18"/>
                      <w:szCs w:val="18"/>
                    </w:rPr>
                  </w:pPr>
                  <w:r>
                    <w:rPr>
                      <w:color w:val="auto"/>
                      <w:sz w:val="18"/>
                      <w:szCs w:val="18"/>
                    </w:rPr>
                    <w:t>方式</w:t>
                  </w:r>
                </w:p>
              </w:tc>
              <w:tc>
                <w:tcPr>
                  <w:tcW w:w="617"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排放</w:t>
                  </w:r>
                </w:p>
                <w:p>
                  <w:pPr>
                    <w:pStyle w:val="36"/>
                    <w:adjustRightInd w:val="0"/>
                    <w:snapToGrid w:val="0"/>
                    <w:ind w:left="-48" w:leftChars="-20" w:right="-48" w:rightChars="-20"/>
                    <w:rPr>
                      <w:color w:val="auto"/>
                      <w:sz w:val="18"/>
                      <w:szCs w:val="18"/>
                    </w:rPr>
                  </w:pPr>
                  <w:r>
                    <w:rPr>
                      <w:color w:val="auto"/>
                      <w:sz w:val="18"/>
                      <w:szCs w:val="18"/>
                    </w:rPr>
                    <w:t>去向</w:t>
                  </w:r>
                </w:p>
              </w:tc>
              <w:tc>
                <w:tcPr>
                  <w:tcW w:w="479"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排放</w:t>
                  </w:r>
                </w:p>
                <w:p>
                  <w:pPr>
                    <w:pStyle w:val="36"/>
                    <w:adjustRightInd w:val="0"/>
                    <w:snapToGrid w:val="0"/>
                    <w:ind w:left="-48" w:leftChars="-20" w:right="-48" w:rightChars="-20"/>
                    <w:rPr>
                      <w:color w:val="auto"/>
                      <w:sz w:val="18"/>
                      <w:szCs w:val="18"/>
                    </w:rPr>
                  </w:pPr>
                  <w:r>
                    <w:rPr>
                      <w:color w:val="auto"/>
                      <w:sz w:val="18"/>
                      <w:szCs w:val="18"/>
                    </w:rPr>
                    <w:t>规律</w:t>
                  </w:r>
                </w:p>
              </w:tc>
              <w:tc>
                <w:tcPr>
                  <w:tcW w:w="2292" w:type="dxa"/>
                  <w:gridSpan w:val="3"/>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排放口基本情况</w:t>
                  </w:r>
                </w:p>
              </w:tc>
              <w:tc>
                <w:tcPr>
                  <w:tcW w:w="492"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排放</w:t>
                  </w:r>
                </w:p>
                <w:p>
                  <w:pPr>
                    <w:pStyle w:val="36"/>
                    <w:adjustRightInd w:val="0"/>
                    <w:snapToGrid w:val="0"/>
                    <w:ind w:left="-48" w:leftChars="-20" w:right="-48" w:rightChars="-20"/>
                    <w:rPr>
                      <w:color w:val="auto"/>
                      <w:sz w:val="18"/>
                      <w:szCs w:val="18"/>
                    </w:rPr>
                  </w:pPr>
                  <w:r>
                    <w:rPr>
                      <w:color w:val="auto"/>
                      <w:sz w:val="18"/>
                      <w:szCs w:val="18"/>
                    </w:rPr>
                    <w:t>时间</w:t>
                  </w:r>
                </w:p>
                <w:p>
                  <w:pPr>
                    <w:pStyle w:val="36"/>
                    <w:adjustRightInd w:val="0"/>
                    <w:snapToGrid w:val="0"/>
                    <w:ind w:left="-48" w:leftChars="-20" w:right="-48" w:rightChars="-20"/>
                    <w:rPr>
                      <w:color w:val="auto"/>
                      <w:sz w:val="18"/>
                      <w:szCs w:val="18"/>
                    </w:rPr>
                  </w:pPr>
                  <w:r>
                    <w:rPr>
                      <w:color w:val="auto"/>
                      <w:sz w:val="18"/>
                      <w:szCs w:val="18"/>
                    </w:rPr>
                    <w:t>h</w:t>
                  </w:r>
                </w:p>
              </w:tc>
              <w:tc>
                <w:tcPr>
                  <w:tcW w:w="1576"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排放标准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FFFFFF"/>
                <w:tblCellMar>
                  <w:top w:w="0" w:type="dxa"/>
                  <w:left w:w="28" w:type="dxa"/>
                  <w:bottom w:w="0" w:type="dxa"/>
                  <w:right w:w="28" w:type="dxa"/>
                </w:tblCellMar>
              </w:tblPrEx>
              <w:trPr>
                <w:trHeight w:val="510" w:hRule="atLeast"/>
                <w:jc w:val="center"/>
              </w:trPr>
              <w:tc>
                <w:tcPr>
                  <w:tcW w:w="562"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63"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58"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47"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核算</w:t>
                  </w:r>
                </w:p>
                <w:p>
                  <w:pPr>
                    <w:pStyle w:val="36"/>
                    <w:adjustRightInd w:val="0"/>
                    <w:snapToGrid w:val="0"/>
                    <w:ind w:left="-48" w:leftChars="-20" w:right="-48" w:rightChars="-20"/>
                    <w:rPr>
                      <w:color w:val="auto"/>
                      <w:sz w:val="18"/>
                      <w:szCs w:val="18"/>
                    </w:rPr>
                  </w:pPr>
                  <w:r>
                    <w:rPr>
                      <w:color w:val="auto"/>
                      <w:sz w:val="18"/>
                      <w:szCs w:val="18"/>
                    </w:rPr>
                    <w:t>方法</w:t>
                  </w:r>
                </w:p>
              </w:tc>
              <w:tc>
                <w:tcPr>
                  <w:tcW w:w="513"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废水量</w:t>
                  </w:r>
                  <w:r>
                    <w:rPr>
                      <w:rFonts w:hint="eastAsia"/>
                      <w:color w:val="auto"/>
                      <w:sz w:val="18"/>
                      <w:szCs w:val="18"/>
                    </w:rPr>
                    <w:t>（</w:t>
                  </w:r>
                  <w:r>
                    <w:rPr>
                      <w:color w:val="auto"/>
                      <w:sz w:val="18"/>
                      <w:szCs w:val="18"/>
                    </w:rPr>
                    <w:t>t/a</w:t>
                  </w:r>
                  <w:r>
                    <w:rPr>
                      <w:rFonts w:hint="eastAsia"/>
                      <w:color w:val="auto"/>
                      <w:sz w:val="18"/>
                      <w:szCs w:val="18"/>
                    </w:rPr>
                    <w:t>）</w:t>
                  </w:r>
                </w:p>
              </w:tc>
              <w:tc>
                <w:tcPr>
                  <w:tcW w:w="562"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产生</w:t>
                  </w:r>
                </w:p>
                <w:p>
                  <w:pPr>
                    <w:pStyle w:val="36"/>
                    <w:adjustRightInd w:val="0"/>
                    <w:snapToGrid w:val="0"/>
                    <w:ind w:left="-48" w:leftChars="-20" w:right="-48" w:rightChars="-20"/>
                    <w:rPr>
                      <w:color w:val="auto"/>
                      <w:sz w:val="18"/>
                      <w:szCs w:val="18"/>
                    </w:rPr>
                  </w:pPr>
                  <w:r>
                    <w:rPr>
                      <w:color w:val="auto"/>
                      <w:sz w:val="18"/>
                      <w:szCs w:val="18"/>
                    </w:rPr>
                    <w:t>浓度</w:t>
                  </w:r>
                </w:p>
                <w:p>
                  <w:pPr>
                    <w:pStyle w:val="36"/>
                    <w:adjustRightInd w:val="0"/>
                    <w:snapToGrid w:val="0"/>
                    <w:ind w:left="-48" w:leftChars="-20" w:right="-48" w:rightChars="-20"/>
                    <w:rPr>
                      <w:color w:val="auto"/>
                      <w:sz w:val="18"/>
                      <w:szCs w:val="18"/>
                    </w:rPr>
                  </w:pPr>
                  <w:r>
                    <w:rPr>
                      <w:rFonts w:hint="eastAsia"/>
                      <w:color w:val="auto"/>
                      <w:sz w:val="18"/>
                      <w:szCs w:val="18"/>
                    </w:rPr>
                    <w:t>（</w:t>
                  </w:r>
                  <w:r>
                    <w:rPr>
                      <w:color w:val="auto"/>
                      <w:sz w:val="18"/>
                      <w:szCs w:val="18"/>
                    </w:rPr>
                    <w:t>mg/L</w:t>
                  </w:r>
                  <w:r>
                    <w:rPr>
                      <w:rFonts w:hint="eastAsia"/>
                      <w:color w:val="auto"/>
                      <w:sz w:val="18"/>
                      <w:szCs w:val="18"/>
                    </w:rPr>
                    <w:t>）</w:t>
                  </w:r>
                </w:p>
              </w:tc>
              <w:tc>
                <w:tcPr>
                  <w:tcW w:w="561"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产生量</w:t>
                  </w:r>
                </w:p>
                <w:p>
                  <w:pPr>
                    <w:pStyle w:val="36"/>
                    <w:adjustRightInd w:val="0"/>
                    <w:snapToGrid w:val="0"/>
                    <w:ind w:left="-48" w:leftChars="-20" w:right="-48" w:rightChars="-20"/>
                    <w:rPr>
                      <w:color w:val="auto"/>
                      <w:sz w:val="18"/>
                      <w:szCs w:val="18"/>
                    </w:rPr>
                  </w:pPr>
                  <w:r>
                    <w:rPr>
                      <w:rFonts w:hint="eastAsia"/>
                      <w:color w:val="auto"/>
                      <w:sz w:val="18"/>
                      <w:szCs w:val="18"/>
                    </w:rPr>
                    <w:t>（</w:t>
                  </w:r>
                  <w:r>
                    <w:rPr>
                      <w:color w:val="auto"/>
                      <w:sz w:val="18"/>
                      <w:szCs w:val="18"/>
                    </w:rPr>
                    <w:t>t/a</w:t>
                  </w:r>
                  <w:r>
                    <w:rPr>
                      <w:rFonts w:hint="eastAsia"/>
                      <w:color w:val="auto"/>
                      <w:sz w:val="18"/>
                      <w:szCs w:val="18"/>
                    </w:rPr>
                    <w:t>）</w:t>
                  </w:r>
                </w:p>
              </w:tc>
              <w:tc>
                <w:tcPr>
                  <w:tcW w:w="507" w:type="dxa"/>
                  <w:shd w:val="clear" w:color="auto" w:fill="FFFFFF"/>
                  <w:vAlign w:val="center"/>
                </w:tcPr>
                <w:p>
                  <w:pPr>
                    <w:pStyle w:val="36"/>
                    <w:adjustRightInd w:val="0"/>
                    <w:snapToGrid w:val="0"/>
                    <w:ind w:left="-48" w:leftChars="-20" w:right="-48" w:rightChars="-20"/>
                    <w:rPr>
                      <w:color w:val="auto"/>
                      <w:sz w:val="18"/>
                      <w:szCs w:val="18"/>
                    </w:rPr>
                  </w:pPr>
                  <w:r>
                    <w:rPr>
                      <w:rFonts w:hint="eastAsia"/>
                      <w:color w:val="auto"/>
                      <w:sz w:val="18"/>
                      <w:szCs w:val="18"/>
                    </w:rPr>
                    <w:t>处理</w:t>
                  </w:r>
                </w:p>
                <w:p>
                  <w:pPr>
                    <w:pStyle w:val="36"/>
                    <w:adjustRightInd w:val="0"/>
                    <w:snapToGrid w:val="0"/>
                    <w:ind w:left="-48" w:leftChars="-20" w:right="-48" w:rightChars="-20"/>
                    <w:rPr>
                      <w:color w:val="auto"/>
                      <w:sz w:val="18"/>
                      <w:szCs w:val="18"/>
                    </w:rPr>
                  </w:pPr>
                  <w:r>
                    <w:rPr>
                      <w:rFonts w:hint="eastAsia"/>
                      <w:color w:val="auto"/>
                      <w:sz w:val="18"/>
                      <w:szCs w:val="18"/>
                    </w:rPr>
                    <w:t>设施</w:t>
                  </w:r>
                </w:p>
              </w:tc>
              <w:tc>
                <w:tcPr>
                  <w:tcW w:w="530"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治理</w:t>
                  </w:r>
                </w:p>
                <w:p>
                  <w:pPr>
                    <w:pStyle w:val="36"/>
                    <w:adjustRightInd w:val="0"/>
                    <w:snapToGrid w:val="0"/>
                    <w:ind w:left="-48" w:leftChars="-20" w:right="-48" w:rightChars="-20"/>
                    <w:rPr>
                      <w:color w:val="auto"/>
                      <w:sz w:val="18"/>
                      <w:szCs w:val="18"/>
                    </w:rPr>
                  </w:pPr>
                  <w:r>
                    <w:rPr>
                      <w:color w:val="auto"/>
                      <w:sz w:val="18"/>
                      <w:szCs w:val="18"/>
                    </w:rPr>
                    <w:t>效率</w:t>
                  </w:r>
                </w:p>
                <w:p>
                  <w:pPr>
                    <w:pStyle w:val="36"/>
                    <w:adjustRightInd w:val="0"/>
                    <w:snapToGrid w:val="0"/>
                    <w:ind w:left="-48" w:leftChars="-20" w:right="-48" w:rightChars="-20"/>
                    <w:rPr>
                      <w:color w:val="auto"/>
                      <w:sz w:val="18"/>
                      <w:szCs w:val="18"/>
                    </w:rPr>
                  </w:pPr>
                  <w:r>
                    <w:rPr>
                      <w:rFonts w:hint="eastAsia"/>
                      <w:color w:val="auto"/>
                      <w:sz w:val="18"/>
                      <w:szCs w:val="18"/>
                    </w:rPr>
                    <w:t>（%）</w:t>
                  </w:r>
                </w:p>
              </w:tc>
              <w:tc>
                <w:tcPr>
                  <w:tcW w:w="755"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是否为</w:t>
                  </w:r>
                </w:p>
                <w:p>
                  <w:pPr>
                    <w:pStyle w:val="36"/>
                    <w:adjustRightInd w:val="0"/>
                    <w:snapToGrid w:val="0"/>
                    <w:ind w:left="-48" w:leftChars="-20" w:right="-48" w:rightChars="-20"/>
                    <w:rPr>
                      <w:color w:val="auto"/>
                      <w:sz w:val="18"/>
                      <w:szCs w:val="18"/>
                    </w:rPr>
                  </w:pPr>
                  <w:r>
                    <w:rPr>
                      <w:color w:val="auto"/>
                      <w:sz w:val="18"/>
                      <w:szCs w:val="18"/>
                    </w:rPr>
                    <w:t>可行技术</w:t>
                  </w:r>
                </w:p>
              </w:tc>
              <w:tc>
                <w:tcPr>
                  <w:tcW w:w="574"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核算</w:t>
                  </w:r>
                </w:p>
                <w:p>
                  <w:pPr>
                    <w:pStyle w:val="36"/>
                    <w:adjustRightInd w:val="0"/>
                    <w:snapToGrid w:val="0"/>
                    <w:ind w:left="-48" w:leftChars="-20" w:right="-48" w:rightChars="-20"/>
                    <w:rPr>
                      <w:color w:val="auto"/>
                      <w:sz w:val="18"/>
                      <w:szCs w:val="18"/>
                    </w:rPr>
                  </w:pPr>
                  <w:r>
                    <w:rPr>
                      <w:color w:val="auto"/>
                      <w:sz w:val="18"/>
                      <w:szCs w:val="18"/>
                    </w:rPr>
                    <w:t>方法</w:t>
                  </w:r>
                </w:p>
              </w:tc>
              <w:tc>
                <w:tcPr>
                  <w:tcW w:w="507"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废水量</w:t>
                  </w:r>
                  <w:r>
                    <w:rPr>
                      <w:rFonts w:hint="eastAsia"/>
                      <w:color w:val="auto"/>
                      <w:sz w:val="18"/>
                      <w:szCs w:val="18"/>
                    </w:rPr>
                    <w:t>（</w:t>
                  </w:r>
                  <w:r>
                    <w:rPr>
                      <w:color w:val="auto"/>
                      <w:sz w:val="18"/>
                      <w:szCs w:val="18"/>
                    </w:rPr>
                    <w:t>t/a</w:t>
                  </w:r>
                  <w:r>
                    <w:rPr>
                      <w:rFonts w:hint="eastAsia"/>
                      <w:color w:val="auto"/>
                      <w:sz w:val="18"/>
                      <w:szCs w:val="18"/>
                    </w:rPr>
                    <w:t>）</w:t>
                  </w:r>
                </w:p>
              </w:tc>
              <w:tc>
                <w:tcPr>
                  <w:tcW w:w="645" w:type="dxa"/>
                  <w:shd w:val="clear" w:color="auto" w:fill="FFFFFF"/>
                  <w:vAlign w:val="center"/>
                </w:tcPr>
                <w:p>
                  <w:pPr>
                    <w:pStyle w:val="36"/>
                    <w:adjustRightInd w:val="0"/>
                    <w:snapToGrid w:val="0"/>
                    <w:ind w:left="-48" w:leftChars="-20" w:right="-48" w:rightChars="-20"/>
                    <w:rPr>
                      <w:color w:val="auto"/>
                      <w:sz w:val="18"/>
                      <w:szCs w:val="18"/>
                    </w:rPr>
                  </w:pPr>
                  <w:r>
                    <w:rPr>
                      <w:rFonts w:hint="eastAsia"/>
                      <w:color w:val="auto"/>
                      <w:sz w:val="18"/>
                      <w:szCs w:val="18"/>
                    </w:rPr>
                    <w:t>排放</w:t>
                  </w:r>
                </w:p>
                <w:p>
                  <w:pPr>
                    <w:pStyle w:val="36"/>
                    <w:adjustRightInd w:val="0"/>
                    <w:snapToGrid w:val="0"/>
                    <w:ind w:left="-48" w:leftChars="-20" w:right="-48" w:rightChars="-20"/>
                    <w:rPr>
                      <w:color w:val="auto"/>
                      <w:sz w:val="18"/>
                      <w:szCs w:val="18"/>
                    </w:rPr>
                  </w:pPr>
                  <w:r>
                    <w:rPr>
                      <w:color w:val="auto"/>
                      <w:sz w:val="18"/>
                      <w:szCs w:val="18"/>
                    </w:rPr>
                    <w:t>浓度</w:t>
                  </w:r>
                </w:p>
                <w:p>
                  <w:pPr>
                    <w:pStyle w:val="36"/>
                    <w:adjustRightInd w:val="0"/>
                    <w:snapToGrid w:val="0"/>
                    <w:ind w:left="-48" w:leftChars="-20" w:right="-48" w:rightChars="-20"/>
                    <w:rPr>
                      <w:color w:val="auto"/>
                      <w:sz w:val="18"/>
                      <w:szCs w:val="18"/>
                    </w:rPr>
                  </w:pPr>
                  <w:r>
                    <w:rPr>
                      <w:rFonts w:hint="eastAsia"/>
                      <w:color w:val="auto"/>
                      <w:sz w:val="18"/>
                      <w:szCs w:val="18"/>
                    </w:rPr>
                    <w:t>（</w:t>
                  </w:r>
                  <w:r>
                    <w:rPr>
                      <w:color w:val="auto"/>
                      <w:sz w:val="18"/>
                      <w:szCs w:val="18"/>
                    </w:rPr>
                    <w:t>mg/L</w:t>
                  </w:r>
                  <w:r>
                    <w:rPr>
                      <w:rFonts w:hint="eastAsia"/>
                      <w:color w:val="auto"/>
                      <w:sz w:val="18"/>
                      <w:szCs w:val="18"/>
                    </w:rPr>
                    <w:t>）</w:t>
                  </w:r>
                </w:p>
              </w:tc>
              <w:tc>
                <w:tcPr>
                  <w:tcW w:w="646" w:type="dxa"/>
                  <w:shd w:val="clear" w:color="auto" w:fill="FFFFFF"/>
                  <w:vAlign w:val="center"/>
                </w:tcPr>
                <w:p>
                  <w:pPr>
                    <w:pStyle w:val="36"/>
                    <w:adjustRightInd w:val="0"/>
                    <w:snapToGrid w:val="0"/>
                    <w:ind w:left="-48" w:leftChars="-20" w:right="-48" w:rightChars="-20"/>
                    <w:rPr>
                      <w:color w:val="auto"/>
                      <w:sz w:val="18"/>
                      <w:szCs w:val="18"/>
                    </w:rPr>
                  </w:pPr>
                  <w:r>
                    <w:rPr>
                      <w:rFonts w:hint="eastAsia"/>
                      <w:color w:val="auto"/>
                      <w:sz w:val="18"/>
                      <w:szCs w:val="18"/>
                    </w:rPr>
                    <w:t>排放</w:t>
                  </w:r>
                  <w:r>
                    <w:rPr>
                      <w:color w:val="auto"/>
                      <w:sz w:val="18"/>
                      <w:szCs w:val="18"/>
                    </w:rPr>
                    <w:t>量</w:t>
                  </w:r>
                </w:p>
                <w:p>
                  <w:pPr>
                    <w:pStyle w:val="36"/>
                    <w:adjustRightInd w:val="0"/>
                    <w:snapToGrid w:val="0"/>
                    <w:ind w:left="-48" w:leftChars="-20" w:right="-48" w:rightChars="-20"/>
                    <w:rPr>
                      <w:color w:val="auto"/>
                      <w:sz w:val="18"/>
                      <w:szCs w:val="18"/>
                    </w:rPr>
                  </w:pPr>
                  <w:r>
                    <w:rPr>
                      <w:rFonts w:hint="eastAsia"/>
                      <w:color w:val="auto"/>
                      <w:sz w:val="18"/>
                      <w:szCs w:val="18"/>
                    </w:rPr>
                    <w:t>（</w:t>
                  </w:r>
                  <w:r>
                    <w:rPr>
                      <w:color w:val="auto"/>
                      <w:sz w:val="18"/>
                      <w:szCs w:val="18"/>
                    </w:rPr>
                    <w:t>t/a</w:t>
                  </w:r>
                  <w:r>
                    <w:rPr>
                      <w:rFonts w:hint="eastAsia"/>
                      <w:color w:val="auto"/>
                      <w:sz w:val="18"/>
                      <w:szCs w:val="18"/>
                    </w:rPr>
                    <w:t>）</w:t>
                  </w:r>
                </w:p>
              </w:tc>
              <w:tc>
                <w:tcPr>
                  <w:tcW w:w="44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61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79"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734"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编号及</w:t>
                  </w:r>
                </w:p>
                <w:p>
                  <w:pPr>
                    <w:pStyle w:val="36"/>
                    <w:adjustRightInd w:val="0"/>
                    <w:snapToGrid w:val="0"/>
                    <w:ind w:left="-48" w:leftChars="-20" w:right="-48" w:rightChars="-20"/>
                    <w:rPr>
                      <w:color w:val="auto"/>
                      <w:sz w:val="18"/>
                      <w:szCs w:val="18"/>
                    </w:rPr>
                  </w:pPr>
                  <w:r>
                    <w:rPr>
                      <w:color w:val="auto"/>
                      <w:sz w:val="18"/>
                      <w:szCs w:val="18"/>
                    </w:rPr>
                    <w:t>名称</w:t>
                  </w:r>
                </w:p>
              </w:tc>
              <w:tc>
                <w:tcPr>
                  <w:tcW w:w="574"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类型</w:t>
                  </w:r>
                </w:p>
              </w:tc>
              <w:tc>
                <w:tcPr>
                  <w:tcW w:w="984"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地理坐标</w:t>
                  </w:r>
                </w:p>
              </w:tc>
              <w:tc>
                <w:tcPr>
                  <w:tcW w:w="492"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1576" w:type="dxa"/>
                  <w:vMerge w:val="continue"/>
                  <w:shd w:val="clear" w:color="auto" w:fill="FFFFFF"/>
                  <w:vAlign w:val="center"/>
                </w:tcPr>
                <w:p>
                  <w:pPr>
                    <w:pStyle w:val="36"/>
                    <w:adjustRightInd w:val="0"/>
                    <w:snapToGrid w:val="0"/>
                    <w:ind w:left="-48" w:leftChars="-20" w:right="-48" w:rightChars="-20"/>
                    <w:rPr>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FFFFFF"/>
                <w:tblCellMar>
                  <w:top w:w="0" w:type="dxa"/>
                  <w:left w:w="28" w:type="dxa"/>
                  <w:bottom w:w="0" w:type="dxa"/>
                  <w:right w:w="28" w:type="dxa"/>
                </w:tblCellMar>
              </w:tblPrEx>
              <w:trPr>
                <w:trHeight w:val="510" w:hRule="atLeast"/>
                <w:jc w:val="center"/>
              </w:trPr>
              <w:tc>
                <w:tcPr>
                  <w:tcW w:w="562"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员工办公、生活</w:t>
                  </w:r>
                </w:p>
              </w:tc>
              <w:tc>
                <w:tcPr>
                  <w:tcW w:w="463"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生活污水</w:t>
                  </w:r>
                </w:p>
              </w:tc>
              <w:tc>
                <w:tcPr>
                  <w:tcW w:w="558"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pH</w:t>
                  </w:r>
                </w:p>
              </w:tc>
              <w:tc>
                <w:tcPr>
                  <w:tcW w:w="547"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类比法</w:t>
                  </w:r>
                </w:p>
              </w:tc>
              <w:tc>
                <w:tcPr>
                  <w:tcW w:w="513" w:type="dxa"/>
                  <w:vMerge w:val="restart"/>
                  <w:shd w:val="clear" w:color="auto" w:fill="FFFFFF"/>
                  <w:vAlign w:val="center"/>
                </w:tcPr>
                <w:p>
                  <w:pPr>
                    <w:pStyle w:val="36"/>
                    <w:adjustRightInd w:val="0"/>
                    <w:snapToGrid w:val="0"/>
                    <w:ind w:left="-48" w:leftChars="-20" w:right="-48" w:rightChars="-20"/>
                    <w:rPr>
                      <w:rFonts w:hint="default" w:eastAsia="宋体"/>
                      <w:color w:val="auto"/>
                      <w:sz w:val="18"/>
                      <w:szCs w:val="18"/>
                      <w:lang w:val="en-US" w:eastAsia="zh-CN"/>
                    </w:rPr>
                  </w:pPr>
                  <w:r>
                    <w:rPr>
                      <w:rFonts w:hint="eastAsia"/>
                      <w:color w:val="auto"/>
                      <w:sz w:val="18"/>
                      <w:szCs w:val="18"/>
                      <w:lang w:val="en-US" w:eastAsia="zh-CN"/>
                    </w:rPr>
                    <w:t>705.6</w:t>
                  </w:r>
                </w:p>
              </w:tc>
              <w:tc>
                <w:tcPr>
                  <w:tcW w:w="562"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6-9</w:t>
                  </w:r>
                </w:p>
              </w:tc>
              <w:tc>
                <w:tcPr>
                  <w:tcW w:w="561"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w:t>
                  </w:r>
                </w:p>
              </w:tc>
              <w:tc>
                <w:tcPr>
                  <w:tcW w:w="507"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化粪池</w:t>
                  </w:r>
                </w:p>
              </w:tc>
              <w:tc>
                <w:tcPr>
                  <w:tcW w:w="530"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w:t>
                  </w:r>
                </w:p>
              </w:tc>
              <w:tc>
                <w:tcPr>
                  <w:tcW w:w="755"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是</w:t>
                  </w:r>
                </w:p>
              </w:tc>
              <w:tc>
                <w:tcPr>
                  <w:tcW w:w="574"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类比法</w:t>
                  </w:r>
                </w:p>
              </w:tc>
              <w:tc>
                <w:tcPr>
                  <w:tcW w:w="507" w:type="dxa"/>
                  <w:vMerge w:val="restart"/>
                  <w:shd w:val="clear" w:color="auto" w:fill="FFFFFF"/>
                  <w:vAlign w:val="center"/>
                </w:tcPr>
                <w:p>
                  <w:pPr>
                    <w:pStyle w:val="36"/>
                    <w:adjustRightInd w:val="0"/>
                    <w:snapToGrid w:val="0"/>
                    <w:ind w:left="-48" w:leftChars="-20" w:right="-48" w:rightChars="-20"/>
                    <w:rPr>
                      <w:color w:val="auto"/>
                      <w:sz w:val="18"/>
                      <w:szCs w:val="18"/>
                    </w:rPr>
                  </w:pPr>
                  <w:r>
                    <w:rPr>
                      <w:rFonts w:hint="eastAsia"/>
                      <w:color w:val="auto"/>
                      <w:sz w:val="18"/>
                      <w:szCs w:val="18"/>
                      <w:lang w:val="en-US" w:eastAsia="zh-CN"/>
                    </w:rPr>
                    <w:t>705.6</w:t>
                  </w:r>
                </w:p>
              </w:tc>
              <w:tc>
                <w:tcPr>
                  <w:tcW w:w="645"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6-9</w:t>
                  </w:r>
                </w:p>
              </w:tc>
              <w:tc>
                <w:tcPr>
                  <w:tcW w:w="646"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w:t>
                  </w:r>
                </w:p>
              </w:tc>
              <w:tc>
                <w:tcPr>
                  <w:tcW w:w="447"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间接</w:t>
                  </w:r>
                </w:p>
                <w:p>
                  <w:pPr>
                    <w:pStyle w:val="36"/>
                    <w:adjustRightInd w:val="0"/>
                    <w:snapToGrid w:val="0"/>
                    <w:ind w:left="-48" w:leftChars="-20" w:right="-48" w:rightChars="-20"/>
                    <w:rPr>
                      <w:color w:val="auto"/>
                      <w:sz w:val="18"/>
                      <w:szCs w:val="18"/>
                    </w:rPr>
                  </w:pPr>
                  <w:r>
                    <w:rPr>
                      <w:color w:val="auto"/>
                      <w:sz w:val="18"/>
                      <w:szCs w:val="18"/>
                    </w:rPr>
                    <w:t>排放</w:t>
                  </w:r>
                </w:p>
              </w:tc>
              <w:tc>
                <w:tcPr>
                  <w:tcW w:w="617" w:type="dxa"/>
                  <w:vMerge w:val="restart"/>
                  <w:shd w:val="clear" w:color="auto" w:fill="FFFFFF"/>
                  <w:vAlign w:val="center"/>
                </w:tcPr>
                <w:p>
                  <w:pPr>
                    <w:pStyle w:val="36"/>
                    <w:adjustRightInd w:val="0"/>
                    <w:snapToGrid w:val="0"/>
                    <w:ind w:left="-48" w:leftChars="-20" w:right="-48" w:rightChars="-20"/>
                    <w:rPr>
                      <w:color w:val="auto"/>
                      <w:sz w:val="18"/>
                      <w:szCs w:val="18"/>
                    </w:rPr>
                  </w:pPr>
                  <w:r>
                    <w:rPr>
                      <w:rStyle w:val="103"/>
                      <w:rFonts w:hint="eastAsia"/>
                      <w:color w:val="auto"/>
                      <w:sz w:val="18"/>
                      <w:szCs w:val="18"/>
                    </w:rPr>
                    <w:t>福清市融元污水处理厂</w:t>
                  </w:r>
                </w:p>
              </w:tc>
              <w:tc>
                <w:tcPr>
                  <w:tcW w:w="479"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间歇</w:t>
                  </w:r>
                </w:p>
                <w:p>
                  <w:pPr>
                    <w:pStyle w:val="36"/>
                    <w:adjustRightInd w:val="0"/>
                    <w:snapToGrid w:val="0"/>
                    <w:ind w:left="-48" w:leftChars="-20" w:right="-48" w:rightChars="-20"/>
                    <w:rPr>
                      <w:color w:val="auto"/>
                      <w:sz w:val="18"/>
                      <w:szCs w:val="18"/>
                    </w:rPr>
                  </w:pPr>
                  <w:r>
                    <w:rPr>
                      <w:color w:val="auto"/>
                      <w:sz w:val="18"/>
                      <w:szCs w:val="18"/>
                    </w:rPr>
                    <w:t>排放</w:t>
                  </w:r>
                </w:p>
              </w:tc>
              <w:tc>
                <w:tcPr>
                  <w:tcW w:w="734" w:type="dxa"/>
                  <w:vMerge w:val="restart"/>
                  <w:shd w:val="clear" w:color="auto" w:fill="FFFFFF"/>
                  <w:vAlign w:val="center"/>
                </w:tcPr>
                <w:p>
                  <w:pPr>
                    <w:pStyle w:val="36"/>
                    <w:adjustRightInd w:val="0"/>
                    <w:snapToGrid w:val="0"/>
                    <w:ind w:right="-48" w:rightChars="-20"/>
                    <w:rPr>
                      <w:color w:val="auto"/>
                      <w:sz w:val="18"/>
                      <w:szCs w:val="18"/>
                    </w:rPr>
                  </w:pPr>
                  <w:r>
                    <w:rPr>
                      <w:color w:val="auto"/>
                      <w:sz w:val="18"/>
                      <w:szCs w:val="18"/>
                    </w:rPr>
                    <w:t>编号</w:t>
                  </w:r>
                </w:p>
                <w:p>
                  <w:pPr>
                    <w:pStyle w:val="36"/>
                    <w:adjustRightInd w:val="0"/>
                    <w:snapToGrid w:val="0"/>
                    <w:ind w:right="-48" w:rightChars="-20"/>
                    <w:rPr>
                      <w:color w:val="auto"/>
                      <w:sz w:val="18"/>
                      <w:szCs w:val="18"/>
                    </w:rPr>
                  </w:pPr>
                  <w:r>
                    <w:rPr>
                      <w:color w:val="auto"/>
                      <w:sz w:val="18"/>
                      <w:szCs w:val="18"/>
                    </w:rPr>
                    <w:t>DW001</w:t>
                  </w:r>
                  <w:r>
                    <w:rPr>
                      <w:rFonts w:hint="eastAsia"/>
                      <w:color w:val="auto"/>
                      <w:sz w:val="18"/>
                      <w:szCs w:val="18"/>
                    </w:rPr>
                    <w:t>，</w:t>
                  </w:r>
                </w:p>
                <w:p>
                  <w:pPr>
                    <w:pStyle w:val="36"/>
                    <w:adjustRightInd w:val="0"/>
                    <w:snapToGrid w:val="0"/>
                    <w:ind w:left="-48" w:leftChars="-20" w:right="-48" w:rightChars="-20"/>
                    <w:rPr>
                      <w:color w:val="auto"/>
                      <w:sz w:val="18"/>
                      <w:szCs w:val="18"/>
                    </w:rPr>
                  </w:pPr>
                  <w:r>
                    <w:rPr>
                      <w:color w:val="auto"/>
                      <w:sz w:val="18"/>
                      <w:szCs w:val="18"/>
                    </w:rPr>
                    <w:t>废水</w:t>
                  </w:r>
                  <w:r>
                    <w:rPr>
                      <w:rFonts w:hint="eastAsia"/>
                      <w:color w:val="auto"/>
                      <w:sz w:val="18"/>
                      <w:szCs w:val="18"/>
                    </w:rPr>
                    <w:t>总</w:t>
                  </w:r>
                  <w:r>
                    <w:rPr>
                      <w:color w:val="auto"/>
                      <w:sz w:val="18"/>
                      <w:szCs w:val="18"/>
                    </w:rPr>
                    <w:t>排口</w:t>
                  </w:r>
                </w:p>
              </w:tc>
              <w:tc>
                <w:tcPr>
                  <w:tcW w:w="574" w:type="dxa"/>
                  <w:vMerge w:val="restart"/>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一般</w:t>
                  </w:r>
                </w:p>
                <w:p>
                  <w:pPr>
                    <w:pStyle w:val="36"/>
                    <w:adjustRightInd w:val="0"/>
                    <w:snapToGrid w:val="0"/>
                    <w:ind w:left="-48" w:leftChars="-20" w:right="-48" w:rightChars="-20"/>
                    <w:rPr>
                      <w:color w:val="auto"/>
                      <w:sz w:val="18"/>
                      <w:szCs w:val="18"/>
                    </w:rPr>
                  </w:pPr>
                  <w:r>
                    <w:rPr>
                      <w:color w:val="auto"/>
                      <w:sz w:val="18"/>
                      <w:szCs w:val="18"/>
                    </w:rPr>
                    <w:t>排放口</w:t>
                  </w:r>
                </w:p>
              </w:tc>
              <w:tc>
                <w:tcPr>
                  <w:tcW w:w="984" w:type="dxa"/>
                  <w:vMerge w:val="restart"/>
                  <w:shd w:val="clear" w:color="auto" w:fill="FFFFFF"/>
                  <w:vAlign w:val="center"/>
                </w:tcPr>
                <w:p>
                  <w:pPr>
                    <w:pStyle w:val="36"/>
                    <w:adjustRightInd w:val="0"/>
                    <w:snapToGrid w:val="0"/>
                    <w:ind w:left="-48" w:leftChars="-20" w:right="-48" w:rightChars="-20"/>
                    <w:jc w:val="left"/>
                    <w:rPr>
                      <w:rFonts w:cs="Times New Roman"/>
                      <w:color w:val="auto"/>
                      <w:sz w:val="18"/>
                      <w:szCs w:val="18"/>
                    </w:rPr>
                  </w:pPr>
                  <w:r>
                    <w:rPr>
                      <w:rFonts w:cs="Times New Roman"/>
                      <w:color w:val="auto"/>
                      <w:sz w:val="18"/>
                      <w:szCs w:val="18"/>
                    </w:rPr>
                    <w:t>E</w:t>
                  </w:r>
                  <w:r>
                    <w:rPr>
                      <w:rFonts w:hint="eastAsia" w:cs="Times New Roman"/>
                      <w:color w:val="auto"/>
                      <w:sz w:val="18"/>
                      <w:szCs w:val="18"/>
                    </w:rPr>
                    <w:t>:119.41370</w:t>
                  </w:r>
                  <w:r>
                    <w:rPr>
                      <w:rFonts w:cs="Times New Roman"/>
                      <w:color w:val="auto"/>
                      <w:sz w:val="18"/>
                      <w:szCs w:val="18"/>
                    </w:rPr>
                    <w:t>°</w:t>
                  </w:r>
                </w:p>
                <w:p>
                  <w:pPr>
                    <w:pStyle w:val="36"/>
                    <w:adjustRightInd w:val="0"/>
                    <w:snapToGrid w:val="0"/>
                    <w:ind w:left="-48" w:leftChars="-20" w:right="-48" w:rightChars="-20"/>
                    <w:jc w:val="left"/>
                    <w:rPr>
                      <w:color w:val="auto"/>
                      <w:sz w:val="18"/>
                      <w:szCs w:val="18"/>
                    </w:rPr>
                  </w:pPr>
                  <w:r>
                    <w:rPr>
                      <w:rFonts w:hint="eastAsia" w:cs="Times New Roman"/>
                      <w:color w:val="auto"/>
                      <w:sz w:val="18"/>
                      <w:szCs w:val="18"/>
                    </w:rPr>
                    <w:t>N:25.77447</w:t>
                  </w:r>
                  <w:r>
                    <w:rPr>
                      <w:rFonts w:cs="Times New Roman"/>
                      <w:color w:val="auto"/>
                      <w:sz w:val="18"/>
                      <w:szCs w:val="18"/>
                    </w:rPr>
                    <w:t>°</w:t>
                  </w:r>
                </w:p>
              </w:tc>
              <w:tc>
                <w:tcPr>
                  <w:tcW w:w="492" w:type="dxa"/>
                  <w:vMerge w:val="restart"/>
                  <w:shd w:val="clear" w:color="auto" w:fill="FFFFFF"/>
                  <w:vAlign w:val="center"/>
                </w:tcPr>
                <w:p>
                  <w:pPr>
                    <w:pStyle w:val="36"/>
                    <w:adjustRightInd w:val="0"/>
                    <w:snapToGrid w:val="0"/>
                    <w:ind w:left="-48" w:leftChars="-20" w:right="-48" w:rightChars="-20"/>
                    <w:rPr>
                      <w:color w:val="auto"/>
                      <w:sz w:val="18"/>
                      <w:szCs w:val="18"/>
                    </w:rPr>
                  </w:pPr>
                  <w:r>
                    <w:rPr>
                      <w:rFonts w:hint="eastAsia"/>
                      <w:color w:val="auto"/>
                      <w:sz w:val="18"/>
                      <w:szCs w:val="18"/>
                    </w:rPr>
                    <w:t>2976</w:t>
                  </w:r>
                </w:p>
              </w:tc>
              <w:tc>
                <w:tcPr>
                  <w:tcW w:w="1576" w:type="dxa"/>
                  <w:vMerge w:val="restart"/>
                  <w:shd w:val="clear" w:color="auto" w:fill="FFFFFF"/>
                  <w:vAlign w:val="center"/>
                </w:tcPr>
                <w:p>
                  <w:pPr>
                    <w:pStyle w:val="36"/>
                    <w:adjustRightInd w:val="0"/>
                    <w:snapToGrid w:val="0"/>
                    <w:ind w:left="-48" w:leftChars="-20" w:right="-48" w:rightChars="-20"/>
                    <w:rPr>
                      <w:color w:val="auto"/>
                      <w:sz w:val="18"/>
                      <w:szCs w:val="18"/>
                    </w:rPr>
                  </w:pPr>
                  <w:r>
                    <w:rPr>
                      <w:rStyle w:val="101"/>
                      <w:rFonts w:hint="default" w:ascii="Times New Roman" w:hAnsi="Times New Roman" w:cs="Times New Roman"/>
                      <w:color w:val="auto"/>
                      <w:sz w:val="18"/>
                      <w:szCs w:val="18"/>
                    </w:rPr>
                    <w:t>《污水综合排放标准》</w:t>
                  </w:r>
                  <w:r>
                    <w:rPr>
                      <w:rStyle w:val="101"/>
                      <w:rFonts w:hint="default" w:cs="Times New Roman"/>
                      <w:color w:val="auto"/>
                      <w:sz w:val="18"/>
                      <w:szCs w:val="18"/>
                    </w:rPr>
                    <w:t>（</w:t>
                  </w:r>
                  <w:r>
                    <w:rPr>
                      <w:rStyle w:val="101"/>
                      <w:rFonts w:hint="default" w:ascii="Times New Roman" w:hAnsi="Times New Roman" w:cs="Times New Roman"/>
                      <w:color w:val="auto"/>
                      <w:sz w:val="18"/>
                      <w:szCs w:val="18"/>
                    </w:rPr>
                    <w:t>GB8978-1996</w:t>
                  </w:r>
                  <w:r>
                    <w:rPr>
                      <w:rStyle w:val="101"/>
                      <w:rFonts w:hint="default" w:cs="Times New Roman"/>
                      <w:color w:val="auto"/>
                      <w:sz w:val="18"/>
                      <w:szCs w:val="18"/>
                    </w:rPr>
                    <w:t>）</w:t>
                  </w:r>
                  <w:r>
                    <w:rPr>
                      <w:rStyle w:val="101"/>
                      <w:rFonts w:hint="default" w:ascii="Times New Roman" w:hAnsi="Times New Roman" w:cs="Times New Roman"/>
                      <w:color w:val="auto"/>
                      <w:sz w:val="18"/>
                      <w:szCs w:val="18"/>
                    </w:rPr>
                    <w:t>表4中三级标准要求</w:t>
                  </w:r>
                  <w:r>
                    <w:rPr>
                      <w:rStyle w:val="101"/>
                      <w:rFonts w:hint="default" w:cs="Times New Roman"/>
                      <w:color w:val="auto"/>
                      <w:sz w:val="18"/>
                      <w:szCs w:val="18"/>
                    </w:rPr>
                    <w:t>（</w:t>
                  </w:r>
                  <w:r>
                    <w:rPr>
                      <w:rStyle w:val="101"/>
                      <w:rFonts w:hint="default" w:ascii="Times New Roman" w:hAnsi="Times New Roman" w:cs="Times New Roman"/>
                      <w:color w:val="auto"/>
                      <w:sz w:val="18"/>
                      <w:szCs w:val="18"/>
                    </w:rPr>
                    <w:t>氨氮、总磷、总氮参照《污水排入城镇下水道水质标准》</w:t>
                  </w:r>
                  <w:r>
                    <w:rPr>
                      <w:rStyle w:val="101"/>
                      <w:rFonts w:hint="default" w:cs="Times New Roman"/>
                      <w:color w:val="auto"/>
                      <w:sz w:val="18"/>
                      <w:szCs w:val="18"/>
                    </w:rPr>
                    <w:t>（</w:t>
                  </w:r>
                  <w:r>
                    <w:rPr>
                      <w:rStyle w:val="101"/>
                      <w:rFonts w:hint="default" w:ascii="Times New Roman" w:hAnsi="Times New Roman" w:cs="Times New Roman"/>
                      <w:color w:val="auto"/>
                      <w:sz w:val="18"/>
                      <w:szCs w:val="18"/>
                    </w:rPr>
                    <w:t>GB/T31962-2015</w:t>
                  </w:r>
                  <w:r>
                    <w:rPr>
                      <w:rStyle w:val="101"/>
                      <w:rFonts w:hint="default" w:cs="Times New Roman"/>
                      <w:color w:val="auto"/>
                      <w:sz w:val="18"/>
                      <w:szCs w:val="18"/>
                    </w:rPr>
                    <w:t>）</w:t>
                  </w:r>
                  <w:r>
                    <w:rPr>
                      <w:rStyle w:val="101"/>
                      <w:rFonts w:hint="default" w:ascii="Times New Roman" w:hAnsi="Times New Roman" w:cs="Times New Roman"/>
                      <w:color w:val="auto"/>
                      <w:sz w:val="18"/>
                      <w:szCs w:val="18"/>
                    </w:rPr>
                    <w:t>B级标准</w:t>
                  </w:r>
                  <w:r>
                    <w:rPr>
                      <w:rStyle w:val="101"/>
                      <w:rFonts w:hint="default" w:cs="Times New Roman"/>
                      <w:color w:val="auto"/>
                      <w:sz w:val="18"/>
                      <w:szCs w:val="18"/>
                    </w:rPr>
                    <w:t>）</w:t>
                  </w:r>
                  <w:r>
                    <w:rPr>
                      <w:rStyle w:val="101"/>
                      <w:rFonts w:hint="default" w:ascii="Times New Roman" w:hAnsi="Times New Roman" w:cs="Times New Roman"/>
                      <w:color w:val="auto"/>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FFFFFF"/>
                <w:tblCellMar>
                  <w:top w:w="0" w:type="dxa"/>
                  <w:left w:w="28" w:type="dxa"/>
                  <w:bottom w:w="0" w:type="dxa"/>
                  <w:right w:w="28" w:type="dxa"/>
                </w:tblCellMar>
              </w:tblPrEx>
              <w:trPr>
                <w:trHeight w:val="510" w:hRule="atLeast"/>
                <w:jc w:val="center"/>
              </w:trPr>
              <w:tc>
                <w:tcPr>
                  <w:tcW w:w="562"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63"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58"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COD</w:t>
                  </w:r>
                </w:p>
              </w:tc>
              <w:tc>
                <w:tcPr>
                  <w:tcW w:w="54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13"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62" w:type="dxa"/>
                  <w:shd w:val="clear" w:color="auto" w:fill="FFFFFF"/>
                  <w:vAlign w:val="center"/>
                </w:tcPr>
                <w:p>
                  <w:pPr>
                    <w:pStyle w:val="36"/>
                    <w:adjustRightInd w:val="0"/>
                    <w:snapToGrid w:val="0"/>
                    <w:ind w:left="-48" w:leftChars="-20" w:right="-48" w:rightChars="-20"/>
                    <w:rPr>
                      <w:color w:val="auto"/>
                      <w:sz w:val="18"/>
                      <w:szCs w:val="18"/>
                    </w:rPr>
                  </w:pPr>
                  <w:r>
                    <w:rPr>
                      <w:rFonts w:hint="eastAsia"/>
                      <w:color w:val="auto"/>
                      <w:sz w:val="18"/>
                      <w:szCs w:val="18"/>
                    </w:rPr>
                    <w:t>400</w:t>
                  </w:r>
                </w:p>
              </w:tc>
              <w:tc>
                <w:tcPr>
                  <w:tcW w:w="561" w:type="dxa"/>
                  <w:shd w:val="clear" w:color="auto" w:fill="FFFFFF"/>
                  <w:vAlign w:val="center"/>
                </w:tcPr>
                <w:p>
                  <w:pPr>
                    <w:pStyle w:val="36"/>
                    <w:adjustRightInd w:val="0"/>
                    <w:snapToGrid w:val="0"/>
                    <w:ind w:left="-48" w:leftChars="-20" w:right="-48" w:rightChars="-20"/>
                    <w:rPr>
                      <w:color w:val="auto"/>
                      <w:sz w:val="18"/>
                      <w:szCs w:val="18"/>
                    </w:rPr>
                  </w:pPr>
                  <w:r>
                    <w:rPr>
                      <w:rFonts w:hint="default"/>
                      <w:color w:val="auto"/>
                      <w:sz w:val="18"/>
                      <w:szCs w:val="18"/>
                      <w:lang w:val="en-US" w:eastAsia="zh-CN"/>
                    </w:rPr>
                    <w:t xml:space="preserve">0.282 </w:t>
                  </w:r>
                </w:p>
              </w:tc>
              <w:tc>
                <w:tcPr>
                  <w:tcW w:w="50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30" w:type="dxa"/>
                  <w:shd w:val="clear" w:color="auto" w:fill="FFFFFF"/>
                  <w:vAlign w:val="center"/>
                </w:tcPr>
                <w:p>
                  <w:pPr>
                    <w:pStyle w:val="36"/>
                    <w:adjustRightInd w:val="0"/>
                    <w:snapToGrid w:val="0"/>
                    <w:ind w:left="-48" w:leftChars="-20" w:right="-48" w:rightChars="-20"/>
                    <w:rPr>
                      <w:color w:val="auto"/>
                      <w:sz w:val="18"/>
                      <w:szCs w:val="18"/>
                    </w:rPr>
                  </w:pPr>
                  <w:r>
                    <w:rPr>
                      <w:rFonts w:hint="eastAsia"/>
                      <w:color w:val="auto"/>
                      <w:sz w:val="18"/>
                      <w:szCs w:val="18"/>
                    </w:rPr>
                    <w:t>21</w:t>
                  </w:r>
                  <w:r>
                    <w:rPr>
                      <w:color w:val="auto"/>
                      <w:sz w:val="18"/>
                      <w:szCs w:val="18"/>
                    </w:rPr>
                    <w:t>%</w:t>
                  </w:r>
                </w:p>
              </w:tc>
              <w:tc>
                <w:tcPr>
                  <w:tcW w:w="755"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7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0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645"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316</w:t>
                  </w:r>
                </w:p>
              </w:tc>
              <w:tc>
                <w:tcPr>
                  <w:tcW w:w="646" w:type="dxa"/>
                  <w:shd w:val="clear" w:color="auto" w:fill="FFFFFF"/>
                  <w:vAlign w:val="center"/>
                </w:tcPr>
                <w:p>
                  <w:pPr>
                    <w:pStyle w:val="36"/>
                    <w:adjustRightInd w:val="0"/>
                    <w:snapToGrid w:val="0"/>
                    <w:ind w:left="-48" w:leftChars="-20" w:right="-48" w:rightChars="-20"/>
                    <w:rPr>
                      <w:rFonts w:hint="default"/>
                      <w:color w:val="auto"/>
                      <w:sz w:val="18"/>
                      <w:szCs w:val="18"/>
                      <w:lang w:val="en-US" w:eastAsia="zh-CN"/>
                    </w:rPr>
                  </w:pPr>
                  <w:r>
                    <w:rPr>
                      <w:rFonts w:hint="default"/>
                      <w:color w:val="auto"/>
                      <w:sz w:val="18"/>
                      <w:szCs w:val="18"/>
                      <w:lang w:val="en-US" w:eastAsia="zh-CN"/>
                    </w:rPr>
                    <w:t xml:space="preserve">0.223 </w:t>
                  </w:r>
                </w:p>
              </w:tc>
              <w:tc>
                <w:tcPr>
                  <w:tcW w:w="44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61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79"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73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7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98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92"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1576" w:type="dxa"/>
                  <w:vMerge w:val="continue"/>
                  <w:shd w:val="clear" w:color="auto" w:fill="FFFFFF"/>
                  <w:vAlign w:val="center"/>
                </w:tcPr>
                <w:p>
                  <w:pPr>
                    <w:pStyle w:val="36"/>
                    <w:adjustRightInd w:val="0"/>
                    <w:snapToGrid w:val="0"/>
                    <w:ind w:left="-48" w:leftChars="-20" w:right="-48" w:rightChars="-20"/>
                    <w:rPr>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10" w:hRule="atLeast"/>
                <w:jc w:val="center"/>
              </w:trPr>
              <w:tc>
                <w:tcPr>
                  <w:tcW w:w="562"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63"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58"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BOD</w:t>
                  </w:r>
                  <w:r>
                    <w:rPr>
                      <w:color w:val="auto"/>
                      <w:sz w:val="18"/>
                      <w:szCs w:val="18"/>
                      <w:vertAlign w:val="subscript"/>
                    </w:rPr>
                    <w:t>5</w:t>
                  </w:r>
                </w:p>
              </w:tc>
              <w:tc>
                <w:tcPr>
                  <w:tcW w:w="54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13"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62"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2</w:t>
                  </w:r>
                  <w:r>
                    <w:rPr>
                      <w:rFonts w:hint="eastAsia"/>
                      <w:color w:val="auto"/>
                      <w:sz w:val="18"/>
                      <w:szCs w:val="18"/>
                    </w:rPr>
                    <w:t>50</w:t>
                  </w:r>
                </w:p>
              </w:tc>
              <w:tc>
                <w:tcPr>
                  <w:tcW w:w="561" w:type="dxa"/>
                  <w:shd w:val="clear" w:color="auto" w:fill="FFFFFF"/>
                  <w:vAlign w:val="center"/>
                </w:tcPr>
                <w:p>
                  <w:pPr>
                    <w:pStyle w:val="36"/>
                    <w:adjustRightInd w:val="0"/>
                    <w:snapToGrid w:val="0"/>
                    <w:ind w:left="-48" w:leftChars="-20" w:right="-48" w:rightChars="-20"/>
                    <w:rPr>
                      <w:color w:val="auto"/>
                      <w:sz w:val="18"/>
                      <w:szCs w:val="18"/>
                    </w:rPr>
                  </w:pPr>
                  <w:r>
                    <w:rPr>
                      <w:rFonts w:hint="default"/>
                      <w:color w:val="auto"/>
                      <w:sz w:val="18"/>
                      <w:szCs w:val="18"/>
                      <w:lang w:val="en-US" w:eastAsia="zh-CN"/>
                    </w:rPr>
                    <w:t xml:space="preserve">0.176 </w:t>
                  </w:r>
                </w:p>
              </w:tc>
              <w:tc>
                <w:tcPr>
                  <w:tcW w:w="50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30"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2</w:t>
                  </w:r>
                  <w:r>
                    <w:rPr>
                      <w:rFonts w:hint="eastAsia"/>
                      <w:color w:val="auto"/>
                      <w:sz w:val="18"/>
                      <w:szCs w:val="18"/>
                    </w:rPr>
                    <w:t>3</w:t>
                  </w:r>
                  <w:r>
                    <w:rPr>
                      <w:color w:val="auto"/>
                      <w:sz w:val="18"/>
                      <w:szCs w:val="18"/>
                    </w:rPr>
                    <w:t>%</w:t>
                  </w:r>
                </w:p>
              </w:tc>
              <w:tc>
                <w:tcPr>
                  <w:tcW w:w="755"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7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0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645"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193</w:t>
                  </w:r>
                </w:p>
              </w:tc>
              <w:tc>
                <w:tcPr>
                  <w:tcW w:w="646" w:type="dxa"/>
                  <w:shd w:val="clear" w:color="auto" w:fill="FFFFFF"/>
                  <w:vAlign w:val="center"/>
                </w:tcPr>
                <w:p>
                  <w:pPr>
                    <w:pStyle w:val="36"/>
                    <w:adjustRightInd w:val="0"/>
                    <w:snapToGrid w:val="0"/>
                    <w:ind w:left="-48" w:leftChars="-20" w:right="-48" w:rightChars="-20"/>
                    <w:rPr>
                      <w:rFonts w:hint="default"/>
                      <w:color w:val="auto"/>
                      <w:sz w:val="18"/>
                      <w:szCs w:val="18"/>
                      <w:lang w:val="en-US" w:eastAsia="zh-CN"/>
                    </w:rPr>
                  </w:pPr>
                  <w:r>
                    <w:rPr>
                      <w:rFonts w:hint="default"/>
                      <w:color w:val="auto"/>
                      <w:sz w:val="18"/>
                      <w:szCs w:val="18"/>
                      <w:lang w:val="en-US" w:eastAsia="zh-CN"/>
                    </w:rPr>
                    <w:t xml:space="preserve">0.136 </w:t>
                  </w:r>
                </w:p>
              </w:tc>
              <w:tc>
                <w:tcPr>
                  <w:tcW w:w="44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61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79"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73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7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98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92"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1576" w:type="dxa"/>
                  <w:vMerge w:val="continue"/>
                  <w:shd w:val="clear" w:color="auto" w:fill="FFFFFF"/>
                  <w:vAlign w:val="center"/>
                </w:tcPr>
                <w:p>
                  <w:pPr>
                    <w:pStyle w:val="36"/>
                    <w:adjustRightInd w:val="0"/>
                    <w:snapToGrid w:val="0"/>
                    <w:ind w:left="-48" w:leftChars="-20" w:right="-48" w:rightChars="-20"/>
                    <w:rPr>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10" w:hRule="atLeast"/>
                <w:jc w:val="center"/>
              </w:trPr>
              <w:tc>
                <w:tcPr>
                  <w:tcW w:w="562"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63"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58"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SS</w:t>
                  </w:r>
                </w:p>
              </w:tc>
              <w:tc>
                <w:tcPr>
                  <w:tcW w:w="54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13"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62"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2</w:t>
                  </w:r>
                  <w:r>
                    <w:rPr>
                      <w:rFonts w:hint="eastAsia"/>
                      <w:color w:val="auto"/>
                      <w:sz w:val="18"/>
                      <w:szCs w:val="18"/>
                    </w:rPr>
                    <w:t>20</w:t>
                  </w:r>
                </w:p>
              </w:tc>
              <w:tc>
                <w:tcPr>
                  <w:tcW w:w="561" w:type="dxa"/>
                  <w:shd w:val="clear" w:color="auto" w:fill="FFFFFF"/>
                  <w:vAlign w:val="center"/>
                </w:tcPr>
                <w:p>
                  <w:pPr>
                    <w:pStyle w:val="36"/>
                    <w:adjustRightInd w:val="0"/>
                    <w:snapToGrid w:val="0"/>
                    <w:ind w:left="-48" w:leftChars="-20" w:right="-48" w:rightChars="-20"/>
                    <w:rPr>
                      <w:color w:val="auto"/>
                      <w:sz w:val="18"/>
                      <w:szCs w:val="18"/>
                    </w:rPr>
                  </w:pPr>
                  <w:r>
                    <w:rPr>
                      <w:rFonts w:hint="default"/>
                      <w:color w:val="auto"/>
                      <w:sz w:val="18"/>
                      <w:szCs w:val="18"/>
                      <w:lang w:val="en-US" w:eastAsia="zh-CN"/>
                    </w:rPr>
                    <w:t xml:space="preserve">0.155 </w:t>
                  </w:r>
                </w:p>
              </w:tc>
              <w:tc>
                <w:tcPr>
                  <w:tcW w:w="50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30" w:type="dxa"/>
                  <w:shd w:val="clear" w:color="auto" w:fill="FFFFFF"/>
                  <w:vAlign w:val="center"/>
                </w:tcPr>
                <w:p>
                  <w:pPr>
                    <w:pStyle w:val="36"/>
                    <w:adjustRightInd w:val="0"/>
                    <w:snapToGrid w:val="0"/>
                    <w:ind w:left="-48" w:leftChars="-20" w:right="-48" w:rightChars="-20"/>
                    <w:rPr>
                      <w:color w:val="auto"/>
                      <w:sz w:val="18"/>
                      <w:szCs w:val="18"/>
                    </w:rPr>
                  </w:pPr>
                  <w:r>
                    <w:rPr>
                      <w:rFonts w:hint="eastAsia"/>
                      <w:color w:val="auto"/>
                      <w:sz w:val="18"/>
                      <w:szCs w:val="18"/>
                    </w:rPr>
                    <w:t>60</w:t>
                  </w:r>
                  <w:r>
                    <w:rPr>
                      <w:color w:val="auto"/>
                      <w:sz w:val="18"/>
                      <w:szCs w:val="18"/>
                    </w:rPr>
                    <w:t>%</w:t>
                  </w:r>
                </w:p>
              </w:tc>
              <w:tc>
                <w:tcPr>
                  <w:tcW w:w="755"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7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0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645"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88</w:t>
                  </w:r>
                </w:p>
              </w:tc>
              <w:tc>
                <w:tcPr>
                  <w:tcW w:w="646" w:type="dxa"/>
                  <w:shd w:val="clear" w:color="auto" w:fill="FFFFFF"/>
                  <w:vAlign w:val="center"/>
                </w:tcPr>
                <w:p>
                  <w:pPr>
                    <w:pStyle w:val="36"/>
                    <w:adjustRightInd w:val="0"/>
                    <w:snapToGrid w:val="0"/>
                    <w:ind w:left="-48" w:leftChars="-20" w:right="-48" w:rightChars="-20"/>
                    <w:rPr>
                      <w:rFonts w:hint="default"/>
                      <w:color w:val="auto"/>
                      <w:sz w:val="18"/>
                      <w:szCs w:val="18"/>
                      <w:lang w:val="en-US" w:eastAsia="zh-CN"/>
                    </w:rPr>
                  </w:pPr>
                  <w:r>
                    <w:rPr>
                      <w:rFonts w:hint="default"/>
                      <w:color w:val="auto"/>
                      <w:sz w:val="18"/>
                      <w:szCs w:val="18"/>
                      <w:lang w:val="en-US" w:eastAsia="zh-CN"/>
                    </w:rPr>
                    <w:t xml:space="preserve">0.062 </w:t>
                  </w:r>
                </w:p>
              </w:tc>
              <w:tc>
                <w:tcPr>
                  <w:tcW w:w="44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61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79"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73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7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98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92"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1576" w:type="dxa"/>
                  <w:vMerge w:val="continue"/>
                  <w:shd w:val="clear" w:color="auto" w:fill="FFFFFF"/>
                  <w:vAlign w:val="center"/>
                </w:tcPr>
                <w:p>
                  <w:pPr>
                    <w:pStyle w:val="36"/>
                    <w:adjustRightInd w:val="0"/>
                    <w:snapToGrid w:val="0"/>
                    <w:ind w:left="-48" w:leftChars="-20" w:right="-48" w:rightChars="-20"/>
                    <w:rPr>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10" w:hRule="atLeast"/>
                <w:jc w:val="center"/>
              </w:trPr>
              <w:tc>
                <w:tcPr>
                  <w:tcW w:w="562"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63"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58"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NH</w:t>
                  </w:r>
                  <w:r>
                    <w:rPr>
                      <w:color w:val="auto"/>
                      <w:sz w:val="18"/>
                      <w:szCs w:val="18"/>
                      <w:vertAlign w:val="subscript"/>
                    </w:rPr>
                    <w:t>3</w:t>
                  </w:r>
                  <w:r>
                    <w:rPr>
                      <w:color w:val="auto"/>
                      <w:sz w:val="18"/>
                      <w:szCs w:val="18"/>
                    </w:rPr>
                    <w:t>-N</w:t>
                  </w:r>
                </w:p>
              </w:tc>
              <w:tc>
                <w:tcPr>
                  <w:tcW w:w="54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13"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62"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35</w:t>
                  </w:r>
                </w:p>
              </w:tc>
              <w:tc>
                <w:tcPr>
                  <w:tcW w:w="561" w:type="dxa"/>
                  <w:shd w:val="clear" w:color="auto" w:fill="FFFFFF"/>
                  <w:vAlign w:val="center"/>
                </w:tcPr>
                <w:p>
                  <w:pPr>
                    <w:pStyle w:val="36"/>
                    <w:adjustRightInd w:val="0"/>
                    <w:snapToGrid w:val="0"/>
                    <w:ind w:left="-48" w:leftChars="-20" w:right="-48" w:rightChars="-20"/>
                    <w:rPr>
                      <w:color w:val="auto"/>
                      <w:sz w:val="18"/>
                      <w:szCs w:val="18"/>
                    </w:rPr>
                  </w:pPr>
                  <w:r>
                    <w:rPr>
                      <w:rFonts w:hint="default"/>
                      <w:color w:val="auto"/>
                      <w:sz w:val="18"/>
                      <w:szCs w:val="18"/>
                      <w:lang w:val="en-US" w:eastAsia="zh-CN"/>
                    </w:rPr>
                    <w:t xml:space="preserve">0.025 </w:t>
                  </w:r>
                </w:p>
              </w:tc>
              <w:tc>
                <w:tcPr>
                  <w:tcW w:w="50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30"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3%</w:t>
                  </w:r>
                </w:p>
              </w:tc>
              <w:tc>
                <w:tcPr>
                  <w:tcW w:w="755"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7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0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645" w:type="dxa"/>
                  <w:shd w:val="clear" w:color="auto" w:fill="FFFFFF"/>
                  <w:vAlign w:val="center"/>
                </w:tcPr>
                <w:p>
                  <w:pPr>
                    <w:pStyle w:val="36"/>
                    <w:adjustRightInd w:val="0"/>
                    <w:snapToGrid w:val="0"/>
                    <w:ind w:left="-48" w:leftChars="-20" w:right="-48" w:rightChars="-20"/>
                    <w:rPr>
                      <w:color w:val="auto"/>
                      <w:sz w:val="18"/>
                      <w:szCs w:val="18"/>
                    </w:rPr>
                  </w:pPr>
                  <w:r>
                    <w:rPr>
                      <w:color w:val="auto"/>
                      <w:sz w:val="18"/>
                      <w:szCs w:val="18"/>
                    </w:rPr>
                    <w:t>34</w:t>
                  </w:r>
                </w:p>
              </w:tc>
              <w:tc>
                <w:tcPr>
                  <w:tcW w:w="646" w:type="dxa"/>
                  <w:shd w:val="clear" w:color="auto" w:fill="FFFFFF"/>
                  <w:vAlign w:val="center"/>
                </w:tcPr>
                <w:p>
                  <w:pPr>
                    <w:pStyle w:val="36"/>
                    <w:adjustRightInd w:val="0"/>
                    <w:snapToGrid w:val="0"/>
                    <w:ind w:left="-48" w:leftChars="-20" w:right="-48" w:rightChars="-20"/>
                    <w:rPr>
                      <w:rFonts w:hint="default"/>
                      <w:color w:val="auto"/>
                      <w:sz w:val="18"/>
                      <w:szCs w:val="18"/>
                      <w:lang w:val="en-US" w:eastAsia="zh-CN"/>
                    </w:rPr>
                  </w:pPr>
                  <w:r>
                    <w:rPr>
                      <w:rFonts w:hint="default"/>
                      <w:color w:val="auto"/>
                      <w:sz w:val="18"/>
                      <w:szCs w:val="18"/>
                      <w:lang w:val="en-US" w:eastAsia="zh-CN"/>
                    </w:rPr>
                    <w:t xml:space="preserve">0.024 </w:t>
                  </w:r>
                </w:p>
              </w:tc>
              <w:tc>
                <w:tcPr>
                  <w:tcW w:w="44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617"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79"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73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57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984"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492" w:type="dxa"/>
                  <w:vMerge w:val="continue"/>
                  <w:shd w:val="clear" w:color="auto" w:fill="FFFFFF"/>
                  <w:vAlign w:val="center"/>
                </w:tcPr>
                <w:p>
                  <w:pPr>
                    <w:pStyle w:val="36"/>
                    <w:adjustRightInd w:val="0"/>
                    <w:snapToGrid w:val="0"/>
                    <w:ind w:left="-48" w:leftChars="-20" w:right="-48" w:rightChars="-20"/>
                    <w:rPr>
                      <w:color w:val="auto"/>
                      <w:sz w:val="18"/>
                      <w:szCs w:val="18"/>
                    </w:rPr>
                  </w:pPr>
                </w:p>
              </w:tc>
              <w:tc>
                <w:tcPr>
                  <w:tcW w:w="1576" w:type="dxa"/>
                  <w:vMerge w:val="continue"/>
                  <w:shd w:val="clear" w:color="auto" w:fill="FFFFFF"/>
                  <w:vAlign w:val="center"/>
                </w:tcPr>
                <w:p>
                  <w:pPr>
                    <w:pStyle w:val="36"/>
                    <w:adjustRightInd w:val="0"/>
                    <w:snapToGrid w:val="0"/>
                    <w:ind w:left="-48" w:leftChars="-20" w:right="-48" w:rightChars="-20"/>
                    <w:rPr>
                      <w:color w:val="auto"/>
                      <w:sz w:val="18"/>
                      <w:szCs w:val="18"/>
                    </w:rPr>
                  </w:pPr>
                </w:p>
              </w:tc>
            </w:tr>
          </w:tbl>
          <w:p>
            <w:pPr>
              <w:wordWrap w:val="0"/>
              <w:ind w:firstLine="480"/>
              <w:jc w:val="center"/>
              <w:rPr>
                <w:rStyle w:val="103"/>
                <w:color w:val="auto"/>
              </w:rPr>
            </w:pPr>
          </w:p>
          <w:p>
            <w:pPr>
              <w:wordWrap w:val="0"/>
              <w:ind w:firstLine="480"/>
              <w:jc w:val="center"/>
              <w:rPr>
                <w:rStyle w:val="103"/>
                <w:color w:val="auto"/>
              </w:rPr>
            </w:pPr>
          </w:p>
          <w:p>
            <w:pPr>
              <w:pStyle w:val="16"/>
              <w:ind w:firstLine="360"/>
              <w:jc w:val="center"/>
              <w:rPr>
                <w:color w:val="auto"/>
              </w:rPr>
            </w:pPr>
          </w:p>
          <w:p>
            <w:pPr>
              <w:wordWrap w:val="0"/>
              <w:ind w:firstLine="480"/>
              <w:jc w:val="center"/>
              <w:rPr>
                <w:rStyle w:val="103"/>
                <w:color w:val="auto"/>
              </w:rPr>
            </w:pPr>
          </w:p>
          <w:p>
            <w:pPr>
              <w:wordWrap w:val="0"/>
              <w:ind w:firstLine="480"/>
              <w:jc w:val="center"/>
              <w:rPr>
                <w:rStyle w:val="103"/>
                <w:color w:val="auto"/>
              </w:rPr>
            </w:pPr>
          </w:p>
        </w:tc>
      </w:tr>
    </w:tbl>
    <w:p>
      <w:pPr>
        <w:pStyle w:val="37"/>
        <w:spacing w:line="360" w:lineRule="auto"/>
        <w:rPr>
          <w:rFonts w:cs="Times New Roman"/>
          <w:color w:val="auto"/>
        </w:rPr>
      </w:pPr>
    </w:p>
    <w:p>
      <w:pPr>
        <w:ind w:firstLine="480"/>
        <w:rPr>
          <w:color w:val="auto"/>
        </w:rPr>
        <w:sectPr>
          <w:pgSz w:w="16838" w:h="11906" w:orient="landscape"/>
          <w:pgMar w:top="1418" w:right="1134" w:bottom="1418" w:left="1134" w:header="851" w:footer="851" w:gutter="0"/>
          <w:pgBorders>
            <w:top w:val="none" w:sz="0" w:space="0"/>
            <w:left w:val="none" w:sz="0" w:space="0"/>
            <w:bottom w:val="none" w:sz="0" w:space="0"/>
            <w:right w:val="none" w:sz="0" w:space="0"/>
          </w:pgBorders>
          <w:cols w:space="720" w:num="1"/>
          <w:docGrid w:linePitch="312" w:charSpace="0"/>
        </w:sectPr>
      </w:pPr>
    </w:p>
    <w:tbl>
      <w:tblPr>
        <w:tblStyle w:val="27"/>
        <w:tblW w:w="920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6"/>
        <w:gridCol w:w="84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0" w:hRule="atLeast"/>
          <w:jc w:val="center"/>
        </w:trPr>
        <w:tc>
          <w:tcPr>
            <w:tcW w:w="756" w:type="dxa"/>
            <w:tcMar>
              <w:left w:w="28" w:type="dxa"/>
              <w:right w:w="28" w:type="dxa"/>
            </w:tcMar>
            <w:vAlign w:val="center"/>
          </w:tcPr>
          <w:p>
            <w:pPr>
              <w:pStyle w:val="36"/>
              <w:rPr>
                <w:rFonts w:cs="Times New Roman"/>
                <w:color w:val="auto"/>
                <w:sz w:val="24"/>
                <w:szCs w:val="24"/>
              </w:rPr>
            </w:pPr>
          </w:p>
        </w:tc>
        <w:tc>
          <w:tcPr>
            <w:tcW w:w="8451" w:type="dxa"/>
            <w:vAlign w:val="center"/>
          </w:tcPr>
          <w:p>
            <w:pPr>
              <w:pStyle w:val="61"/>
              <w:rPr>
                <w:rFonts w:ascii="Times New Roman" w:hAnsi="Times New Roman" w:cs="Times New Roman"/>
                <w:color w:val="auto"/>
              </w:rPr>
            </w:pPr>
            <w:r>
              <w:rPr>
                <w:rFonts w:ascii="Times New Roman" w:hAnsi="Times New Roman" w:cs="Times New Roman"/>
                <w:color w:val="auto"/>
              </w:rPr>
              <w:t>4.2.</w:t>
            </w:r>
            <w:r>
              <w:rPr>
                <w:rFonts w:hint="eastAsia" w:ascii="Times New Roman" w:hAnsi="Times New Roman" w:cs="Times New Roman"/>
                <w:color w:val="auto"/>
              </w:rPr>
              <w:t>2</w:t>
            </w:r>
            <w:r>
              <w:rPr>
                <w:rFonts w:ascii="Times New Roman" w:hAnsi="Times New Roman" w:cs="Times New Roman"/>
                <w:color w:val="auto"/>
              </w:rPr>
              <w:t>.2水环境影响分析及保护措施</w:t>
            </w:r>
          </w:p>
          <w:p>
            <w:pPr>
              <w:pStyle w:val="38"/>
              <w:ind w:firstLine="480"/>
              <w:rPr>
                <w:rFonts w:cs="Times New Roman"/>
                <w:color w:val="auto"/>
              </w:rPr>
            </w:pPr>
            <w:r>
              <w:rPr>
                <w:rFonts w:cs="Times New Roman"/>
                <w:color w:val="auto"/>
              </w:rPr>
              <w:t>（1）废水排污方案</w:t>
            </w:r>
          </w:p>
          <w:p>
            <w:pPr>
              <w:pStyle w:val="38"/>
              <w:ind w:firstLine="480"/>
              <w:rPr>
                <w:color w:val="auto"/>
              </w:rPr>
            </w:pPr>
            <w:r>
              <w:rPr>
                <w:rFonts w:hint="eastAsia"/>
                <w:color w:val="auto"/>
              </w:rPr>
              <w:t>项目外排废水为生活污水，废水排放量</w:t>
            </w:r>
            <w:r>
              <w:rPr>
                <w:rFonts w:hint="eastAsia" w:cs="Times New Roman"/>
                <w:color w:val="auto"/>
              </w:rPr>
              <w:t>为2.35</w:t>
            </w:r>
            <w:r>
              <w:rPr>
                <w:rFonts w:cs="Times New Roman"/>
                <w:color w:val="auto"/>
              </w:rPr>
              <w:t>t/d（</w:t>
            </w:r>
            <w:r>
              <w:rPr>
                <w:rFonts w:hint="eastAsia" w:cs="Times New Roman"/>
                <w:color w:val="auto"/>
                <w:lang w:val="en-US" w:eastAsia="zh-CN"/>
              </w:rPr>
              <w:t>705.6</w:t>
            </w:r>
            <w:r>
              <w:rPr>
                <w:rFonts w:cs="Times New Roman"/>
                <w:color w:val="auto"/>
              </w:rPr>
              <w:t>t/a）</w:t>
            </w:r>
            <w:r>
              <w:rPr>
                <w:rFonts w:hint="eastAsia"/>
                <w:color w:val="auto"/>
              </w:rPr>
              <w:t>，经厂区化粪池处理后排入市政污水管网纳入福清市融元污水处理厂</w:t>
            </w:r>
            <w:r>
              <w:rPr>
                <w:color w:val="auto"/>
              </w:rPr>
              <w:t>进行集中处理</w:t>
            </w:r>
            <w:r>
              <w:rPr>
                <w:rFonts w:hint="eastAsia"/>
                <w:color w:val="auto"/>
              </w:rPr>
              <w:t>。</w:t>
            </w:r>
          </w:p>
          <w:p>
            <w:pPr>
              <w:ind w:firstLine="480"/>
              <w:rPr>
                <w:rFonts w:cs="Times New Roman"/>
                <w:color w:val="auto"/>
              </w:rPr>
            </w:pPr>
            <w:r>
              <w:rPr>
                <w:rFonts w:cs="Times New Roman"/>
                <w:color w:val="auto"/>
              </w:rPr>
              <w:t>（2）</w:t>
            </w:r>
            <w:r>
              <w:rPr>
                <w:rFonts w:hint="eastAsia" w:cs="Times New Roman"/>
                <w:color w:val="auto"/>
              </w:rPr>
              <w:t>依托福清市融元污水处理厂的可行性分析</w:t>
            </w:r>
          </w:p>
          <w:p>
            <w:pPr>
              <w:pStyle w:val="204"/>
              <w:jc w:val="both"/>
              <w:rPr>
                <w:color w:val="auto"/>
              </w:rPr>
            </w:pPr>
            <w:r>
              <w:rPr>
                <w:color w:val="auto"/>
              </w:rPr>
              <w:t>根据《建设项目环境影响报告表编制技术指南</w:t>
            </w:r>
            <w:r>
              <w:rPr>
                <w:rFonts w:hint="eastAsia"/>
                <w:color w:val="auto"/>
              </w:rPr>
              <w:t>（</w:t>
            </w:r>
            <w:r>
              <w:rPr>
                <w:color w:val="auto"/>
              </w:rPr>
              <w:t>污染影响类</w:t>
            </w:r>
            <w:r>
              <w:rPr>
                <w:rFonts w:hint="eastAsia"/>
                <w:color w:val="auto"/>
              </w:rPr>
              <w:t>）（</w:t>
            </w:r>
            <w:r>
              <w:rPr>
                <w:color w:val="auto"/>
              </w:rPr>
              <w:t>试行</w:t>
            </w:r>
            <w:r>
              <w:rPr>
                <w:rFonts w:hint="eastAsia"/>
                <w:color w:val="auto"/>
              </w:rPr>
              <w:t>）</w:t>
            </w:r>
            <w:r>
              <w:rPr>
                <w:color w:val="auto"/>
              </w:rPr>
              <w:t>》</w:t>
            </w:r>
            <w:r>
              <w:rPr>
                <w:rFonts w:hint="eastAsia"/>
                <w:color w:val="auto"/>
              </w:rPr>
              <w:t>（</w:t>
            </w:r>
            <w:r>
              <w:rPr>
                <w:color w:val="auto"/>
              </w:rPr>
              <w:t>环办环评〔2020〕33号</w:t>
            </w:r>
            <w:r>
              <w:rPr>
                <w:rFonts w:hint="eastAsia"/>
                <w:color w:val="auto"/>
              </w:rPr>
              <w:t>）</w:t>
            </w:r>
            <w:r>
              <w:rPr>
                <w:color w:val="auto"/>
              </w:rPr>
              <w:t>要求，废水间接排放的建设项目应从处理能力、处理工艺、设计进出水水质等方面，分析依托集中污水处理厂的可行性。</w:t>
            </w:r>
          </w:p>
          <w:p>
            <w:pPr>
              <w:pStyle w:val="204"/>
              <w:rPr>
                <w:rFonts w:cs="Times New Roman"/>
                <w:color w:val="auto"/>
              </w:rPr>
            </w:pPr>
            <w:r>
              <w:rPr>
                <w:rFonts w:cs="Times New Roman"/>
                <w:color w:val="auto"/>
              </w:rPr>
              <w:t>①</w:t>
            </w:r>
            <w:r>
              <w:rPr>
                <w:rFonts w:hint="eastAsia"/>
                <w:color w:val="auto"/>
              </w:rPr>
              <w:t>福清市融元污水处理厂概况</w:t>
            </w:r>
          </w:p>
          <w:p>
            <w:pPr>
              <w:pStyle w:val="38"/>
              <w:ind w:firstLine="480"/>
              <w:rPr>
                <w:color w:val="auto"/>
              </w:rPr>
            </w:pPr>
            <w:r>
              <w:rPr>
                <w:rFonts w:hint="eastAsia"/>
                <w:color w:val="auto"/>
              </w:rPr>
              <w:t>福清市融元污水处理厂为城市二级污水处理厂，厂址位于福清市龙山街道玉塘村，规划远期总规模为18万m</w:t>
            </w:r>
            <w:r>
              <w:rPr>
                <w:rFonts w:hint="eastAsia"/>
                <w:color w:val="auto"/>
                <w:vertAlign w:val="superscript"/>
              </w:rPr>
              <w:t>3</w:t>
            </w:r>
            <w:r>
              <w:rPr>
                <w:rFonts w:hint="eastAsia"/>
                <w:color w:val="auto"/>
              </w:rPr>
              <w:t>/d，工程分三期实施，现状（已实施的一期及二期工程）规模为12万m</w:t>
            </w:r>
            <w:r>
              <w:rPr>
                <w:rFonts w:hint="eastAsia"/>
                <w:color w:val="auto"/>
                <w:vertAlign w:val="superscript"/>
              </w:rPr>
              <w:t>3</w:t>
            </w:r>
            <w:r>
              <w:rPr>
                <w:rFonts w:hint="eastAsia"/>
                <w:color w:val="auto"/>
              </w:rPr>
              <w:t>/d，远期扩建规模为6万m</w:t>
            </w:r>
            <w:r>
              <w:rPr>
                <w:rFonts w:hint="eastAsia"/>
                <w:color w:val="auto"/>
                <w:vertAlign w:val="superscript"/>
              </w:rPr>
              <w:t>3</w:t>
            </w:r>
            <w:r>
              <w:rPr>
                <w:rFonts w:hint="eastAsia"/>
                <w:color w:val="auto"/>
              </w:rPr>
              <w:t>/d。</w:t>
            </w:r>
          </w:p>
          <w:p>
            <w:pPr>
              <w:pStyle w:val="38"/>
              <w:ind w:firstLine="480"/>
              <w:rPr>
                <w:color w:val="auto"/>
              </w:rPr>
            </w:pPr>
            <w:r>
              <w:rPr>
                <w:rFonts w:hint="eastAsia"/>
                <w:color w:val="auto"/>
              </w:rPr>
              <w:t>福清市融元污水处理厂现有处理规模为12万m</w:t>
            </w:r>
            <w:r>
              <w:rPr>
                <w:rFonts w:hint="eastAsia"/>
                <w:color w:val="auto"/>
                <w:vertAlign w:val="superscript"/>
              </w:rPr>
              <w:t>3</w:t>
            </w:r>
            <w:r>
              <w:rPr>
                <w:rFonts w:hint="eastAsia"/>
                <w:color w:val="auto"/>
              </w:rPr>
              <w:t>/d，尾水排放口设置在猪母湾西南岸，排入龙江；所产生的污泥经过带式浓缩脱水一体机处理，被送往海口镇为民生物科技公司制作成堆肥。一期工程于2008年1月通过了竣工环保验收；二期工程于2014年5月通过了竣工环保验收。2014年以来福清市融元污水处理厂出水水质效果好，能够满足一级B标准的排放要求。</w:t>
            </w:r>
          </w:p>
          <w:p>
            <w:pPr>
              <w:pStyle w:val="38"/>
              <w:ind w:firstLine="480"/>
              <w:rPr>
                <w:color w:val="auto"/>
              </w:rPr>
            </w:pPr>
            <w:r>
              <w:rPr>
                <w:rFonts w:hint="eastAsia"/>
                <w:color w:val="auto"/>
              </w:rPr>
              <w:t>2016年10月，福清黎阳水务有限公司对现状福清市融元污水处理厂厂内提标及改造，提标改造工程按近期规模12.0万m</w:t>
            </w:r>
            <w:r>
              <w:rPr>
                <w:rFonts w:hint="eastAsia"/>
                <w:color w:val="auto"/>
                <w:vertAlign w:val="superscript"/>
              </w:rPr>
              <w:t>3</w:t>
            </w:r>
            <w:r>
              <w:rPr>
                <w:rFonts w:hint="eastAsia"/>
                <w:color w:val="auto"/>
              </w:rPr>
              <w:t>/d设计和建设，主要技改内容：技改后一期工程降低处理负荷，污水处理规模由6万m</w:t>
            </w:r>
            <w:r>
              <w:rPr>
                <w:rFonts w:hint="eastAsia"/>
                <w:color w:val="auto"/>
                <w:vertAlign w:val="superscript"/>
              </w:rPr>
              <w:t>3</w:t>
            </w:r>
            <w:r>
              <w:rPr>
                <w:rFonts w:hint="eastAsia"/>
                <w:color w:val="auto"/>
              </w:rPr>
              <w:t>/d调整为4万m</w:t>
            </w:r>
            <w:r>
              <w:rPr>
                <w:rFonts w:hint="eastAsia"/>
                <w:color w:val="auto"/>
                <w:vertAlign w:val="superscript"/>
              </w:rPr>
              <w:t>3</w:t>
            </w:r>
            <w:r>
              <w:rPr>
                <w:rFonts w:hint="eastAsia"/>
                <w:color w:val="auto"/>
              </w:rPr>
              <w:t>/d运行，并在现有一期工程生化池基础上增设化学除磷和投加碳源措施，以进一步改善出水水质。厂区原二期工程提标后污水处理规模由6万m</w:t>
            </w:r>
            <w:r>
              <w:rPr>
                <w:rFonts w:hint="eastAsia"/>
                <w:color w:val="auto"/>
                <w:vertAlign w:val="superscript"/>
              </w:rPr>
              <w:t>3</w:t>
            </w:r>
            <w:r>
              <w:rPr>
                <w:rFonts w:hint="eastAsia"/>
                <w:color w:val="auto"/>
              </w:rPr>
              <w:t>/d调整为8万m</w:t>
            </w:r>
            <w:r>
              <w:rPr>
                <w:rFonts w:hint="eastAsia"/>
                <w:color w:val="auto"/>
                <w:vertAlign w:val="superscript"/>
              </w:rPr>
              <w:t>3</w:t>
            </w:r>
            <w:r>
              <w:rPr>
                <w:rFonts w:hint="eastAsia"/>
                <w:color w:val="auto"/>
              </w:rPr>
              <w:t>/d运行，旋流沉砂池出水与生化池进水管之间增设精细格栅间，在现有二期工程生化池基础上增设化学除磷和投加碳源措施、在缺氧池至厌氧池之间、好氧池与缺氧池之间改造污泥回流泵、在现有生化处理池基础上改造新增MP-MBR膜系统；改造后污水处理厂总排口综合出水水质达到《城镇污水处理厂污染物排放标准》（GB18918-2002）一级A标准。</w:t>
            </w:r>
          </w:p>
          <w:p>
            <w:pPr>
              <w:adjustRightInd w:val="0"/>
              <w:snapToGrid w:val="0"/>
              <w:ind w:firstLine="480"/>
              <w:rPr>
                <w:color w:val="auto"/>
                <w:szCs w:val="22"/>
              </w:rPr>
            </w:pPr>
            <w:r>
              <w:rPr>
                <w:color w:val="auto"/>
                <w:szCs w:val="22"/>
              </w:rPr>
              <w:t>根据《福清市融元污水处理厂提标及改造工程环境影响报告书</w:t>
            </w:r>
            <w:r>
              <w:rPr>
                <w:rFonts w:hint="eastAsia"/>
                <w:color w:val="auto"/>
                <w:szCs w:val="22"/>
              </w:rPr>
              <w:t>（</w:t>
            </w:r>
            <w:r>
              <w:rPr>
                <w:color w:val="auto"/>
                <w:szCs w:val="22"/>
              </w:rPr>
              <w:t>报批稿</w:t>
            </w:r>
            <w:r>
              <w:rPr>
                <w:rFonts w:hint="eastAsia"/>
                <w:color w:val="auto"/>
                <w:szCs w:val="22"/>
              </w:rPr>
              <w:t>）》</w:t>
            </w:r>
            <w:r>
              <w:rPr>
                <w:color w:val="auto"/>
                <w:szCs w:val="22"/>
              </w:rPr>
              <w:t>可知，</w:t>
            </w:r>
            <w:r>
              <w:rPr>
                <w:rFonts w:hint="eastAsia"/>
                <w:color w:val="auto"/>
              </w:rPr>
              <w:t>福清市融元污水处理厂</w:t>
            </w:r>
            <w:r>
              <w:rPr>
                <w:color w:val="auto"/>
                <w:szCs w:val="22"/>
              </w:rPr>
              <w:t>进出水水质见表</w:t>
            </w:r>
            <w:r>
              <w:rPr>
                <w:rFonts w:hint="eastAsia"/>
                <w:color w:val="auto"/>
                <w:szCs w:val="22"/>
              </w:rPr>
              <w:t>4.2-</w:t>
            </w:r>
            <w:r>
              <w:rPr>
                <w:rFonts w:hint="eastAsia"/>
                <w:color w:val="auto"/>
                <w:szCs w:val="22"/>
                <w:lang w:val="en-US" w:eastAsia="zh-CN"/>
              </w:rPr>
              <w:t>9</w:t>
            </w:r>
            <w:r>
              <w:rPr>
                <w:color w:val="auto"/>
                <w:szCs w:val="22"/>
              </w:rPr>
              <w:t>。</w:t>
            </w:r>
          </w:p>
          <w:p>
            <w:pPr>
              <w:adjustRightInd w:val="0"/>
              <w:snapToGrid w:val="0"/>
              <w:ind w:firstLine="480"/>
              <w:rPr>
                <w:color w:val="auto"/>
                <w:szCs w:val="22"/>
              </w:rPr>
            </w:pPr>
          </w:p>
          <w:p>
            <w:pPr>
              <w:pStyle w:val="37"/>
              <w:rPr>
                <w:rFonts w:cs="Times New Roman"/>
                <w:color w:val="auto"/>
              </w:rPr>
            </w:pPr>
            <w:r>
              <w:rPr>
                <w:rFonts w:cs="Times New Roman"/>
                <w:color w:val="auto"/>
              </w:rPr>
              <w:t>表4.</w:t>
            </w:r>
            <w:r>
              <w:rPr>
                <w:rFonts w:hint="eastAsia" w:cs="Times New Roman"/>
                <w:color w:val="auto"/>
              </w:rPr>
              <w:t>2</w:t>
            </w:r>
            <w:r>
              <w:rPr>
                <w:rFonts w:cs="Times New Roman"/>
                <w:color w:val="auto"/>
              </w:rPr>
              <w:t>-</w:t>
            </w:r>
            <w:r>
              <w:rPr>
                <w:rFonts w:hint="eastAsia" w:cs="Times New Roman"/>
                <w:color w:val="auto"/>
                <w:lang w:val="en-US" w:eastAsia="zh-CN"/>
              </w:rPr>
              <w:t>9</w:t>
            </w:r>
            <w:r>
              <w:rPr>
                <w:rFonts w:hint="eastAsia" w:cs="Times New Roman"/>
                <w:color w:val="auto"/>
              </w:rPr>
              <w:t xml:space="preserve">  污水处理厂</w:t>
            </w:r>
            <w:r>
              <w:rPr>
                <w:rFonts w:cs="Times New Roman"/>
                <w:color w:val="auto"/>
              </w:rPr>
              <w:t>进出水水质标准</w:t>
            </w:r>
            <w:r>
              <w:rPr>
                <w:rFonts w:hint="eastAsia" w:cs="Times New Roman"/>
                <w:color w:val="auto"/>
              </w:rPr>
              <w:t>（</w:t>
            </w:r>
            <w:r>
              <w:rPr>
                <w:rFonts w:cs="Times New Roman"/>
                <w:color w:val="auto"/>
              </w:rPr>
              <w:t>mg/L</w:t>
            </w:r>
            <w:r>
              <w:rPr>
                <w:rFonts w:hint="eastAsia" w:cs="Times New Roman"/>
                <w:color w:val="auto"/>
              </w:rPr>
              <w:t xml:space="preserve">  pH除外）</w:t>
            </w:r>
          </w:p>
          <w:tbl>
            <w:tblPr>
              <w:tblStyle w:val="2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077"/>
              <w:gridCol w:w="1312"/>
              <w:gridCol w:w="1068"/>
              <w:gridCol w:w="965"/>
              <w:gridCol w:w="1029"/>
              <w:gridCol w:w="952"/>
              <w:gridCol w:w="952"/>
              <w:gridCol w:w="8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56" w:type="pct"/>
                  <w:tcBorders>
                    <w:tl2br w:val="nil"/>
                    <w:tr2bl w:val="nil"/>
                  </w:tcBorders>
                  <w:vAlign w:val="center"/>
                </w:tcPr>
                <w:p>
                  <w:pPr>
                    <w:pStyle w:val="36"/>
                    <w:rPr>
                      <w:color w:val="auto"/>
                    </w:rPr>
                  </w:pPr>
                  <w:r>
                    <w:rPr>
                      <w:color w:val="auto"/>
                    </w:rPr>
                    <w:t>水质指标</w:t>
                  </w:r>
                </w:p>
              </w:tc>
              <w:tc>
                <w:tcPr>
                  <w:tcW w:w="799" w:type="pct"/>
                  <w:tcBorders>
                    <w:tl2br w:val="nil"/>
                    <w:tr2bl w:val="nil"/>
                  </w:tcBorders>
                  <w:vAlign w:val="center"/>
                </w:tcPr>
                <w:p>
                  <w:pPr>
                    <w:pStyle w:val="36"/>
                    <w:rPr>
                      <w:color w:val="auto"/>
                    </w:rPr>
                  </w:pPr>
                  <w:r>
                    <w:rPr>
                      <w:rFonts w:hint="eastAsia"/>
                      <w:color w:val="auto"/>
                    </w:rPr>
                    <w:t>pH</w:t>
                  </w:r>
                </w:p>
              </w:tc>
              <w:tc>
                <w:tcPr>
                  <w:tcW w:w="650" w:type="pct"/>
                  <w:tcBorders>
                    <w:tl2br w:val="nil"/>
                    <w:tr2bl w:val="nil"/>
                  </w:tcBorders>
                  <w:vAlign w:val="center"/>
                </w:tcPr>
                <w:p>
                  <w:pPr>
                    <w:pStyle w:val="36"/>
                    <w:rPr>
                      <w:color w:val="auto"/>
                    </w:rPr>
                  </w:pPr>
                  <w:r>
                    <w:rPr>
                      <w:rFonts w:hint="eastAsia"/>
                      <w:color w:val="auto"/>
                    </w:rPr>
                    <w:t>COD</w:t>
                  </w:r>
                </w:p>
              </w:tc>
              <w:tc>
                <w:tcPr>
                  <w:tcW w:w="588" w:type="pct"/>
                  <w:tcBorders>
                    <w:tl2br w:val="nil"/>
                    <w:tr2bl w:val="nil"/>
                  </w:tcBorders>
                  <w:vAlign w:val="center"/>
                </w:tcPr>
                <w:p>
                  <w:pPr>
                    <w:pStyle w:val="36"/>
                    <w:rPr>
                      <w:color w:val="auto"/>
                    </w:rPr>
                  </w:pPr>
                  <w:r>
                    <w:rPr>
                      <w:color w:val="auto"/>
                    </w:rPr>
                    <w:t>BOD</w:t>
                  </w:r>
                  <w:r>
                    <w:rPr>
                      <w:color w:val="auto"/>
                      <w:vertAlign w:val="subscript"/>
                    </w:rPr>
                    <w:t>5</w:t>
                  </w:r>
                </w:p>
              </w:tc>
              <w:tc>
                <w:tcPr>
                  <w:tcW w:w="627" w:type="pct"/>
                  <w:tcBorders>
                    <w:tl2br w:val="nil"/>
                    <w:tr2bl w:val="nil"/>
                  </w:tcBorders>
                  <w:vAlign w:val="center"/>
                </w:tcPr>
                <w:p>
                  <w:pPr>
                    <w:pStyle w:val="36"/>
                    <w:rPr>
                      <w:color w:val="auto"/>
                    </w:rPr>
                  </w:pPr>
                  <w:r>
                    <w:rPr>
                      <w:color w:val="auto"/>
                    </w:rPr>
                    <w:t>SS</w:t>
                  </w:r>
                </w:p>
              </w:tc>
              <w:tc>
                <w:tcPr>
                  <w:tcW w:w="580" w:type="pct"/>
                  <w:tcBorders>
                    <w:tl2br w:val="nil"/>
                    <w:tr2bl w:val="nil"/>
                  </w:tcBorders>
                  <w:vAlign w:val="center"/>
                </w:tcPr>
                <w:p>
                  <w:pPr>
                    <w:pStyle w:val="36"/>
                    <w:rPr>
                      <w:color w:val="auto"/>
                    </w:rPr>
                  </w:pPr>
                  <w:r>
                    <w:rPr>
                      <w:color w:val="auto"/>
                    </w:rPr>
                    <w:t>NH</w:t>
                  </w:r>
                  <w:r>
                    <w:rPr>
                      <w:color w:val="auto"/>
                      <w:vertAlign w:val="subscript"/>
                    </w:rPr>
                    <w:t>3</w:t>
                  </w:r>
                  <w:r>
                    <w:rPr>
                      <w:color w:val="auto"/>
                    </w:rPr>
                    <w:t>-N</w:t>
                  </w:r>
                </w:p>
              </w:tc>
              <w:tc>
                <w:tcPr>
                  <w:tcW w:w="580" w:type="pct"/>
                  <w:tcBorders>
                    <w:tl2br w:val="nil"/>
                    <w:tr2bl w:val="nil"/>
                  </w:tcBorders>
                  <w:vAlign w:val="center"/>
                </w:tcPr>
                <w:p>
                  <w:pPr>
                    <w:pStyle w:val="36"/>
                    <w:rPr>
                      <w:color w:val="auto"/>
                    </w:rPr>
                  </w:pPr>
                  <w:r>
                    <w:rPr>
                      <w:color w:val="auto"/>
                    </w:rPr>
                    <w:t>TN</w:t>
                  </w:r>
                </w:p>
              </w:tc>
              <w:tc>
                <w:tcPr>
                  <w:tcW w:w="518" w:type="pct"/>
                  <w:tcBorders>
                    <w:tl2br w:val="nil"/>
                    <w:tr2bl w:val="nil"/>
                  </w:tcBorders>
                  <w:vAlign w:val="center"/>
                </w:tcPr>
                <w:p>
                  <w:pPr>
                    <w:pStyle w:val="36"/>
                    <w:rPr>
                      <w:color w:val="auto"/>
                    </w:rPr>
                  </w:pPr>
                  <w:r>
                    <w:rPr>
                      <w:rFonts w:hint="eastAsia"/>
                      <w:color w:val="auto"/>
                    </w:rPr>
                    <w:t>TP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56" w:type="pct"/>
                  <w:tcBorders>
                    <w:tl2br w:val="nil"/>
                    <w:tr2bl w:val="nil"/>
                  </w:tcBorders>
                  <w:vAlign w:val="center"/>
                </w:tcPr>
                <w:p>
                  <w:pPr>
                    <w:pStyle w:val="36"/>
                    <w:rPr>
                      <w:color w:val="auto"/>
                    </w:rPr>
                  </w:pPr>
                  <w:r>
                    <w:rPr>
                      <w:color w:val="auto"/>
                    </w:rPr>
                    <w:t>进水水质</w:t>
                  </w:r>
                </w:p>
              </w:tc>
              <w:tc>
                <w:tcPr>
                  <w:tcW w:w="799" w:type="pct"/>
                  <w:tcBorders>
                    <w:tl2br w:val="nil"/>
                    <w:tr2bl w:val="nil"/>
                  </w:tcBorders>
                  <w:vAlign w:val="center"/>
                </w:tcPr>
                <w:p>
                  <w:pPr>
                    <w:pStyle w:val="36"/>
                    <w:rPr>
                      <w:color w:val="auto"/>
                    </w:rPr>
                  </w:pPr>
                  <w:r>
                    <w:rPr>
                      <w:rFonts w:hint="eastAsia"/>
                      <w:color w:val="auto"/>
                    </w:rPr>
                    <w:t>6~9（无量纲）</w:t>
                  </w:r>
                </w:p>
              </w:tc>
              <w:tc>
                <w:tcPr>
                  <w:tcW w:w="650" w:type="pct"/>
                  <w:tcBorders>
                    <w:tl2br w:val="nil"/>
                    <w:tr2bl w:val="nil"/>
                  </w:tcBorders>
                  <w:vAlign w:val="center"/>
                </w:tcPr>
                <w:p>
                  <w:pPr>
                    <w:pStyle w:val="36"/>
                    <w:rPr>
                      <w:color w:val="auto"/>
                    </w:rPr>
                  </w:pPr>
                  <w:r>
                    <w:rPr>
                      <w:color w:val="auto"/>
                    </w:rPr>
                    <w:t>≤</w:t>
                  </w:r>
                  <w:r>
                    <w:rPr>
                      <w:rFonts w:hint="eastAsia"/>
                      <w:color w:val="auto"/>
                    </w:rPr>
                    <w:t>400</w:t>
                  </w:r>
                </w:p>
              </w:tc>
              <w:tc>
                <w:tcPr>
                  <w:tcW w:w="588" w:type="pct"/>
                  <w:tcBorders>
                    <w:tl2br w:val="nil"/>
                    <w:tr2bl w:val="nil"/>
                  </w:tcBorders>
                  <w:vAlign w:val="center"/>
                </w:tcPr>
                <w:p>
                  <w:pPr>
                    <w:pStyle w:val="36"/>
                    <w:rPr>
                      <w:color w:val="auto"/>
                    </w:rPr>
                  </w:pPr>
                  <w:r>
                    <w:rPr>
                      <w:color w:val="auto"/>
                    </w:rPr>
                    <w:t>≤</w:t>
                  </w:r>
                  <w:r>
                    <w:rPr>
                      <w:rFonts w:hint="eastAsia"/>
                      <w:color w:val="auto"/>
                    </w:rPr>
                    <w:t>220</w:t>
                  </w:r>
                </w:p>
              </w:tc>
              <w:tc>
                <w:tcPr>
                  <w:tcW w:w="627" w:type="pct"/>
                  <w:tcBorders>
                    <w:tl2br w:val="nil"/>
                    <w:tr2bl w:val="nil"/>
                  </w:tcBorders>
                  <w:vAlign w:val="center"/>
                </w:tcPr>
                <w:p>
                  <w:pPr>
                    <w:pStyle w:val="36"/>
                    <w:rPr>
                      <w:color w:val="auto"/>
                    </w:rPr>
                  </w:pPr>
                  <w:r>
                    <w:rPr>
                      <w:color w:val="auto"/>
                    </w:rPr>
                    <w:t>≤</w:t>
                  </w:r>
                  <w:r>
                    <w:rPr>
                      <w:rFonts w:hint="eastAsia"/>
                      <w:color w:val="auto"/>
                    </w:rPr>
                    <w:t>280</w:t>
                  </w:r>
                </w:p>
              </w:tc>
              <w:tc>
                <w:tcPr>
                  <w:tcW w:w="580" w:type="pct"/>
                  <w:tcBorders>
                    <w:tl2br w:val="nil"/>
                    <w:tr2bl w:val="nil"/>
                  </w:tcBorders>
                  <w:vAlign w:val="center"/>
                </w:tcPr>
                <w:p>
                  <w:pPr>
                    <w:pStyle w:val="36"/>
                    <w:rPr>
                      <w:color w:val="auto"/>
                    </w:rPr>
                  </w:pPr>
                  <w:r>
                    <w:rPr>
                      <w:color w:val="auto"/>
                    </w:rPr>
                    <w:t>≤</w:t>
                  </w:r>
                  <w:r>
                    <w:rPr>
                      <w:rFonts w:hint="eastAsia"/>
                      <w:color w:val="auto"/>
                    </w:rPr>
                    <w:t>37</w:t>
                  </w:r>
                </w:p>
              </w:tc>
              <w:tc>
                <w:tcPr>
                  <w:tcW w:w="580" w:type="pct"/>
                  <w:tcBorders>
                    <w:tl2br w:val="nil"/>
                    <w:tr2bl w:val="nil"/>
                  </w:tcBorders>
                  <w:vAlign w:val="center"/>
                </w:tcPr>
                <w:p>
                  <w:pPr>
                    <w:pStyle w:val="36"/>
                    <w:rPr>
                      <w:color w:val="auto"/>
                    </w:rPr>
                  </w:pPr>
                  <w:r>
                    <w:rPr>
                      <w:color w:val="auto"/>
                    </w:rPr>
                    <w:t>≤</w:t>
                  </w:r>
                  <w:r>
                    <w:rPr>
                      <w:rFonts w:hint="eastAsia"/>
                      <w:color w:val="auto"/>
                    </w:rPr>
                    <w:t>54</w:t>
                  </w:r>
                </w:p>
              </w:tc>
              <w:tc>
                <w:tcPr>
                  <w:tcW w:w="518" w:type="pct"/>
                  <w:tcBorders>
                    <w:tl2br w:val="nil"/>
                    <w:tr2bl w:val="nil"/>
                  </w:tcBorders>
                  <w:vAlign w:val="center"/>
                </w:tcPr>
                <w:p>
                  <w:pPr>
                    <w:pStyle w:val="36"/>
                    <w:rPr>
                      <w:color w:val="auto"/>
                    </w:rPr>
                  </w:pPr>
                  <w:r>
                    <w:rPr>
                      <w:color w:val="auto"/>
                    </w:rPr>
                    <w:t>≤</w:t>
                  </w:r>
                  <w:r>
                    <w:rPr>
                      <w:rFonts w:hint="eastAsia"/>
                      <w:color w:val="auto"/>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656" w:type="pct"/>
                  <w:tcBorders>
                    <w:tl2br w:val="nil"/>
                    <w:tr2bl w:val="nil"/>
                  </w:tcBorders>
                  <w:vAlign w:val="center"/>
                </w:tcPr>
                <w:p>
                  <w:pPr>
                    <w:pStyle w:val="36"/>
                    <w:rPr>
                      <w:color w:val="auto"/>
                    </w:rPr>
                  </w:pPr>
                  <w:r>
                    <w:rPr>
                      <w:color w:val="auto"/>
                    </w:rPr>
                    <w:t>出水标准</w:t>
                  </w:r>
                </w:p>
              </w:tc>
              <w:tc>
                <w:tcPr>
                  <w:tcW w:w="799" w:type="pct"/>
                  <w:tcBorders>
                    <w:tl2br w:val="nil"/>
                    <w:tr2bl w:val="nil"/>
                  </w:tcBorders>
                  <w:vAlign w:val="center"/>
                </w:tcPr>
                <w:p>
                  <w:pPr>
                    <w:pStyle w:val="36"/>
                    <w:rPr>
                      <w:color w:val="auto"/>
                    </w:rPr>
                  </w:pPr>
                  <w:r>
                    <w:rPr>
                      <w:rFonts w:hint="eastAsia"/>
                      <w:color w:val="auto"/>
                    </w:rPr>
                    <w:t>6~9（无量纲）</w:t>
                  </w:r>
                </w:p>
              </w:tc>
              <w:tc>
                <w:tcPr>
                  <w:tcW w:w="650" w:type="pct"/>
                  <w:tcBorders>
                    <w:tl2br w:val="nil"/>
                    <w:tr2bl w:val="nil"/>
                  </w:tcBorders>
                  <w:vAlign w:val="center"/>
                </w:tcPr>
                <w:p>
                  <w:pPr>
                    <w:pStyle w:val="36"/>
                    <w:rPr>
                      <w:color w:val="auto"/>
                    </w:rPr>
                  </w:pPr>
                  <w:r>
                    <w:rPr>
                      <w:color w:val="auto"/>
                    </w:rPr>
                    <w:t>≤50</w:t>
                  </w:r>
                </w:p>
              </w:tc>
              <w:tc>
                <w:tcPr>
                  <w:tcW w:w="588" w:type="pct"/>
                  <w:tcBorders>
                    <w:tl2br w:val="nil"/>
                    <w:tr2bl w:val="nil"/>
                  </w:tcBorders>
                  <w:vAlign w:val="center"/>
                </w:tcPr>
                <w:p>
                  <w:pPr>
                    <w:pStyle w:val="36"/>
                    <w:rPr>
                      <w:color w:val="auto"/>
                    </w:rPr>
                  </w:pPr>
                  <w:r>
                    <w:rPr>
                      <w:color w:val="auto"/>
                    </w:rPr>
                    <w:t>≤10</w:t>
                  </w:r>
                </w:p>
              </w:tc>
              <w:tc>
                <w:tcPr>
                  <w:tcW w:w="627" w:type="pct"/>
                  <w:tcBorders>
                    <w:tl2br w:val="nil"/>
                    <w:tr2bl w:val="nil"/>
                  </w:tcBorders>
                  <w:vAlign w:val="center"/>
                </w:tcPr>
                <w:p>
                  <w:pPr>
                    <w:pStyle w:val="36"/>
                    <w:rPr>
                      <w:color w:val="auto"/>
                    </w:rPr>
                  </w:pPr>
                  <w:r>
                    <w:rPr>
                      <w:color w:val="auto"/>
                    </w:rPr>
                    <w:t>≤10</w:t>
                  </w:r>
                </w:p>
              </w:tc>
              <w:tc>
                <w:tcPr>
                  <w:tcW w:w="580" w:type="pct"/>
                  <w:tcBorders>
                    <w:tl2br w:val="nil"/>
                    <w:tr2bl w:val="nil"/>
                  </w:tcBorders>
                  <w:vAlign w:val="center"/>
                </w:tcPr>
                <w:p>
                  <w:pPr>
                    <w:pStyle w:val="36"/>
                    <w:rPr>
                      <w:color w:val="auto"/>
                    </w:rPr>
                  </w:pPr>
                  <w:r>
                    <w:rPr>
                      <w:color w:val="auto"/>
                    </w:rPr>
                    <w:t>≤5</w:t>
                  </w:r>
                </w:p>
              </w:tc>
              <w:tc>
                <w:tcPr>
                  <w:tcW w:w="580" w:type="pct"/>
                  <w:tcBorders>
                    <w:tl2br w:val="nil"/>
                    <w:tr2bl w:val="nil"/>
                  </w:tcBorders>
                  <w:vAlign w:val="center"/>
                </w:tcPr>
                <w:p>
                  <w:pPr>
                    <w:pStyle w:val="36"/>
                    <w:rPr>
                      <w:color w:val="auto"/>
                    </w:rPr>
                  </w:pPr>
                  <w:r>
                    <w:rPr>
                      <w:color w:val="auto"/>
                    </w:rPr>
                    <w:t>≤15</w:t>
                  </w:r>
                </w:p>
              </w:tc>
              <w:tc>
                <w:tcPr>
                  <w:tcW w:w="518" w:type="pct"/>
                  <w:tcBorders>
                    <w:tl2br w:val="nil"/>
                    <w:tr2bl w:val="nil"/>
                  </w:tcBorders>
                  <w:vAlign w:val="center"/>
                </w:tcPr>
                <w:p>
                  <w:pPr>
                    <w:pStyle w:val="36"/>
                    <w:rPr>
                      <w:color w:val="auto"/>
                    </w:rPr>
                  </w:pPr>
                  <w:r>
                    <w:rPr>
                      <w:color w:val="auto"/>
                    </w:rPr>
                    <w:t>≤</w:t>
                  </w:r>
                  <w:r>
                    <w:rPr>
                      <w:rFonts w:hint="eastAsia"/>
                      <w:color w:val="auto"/>
                    </w:rPr>
                    <w:t>0.5</w:t>
                  </w:r>
                </w:p>
              </w:tc>
            </w:tr>
          </w:tbl>
          <w:p>
            <w:pPr>
              <w:pStyle w:val="204"/>
              <w:rPr>
                <w:rFonts w:cs="Times New Roman"/>
                <w:color w:val="auto"/>
              </w:rPr>
            </w:pPr>
            <w:r>
              <w:rPr>
                <w:rFonts w:hint="eastAsia" w:cs="Times New Roman"/>
                <w:color w:val="auto"/>
              </w:rPr>
              <w:t>②管网衔接可行性分析</w:t>
            </w:r>
          </w:p>
          <w:p>
            <w:pPr>
              <w:pStyle w:val="38"/>
              <w:ind w:firstLine="480"/>
              <w:rPr>
                <w:color w:val="auto"/>
              </w:rPr>
            </w:pPr>
            <w:r>
              <w:rPr>
                <w:rFonts w:hint="eastAsia"/>
                <w:color w:val="auto"/>
              </w:rPr>
              <w:t>本项目位于</w:t>
            </w:r>
            <w:r>
              <w:rPr>
                <w:rFonts w:hint="eastAsia"/>
                <w:color w:val="auto"/>
                <w:lang w:eastAsia="zh-CN"/>
              </w:rPr>
              <w:t>福清融侨经济技术开发区洪宽工业村</w:t>
            </w:r>
            <w:r>
              <w:rPr>
                <w:rFonts w:hint="eastAsia"/>
                <w:color w:val="auto"/>
              </w:rPr>
              <w:t>（福清市阳下街道屿边村160号），周边市政污水管网已建成，项目外排废水接入洪宽三路污水管网，最终汇入福清融元污水处理厂</w:t>
            </w:r>
            <w:r>
              <w:rPr>
                <w:rFonts w:hint="eastAsia"/>
                <w:color w:val="auto"/>
                <w:lang w:eastAsia="zh-CN"/>
              </w:rPr>
              <w:t>（</w:t>
            </w:r>
            <w:r>
              <w:rPr>
                <w:rFonts w:hint="eastAsia"/>
                <w:color w:val="auto"/>
                <w:lang w:val="en-US" w:eastAsia="zh-CN"/>
              </w:rPr>
              <w:t>排水许可证，详见附件8）</w:t>
            </w:r>
            <w:r>
              <w:rPr>
                <w:rFonts w:hint="eastAsia"/>
                <w:color w:val="auto"/>
              </w:rPr>
              <w:t>。</w:t>
            </w:r>
          </w:p>
          <w:p>
            <w:pPr>
              <w:pStyle w:val="204"/>
              <w:rPr>
                <w:rFonts w:cs="Times New Roman"/>
                <w:color w:val="auto"/>
              </w:rPr>
            </w:pPr>
            <w:r>
              <w:rPr>
                <w:rFonts w:hint="eastAsia" w:cs="Times New Roman"/>
                <w:color w:val="auto"/>
              </w:rPr>
              <w:t>③处理能力可行性分析</w:t>
            </w:r>
          </w:p>
          <w:p>
            <w:pPr>
              <w:pStyle w:val="204"/>
              <w:rPr>
                <w:rFonts w:cs="Times New Roman"/>
                <w:color w:val="auto"/>
              </w:rPr>
            </w:pPr>
            <w:r>
              <w:rPr>
                <w:color w:val="auto"/>
              </w:rPr>
              <w:t>根据调查，目前福清</w:t>
            </w:r>
            <w:r>
              <w:rPr>
                <w:rFonts w:cs="Times New Roman"/>
                <w:color w:val="auto"/>
              </w:rPr>
              <w:t>市融元污水处理厂厂内提标及改造工程已经完成并正常使用，平均处理规模约为11.85万m³/d，剩余处理能力1500m³/d。</w:t>
            </w:r>
            <w:r>
              <w:rPr>
                <w:rFonts w:hint="eastAsia" w:cs="Times New Roman"/>
                <w:color w:val="auto"/>
              </w:rPr>
              <w:t>本</w:t>
            </w:r>
            <w:r>
              <w:rPr>
                <w:rFonts w:cs="Times New Roman"/>
                <w:color w:val="auto"/>
              </w:rPr>
              <w:t>项目生活污水排放量</w:t>
            </w:r>
            <w:r>
              <w:rPr>
                <w:rFonts w:hint="eastAsia" w:cs="Times New Roman"/>
                <w:color w:val="auto"/>
              </w:rPr>
              <w:t>2.35</w:t>
            </w:r>
            <w:r>
              <w:rPr>
                <w:rFonts w:cs="Times New Roman"/>
                <w:color w:val="auto"/>
              </w:rPr>
              <w:t>t/d，仅占福清市融元污水处理厂剩余处理规模的0.</w:t>
            </w:r>
            <w:r>
              <w:rPr>
                <w:rFonts w:hint="eastAsia" w:cs="Times New Roman"/>
                <w:color w:val="auto"/>
              </w:rPr>
              <w:t>16</w:t>
            </w:r>
            <w:r>
              <w:rPr>
                <w:rFonts w:cs="Times New Roman"/>
                <w:color w:val="auto"/>
              </w:rPr>
              <w:t>%。</w:t>
            </w:r>
          </w:p>
          <w:p>
            <w:pPr>
              <w:ind w:firstLine="480"/>
              <w:rPr>
                <w:rFonts w:cs="Times New Roman"/>
                <w:color w:val="auto"/>
              </w:rPr>
            </w:pPr>
            <w:r>
              <w:rPr>
                <w:rFonts w:hint="eastAsia" w:cs="Times New Roman"/>
                <w:color w:val="auto"/>
              </w:rPr>
              <w:t>④水质接入可行性分析</w:t>
            </w:r>
          </w:p>
          <w:p>
            <w:pPr>
              <w:ind w:firstLine="480"/>
              <w:rPr>
                <w:color w:val="auto"/>
              </w:rPr>
            </w:pPr>
            <w:r>
              <w:rPr>
                <w:color w:val="auto"/>
              </w:rPr>
              <w:t>生活污水污染因子浓度低，污染物成分简单，不含有腐蚀成分，污水的可生化性高，生活污水经过化粪池处理后出水水质可满足《污水综合排放标准》 GB8978- 1996 表 4 三级标准（其中氨氮执行《污水排入城镇下水道水质标准》（GB/T31962-2015）中 B级标准）</w:t>
            </w:r>
            <w:r>
              <w:rPr>
                <w:rFonts w:hint="eastAsia"/>
                <w:color w:val="auto"/>
                <w:lang w:eastAsia="zh-CN"/>
              </w:rPr>
              <w:t>且</w:t>
            </w:r>
            <w:r>
              <w:rPr>
                <w:color w:val="auto"/>
              </w:rPr>
              <w:t>不含有毒污染物成分，项目废水排放不会对</w:t>
            </w:r>
            <w:r>
              <w:rPr>
                <w:color w:val="auto"/>
                <w:szCs w:val="22"/>
              </w:rPr>
              <w:t>福清市融元污水处理厂</w:t>
            </w:r>
            <w:r>
              <w:rPr>
                <w:color w:val="auto"/>
              </w:rPr>
              <w:t>的处理工艺产生影响，可满足纳管水质要求。</w:t>
            </w:r>
          </w:p>
          <w:p>
            <w:pPr>
              <w:ind w:firstLine="480"/>
              <w:rPr>
                <w:color w:val="auto"/>
              </w:rPr>
            </w:pPr>
            <w:r>
              <w:rPr>
                <w:color w:val="auto"/>
              </w:rPr>
              <w:t>综上分析，项目排放的生活污水在福清</w:t>
            </w:r>
            <w:r>
              <w:rPr>
                <w:rFonts w:cs="Times New Roman"/>
                <w:color w:val="auto"/>
              </w:rPr>
              <w:t>市融元污水处理厂</w:t>
            </w:r>
            <w:r>
              <w:rPr>
                <w:color w:val="auto"/>
              </w:rPr>
              <w:t>服务范围内，从本项目建设与周边配套市政污水管网衔接性，污水处理厂对项目污水接纳可行性（水质、水量）等方面分析，本项目污水接入福清</w:t>
            </w:r>
            <w:r>
              <w:rPr>
                <w:rFonts w:cs="Times New Roman"/>
                <w:color w:val="auto"/>
              </w:rPr>
              <w:t>市融元污水处理厂</w:t>
            </w:r>
            <w:r>
              <w:rPr>
                <w:color w:val="auto"/>
              </w:rPr>
              <w:t>处理可行。</w:t>
            </w:r>
          </w:p>
          <w:p>
            <w:pPr>
              <w:pStyle w:val="38"/>
              <w:spacing w:line="240" w:lineRule="auto"/>
              <w:ind w:firstLine="0" w:firstLineChars="0"/>
              <w:rPr>
                <w:color w:val="auto"/>
              </w:rPr>
            </w:pPr>
          </w:p>
          <w:p>
            <w:pPr>
              <w:pStyle w:val="38"/>
              <w:ind w:firstLine="480"/>
              <w:rPr>
                <w:color w:val="auto"/>
              </w:rPr>
            </w:pPr>
          </w:p>
          <w:p>
            <w:pPr>
              <w:pStyle w:val="38"/>
              <w:ind w:firstLine="480"/>
              <w:rPr>
                <w:color w:val="auto"/>
              </w:rPr>
            </w:pPr>
          </w:p>
          <w:p>
            <w:pPr>
              <w:pStyle w:val="38"/>
              <w:ind w:firstLine="480"/>
              <w:rPr>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tc>
      </w:tr>
    </w:tbl>
    <w:p>
      <w:pPr>
        <w:pStyle w:val="59"/>
        <w:rPr>
          <w:rFonts w:cs="Times New Roman"/>
          <w:snapToGrid w:val="0"/>
          <w:color w:val="auto"/>
        </w:rPr>
        <w:sectPr>
          <w:pgSz w:w="11906" w:h="16838"/>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20" w:type="dxa"/>
          </w:tcPr>
          <w:p>
            <w:pPr>
              <w:pStyle w:val="56"/>
              <w:rPr>
                <w:rFonts w:cs="Times New Roman"/>
                <w:color w:val="auto"/>
              </w:rPr>
            </w:pPr>
            <w:bookmarkStart w:id="87" w:name="_Toc14054"/>
            <w:r>
              <w:rPr>
                <w:rFonts w:cs="Times New Roman"/>
                <w:color w:val="auto"/>
              </w:rPr>
              <w:t>4.2.3噪声</w:t>
            </w:r>
            <w:bookmarkEnd w:id="87"/>
          </w:p>
          <w:p>
            <w:pPr>
              <w:pStyle w:val="61"/>
              <w:rPr>
                <w:rFonts w:ascii="Times New Roman" w:hAnsi="Times New Roman" w:cs="Times New Roman"/>
                <w:color w:val="auto"/>
              </w:rPr>
            </w:pPr>
            <w:r>
              <w:rPr>
                <w:rFonts w:ascii="Times New Roman" w:hAnsi="Times New Roman" w:cs="Times New Roman"/>
                <w:color w:val="auto"/>
              </w:rPr>
              <w:t>4.2.3.1噪声源强</w:t>
            </w:r>
          </w:p>
          <w:p>
            <w:pPr>
              <w:ind w:firstLine="480"/>
              <w:rPr>
                <w:rFonts w:cs="Times New Roman"/>
                <w:color w:val="auto"/>
              </w:rPr>
            </w:pPr>
            <w:r>
              <w:rPr>
                <w:rFonts w:cs="Times New Roman"/>
                <w:color w:val="auto"/>
              </w:rPr>
              <w:t>项目的主要噪声为生产设备运行产生的机械噪声，根据同行业类比，设备噪声约为</w:t>
            </w:r>
            <w:r>
              <w:rPr>
                <w:rFonts w:hint="eastAsia" w:cs="Times New Roman"/>
                <w:color w:val="auto"/>
              </w:rPr>
              <w:t>80</w:t>
            </w:r>
            <w:r>
              <w:rPr>
                <w:rFonts w:cs="Times New Roman"/>
                <w:color w:val="auto"/>
              </w:rPr>
              <w:t>～</w:t>
            </w:r>
            <w:r>
              <w:rPr>
                <w:rFonts w:hint="eastAsia" w:cs="Times New Roman"/>
                <w:color w:val="auto"/>
              </w:rPr>
              <w:t>85</w:t>
            </w:r>
            <w:r>
              <w:rPr>
                <w:rFonts w:cs="Times New Roman"/>
                <w:color w:val="auto"/>
              </w:rPr>
              <w:t>dB（A），源强详见表4.2-</w:t>
            </w:r>
            <w:r>
              <w:rPr>
                <w:rFonts w:hint="eastAsia" w:cs="Times New Roman"/>
                <w:color w:val="auto"/>
                <w:lang w:val="en-US" w:eastAsia="zh-CN"/>
              </w:rPr>
              <w:t>10</w:t>
            </w:r>
            <w:r>
              <w:rPr>
                <w:rFonts w:hint="eastAsia" w:cs="Times New Roman"/>
                <w:color w:val="auto"/>
              </w:rPr>
              <w:t>~表4.2-</w:t>
            </w:r>
            <w:r>
              <w:rPr>
                <w:rFonts w:hint="eastAsia" w:cs="Times New Roman"/>
                <w:color w:val="auto"/>
                <w:lang w:val="en-US" w:eastAsia="zh-CN"/>
              </w:rPr>
              <w:t>11</w:t>
            </w:r>
            <w:r>
              <w:rPr>
                <w:rFonts w:cs="Times New Roman"/>
                <w:color w:val="auto"/>
              </w:rPr>
              <w:t>。</w:t>
            </w:r>
          </w:p>
          <w:p>
            <w:pPr>
              <w:pStyle w:val="37"/>
              <w:ind w:firstLine="480"/>
              <w:rPr>
                <w:rFonts w:cs="Times New Roman"/>
                <w:color w:val="auto"/>
              </w:rPr>
            </w:pPr>
            <w:r>
              <w:rPr>
                <w:rFonts w:cs="Times New Roman"/>
                <w:color w:val="auto"/>
              </w:rPr>
              <w:t>表4.2-</w:t>
            </w:r>
            <w:r>
              <w:rPr>
                <w:rFonts w:hint="eastAsia" w:cs="Times New Roman"/>
                <w:color w:val="auto"/>
                <w:lang w:val="en-US" w:eastAsia="zh-CN"/>
              </w:rPr>
              <w:t>10</w:t>
            </w:r>
            <w:r>
              <w:rPr>
                <w:rFonts w:hint="eastAsia" w:cs="Times New Roman"/>
                <w:color w:val="auto"/>
                <w:lang w:val="en-US"/>
              </w:rPr>
              <w:t xml:space="preserve"> </w:t>
            </w:r>
            <w:r>
              <w:rPr>
                <w:rFonts w:cs="Times New Roman"/>
                <w:color w:val="auto"/>
              </w:rPr>
              <w:t>工业企业噪声源强调查清单（室内声源）</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1"/>
              <w:gridCol w:w="436"/>
              <w:gridCol w:w="1298"/>
              <w:gridCol w:w="878"/>
              <w:gridCol w:w="676"/>
              <w:gridCol w:w="495"/>
              <w:gridCol w:w="495"/>
              <w:gridCol w:w="496"/>
              <w:gridCol w:w="449"/>
              <w:gridCol w:w="449"/>
              <w:gridCol w:w="449"/>
              <w:gridCol w:w="449"/>
              <w:gridCol w:w="449"/>
              <w:gridCol w:w="449"/>
              <w:gridCol w:w="449"/>
              <w:gridCol w:w="451"/>
              <w:gridCol w:w="758"/>
              <w:gridCol w:w="459"/>
              <w:gridCol w:w="459"/>
              <w:gridCol w:w="459"/>
              <w:gridCol w:w="460"/>
              <w:gridCol w:w="500"/>
              <w:gridCol w:w="554"/>
              <w:gridCol w:w="473"/>
              <w:gridCol w:w="500"/>
              <w:gridCol w:w="5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jc w:val="center"/>
              </w:trPr>
              <w:tc>
                <w:tcPr>
                  <w:tcW w:w="421" w:type="dxa"/>
                  <w:vMerge w:val="restart"/>
                  <w:vAlign w:val="center"/>
                </w:tcPr>
                <w:p>
                  <w:pPr>
                    <w:pStyle w:val="36"/>
                    <w:rPr>
                      <w:color w:val="auto"/>
                    </w:rPr>
                  </w:pPr>
                  <w:bookmarkStart w:id="88" w:name="PT_6"/>
                  <w:r>
                    <w:rPr>
                      <w:color w:val="auto"/>
                    </w:rPr>
                    <w:t>序号</w:t>
                  </w:r>
                </w:p>
              </w:tc>
              <w:tc>
                <w:tcPr>
                  <w:tcW w:w="436" w:type="dxa"/>
                  <w:vMerge w:val="restart"/>
                  <w:vAlign w:val="center"/>
                </w:tcPr>
                <w:p>
                  <w:pPr>
                    <w:pStyle w:val="36"/>
                    <w:rPr>
                      <w:color w:val="auto"/>
                    </w:rPr>
                  </w:pPr>
                  <w:r>
                    <w:rPr>
                      <w:color w:val="auto"/>
                    </w:rPr>
                    <w:t>建筑物名称</w:t>
                  </w:r>
                </w:p>
              </w:tc>
              <w:tc>
                <w:tcPr>
                  <w:tcW w:w="1298" w:type="dxa"/>
                  <w:vMerge w:val="restart"/>
                  <w:vAlign w:val="center"/>
                </w:tcPr>
                <w:p>
                  <w:pPr>
                    <w:pStyle w:val="36"/>
                    <w:rPr>
                      <w:color w:val="auto"/>
                    </w:rPr>
                  </w:pPr>
                  <w:r>
                    <w:rPr>
                      <w:color w:val="auto"/>
                    </w:rPr>
                    <w:t>声源名称</w:t>
                  </w:r>
                </w:p>
              </w:tc>
              <w:tc>
                <w:tcPr>
                  <w:tcW w:w="878" w:type="dxa"/>
                  <w:vAlign w:val="center"/>
                </w:tcPr>
                <w:p>
                  <w:pPr>
                    <w:pStyle w:val="36"/>
                    <w:rPr>
                      <w:color w:val="auto"/>
                    </w:rPr>
                  </w:pPr>
                  <w:r>
                    <w:rPr>
                      <w:color w:val="auto"/>
                    </w:rPr>
                    <w:t>声源源强</w:t>
                  </w:r>
                </w:p>
              </w:tc>
              <w:tc>
                <w:tcPr>
                  <w:tcW w:w="676" w:type="dxa"/>
                  <w:vMerge w:val="restart"/>
                  <w:vAlign w:val="center"/>
                </w:tcPr>
                <w:p>
                  <w:pPr>
                    <w:pStyle w:val="36"/>
                    <w:rPr>
                      <w:color w:val="auto"/>
                    </w:rPr>
                  </w:pPr>
                  <w:r>
                    <w:rPr>
                      <w:color w:val="auto"/>
                    </w:rPr>
                    <w:t>声源控制措施</w:t>
                  </w:r>
                </w:p>
              </w:tc>
              <w:tc>
                <w:tcPr>
                  <w:tcW w:w="1486" w:type="dxa"/>
                  <w:gridSpan w:val="3"/>
                  <w:vAlign w:val="center"/>
                </w:tcPr>
                <w:p>
                  <w:pPr>
                    <w:pStyle w:val="36"/>
                    <w:rPr>
                      <w:color w:val="auto"/>
                    </w:rPr>
                  </w:pPr>
                  <w:r>
                    <w:rPr>
                      <w:color w:val="auto"/>
                    </w:rPr>
                    <w:t>空间相对位置/m</w:t>
                  </w:r>
                </w:p>
              </w:tc>
              <w:tc>
                <w:tcPr>
                  <w:tcW w:w="1796" w:type="dxa"/>
                  <w:gridSpan w:val="4"/>
                  <w:vAlign w:val="center"/>
                </w:tcPr>
                <w:p>
                  <w:pPr>
                    <w:pStyle w:val="36"/>
                    <w:rPr>
                      <w:color w:val="auto"/>
                    </w:rPr>
                  </w:pPr>
                  <w:r>
                    <w:rPr>
                      <w:color w:val="auto"/>
                    </w:rPr>
                    <w:t>距室内边界距离/m</w:t>
                  </w:r>
                </w:p>
              </w:tc>
              <w:tc>
                <w:tcPr>
                  <w:tcW w:w="1798" w:type="dxa"/>
                  <w:gridSpan w:val="4"/>
                  <w:vAlign w:val="center"/>
                </w:tcPr>
                <w:p>
                  <w:pPr>
                    <w:pStyle w:val="36"/>
                    <w:rPr>
                      <w:color w:val="auto"/>
                    </w:rPr>
                  </w:pPr>
                  <w:r>
                    <w:rPr>
                      <w:color w:val="auto"/>
                    </w:rPr>
                    <w:t>室内边界声级/dB(A)</w:t>
                  </w:r>
                </w:p>
              </w:tc>
              <w:tc>
                <w:tcPr>
                  <w:tcW w:w="758" w:type="dxa"/>
                  <w:vMerge w:val="restart"/>
                  <w:vAlign w:val="center"/>
                </w:tcPr>
                <w:p>
                  <w:pPr>
                    <w:pStyle w:val="36"/>
                    <w:rPr>
                      <w:color w:val="auto"/>
                    </w:rPr>
                  </w:pPr>
                  <w:r>
                    <w:rPr>
                      <w:color w:val="auto"/>
                    </w:rPr>
                    <w:t>运行时段</w:t>
                  </w:r>
                </w:p>
              </w:tc>
              <w:tc>
                <w:tcPr>
                  <w:tcW w:w="1837" w:type="dxa"/>
                  <w:gridSpan w:val="4"/>
                  <w:vAlign w:val="center"/>
                </w:tcPr>
                <w:p>
                  <w:pPr>
                    <w:pStyle w:val="36"/>
                    <w:rPr>
                      <w:color w:val="auto"/>
                    </w:rPr>
                  </w:pPr>
                  <w:r>
                    <w:rPr>
                      <w:color w:val="auto"/>
                    </w:rPr>
                    <w:t>建筑物插入损失 / dB(A)</w:t>
                  </w:r>
                  <w:bookmarkStart w:id="89" w:name="PT_10"/>
                  <w:bookmarkEnd w:id="89"/>
                </w:p>
              </w:tc>
              <w:tc>
                <w:tcPr>
                  <w:tcW w:w="2610" w:type="dxa"/>
                  <w:gridSpan w:val="5"/>
                  <w:vAlign w:val="center"/>
                </w:tcPr>
                <w:p>
                  <w:pPr>
                    <w:pStyle w:val="36"/>
                    <w:rPr>
                      <w:color w:val="auto"/>
                    </w:rPr>
                  </w:pPr>
                  <w:r>
                    <w:rPr>
                      <w:color w:val="auto"/>
                    </w:rPr>
                    <w:t>建筑物外噪声声压级/dB(A)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4" w:hRule="atLeast"/>
                <w:jc w:val="center"/>
              </w:trPr>
              <w:tc>
                <w:tcPr>
                  <w:tcW w:w="421" w:type="dxa"/>
                  <w:vMerge w:val="continue"/>
                  <w:shd w:val="clear" w:color="auto" w:fill="FFFFFF"/>
                  <w:tcMar>
                    <w:top w:w="0" w:type="dxa"/>
                    <w:left w:w="0" w:type="dxa"/>
                    <w:bottom w:w="0" w:type="dxa"/>
                    <w:right w:w="0" w:type="dxa"/>
                  </w:tcMar>
                  <w:vAlign w:val="center"/>
                </w:tcPr>
                <w:p>
                  <w:pPr>
                    <w:pStyle w:val="36"/>
                    <w:rPr>
                      <w:color w:val="auto"/>
                    </w:rPr>
                  </w:pPr>
                </w:p>
              </w:tc>
              <w:tc>
                <w:tcPr>
                  <w:tcW w:w="436" w:type="dxa"/>
                  <w:vMerge w:val="continue"/>
                  <w:shd w:val="clear" w:color="auto" w:fill="FFFFFF"/>
                  <w:tcMar>
                    <w:top w:w="0" w:type="dxa"/>
                    <w:left w:w="0" w:type="dxa"/>
                    <w:bottom w:w="0" w:type="dxa"/>
                    <w:right w:w="0" w:type="dxa"/>
                  </w:tcMar>
                  <w:vAlign w:val="center"/>
                </w:tcPr>
                <w:p>
                  <w:pPr>
                    <w:pStyle w:val="36"/>
                    <w:rPr>
                      <w:color w:val="auto"/>
                    </w:rPr>
                  </w:pPr>
                </w:p>
              </w:tc>
              <w:tc>
                <w:tcPr>
                  <w:tcW w:w="1298" w:type="dxa"/>
                  <w:vMerge w:val="continue"/>
                  <w:shd w:val="clear" w:color="auto" w:fill="FFFFFF"/>
                  <w:tcMar>
                    <w:top w:w="0" w:type="dxa"/>
                    <w:left w:w="0" w:type="dxa"/>
                    <w:bottom w:w="0" w:type="dxa"/>
                    <w:right w:w="0" w:type="dxa"/>
                  </w:tcMar>
                  <w:vAlign w:val="center"/>
                </w:tcPr>
                <w:p>
                  <w:pPr>
                    <w:pStyle w:val="36"/>
                    <w:rPr>
                      <w:color w:val="auto"/>
                    </w:rPr>
                  </w:pPr>
                </w:p>
              </w:tc>
              <w:tc>
                <w:tcPr>
                  <w:tcW w:w="878" w:type="dxa"/>
                  <w:shd w:val="clear" w:color="auto" w:fill="FFFFFF"/>
                  <w:tcMar>
                    <w:top w:w="0" w:type="dxa"/>
                    <w:left w:w="0" w:type="dxa"/>
                    <w:bottom w:w="0" w:type="dxa"/>
                    <w:right w:w="0" w:type="dxa"/>
                  </w:tcMar>
                  <w:vAlign w:val="center"/>
                </w:tcPr>
                <w:p>
                  <w:pPr>
                    <w:pStyle w:val="36"/>
                    <w:rPr>
                      <w:color w:val="auto"/>
                    </w:rPr>
                  </w:pPr>
                  <w:r>
                    <w:rPr>
                      <w:color w:val="auto"/>
                    </w:rPr>
                    <w:t>声功率级/dB(A)</w:t>
                  </w:r>
                </w:p>
              </w:tc>
              <w:tc>
                <w:tcPr>
                  <w:tcW w:w="676" w:type="dxa"/>
                  <w:vMerge w:val="continue"/>
                  <w:shd w:val="clear" w:color="auto" w:fill="FFFFFF"/>
                  <w:tcMar>
                    <w:top w:w="0" w:type="dxa"/>
                    <w:left w:w="0" w:type="dxa"/>
                    <w:bottom w:w="0" w:type="dxa"/>
                    <w:right w:w="0" w:type="dxa"/>
                  </w:tcMar>
                  <w:vAlign w:val="center"/>
                </w:tcPr>
                <w:p>
                  <w:pPr>
                    <w:pStyle w:val="36"/>
                    <w:rPr>
                      <w:color w:val="auto"/>
                    </w:rPr>
                  </w:pPr>
                </w:p>
              </w:tc>
              <w:tc>
                <w:tcPr>
                  <w:tcW w:w="495" w:type="dxa"/>
                  <w:shd w:val="clear" w:color="auto" w:fill="FFFFFF"/>
                  <w:tcMar>
                    <w:top w:w="0" w:type="dxa"/>
                    <w:left w:w="0" w:type="dxa"/>
                    <w:bottom w:w="0" w:type="dxa"/>
                    <w:right w:w="0" w:type="dxa"/>
                  </w:tcMar>
                  <w:vAlign w:val="center"/>
                </w:tcPr>
                <w:p>
                  <w:pPr>
                    <w:pStyle w:val="36"/>
                    <w:rPr>
                      <w:color w:val="auto"/>
                    </w:rPr>
                  </w:pPr>
                  <w:r>
                    <w:rPr>
                      <w:color w:val="auto"/>
                    </w:rPr>
                    <w:t>X</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Y</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Z</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东</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南</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西</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北</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东</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南</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西</w:t>
                  </w:r>
                </w:p>
              </w:tc>
              <w:tc>
                <w:tcPr>
                  <w:tcW w:w="451" w:type="dxa"/>
                  <w:shd w:val="clear" w:color="auto" w:fill="FFFFFF"/>
                  <w:tcMar>
                    <w:top w:w="0" w:type="dxa"/>
                    <w:left w:w="0" w:type="dxa"/>
                    <w:bottom w:w="0" w:type="dxa"/>
                    <w:right w:w="0" w:type="dxa"/>
                  </w:tcMar>
                  <w:vAlign w:val="center"/>
                </w:tcPr>
                <w:p>
                  <w:pPr>
                    <w:pStyle w:val="36"/>
                    <w:rPr>
                      <w:color w:val="auto"/>
                    </w:rPr>
                  </w:pPr>
                  <w:r>
                    <w:rPr>
                      <w:rFonts w:hint="eastAsia"/>
                      <w:color w:val="auto"/>
                    </w:rPr>
                    <w:t>北</w:t>
                  </w:r>
                </w:p>
              </w:tc>
              <w:tc>
                <w:tcPr>
                  <w:tcW w:w="758" w:type="dxa"/>
                  <w:vMerge w:val="continue"/>
                  <w:shd w:val="clear" w:color="auto" w:fill="FFFFFF"/>
                  <w:tcMar>
                    <w:top w:w="0" w:type="dxa"/>
                    <w:left w:w="0" w:type="dxa"/>
                    <w:bottom w:w="0" w:type="dxa"/>
                    <w:right w:w="0" w:type="dxa"/>
                  </w:tcMar>
                  <w:vAlign w:val="center"/>
                </w:tcPr>
                <w:p>
                  <w:pPr>
                    <w:pStyle w:val="36"/>
                    <w:rPr>
                      <w:color w:val="auto"/>
                    </w:rPr>
                  </w:pPr>
                </w:p>
              </w:tc>
              <w:tc>
                <w:tcPr>
                  <w:tcW w:w="459" w:type="dxa"/>
                  <w:shd w:val="clear" w:color="auto" w:fill="FFFFFF"/>
                  <w:tcMar>
                    <w:top w:w="0" w:type="dxa"/>
                    <w:left w:w="0" w:type="dxa"/>
                    <w:bottom w:w="0" w:type="dxa"/>
                    <w:right w:w="0" w:type="dxa"/>
                  </w:tcMar>
                  <w:vAlign w:val="center"/>
                </w:tcPr>
                <w:p>
                  <w:pPr>
                    <w:pStyle w:val="36"/>
                    <w:rPr>
                      <w:color w:val="auto"/>
                    </w:rPr>
                  </w:pPr>
                  <w:r>
                    <w:rPr>
                      <w:rFonts w:hint="eastAsia"/>
                      <w:color w:val="auto"/>
                    </w:rPr>
                    <w:t>东</w:t>
                  </w:r>
                </w:p>
              </w:tc>
              <w:tc>
                <w:tcPr>
                  <w:tcW w:w="459" w:type="dxa"/>
                  <w:shd w:val="clear" w:color="auto" w:fill="FFFFFF"/>
                  <w:tcMar>
                    <w:top w:w="0" w:type="dxa"/>
                    <w:left w:w="0" w:type="dxa"/>
                    <w:bottom w:w="0" w:type="dxa"/>
                    <w:right w:w="0" w:type="dxa"/>
                  </w:tcMar>
                  <w:vAlign w:val="center"/>
                </w:tcPr>
                <w:p>
                  <w:pPr>
                    <w:pStyle w:val="36"/>
                    <w:rPr>
                      <w:color w:val="auto"/>
                    </w:rPr>
                  </w:pPr>
                  <w:r>
                    <w:rPr>
                      <w:rFonts w:hint="eastAsia"/>
                      <w:color w:val="auto"/>
                    </w:rPr>
                    <w:t>南</w:t>
                  </w:r>
                </w:p>
              </w:tc>
              <w:tc>
                <w:tcPr>
                  <w:tcW w:w="459" w:type="dxa"/>
                  <w:shd w:val="clear" w:color="auto" w:fill="FFFFFF"/>
                  <w:tcMar>
                    <w:top w:w="0" w:type="dxa"/>
                    <w:left w:w="0" w:type="dxa"/>
                    <w:bottom w:w="0" w:type="dxa"/>
                    <w:right w:w="0" w:type="dxa"/>
                  </w:tcMar>
                  <w:vAlign w:val="center"/>
                </w:tcPr>
                <w:p>
                  <w:pPr>
                    <w:pStyle w:val="36"/>
                    <w:rPr>
                      <w:color w:val="auto"/>
                    </w:rPr>
                  </w:pPr>
                  <w:r>
                    <w:rPr>
                      <w:rFonts w:hint="eastAsia"/>
                      <w:color w:val="auto"/>
                    </w:rPr>
                    <w:t>西</w:t>
                  </w:r>
                </w:p>
              </w:tc>
              <w:tc>
                <w:tcPr>
                  <w:tcW w:w="460" w:type="dxa"/>
                  <w:shd w:val="clear" w:color="auto" w:fill="FFFFFF"/>
                  <w:tcMar>
                    <w:top w:w="0" w:type="dxa"/>
                    <w:left w:w="0" w:type="dxa"/>
                    <w:bottom w:w="0" w:type="dxa"/>
                    <w:right w:w="0" w:type="dxa"/>
                  </w:tcMar>
                  <w:vAlign w:val="center"/>
                </w:tcPr>
                <w:p>
                  <w:pPr>
                    <w:pStyle w:val="36"/>
                    <w:rPr>
                      <w:color w:val="auto"/>
                    </w:rPr>
                  </w:pPr>
                  <w:r>
                    <w:rPr>
                      <w:rFonts w:hint="eastAsia"/>
                      <w:color w:val="auto"/>
                    </w:rPr>
                    <w:t>北</w:t>
                  </w:r>
                </w:p>
              </w:tc>
              <w:tc>
                <w:tcPr>
                  <w:tcW w:w="500" w:type="dxa"/>
                  <w:shd w:val="clear" w:color="auto" w:fill="FFFFFF"/>
                  <w:tcMar>
                    <w:top w:w="0" w:type="dxa"/>
                    <w:left w:w="0" w:type="dxa"/>
                    <w:bottom w:w="0" w:type="dxa"/>
                    <w:right w:w="0" w:type="dxa"/>
                  </w:tcMar>
                  <w:vAlign w:val="center"/>
                </w:tcPr>
                <w:p>
                  <w:pPr>
                    <w:pStyle w:val="36"/>
                    <w:rPr>
                      <w:color w:val="auto"/>
                    </w:rPr>
                  </w:pPr>
                  <w:r>
                    <w:rPr>
                      <w:rFonts w:hint="eastAsia"/>
                      <w:color w:val="auto"/>
                    </w:rPr>
                    <w:t>东</w:t>
                  </w:r>
                </w:p>
              </w:tc>
              <w:tc>
                <w:tcPr>
                  <w:tcW w:w="554" w:type="dxa"/>
                  <w:shd w:val="clear" w:color="auto" w:fill="FFFFFF"/>
                  <w:tcMar>
                    <w:top w:w="0" w:type="dxa"/>
                    <w:left w:w="0" w:type="dxa"/>
                    <w:bottom w:w="0" w:type="dxa"/>
                    <w:right w:w="0" w:type="dxa"/>
                  </w:tcMar>
                  <w:vAlign w:val="center"/>
                </w:tcPr>
                <w:p>
                  <w:pPr>
                    <w:pStyle w:val="36"/>
                    <w:rPr>
                      <w:color w:val="auto"/>
                    </w:rPr>
                  </w:pPr>
                  <w:r>
                    <w:rPr>
                      <w:rFonts w:hint="eastAsia"/>
                      <w:color w:val="auto"/>
                    </w:rPr>
                    <w:t>南</w:t>
                  </w:r>
                </w:p>
              </w:tc>
              <w:tc>
                <w:tcPr>
                  <w:tcW w:w="473" w:type="dxa"/>
                  <w:shd w:val="clear" w:color="auto" w:fill="FFFFFF"/>
                  <w:tcMar>
                    <w:top w:w="0" w:type="dxa"/>
                    <w:left w:w="0" w:type="dxa"/>
                    <w:bottom w:w="0" w:type="dxa"/>
                    <w:right w:w="0" w:type="dxa"/>
                  </w:tcMar>
                  <w:vAlign w:val="center"/>
                </w:tcPr>
                <w:p>
                  <w:pPr>
                    <w:pStyle w:val="36"/>
                    <w:rPr>
                      <w:color w:val="auto"/>
                    </w:rPr>
                  </w:pPr>
                  <w:r>
                    <w:rPr>
                      <w:rFonts w:hint="eastAsia"/>
                      <w:color w:val="auto"/>
                    </w:rPr>
                    <w:t>西</w:t>
                  </w:r>
                </w:p>
              </w:tc>
              <w:tc>
                <w:tcPr>
                  <w:tcW w:w="500" w:type="dxa"/>
                  <w:shd w:val="clear" w:color="auto" w:fill="FFFFFF"/>
                  <w:tcMar>
                    <w:top w:w="0" w:type="dxa"/>
                    <w:left w:w="0" w:type="dxa"/>
                    <w:bottom w:w="0" w:type="dxa"/>
                    <w:right w:w="0" w:type="dxa"/>
                  </w:tcMar>
                  <w:vAlign w:val="center"/>
                </w:tcPr>
                <w:p>
                  <w:pPr>
                    <w:pStyle w:val="36"/>
                    <w:rPr>
                      <w:color w:val="auto"/>
                    </w:rPr>
                  </w:pPr>
                  <w:r>
                    <w:rPr>
                      <w:rFonts w:hint="eastAsia"/>
                      <w:color w:val="auto"/>
                    </w:rPr>
                    <w:t>北</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建筑物外距离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color w:val="auto"/>
                    </w:rPr>
                    <w:t>1</w:t>
                  </w:r>
                </w:p>
              </w:tc>
              <w:tc>
                <w:tcPr>
                  <w:tcW w:w="436" w:type="dxa"/>
                  <w:vMerge w:val="restart"/>
                  <w:shd w:val="clear" w:color="auto" w:fill="FFFFFF"/>
                  <w:tcMar>
                    <w:top w:w="0" w:type="dxa"/>
                    <w:left w:w="0" w:type="dxa"/>
                    <w:bottom w:w="0" w:type="dxa"/>
                    <w:right w:w="0" w:type="dxa"/>
                  </w:tcMar>
                  <w:vAlign w:val="center"/>
                </w:tcPr>
                <w:p>
                  <w:pPr>
                    <w:pStyle w:val="36"/>
                    <w:rPr>
                      <w:color w:val="auto"/>
                    </w:rPr>
                  </w:pPr>
                  <w:r>
                    <w:rPr>
                      <w:color w:val="auto"/>
                    </w:rPr>
                    <w:t>1#</w:t>
                  </w:r>
                </w:p>
                <w:p>
                  <w:pPr>
                    <w:pStyle w:val="36"/>
                    <w:rPr>
                      <w:color w:val="auto"/>
                    </w:rPr>
                  </w:pPr>
                  <w:r>
                    <w:rPr>
                      <w:color w:val="auto"/>
                    </w:rPr>
                    <w:t>厂</w:t>
                  </w:r>
                </w:p>
                <w:p>
                  <w:pPr>
                    <w:pStyle w:val="36"/>
                    <w:rPr>
                      <w:color w:val="auto"/>
                    </w:rPr>
                  </w:pPr>
                  <w:r>
                    <w:rPr>
                      <w:color w:val="auto"/>
                    </w:rPr>
                    <w:t>房</w:t>
                  </w: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大拉机</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80</w:t>
                  </w:r>
                </w:p>
              </w:tc>
              <w:tc>
                <w:tcPr>
                  <w:tcW w:w="676" w:type="dxa"/>
                  <w:vMerge w:val="restart"/>
                  <w:shd w:val="clear" w:color="auto" w:fill="FFFFFF"/>
                  <w:tcMar>
                    <w:top w:w="0" w:type="dxa"/>
                    <w:left w:w="0" w:type="dxa"/>
                    <w:bottom w:w="0" w:type="dxa"/>
                    <w:right w:w="0" w:type="dxa"/>
                  </w:tcMar>
                  <w:vAlign w:val="center"/>
                </w:tcPr>
                <w:p>
                  <w:pPr>
                    <w:pStyle w:val="36"/>
                    <w:rPr>
                      <w:color w:val="auto"/>
                    </w:rPr>
                  </w:pPr>
                  <w:r>
                    <w:rPr>
                      <w:rFonts w:hint="eastAsia"/>
                      <w:color w:val="auto"/>
                    </w:rPr>
                    <w:t>厂房隔声、基础减振</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29.3</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26.9</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27.8</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64.9</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26.5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6.6</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60.5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60.4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60.5</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61.1</w:t>
                  </w:r>
                </w:p>
              </w:tc>
              <w:tc>
                <w:tcPr>
                  <w:tcW w:w="758" w:type="dxa"/>
                  <w:vMerge w:val="restart"/>
                  <w:shd w:val="clear" w:color="auto" w:fill="FFFFFF"/>
                  <w:tcMar>
                    <w:top w:w="0" w:type="dxa"/>
                    <w:left w:w="0" w:type="dxa"/>
                    <w:bottom w:w="0" w:type="dxa"/>
                    <w:right w:w="0" w:type="dxa"/>
                  </w:tcMar>
                  <w:vAlign w:val="center"/>
                </w:tcPr>
                <w:p>
                  <w:pPr>
                    <w:pStyle w:val="36"/>
                    <w:rPr>
                      <w:color w:val="auto"/>
                    </w:rPr>
                  </w:pPr>
                  <w:r>
                    <w:rPr>
                      <w:rFonts w:hint="eastAsia"/>
                      <w:color w:val="auto"/>
                    </w:rPr>
                    <w:t>00:00~2</w:t>
                  </w:r>
                  <w:r>
                    <w:rPr>
                      <w:rFonts w:hint="eastAsia"/>
                      <w:color w:val="auto"/>
                      <w:lang w:val="en-US" w:eastAsia="zh-CN"/>
                    </w:rPr>
                    <w:t>4</w:t>
                  </w:r>
                  <w:r>
                    <w:rPr>
                      <w:rFonts w:hint="eastAsia"/>
                      <w:color w:val="auto"/>
                    </w:rPr>
                    <w:t>:00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34.5</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34.4</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34.5</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35.1</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color w:val="auto"/>
                    </w:rPr>
                    <w:t>2</w:t>
                  </w:r>
                </w:p>
              </w:tc>
              <w:tc>
                <w:tcPr>
                  <w:tcW w:w="436" w:type="dxa"/>
                  <w:vMerge w:val="continue"/>
                  <w:shd w:val="clear" w:color="auto" w:fill="FFFFFF"/>
                  <w:tcMar>
                    <w:top w:w="0" w:type="dxa"/>
                    <w:left w:w="0" w:type="dxa"/>
                    <w:bottom w:w="0" w:type="dxa"/>
                    <w:right w:w="0" w:type="dxa"/>
                  </w:tcMar>
                  <w:vAlign w:val="center"/>
                </w:tcPr>
                <w:p>
                  <w:pPr>
                    <w:pStyle w:val="36"/>
                    <w:rPr>
                      <w:color w:val="auto"/>
                    </w:rPr>
                  </w:pP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中拉机,2台（按点声源组预测）</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80（等效后：83.0)</w:t>
                  </w:r>
                </w:p>
              </w:tc>
              <w:tc>
                <w:tcPr>
                  <w:tcW w:w="676" w:type="dxa"/>
                  <w:vMerge w:val="continue"/>
                  <w:shd w:val="clear" w:color="auto" w:fill="FFFFFF"/>
                  <w:tcMar>
                    <w:top w:w="0" w:type="dxa"/>
                    <w:left w:w="0" w:type="dxa"/>
                    <w:bottom w:w="0" w:type="dxa"/>
                    <w:right w:w="0" w:type="dxa"/>
                  </w:tcMar>
                  <w:vAlign w:val="center"/>
                </w:tcPr>
                <w:p>
                  <w:pPr>
                    <w:pStyle w:val="36"/>
                    <w:rPr>
                      <w:color w:val="auto"/>
                    </w:rPr>
                  </w:pPr>
                </w:p>
              </w:tc>
              <w:tc>
                <w:tcPr>
                  <w:tcW w:w="495" w:type="dxa"/>
                  <w:shd w:val="clear" w:color="auto" w:fill="FFFFFF"/>
                  <w:tcMar>
                    <w:top w:w="0" w:type="dxa"/>
                    <w:left w:w="0" w:type="dxa"/>
                    <w:bottom w:w="0" w:type="dxa"/>
                    <w:right w:w="0" w:type="dxa"/>
                  </w:tcMar>
                  <w:vAlign w:val="center"/>
                </w:tcPr>
                <w:p>
                  <w:pPr>
                    <w:pStyle w:val="36"/>
                    <w:rPr>
                      <w:color w:val="auto"/>
                    </w:rPr>
                  </w:pPr>
                  <w:r>
                    <w:rPr>
                      <w:color w:val="auto"/>
                    </w:rPr>
                    <w:t>26.8</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17.3</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25.4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55.2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29.0</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16.3</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63.5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63.4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63.5</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63.5</w:t>
                  </w:r>
                </w:p>
              </w:tc>
              <w:tc>
                <w:tcPr>
                  <w:tcW w:w="758" w:type="dxa"/>
                  <w:vMerge w:val="continue"/>
                  <w:shd w:val="clear" w:color="auto" w:fill="FFFFFF"/>
                  <w:tcMar>
                    <w:top w:w="0" w:type="dxa"/>
                    <w:left w:w="0" w:type="dxa"/>
                    <w:bottom w:w="0" w:type="dxa"/>
                    <w:right w:w="0" w:type="dxa"/>
                  </w:tcMar>
                  <w:vAlign w:val="center"/>
                </w:tcPr>
                <w:p>
                  <w:pPr>
                    <w:pStyle w:val="36"/>
                    <w:rPr>
                      <w:color w:val="auto"/>
                    </w:rPr>
                  </w:pP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37.5</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37.4</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37.5</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37.5</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color w:val="auto"/>
                    </w:rPr>
                    <w:t>3</w:t>
                  </w:r>
                </w:p>
              </w:tc>
              <w:tc>
                <w:tcPr>
                  <w:tcW w:w="436" w:type="dxa"/>
                  <w:vMerge w:val="continue"/>
                  <w:shd w:val="clear" w:color="auto" w:fill="FFFFFF"/>
                  <w:tcMar>
                    <w:top w:w="0" w:type="dxa"/>
                    <w:left w:w="0" w:type="dxa"/>
                    <w:bottom w:w="0" w:type="dxa"/>
                    <w:right w:w="0" w:type="dxa"/>
                  </w:tcMar>
                  <w:vAlign w:val="center"/>
                </w:tcPr>
                <w:p>
                  <w:pPr>
                    <w:pStyle w:val="36"/>
                    <w:rPr>
                      <w:color w:val="auto"/>
                    </w:rPr>
                  </w:pP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小拉机,2台（按点声源组预测）</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80（等效后：83.0)</w:t>
                  </w:r>
                </w:p>
              </w:tc>
              <w:tc>
                <w:tcPr>
                  <w:tcW w:w="676" w:type="dxa"/>
                  <w:vMerge w:val="continue"/>
                  <w:shd w:val="clear" w:color="auto" w:fill="FFFFFF"/>
                  <w:tcMar>
                    <w:top w:w="0" w:type="dxa"/>
                    <w:left w:w="0" w:type="dxa"/>
                    <w:bottom w:w="0" w:type="dxa"/>
                    <w:right w:w="0" w:type="dxa"/>
                  </w:tcMar>
                  <w:vAlign w:val="center"/>
                </w:tcPr>
                <w:p>
                  <w:pPr>
                    <w:pStyle w:val="36"/>
                    <w:rPr>
                      <w:color w:val="auto"/>
                    </w:rPr>
                  </w:pPr>
                </w:p>
              </w:tc>
              <w:tc>
                <w:tcPr>
                  <w:tcW w:w="495" w:type="dxa"/>
                  <w:shd w:val="clear" w:color="auto" w:fill="FFFFFF"/>
                  <w:tcMar>
                    <w:top w:w="0" w:type="dxa"/>
                    <w:left w:w="0" w:type="dxa"/>
                    <w:bottom w:w="0" w:type="dxa"/>
                    <w:right w:w="0" w:type="dxa"/>
                  </w:tcMar>
                  <w:vAlign w:val="center"/>
                </w:tcPr>
                <w:p>
                  <w:pPr>
                    <w:pStyle w:val="36"/>
                    <w:rPr>
                      <w:color w:val="auto"/>
                    </w:rPr>
                  </w:pPr>
                  <w:r>
                    <w:rPr>
                      <w:color w:val="auto"/>
                    </w:rPr>
                    <w:t>18.8</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2.6</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25.5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38.4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29.1</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33.0</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63.5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63.5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63.5</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63.5</w:t>
                  </w:r>
                </w:p>
              </w:tc>
              <w:tc>
                <w:tcPr>
                  <w:tcW w:w="758" w:type="dxa"/>
                  <w:vMerge w:val="continue"/>
                  <w:shd w:val="clear" w:color="auto" w:fill="FFFFFF"/>
                  <w:tcMar>
                    <w:top w:w="0" w:type="dxa"/>
                    <w:left w:w="0" w:type="dxa"/>
                    <w:bottom w:w="0" w:type="dxa"/>
                    <w:right w:w="0" w:type="dxa"/>
                  </w:tcMar>
                  <w:vAlign w:val="center"/>
                </w:tcPr>
                <w:p>
                  <w:pPr>
                    <w:pStyle w:val="36"/>
                    <w:rPr>
                      <w:color w:val="auto"/>
                    </w:rPr>
                  </w:pP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37.5</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37.5</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37.5</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37.5</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color w:val="auto"/>
                    </w:rPr>
                    <w:t>4</w:t>
                  </w:r>
                </w:p>
              </w:tc>
              <w:tc>
                <w:tcPr>
                  <w:tcW w:w="436" w:type="dxa"/>
                  <w:vMerge w:val="continue"/>
                  <w:shd w:val="clear" w:color="auto" w:fill="FFFFFF"/>
                  <w:tcMar>
                    <w:top w:w="0" w:type="dxa"/>
                    <w:left w:w="0" w:type="dxa"/>
                    <w:bottom w:w="0" w:type="dxa"/>
                    <w:right w:w="0" w:type="dxa"/>
                  </w:tcMar>
                  <w:vAlign w:val="center"/>
                </w:tcPr>
                <w:p>
                  <w:pPr>
                    <w:pStyle w:val="36"/>
                    <w:rPr>
                      <w:color w:val="auto"/>
                    </w:rPr>
                  </w:pP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退火炉,2台（按点声源组预测）</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80（等效后：83.0)</w:t>
                  </w:r>
                </w:p>
              </w:tc>
              <w:tc>
                <w:tcPr>
                  <w:tcW w:w="676" w:type="dxa"/>
                  <w:vMerge w:val="continue"/>
                  <w:shd w:val="clear" w:color="auto" w:fill="FFFFFF"/>
                  <w:tcMar>
                    <w:top w:w="0" w:type="dxa"/>
                    <w:left w:w="0" w:type="dxa"/>
                    <w:bottom w:w="0" w:type="dxa"/>
                    <w:right w:w="0" w:type="dxa"/>
                  </w:tcMar>
                  <w:vAlign w:val="center"/>
                </w:tcPr>
                <w:p>
                  <w:pPr>
                    <w:pStyle w:val="36"/>
                    <w:rPr>
                      <w:color w:val="auto"/>
                    </w:rPr>
                  </w:pPr>
                </w:p>
              </w:tc>
              <w:tc>
                <w:tcPr>
                  <w:tcW w:w="495" w:type="dxa"/>
                  <w:shd w:val="clear" w:color="auto" w:fill="FFFFFF"/>
                  <w:tcMar>
                    <w:top w:w="0" w:type="dxa"/>
                    <w:left w:w="0" w:type="dxa"/>
                    <w:bottom w:w="0" w:type="dxa"/>
                    <w:right w:w="0" w:type="dxa"/>
                  </w:tcMar>
                  <w:vAlign w:val="center"/>
                </w:tcPr>
                <w:p>
                  <w:pPr>
                    <w:pStyle w:val="36"/>
                    <w:rPr>
                      <w:color w:val="auto"/>
                    </w:rPr>
                  </w:pPr>
                  <w:r>
                    <w:rPr>
                      <w:color w:val="auto"/>
                    </w:rPr>
                    <w:t>11.8</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-14.4</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23.5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20.1</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51.3</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63.5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63.5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63.5</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63.4</w:t>
                  </w:r>
                </w:p>
              </w:tc>
              <w:tc>
                <w:tcPr>
                  <w:tcW w:w="758" w:type="dxa"/>
                  <w:vMerge w:val="continue"/>
                  <w:shd w:val="clear" w:color="auto" w:fill="FFFFFF"/>
                  <w:tcMar>
                    <w:top w:w="0" w:type="dxa"/>
                    <w:left w:w="0" w:type="dxa"/>
                    <w:bottom w:w="0" w:type="dxa"/>
                    <w:right w:w="0" w:type="dxa"/>
                  </w:tcMar>
                  <w:vAlign w:val="center"/>
                </w:tcPr>
                <w:p>
                  <w:pPr>
                    <w:pStyle w:val="36"/>
                    <w:rPr>
                      <w:color w:val="auto"/>
                    </w:rPr>
                  </w:pP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37.5</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37.5</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37.5</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37.4</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rFonts w:hint="eastAsia"/>
                      <w:color w:val="auto"/>
                    </w:rPr>
                    <w:t>5</w:t>
                  </w:r>
                </w:p>
              </w:tc>
              <w:tc>
                <w:tcPr>
                  <w:tcW w:w="436" w:type="dxa"/>
                  <w:vMerge w:val="restart"/>
                  <w:shd w:val="clear" w:color="auto" w:fill="FFFFFF"/>
                  <w:tcMar>
                    <w:top w:w="0" w:type="dxa"/>
                    <w:left w:w="0" w:type="dxa"/>
                    <w:bottom w:w="0" w:type="dxa"/>
                    <w:right w:w="0" w:type="dxa"/>
                  </w:tcMar>
                  <w:vAlign w:val="center"/>
                </w:tcPr>
                <w:p>
                  <w:pPr>
                    <w:pStyle w:val="36"/>
                    <w:rPr>
                      <w:color w:val="auto"/>
                    </w:rPr>
                  </w:pPr>
                  <w:r>
                    <w:rPr>
                      <w:color w:val="auto"/>
                    </w:rPr>
                    <w:t>3#</w:t>
                  </w:r>
                </w:p>
                <w:p>
                  <w:pPr>
                    <w:pStyle w:val="36"/>
                    <w:rPr>
                      <w:color w:val="auto"/>
                    </w:rPr>
                  </w:pPr>
                  <w:r>
                    <w:rPr>
                      <w:color w:val="auto"/>
                    </w:rPr>
                    <w:t>厂</w:t>
                  </w:r>
                </w:p>
                <w:p>
                  <w:pPr>
                    <w:pStyle w:val="36"/>
                    <w:rPr>
                      <w:color w:val="auto"/>
                    </w:rPr>
                  </w:pPr>
                  <w:r>
                    <w:rPr>
                      <w:color w:val="auto"/>
                    </w:rPr>
                    <w:t>房</w:t>
                  </w: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拉拔矫直一体机,2台（按点声源组预测）</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80（等效后：83.0)</w:t>
                  </w:r>
                </w:p>
              </w:tc>
              <w:tc>
                <w:tcPr>
                  <w:tcW w:w="676" w:type="dxa"/>
                  <w:vMerge w:val="restart"/>
                  <w:shd w:val="clear" w:color="auto" w:fill="FFFFFF"/>
                  <w:tcMar>
                    <w:top w:w="0" w:type="dxa"/>
                    <w:left w:w="0" w:type="dxa"/>
                    <w:bottom w:w="0" w:type="dxa"/>
                    <w:right w:w="0" w:type="dxa"/>
                  </w:tcMar>
                  <w:vAlign w:val="center"/>
                </w:tcPr>
                <w:p>
                  <w:pPr>
                    <w:pStyle w:val="36"/>
                    <w:rPr>
                      <w:color w:val="auto"/>
                    </w:rPr>
                  </w:pPr>
                  <w:r>
                    <w:rPr>
                      <w:rFonts w:hint="eastAsia"/>
                      <w:color w:val="auto"/>
                    </w:rPr>
                    <w:t>厂房隔声、基础减振</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37.4</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81.3</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100.4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26.8</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30.8</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45.5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63.4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63.5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63.5</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63.4</w:t>
                  </w:r>
                </w:p>
              </w:tc>
              <w:tc>
                <w:tcPr>
                  <w:tcW w:w="758" w:type="dxa"/>
                  <w:vMerge w:val="restart"/>
                  <w:shd w:val="clear" w:color="auto" w:fill="FFFFFF"/>
                  <w:tcMar>
                    <w:top w:w="0" w:type="dxa"/>
                    <w:left w:w="0" w:type="dxa"/>
                    <w:bottom w:w="0" w:type="dxa"/>
                    <w:right w:w="0" w:type="dxa"/>
                  </w:tcMar>
                  <w:vAlign w:val="center"/>
                </w:tcPr>
                <w:p>
                  <w:pPr>
                    <w:pStyle w:val="36"/>
                    <w:rPr>
                      <w:color w:val="auto"/>
                    </w:rPr>
                  </w:pPr>
                  <w:r>
                    <w:rPr>
                      <w:rFonts w:hint="eastAsia"/>
                      <w:color w:val="auto"/>
                    </w:rPr>
                    <w:t>00:00~2</w:t>
                  </w:r>
                  <w:r>
                    <w:rPr>
                      <w:rFonts w:hint="eastAsia"/>
                      <w:color w:val="auto"/>
                      <w:lang w:val="en-US" w:eastAsia="zh-CN"/>
                    </w:rPr>
                    <w:t>4</w:t>
                  </w:r>
                  <w:r>
                    <w:rPr>
                      <w:rFonts w:hint="eastAsia"/>
                      <w:color w:val="auto"/>
                    </w:rPr>
                    <w:t>:00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37.4</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37.5</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37.5</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37.4</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rFonts w:hint="eastAsia"/>
                      <w:color w:val="auto"/>
                    </w:rPr>
                    <w:t>6</w:t>
                  </w:r>
                </w:p>
              </w:tc>
              <w:tc>
                <w:tcPr>
                  <w:tcW w:w="436" w:type="dxa"/>
                  <w:vMerge w:val="continue"/>
                  <w:shd w:val="clear" w:color="auto" w:fill="FFFFFF"/>
                  <w:tcMar>
                    <w:top w:w="0" w:type="dxa"/>
                    <w:left w:w="0" w:type="dxa"/>
                    <w:bottom w:w="0" w:type="dxa"/>
                    <w:right w:w="0" w:type="dxa"/>
                  </w:tcMar>
                  <w:vAlign w:val="center"/>
                </w:tcPr>
                <w:p>
                  <w:pPr>
                    <w:pStyle w:val="36"/>
                    <w:rPr>
                      <w:color w:val="auto"/>
                    </w:rPr>
                  </w:pP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打头机,2台（按点声源组预测）</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85（等效后：88.0)</w:t>
                  </w:r>
                </w:p>
              </w:tc>
              <w:tc>
                <w:tcPr>
                  <w:tcW w:w="676" w:type="dxa"/>
                  <w:vMerge w:val="continue"/>
                  <w:shd w:val="clear" w:color="auto" w:fill="FFFFFF"/>
                  <w:tcMar>
                    <w:top w:w="0" w:type="dxa"/>
                    <w:left w:w="0" w:type="dxa"/>
                    <w:bottom w:w="0" w:type="dxa"/>
                    <w:right w:w="0" w:type="dxa"/>
                  </w:tcMar>
                  <w:vAlign w:val="center"/>
                </w:tcPr>
                <w:p>
                  <w:pPr>
                    <w:pStyle w:val="36"/>
                    <w:rPr>
                      <w:color w:val="auto"/>
                    </w:rPr>
                  </w:pPr>
                </w:p>
              </w:tc>
              <w:tc>
                <w:tcPr>
                  <w:tcW w:w="495" w:type="dxa"/>
                  <w:shd w:val="clear" w:color="auto" w:fill="FFFFFF"/>
                  <w:tcMar>
                    <w:top w:w="0" w:type="dxa"/>
                    <w:left w:w="0" w:type="dxa"/>
                    <w:bottom w:w="0" w:type="dxa"/>
                    <w:right w:w="0" w:type="dxa"/>
                  </w:tcMar>
                  <w:vAlign w:val="center"/>
                </w:tcPr>
                <w:p>
                  <w:pPr>
                    <w:pStyle w:val="36"/>
                    <w:rPr>
                      <w:color w:val="auto"/>
                    </w:rPr>
                  </w:pPr>
                  <w:r>
                    <w:rPr>
                      <w:color w:val="auto"/>
                    </w:rPr>
                    <w:t>70.4</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87.2</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74.8</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46.9</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57.8</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24.4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68.4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68.4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68.4</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68.5</w:t>
                  </w:r>
                </w:p>
              </w:tc>
              <w:tc>
                <w:tcPr>
                  <w:tcW w:w="758" w:type="dxa"/>
                  <w:vMerge w:val="continue"/>
                  <w:shd w:val="clear" w:color="auto" w:fill="FFFFFF"/>
                  <w:tcMar>
                    <w:top w:w="0" w:type="dxa"/>
                    <w:left w:w="0" w:type="dxa"/>
                    <w:bottom w:w="0" w:type="dxa"/>
                    <w:right w:w="0" w:type="dxa"/>
                  </w:tcMar>
                  <w:vAlign w:val="center"/>
                </w:tcPr>
                <w:p>
                  <w:pPr>
                    <w:pStyle w:val="36"/>
                    <w:rPr>
                      <w:color w:val="auto"/>
                    </w:rPr>
                  </w:pP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42.4</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42.4</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42.4</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42.5</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rFonts w:hint="eastAsia"/>
                      <w:color w:val="auto"/>
                    </w:rPr>
                    <w:t>7</w:t>
                  </w:r>
                </w:p>
              </w:tc>
              <w:tc>
                <w:tcPr>
                  <w:tcW w:w="436" w:type="dxa"/>
                  <w:vMerge w:val="continue"/>
                  <w:shd w:val="clear" w:color="auto" w:fill="FFFFFF"/>
                  <w:tcMar>
                    <w:top w:w="0" w:type="dxa"/>
                    <w:left w:w="0" w:type="dxa"/>
                    <w:bottom w:w="0" w:type="dxa"/>
                    <w:right w:w="0" w:type="dxa"/>
                  </w:tcMar>
                  <w:vAlign w:val="center"/>
                </w:tcPr>
                <w:p>
                  <w:pPr>
                    <w:pStyle w:val="36"/>
                    <w:rPr>
                      <w:color w:val="auto"/>
                    </w:rPr>
                  </w:pP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连续挤压机,4台（按点声源组预测）</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80（等效后：86.0)</w:t>
                  </w:r>
                </w:p>
              </w:tc>
              <w:tc>
                <w:tcPr>
                  <w:tcW w:w="676" w:type="dxa"/>
                  <w:vMerge w:val="continue"/>
                  <w:shd w:val="clear" w:color="auto" w:fill="FFFFFF"/>
                  <w:tcMar>
                    <w:top w:w="0" w:type="dxa"/>
                    <w:left w:w="0" w:type="dxa"/>
                    <w:bottom w:w="0" w:type="dxa"/>
                    <w:right w:w="0" w:type="dxa"/>
                  </w:tcMar>
                  <w:vAlign w:val="center"/>
                </w:tcPr>
                <w:p>
                  <w:pPr>
                    <w:pStyle w:val="36"/>
                    <w:rPr>
                      <w:color w:val="auto"/>
                    </w:rPr>
                  </w:pPr>
                </w:p>
              </w:tc>
              <w:tc>
                <w:tcPr>
                  <w:tcW w:w="495" w:type="dxa"/>
                  <w:shd w:val="clear" w:color="auto" w:fill="FFFFFF"/>
                  <w:tcMar>
                    <w:top w:w="0" w:type="dxa"/>
                    <w:left w:w="0" w:type="dxa"/>
                    <w:bottom w:w="0" w:type="dxa"/>
                    <w:right w:w="0" w:type="dxa"/>
                  </w:tcMar>
                  <w:vAlign w:val="center"/>
                </w:tcPr>
                <w:p>
                  <w:pPr>
                    <w:pStyle w:val="36"/>
                    <w:rPr>
                      <w:color w:val="auto"/>
                    </w:rPr>
                  </w:pPr>
                  <w:r>
                    <w:rPr>
                      <w:color w:val="auto"/>
                    </w:rPr>
                    <w:t>87.1</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67.6</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50.5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36.9</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81.4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33.5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66.4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66.4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66.4</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66.5</w:t>
                  </w:r>
                </w:p>
              </w:tc>
              <w:tc>
                <w:tcPr>
                  <w:tcW w:w="758" w:type="dxa"/>
                  <w:vMerge w:val="continue"/>
                  <w:shd w:val="clear" w:color="auto" w:fill="FFFFFF"/>
                  <w:tcMar>
                    <w:top w:w="0" w:type="dxa"/>
                    <w:left w:w="0" w:type="dxa"/>
                    <w:bottom w:w="0" w:type="dxa"/>
                    <w:right w:w="0" w:type="dxa"/>
                  </w:tcMar>
                  <w:vAlign w:val="center"/>
                </w:tcPr>
                <w:p>
                  <w:pPr>
                    <w:pStyle w:val="36"/>
                    <w:rPr>
                      <w:color w:val="auto"/>
                    </w:rPr>
                  </w:pP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40.4</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40.4</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40.4</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40.5</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jc w:val="center"/>
              </w:trPr>
              <w:tc>
                <w:tcPr>
                  <w:tcW w:w="421" w:type="dxa"/>
                  <w:vMerge w:val="restart"/>
                  <w:vAlign w:val="center"/>
                </w:tcPr>
                <w:p>
                  <w:pPr>
                    <w:pStyle w:val="36"/>
                    <w:rPr>
                      <w:color w:val="auto"/>
                    </w:rPr>
                  </w:pPr>
                  <w:r>
                    <w:rPr>
                      <w:color w:val="auto"/>
                    </w:rPr>
                    <w:t>序号</w:t>
                  </w:r>
                </w:p>
              </w:tc>
              <w:tc>
                <w:tcPr>
                  <w:tcW w:w="436" w:type="dxa"/>
                  <w:vMerge w:val="restart"/>
                  <w:vAlign w:val="center"/>
                </w:tcPr>
                <w:p>
                  <w:pPr>
                    <w:pStyle w:val="36"/>
                    <w:rPr>
                      <w:color w:val="auto"/>
                    </w:rPr>
                  </w:pPr>
                  <w:r>
                    <w:rPr>
                      <w:color w:val="auto"/>
                    </w:rPr>
                    <w:t>建筑物名称</w:t>
                  </w:r>
                </w:p>
              </w:tc>
              <w:tc>
                <w:tcPr>
                  <w:tcW w:w="1298" w:type="dxa"/>
                  <w:vMerge w:val="restart"/>
                  <w:vAlign w:val="center"/>
                </w:tcPr>
                <w:p>
                  <w:pPr>
                    <w:pStyle w:val="36"/>
                    <w:rPr>
                      <w:color w:val="auto"/>
                    </w:rPr>
                  </w:pPr>
                  <w:r>
                    <w:rPr>
                      <w:color w:val="auto"/>
                    </w:rPr>
                    <w:t>声源名称</w:t>
                  </w:r>
                </w:p>
              </w:tc>
              <w:tc>
                <w:tcPr>
                  <w:tcW w:w="878" w:type="dxa"/>
                  <w:vAlign w:val="center"/>
                </w:tcPr>
                <w:p>
                  <w:pPr>
                    <w:pStyle w:val="36"/>
                    <w:rPr>
                      <w:color w:val="auto"/>
                    </w:rPr>
                  </w:pPr>
                  <w:r>
                    <w:rPr>
                      <w:color w:val="auto"/>
                    </w:rPr>
                    <w:t>声源源强</w:t>
                  </w:r>
                </w:p>
              </w:tc>
              <w:tc>
                <w:tcPr>
                  <w:tcW w:w="676" w:type="dxa"/>
                  <w:vMerge w:val="restart"/>
                  <w:vAlign w:val="center"/>
                </w:tcPr>
                <w:p>
                  <w:pPr>
                    <w:pStyle w:val="36"/>
                    <w:rPr>
                      <w:color w:val="auto"/>
                    </w:rPr>
                  </w:pPr>
                  <w:r>
                    <w:rPr>
                      <w:color w:val="auto"/>
                    </w:rPr>
                    <w:t>声源控制措施</w:t>
                  </w:r>
                </w:p>
              </w:tc>
              <w:tc>
                <w:tcPr>
                  <w:tcW w:w="1486" w:type="dxa"/>
                  <w:gridSpan w:val="3"/>
                  <w:vAlign w:val="center"/>
                </w:tcPr>
                <w:p>
                  <w:pPr>
                    <w:pStyle w:val="36"/>
                    <w:rPr>
                      <w:color w:val="auto"/>
                    </w:rPr>
                  </w:pPr>
                  <w:r>
                    <w:rPr>
                      <w:color w:val="auto"/>
                    </w:rPr>
                    <w:t>空间相对位置/m</w:t>
                  </w:r>
                </w:p>
              </w:tc>
              <w:tc>
                <w:tcPr>
                  <w:tcW w:w="1796" w:type="dxa"/>
                  <w:gridSpan w:val="4"/>
                  <w:vAlign w:val="center"/>
                </w:tcPr>
                <w:p>
                  <w:pPr>
                    <w:pStyle w:val="36"/>
                    <w:rPr>
                      <w:color w:val="auto"/>
                    </w:rPr>
                  </w:pPr>
                  <w:r>
                    <w:rPr>
                      <w:color w:val="auto"/>
                    </w:rPr>
                    <w:t>距室内边界距离/m</w:t>
                  </w:r>
                </w:p>
              </w:tc>
              <w:tc>
                <w:tcPr>
                  <w:tcW w:w="1798" w:type="dxa"/>
                  <w:gridSpan w:val="4"/>
                  <w:vAlign w:val="center"/>
                </w:tcPr>
                <w:p>
                  <w:pPr>
                    <w:pStyle w:val="36"/>
                    <w:rPr>
                      <w:color w:val="auto"/>
                    </w:rPr>
                  </w:pPr>
                  <w:r>
                    <w:rPr>
                      <w:color w:val="auto"/>
                    </w:rPr>
                    <w:t>室内边界声级/dB(A)</w:t>
                  </w:r>
                </w:p>
              </w:tc>
              <w:tc>
                <w:tcPr>
                  <w:tcW w:w="758" w:type="dxa"/>
                  <w:vMerge w:val="restart"/>
                  <w:vAlign w:val="center"/>
                </w:tcPr>
                <w:p>
                  <w:pPr>
                    <w:pStyle w:val="36"/>
                    <w:rPr>
                      <w:color w:val="auto"/>
                    </w:rPr>
                  </w:pPr>
                  <w:r>
                    <w:rPr>
                      <w:color w:val="auto"/>
                    </w:rPr>
                    <w:t>运行时段</w:t>
                  </w:r>
                </w:p>
              </w:tc>
              <w:tc>
                <w:tcPr>
                  <w:tcW w:w="1837" w:type="dxa"/>
                  <w:gridSpan w:val="4"/>
                  <w:vAlign w:val="center"/>
                </w:tcPr>
                <w:p>
                  <w:pPr>
                    <w:pStyle w:val="36"/>
                    <w:rPr>
                      <w:color w:val="auto"/>
                    </w:rPr>
                  </w:pPr>
                  <w:r>
                    <w:rPr>
                      <w:color w:val="auto"/>
                    </w:rPr>
                    <w:t>建筑物插入损失 / dB(A)</w:t>
                  </w:r>
                </w:p>
              </w:tc>
              <w:tc>
                <w:tcPr>
                  <w:tcW w:w="2610" w:type="dxa"/>
                  <w:gridSpan w:val="5"/>
                  <w:vAlign w:val="center"/>
                </w:tcPr>
                <w:p>
                  <w:pPr>
                    <w:pStyle w:val="36"/>
                    <w:rPr>
                      <w:color w:val="auto"/>
                    </w:rPr>
                  </w:pPr>
                  <w:r>
                    <w:rPr>
                      <w:color w:val="auto"/>
                    </w:rPr>
                    <w:t>建筑物外噪声声压级/dB(A)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4" w:hRule="atLeast"/>
                <w:jc w:val="center"/>
              </w:trPr>
              <w:tc>
                <w:tcPr>
                  <w:tcW w:w="421" w:type="dxa"/>
                  <w:vMerge w:val="continue"/>
                  <w:shd w:val="clear" w:color="auto" w:fill="FFFFFF"/>
                  <w:tcMar>
                    <w:top w:w="0" w:type="dxa"/>
                    <w:left w:w="0" w:type="dxa"/>
                    <w:bottom w:w="0" w:type="dxa"/>
                    <w:right w:w="0" w:type="dxa"/>
                  </w:tcMar>
                  <w:vAlign w:val="center"/>
                </w:tcPr>
                <w:p>
                  <w:pPr>
                    <w:pStyle w:val="36"/>
                    <w:rPr>
                      <w:color w:val="auto"/>
                    </w:rPr>
                  </w:pPr>
                </w:p>
              </w:tc>
              <w:tc>
                <w:tcPr>
                  <w:tcW w:w="436" w:type="dxa"/>
                  <w:vMerge w:val="continue"/>
                  <w:shd w:val="clear" w:color="auto" w:fill="FFFFFF"/>
                  <w:tcMar>
                    <w:top w:w="0" w:type="dxa"/>
                    <w:left w:w="0" w:type="dxa"/>
                    <w:bottom w:w="0" w:type="dxa"/>
                    <w:right w:w="0" w:type="dxa"/>
                  </w:tcMar>
                  <w:vAlign w:val="center"/>
                </w:tcPr>
                <w:p>
                  <w:pPr>
                    <w:pStyle w:val="36"/>
                    <w:rPr>
                      <w:color w:val="auto"/>
                    </w:rPr>
                  </w:pPr>
                </w:p>
              </w:tc>
              <w:tc>
                <w:tcPr>
                  <w:tcW w:w="1298" w:type="dxa"/>
                  <w:vMerge w:val="continue"/>
                  <w:shd w:val="clear" w:color="auto" w:fill="FFFFFF"/>
                  <w:tcMar>
                    <w:top w:w="0" w:type="dxa"/>
                    <w:left w:w="0" w:type="dxa"/>
                    <w:bottom w:w="0" w:type="dxa"/>
                    <w:right w:w="0" w:type="dxa"/>
                  </w:tcMar>
                  <w:vAlign w:val="center"/>
                </w:tcPr>
                <w:p>
                  <w:pPr>
                    <w:pStyle w:val="36"/>
                    <w:rPr>
                      <w:color w:val="auto"/>
                    </w:rPr>
                  </w:pPr>
                </w:p>
              </w:tc>
              <w:tc>
                <w:tcPr>
                  <w:tcW w:w="878" w:type="dxa"/>
                  <w:shd w:val="clear" w:color="auto" w:fill="FFFFFF"/>
                  <w:tcMar>
                    <w:top w:w="0" w:type="dxa"/>
                    <w:left w:w="0" w:type="dxa"/>
                    <w:bottom w:w="0" w:type="dxa"/>
                    <w:right w:w="0" w:type="dxa"/>
                  </w:tcMar>
                  <w:vAlign w:val="center"/>
                </w:tcPr>
                <w:p>
                  <w:pPr>
                    <w:pStyle w:val="36"/>
                    <w:rPr>
                      <w:color w:val="auto"/>
                    </w:rPr>
                  </w:pPr>
                  <w:r>
                    <w:rPr>
                      <w:color w:val="auto"/>
                    </w:rPr>
                    <w:t>声功率级/dB(A)</w:t>
                  </w:r>
                </w:p>
              </w:tc>
              <w:tc>
                <w:tcPr>
                  <w:tcW w:w="676" w:type="dxa"/>
                  <w:vMerge w:val="continue"/>
                  <w:shd w:val="clear" w:color="auto" w:fill="FFFFFF"/>
                  <w:tcMar>
                    <w:top w:w="0" w:type="dxa"/>
                    <w:left w:w="0" w:type="dxa"/>
                    <w:bottom w:w="0" w:type="dxa"/>
                    <w:right w:w="0" w:type="dxa"/>
                  </w:tcMar>
                  <w:vAlign w:val="center"/>
                </w:tcPr>
                <w:p>
                  <w:pPr>
                    <w:pStyle w:val="36"/>
                    <w:rPr>
                      <w:color w:val="auto"/>
                    </w:rPr>
                  </w:pPr>
                </w:p>
              </w:tc>
              <w:tc>
                <w:tcPr>
                  <w:tcW w:w="495" w:type="dxa"/>
                  <w:shd w:val="clear" w:color="auto" w:fill="FFFFFF"/>
                  <w:tcMar>
                    <w:top w:w="0" w:type="dxa"/>
                    <w:left w:w="0" w:type="dxa"/>
                    <w:bottom w:w="0" w:type="dxa"/>
                    <w:right w:w="0" w:type="dxa"/>
                  </w:tcMar>
                  <w:vAlign w:val="center"/>
                </w:tcPr>
                <w:p>
                  <w:pPr>
                    <w:pStyle w:val="36"/>
                    <w:rPr>
                      <w:color w:val="auto"/>
                    </w:rPr>
                  </w:pPr>
                  <w:r>
                    <w:rPr>
                      <w:color w:val="auto"/>
                    </w:rPr>
                    <w:t>X</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Y</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Z</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东</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南</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西</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北</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东</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南</w:t>
                  </w:r>
                </w:p>
              </w:tc>
              <w:tc>
                <w:tcPr>
                  <w:tcW w:w="449" w:type="dxa"/>
                  <w:shd w:val="clear" w:color="auto" w:fill="FFFFFF"/>
                  <w:tcMar>
                    <w:top w:w="0" w:type="dxa"/>
                    <w:left w:w="0" w:type="dxa"/>
                    <w:bottom w:w="0" w:type="dxa"/>
                    <w:right w:w="0" w:type="dxa"/>
                  </w:tcMar>
                  <w:vAlign w:val="center"/>
                </w:tcPr>
                <w:p>
                  <w:pPr>
                    <w:pStyle w:val="36"/>
                    <w:rPr>
                      <w:color w:val="auto"/>
                    </w:rPr>
                  </w:pPr>
                  <w:r>
                    <w:rPr>
                      <w:rFonts w:hint="eastAsia"/>
                      <w:color w:val="auto"/>
                    </w:rPr>
                    <w:t>西</w:t>
                  </w:r>
                </w:p>
              </w:tc>
              <w:tc>
                <w:tcPr>
                  <w:tcW w:w="451" w:type="dxa"/>
                  <w:shd w:val="clear" w:color="auto" w:fill="FFFFFF"/>
                  <w:tcMar>
                    <w:top w:w="0" w:type="dxa"/>
                    <w:left w:w="0" w:type="dxa"/>
                    <w:bottom w:w="0" w:type="dxa"/>
                    <w:right w:w="0" w:type="dxa"/>
                  </w:tcMar>
                  <w:vAlign w:val="center"/>
                </w:tcPr>
                <w:p>
                  <w:pPr>
                    <w:pStyle w:val="36"/>
                    <w:rPr>
                      <w:color w:val="auto"/>
                    </w:rPr>
                  </w:pPr>
                  <w:r>
                    <w:rPr>
                      <w:rFonts w:hint="eastAsia"/>
                      <w:color w:val="auto"/>
                    </w:rPr>
                    <w:t>北</w:t>
                  </w:r>
                </w:p>
              </w:tc>
              <w:tc>
                <w:tcPr>
                  <w:tcW w:w="758" w:type="dxa"/>
                  <w:vMerge w:val="continue"/>
                  <w:shd w:val="clear" w:color="auto" w:fill="FFFFFF"/>
                  <w:tcMar>
                    <w:top w:w="0" w:type="dxa"/>
                    <w:left w:w="0" w:type="dxa"/>
                    <w:bottom w:w="0" w:type="dxa"/>
                    <w:right w:w="0" w:type="dxa"/>
                  </w:tcMar>
                  <w:vAlign w:val="center"/>
                </w:tcPr>
                <w:p>
                  <w:pPr>
                    <w:pStyle w:val="36"/>
                    <w:rPr>
                      <w:color w:val="auto"/>
                    </w:rPr>
                  </w:pPr>
                </w:p>
              </w:tc>
              <w:tc>
                <w:tcPr>
                  <w:tcW w:w="459" w:type="dxa"/>
                  <w:shd w:val="clear" w:color="auto" w:fill="FFFFFF"/>
                  <w:tcMar>
                    <w:top w:w="0" w:type="dxa"/>
                    <w:left w:w="0" w:type="dxa"/>
                    <w:bottom w:w="0" w:type="dxa"/>
                    <w:right w:w="0" w:type="dxa"/>
                  </w:tcMar>
                  <w:vAlign w:val="center"/>
                </w:tcPr>
                <w:p>
                  <w:pPr>
                    <w:pStyle w:val="36"/>
                    <w:rPr>
                      <w:color w:val="auto"/>
                    </w:rPr>
                  </w:pPr>
                  <w:r>
                    <w:rPr>
                      <w:rFonts w:hint="eastAsia"/>
                      <w:color w:val="auto"/>
                    </w:rPr>
                    <w:t>东</w:t>
                  </w:r>
                </w:p>
              </w:tc>
              <w:tc>
                <w:tcPr>
                  <w:tcW w:w="459" w:type="dxa"/>
                  <w:shd w:val="clear" w:color="auto" w:fill="FFFFFF"/>
                  <w:tcMar>
                    <w:top w:w="0" w:type="dxa"/>
                    <w:left w:w="0" w:type="dxa"/>
                    <w:bottom w:w="0" w:type="dxa"/>
                    <w:right w:w="0" w:type="dxa"/>
                  </w:tcMar>
                  <w:vAlign w:val="center"/>
                </w:tcPr>
                <w:p>
                  <w:pPr>
                    <w:pStyle w:val="36"/>
                    <w:rPr>
                      <w:color w:val="auto"/>
                    </w:rPr>
                  </w:pPr>
                  <w:r>
                    <w:rPr>
                      <w:rFonts w:hint="eastAsia"/>
                      <w:color w:val="auto"/>
                    </w:rPr>
                    <w:t>南</w:t>
                  </w:r>
                </w:p>
              </w:tc>
              <w:tc>
                <w:tcPr>
                  <w:tcW w:w="459" w:type="dxa"/>
                  <w:shd w:val="clear" w:color="auto" w:fill="FFFFFF"/>
                  <w:tcMar>
                    <w:top w:w="0" w:type="dxa"/>
                    <w:left w:w="0" w:type="dxa"/>
                    <w:bottom w:w="0" w:type="dxa"/>
                    <w:right w:w="0" w:type="dxa"/>
                  </w:tcMar>
                  <w:vAlign w:val="center"/>
                </w:tcPr>
                <w:p>
                  <w:pPr>
                    <w:pStyle w:val="36"/>
                    <w:rPr>
                      <w:color w:val="auto"/>
                    </w:rPr>
                  </w:pPr>
                  <w:r>
                    <w:rPr>
                      <w:rFonts w:hint="eastAsia"/>
                      <w:color w:val="auto"/>
                    </w:rPr>
                    <w:t>西</w:t>
                  </w:r>
                </w:p>
              </w:tc>
              <w:tc>
                <w:tcPr>
                  <w:tcW w:w="460" w:type="dxa"/>
                  <w:shd w:val="clear" w:color="auto" w:fill="FFFFFF"/>
                  <w:tcMar>
                    <w:top w:w="0" w:type="dxa"/>
                    <w:left w:w="0" w:type="dxa"/>
                    <w:bottom w:w="0" w:type="dxa"/>
                    <w:right w:w="0" w:type="dxa"/>
                  </w:tcMar>
                  <w:vAlign w:val="center"/>
                </w:tcPr>
                <w:p>
                  <w:pPr>
                    <w:pStyle w:val="36"/>
                    <w:rPr>
                      <w:color w:val="auto"/>
                    </w:rPr>
                  </w:pPr>
                  <w:r>
                    <w:rPr>
                      <w:rFonts w:hint="eastAsia"/>
                      <w:color w:val="auto"/>
                    </w:rPr>
                    <w:t>北</w:t>
                  </w:r>
                </w:p>
              </w:tc>
              <w:tc>
                <w:tcPr>
                  <w:tcW w:w="500" w:type="dxa"/>
                  <w:shd w:val="clear" w:color="auto" w:fill="FFFFFF"/>
                  <w:tcMar>
                    <w:top w:w="0" w:type="dxa"/>
                    <w:left w:w="0" w:type="dxa"/>
                    <w:bottom w:w="0" w:type="dxa"/>
                    <w:right w:w="0" w:type="dxa"/>
                  </w:tcMar>
                  <w:vAlign w:val="center"/>
                </w:tcPr>
                <w:p>
                  <w:pPr>
                    <w:pStyle w:val="36"/>
                    <w:rPr>
                      <w:color w:val="auto"/>
                    </w:rPr>
                  </w:pPr>
                  <w:r>
                    <w:rPr>
                      <w:rFonts w:hint="eastAsia"/>
                      <w:color w:val="auto"/>
                    </w:rPr>
                    <w:t>东</w:t>
                  </w:r>
                </w:p>
              </w:tc>
              <w:tc>
                <w:tcPr>
                  <w:tcW w:w="554" w:type="dxa"/>
                  <w:shd w:val="clear" w:color="auto" w:fill="FFFFFF"/>
                  <w:tcMar>
                    <w:top w:w="0" w:type="dxa"/>
                    <w:left w:w="0" w:type="dxa"/>
                    <w:bottom w:w="0" w:type="dxa"/>
                    <w:right w:w="0" w:type="dxa"/>
                  </w:tcMar>
                  <w:vAlign w:val="center"/>
                </w:tcPr>
                <w:p>
                  <w:pPr>
                    <w:pStyle w:val="36"/>
                    <w:rPr>
                      <w:color w:val="auto"/>
                    </w:rPr>
                  </w:pPr>
                  <w:r>
                    <w:rPr>
                      <w:rFonts w:hint="eastAsia"/>
                      <w:color w:val="auto"/>
                    </w:rPr>
                    <w:t>南</w:t>
                  </w:r>
                </w:p>
              </w:tc>
              <w:tc>
                <w:tcPr>
                  <w:tcW w:w="473" w:type="dxa"/>
                  <w:shd w:val="clear" w:color="auto" w:fill="FFFFFF"/>
                  <w:tcMar>
                    <w:top w:w="0" w:type="dxa"/>
                    <w:left w:w="0" w:type="dxa"/>
                    <w:bottom w:w="0" w:type="dxa"/>
                    <w:right w:w="0" w:type="dxa"/>
                  </w:tcMar>
                  <w:vAlign w:val="center"/>
                </w:tcPr>
                <w:p>
                  <w:pPr>
                    <w:pStyle w:val="36"/>
                    <w:rPr>
                      <w:color w:val="auto"/>
                    </w:rPr>
                  </w:pPr>
                  <w:r>
                    <w:rPr>
                      <w:rFonts w:hint="eastAsia"/>
                      <w:color w:val="auto"/>
                    </w:rPr>
                    <w:t>西</w:t>
                  </w:r>
                </w:p>
              </w:tc>
              <w:tc>
                <w:tcPr>
                  <w:tcW w:w="500" w:type="dxa"/>
                  <w:shd w:val="clear" w:color="auto" w:fill="FFFFFF"/>
                  <w:tcMar>
                    <w:top w:w="0" w:type="dxa"/>
                    <w:left w:w="0" w:type="dxa"/>
                    <w:bottom w:w="0" w:type="dxa"/>
                    <w:right w:w="0" w:type="dxa"/>
                  </w:tcMar>
                  <w:vAlign w:val="center"/>
                </w:tcPr>
                <w:p>
                  <w:pPr>
                    <w:pStyle w:val="36"/>
                    <w:rPr>
                      <w:color w:val="auto"/>
                    </w:rPr>
                  </w:pPr>
                  <w:r>
                    <w:rPr>
                      <w:rFonts w:hint="eastAsia"/>
                      <w:color w:val="auto"/>
                    </w:rPr>
                    <w:t>北</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建筑物外距离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rFonts w:hint="eastAsia"/>
                      <w:color w:val="auto"/>
                    </w:rPr>
                    <w:t>8</w:t>
                  </w:r>
                </w:p>
              </w:tc>
              <w:tc>
                <w:tcPr>
                  <w:tcW w:w="436" w:type="dxa"/>
                  <w:vMerge w:val="restart"/>
                  <w:shd w:val="clear" w:color="auto" w:fill="FFFFFF"/>
                  <w:tcMar>
                    <w:top w:w="0" w:type="dxa"/>
                    <w:left w:w="0" w:type="dxa"/>
                    <w:bottom w:w="0" w:type="dxa"/>
                    <w:right w:w="0" w:type="dxa"/>
                  </w:tcMar>
                  <w:vAlign w:val="center"/>
                </w:tcPr>
                <w:p>
                  <w:pPr>
                    <w:pStyle w:val="36"/>
                    <w:rPr>
                      <w:color w:val="auto"/>
                    </w:rPr>
                  </w:pPr>
                  <w:r>
                    <w:rPr>
                      <w:color w:val="auto"/>
                    </w:rPr>
                    <w:t>3#</w:t>
                  </w:r>
                </w:p>
                <w:p>
                  <w:pPr>
                    <w:pStyle w:val="36"/>
                    <w:rPr>
                      <w:color w:val="auto"/>
                    </w:rPr>
                  </w:pPr>
                  <w:r>
                    <w:rPr>
                      <w:color w:val="auto"/>
                    </w:rPr>
                    <w:t>厂</w:t>
                  </w:r>
                </w:p>
                <w:p>
                  <w:pPr>
                    <w:pStyle w:val="36"/>
                    <w:rPr>
                      <w:color w:val="auto"/>
                    </w:rPr>
                  </w:pPr>
                  <w:r>
                    <w:rPr>
                      <w:color w:val="auto"/>
                    </w:rPr>
                    <w:t>房</w:t>
                  </w: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卷拉机,4台（按点声源组预测）</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80（等效后：86.0)</w:t>
                  </w:r>
                </w:p>
              </w:tc>
              <w:tc>
                <w:tcPr>
                  <w:tcW w:w="676" w:type="dxa"/>
                  <w:vMerge w:val="restart"/>
                  <w:shd w:val="clear" w:color="auto" w:fill="FFFFFF"/>
                  <w:tcMar>
                    <w:top w:w="0" w:type="dxa"/>
                    <w:left w:w="0" w:type="dxa"/>
                    <w:bottom w:w="0" w:type="dxa"/>
                    <w:right w:w="0" w:type="dxa"/>
                  </w:tcMar>
                  <w:vAlign w:val="center"/>
                </w:tcPr>
                <w:p>
                  <w:pPr>
                    <w:pStyle w:val="36"/>
                    <w:rPr>
                      <w:color w:val="auto"/>
                    </w:rPr>
                  </w:pPr>
                  <w:r>
                    <w:rPr>
                      <w:rFonts w:hint="eastAsia"/>
                      <w:color w:val="auto"/>
                    </w:rPr>
                    <w:t>厂房隔声、基础减振</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113.2</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52.8</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20.4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35.4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111.4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33.9</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66.5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66.4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66.4</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66.5</w:t>
                  </w:r>
                </w:p>
              </w:tc>
              <w:tc>
                <w:tcPr>
                  <w:tcW w:w="758" w:type="dxa"/>
                  <w:vMerge w:val="restart"/>
                  <w:shd w:val="clear" w:color="auto" w:fill="FFFFFF"/>
                  <w:tcMar>
                    <w:top w:w="0" w:type="dxa"/>
                    <w:left w:w="0" w:type="dxa"/>
                    <w:bottom w:w="0" w:type="dxa"/>
                    <w:right w:w="0" w:type="dxa"/>
                  </w:tcMar>
                  <w:vAlign w:val="center"/>
                </w:tcPr>
                <w:p>
                  <w:pPr>
                    <w:pStyle w:val="36"/>
                    <w:rPr>
                      <w:color w:val="auto"/>
                    </w:rPr>
                  </w:pPr>
                  <w:r>
                    <w:rPr>
                      <w:rFonts w:hint="eastAsia"/>
                      <w:color w:val="auto"/>
                    </w:rPr>
                    <w:t>00:00~2</w:t>
                  </w:r>
                  <w:r>
                    <w:rPr>
                      <w:rFonts w:hint="eastAsia"/>
                      <w:color w:val="auto"/>
                      <w:lang w:val="en-US" w:eastAsia="zh-CN"/>
                    </w:rPr>
                    <w:t>4</w:t>
                  </w:r>
                  <w:r>
                    <w:rPr>
                      <w:rFonts w:hint="eastAsia"/>
                      <w:color w:val="auto"/>
                    </w:rPr>
                    <w:t>:00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40.5</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40.4</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40.4</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40.5</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rFonts w:hint="eastAsia"/>
                      <w:color w:val="auto"/>
                    </w:rPr>
                    <w:t>9</w:t>
                  </w:r>
                </w:p>
              </w:tc>
              <w:tc>
                <w:tcPr>
                  <w:tcW w:w="436" w:type="dxa"/>
                  <w:vMerge w:val="continue"/>
                  <w:shd w:val="clear" w:color="auto" w:fill="FFFFFF"/>
                  <w:tcMar>
                    <w:top w:w="0" w:type="dxa"/>
                    <w:left w:w="0" w:type="dxa"/>
                    <w:bottom w:w="0" w:type="dxa"/>
                    <w:right w:w="0" w:type="dxa"/>
                  </w:tcMar>
                  <w:vAlign w:val="center"/>
                </w:tcPr>
                <w:p>
                  <w:pPr>
                    <w:pStyle w:val="36"/>
                    <w:rPr>
                      <w:color w:val="auto"/>
                    </w:rPr>
                  </w:pP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液压打包机</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80</w:t>
                  </w:r>
                </w:p>
              </w:tc>
              <w:tc>
                <w:tcPr>
                  <w:tcW w:w="676" w:type="dxa"/>
                  <w:vMerge w:val="continue"/>
                  <w:shd w:val="clear" w:color="auto" w:fill="FFFFFF"/>
                  <w:tcMar>
                    <w:top w:w="0" w:type="dxa"/>
                    <w:left w:w="0" w:type="dxa"/>
                    <w:bottom w:w="0" w:type="dxa"/>
                    <w:right w:w="0" w:type="dxa"/>
                  </w:tcMar>
                  <w:vAlign w:val="center"/>
                </w:tcPr>
                <w:p>
                  <w:pPr>
                    <w:pStyle w:val="36"/>
                    <w:rPr>
                      <w:color w:val="auto"/>
                    </w:rPr>
                  </w:pPr>
                </w:p>
              </w:tc>
              <w:tc>
                <w:tcPr>
                  <w:tcW w:w="495" w:type="dxa"/>
                  <w:shd w:val="clear" w:color="auto" w:fill="FFFFFF"/>
                  <w:tcMar>
                    <w:top w:w="0" w:type="dxa"/>
                    <w:left w:w="0" w:type="dxa"/>
                    <w:bottom w:w="0" w:type="dxa"/>
                    <w:right w:w="0" w:type="dxa"/>
                  </w:tcMar>
                  <w:vAlign w:val="center"/>
                </w:tcPr>
                <w:p>
                  <w:pPr>
                    <w:pStyle w:val="36"/>
                    <w:rPr>
                      <w:color w:val="auto"/>
                    </w:rPr>
                  </w:pPr>
                  <w:r>
                    <w:rPr>
                      <w:color w:val="auto"/>
                    </w:rPr>
                    <w:t>108.6</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75.3</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35.7</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53.5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97.4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16.4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60.4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60.4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60.4</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60.5</w:t>
                  </w:r>
                </w:p>
              </w:tc>
              <w:tc>
                <w:tcPr>
                  <w:tcW w:w="758" w:type="dxa"/>
                  <w:vMerge w:val="continue"/>
                  <w:shd w:val="clear" w:color="auto" w:fill="FFFFFF"/>
                  <w:tcMar>
                    <w:top w:w="0" w:type="dxa"/>
                    <w:left w:w="0" w:type="dxa"/>
                    <w:bottom w:w="0" w:type="dxa"/>
                    <w:right w:w="0" w:type="dxa"/>
                  </w:tcMar>
                  <w:vAlign w:val="center"/>
                </w:tcPr>
                <w:p>
                  <w:pPr>
                    <w:pStyle w:val="36"/>
                    <w:rPr>
                      <w:color w:val="auto"/>
                    </w:rPr>
                  </w:pP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34.4</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34.4</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34.4</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34.5</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rFonts w:hint="eastAsia"/>
                      <w:color w:val="auto"/>
                    </w:rPr>
                    <w:t>10</w:t>
                  </w:r>
                </w:p>
              </w:tc>
              <w:tc>
                <w:tcPr>
                  <w:tcW w:w="436" w:type="dxa"/>
                  <w:vMerge w:val="restart"/>
                  <w:shd w:val="clear" w:color="auto" w:fill="FFFFFF"/>
                  <w:tcMar>
                    <w:top w:w="0" w:type="dxa"/>
                    <w:left w:w="0" w:type="dxa"/>
                    <w:bottom w:w="0" w:type="dxa"/>
                    <w:right w:w="0" w:type="dxa"/>
                  </w:tcMar>
                  <w:vAlign w:val="center"/>
                </w:tcPr>
                <w:p>
                  <w:pPr>
                    <w:pStyle w:val="36"/>
                    <w:rPr>
                      <w:color w:val="auto"/>
                    </w:rPr>
                  </w:pPr>
                  <w:r>
                    <w:rPr>
                      <w:color w:val="auto"/>
                    </w:rPr>
                    <w:t>4#厂房</w:t>
                  </w: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大拉机</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80</w:t>
                  </w:r>
                </w:p>
              </w:tc>
              <w:tc>
                <w:tcPr>
                  <w:tcW w:w="676" w:type="dxa"/>
                  <w:vMerge w:val="restart"/>
                  <w:shd w:val="clear" w:color="auto" w:fill="FFFFFF"/>
                  <w:tcMar>
                    <w:top w:w="0" w:type="dxa"/>
                    <w:left w:w="0" w:type="dxa"/>
                    <w:bottom w:w="0" w:type="dxa"/>
                    <w:right w:w="0" w:type="dxa"/>
                  </w:tcMar>
                  <w:vAlign w:val="center"/>
                </w:tcPr>
                <w:p>
                  <w:pPr>
                    <w:pStyle w:val="36"/>
                    <w:rPr>
                      <w:color w:val="auto"/>
                    </w:rPr>
                  </w:pPr>
                  <w:r>
                    <w:rPr>
                      <w:rFonts w:hint="eastAsia"/>
                      <w:color w:val="auto"/>
                    </w:rPr>
                    <w:t>厂房隔声、基础减振</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-87.9</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-28.5</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33.9</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82.9</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27.7</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20.4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61.4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61.3</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61.4</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61.4</w:t>
                  </w:r>
                </w:p>
              </w:tc>
              <w:tc>
                <w:tcPr>
                  <w:tcW w:w="758" w:type="dxa"/>
                  <w:vMerge w:val="restart"/>
                  <w:shd w:val="clear" w:color="auto" w:fill="FFFFFF"/>
                  <w:tcMar>
                    <w:top w:w="0" w:type="dxa"/>
                    <w:left w:w="0" w:type="dxa"/>
                    <w:bottom w:w="0" w:type="dxa"/>
                    <w:right w:w="0" w:type="dxa"/>
                  </w:tcMar>
                  <w:vAlign w:val="center"/>
                </w:tcPr>
                <w:p>
                  <w:pPr>
                    <w:pStyle w:val="36"/>
                    <w:rPr>
                      <w:color w:val="auto"/>
                    </w:rPr>
                  </w:pPr>
                  <w:r>
                    <w:rPr>
                      <w:rFonts w:hint="eastAsia"/>
                      <w:color w:val="auto"/>
                    </w:rPr>
                    <w:t>00:00~2</w:t>
                  </w:r>
                  <w:r>
                    <w:rPr>
                      <w:rFonts w:hint="eastAsia"/>
                      <w:color w:val="auto"/>
                      <w:lang w:val="en-US" w:eastAsia="zh-CN"/>
                    </w:rPr>
                    <w:t>4</w:t>
                  </w:r>
                  <w:r>
                    <w:rPr>
                      <w:rFonts w:hint="eastAsia"/>
                      <w:color w:val="auto"/>
                    </w:rPr>
                    <w:t>:00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35.4</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35.3</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35.4</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35.4</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rFonts w:hint="eastAsia"/>
                      <w:color w:val="auto"/>
                    </w:rPr>
                    <w:t>11</w:t>
                  </w:r>
                </w:p>
              </w:tc>
              <w:tc>
                <w:tcPr>
                  <w:tcW w:w="436" w:type="dxa"/>
                  <w:vMerge w:val="continue"/>
                  <w:shd w:val="clear" w:color="auto" w:fill="FFFFFF"/>
                  <w:tcMar>
                    <w:top w:w="0" w:type="dxa"/>
                    <w:left w:w="0" w:type="dxa"/>
                    <w:bottom w:w="0" w:type="dxa"/>
                    <w:right w:w="0" w:type="dxa"/>
                  </w:tcMar>
                  <w:vAlign w:val="center"/>
                </w:tcPr>
                <w:p>
                  <w:pPr>
                    <w:pStyle w:val="36"/>
                    <w:rPr>
                      <w:color w:val="auto"/>
                    </w:rPr>
                  </w:pP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绞线机,2台（按点声源组预测）</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80（等效后：83.0)</w:t>
                  </w:r>
                </w:p>
              </w:tc>
              <w:tc>
                <w:tcPr>
                  <w:tcW w:w="676" w:type="dxa"/>
                  <w:vMerge w:val="continue"/>
                  <w:shd w:val="clear" w:color="auto" w:fill="FFFFFF"/>
                  <w:tcMar>
                    <w:top w:w="0" w:type="dxa"/>
                    <w:left w:w="0" w:type="dxa"/>
                    <w:bottom w:w="0" w:type="dxa"/>
                    <w:right w:w="0" w:type="dxa"/>
                  </w:tcMar>
                  <w:vAlign w:val="center"/>
                </w:tcPr>
                <w:p>
                  <w:pPr>
                    <w:pStyle w:val="36"/>
                    <w:rPr>
                      <w:color w:val="auto"/>
                    </w:rPr>
                  </w:pPr>
                </w:p>
              </w:tc>
              <w:tc>
                <w:tcPr>
                  <w:tcW w:w="495" w:type="dxa"/>
                  <w:shd w:val="clear" w:color="auto" w:fill="FFFFFF"/>
                  <w:tcMar>
                    <w:top w:w="0" w:type="dxa"/>
                    <w:left w:w="0" w:type="dxa"/>
                    <w:bottom w:w="0" w:type="dxa"/>
                    <w:right w:w="0" w:type="dxa"/>
                  </w:tcMar>
                  <w:vAlign w:val="center"/>
                </w:tcPr>
                <w:p>
                  <w:pPr>
                    <w:pStyle w:val="36"/>
                    <w:rPr>
                      <w:color w:val="auto"/>
                    </w:rPr>
                  </w:pPr>
                  <w:r>
                    <w:rPr>
                      <w:color w:val="auto"/>
                    </w:rPr>
                    <w:t>-92</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-38.6</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32.8</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72.2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28.6</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31.3</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64.4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64.3</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64.4</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64.4</w:t>
                  </w:r>
                </w:p>
              </w:tc>
              <w:tc>
                <w:tcPr>
                  <w:tcW w:w="758" w:type="dxa"/>
                  <w:vMerge w:val="continue"/>
                  <w:shd w:val="clear" w:color="auto" w:fill="FFFFFF"/>
                  <w:tcMar>
                    <w:top w:w="0" w:type="dxa"/>
                    <w:left w:w="0" w:type="dxa"/>
                    <w:bottom w:w="0" w:type="dxa"/>
                    <w:right w:w="0" w:type="dxa"/>
                  </w:tcMar>
                  <w:vAlign w:val="center"/>
                </w:tcPr>
                <w:p>
                  <w:pPr>
                    <w:pStyle w:val="36"/>
                    <w:rPr>
                      <w:color w:val="auto"/>
                    </w:rPr>
                  </w:pP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38.4</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38.3</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38.4</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38.4</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rFonts w:hint="eastAsia"/>
                      <w:color w:val="auto"/>
                    </w:rPr>
                    <w:t>12</w:t>
                  </w:r>
                </w:p>
              </w:tc>
              <w:tc>
                <w:tcPr>
                  <w:tcW w:w="436" w:type="dxa"/>
                  <w:vMerge w:val="continue"/>
                  <w:shd w:val="clear" w:color="auto" w:fill="FFFFFF"/>
                  <w:tcMar>
                    <w:top w:w="0" w:type="dxa"/>
                    <w:left w:w="0" w:type="dxa"/>
                    <w:bottom w:w="0" w:type="dxa"/>
                    <w:right w:w="0" w:type="dxa"/>
                  </w:tcMar>
                  <w:vAlign w:val="center"/>
                </w:tcPr>
                <w:p>
                  <w:pPr>
                    <w:pStyle w:val="36"/>
                    <w:rPr>
                      <w:color w:val="auto"/>
                    </w:rPr>
                  </w:pP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中拉机,2台（按点声源组预测）</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80（等效后：83.0)</w:t>
                  </w:r>
                </w:p>
              </w:tc>
              <w:tc>
                <w:tcPr>
                  <w:tcW w:w="676" w:type="dxa"/>
                  <w:vMerge w:val="continue"/>
                  <w:shd w:val="clear" w:color="auto" w:fill="FFFFFF"/>
                  <w:tcMar>
                    <w:top w:w="0" w:type="dxa"/>
                    <w:left w:w="0" w:type="dxa"/>
                    <w:bottom w:w="0" w:type="dxa"/>
                    <w:right w:w="0" w:type="dxa"/>
                  </w:tcMar>
                  <w:vAlign w:val="center"/>
                </w:tcPr>
                <w:p>
                  <w:pPr>
                    <w:pStyle w:val="36"/>
                    <w:rPr>
                      <w:color w:val="auto"/>
                    </w:rPr>
                  </w:pPr>
                </w:p>
              </w:tc>
              <w:tc>
                <w:tcPr>
                  <w:tcW w:w="495" w:type="dxa"/>
                  <w:shd w:val="clear" w:color="auto" w:fill="FFFFFF"/>
                  <w:tcMar>
                    <w:top w:w="0" w:type="dxa"/>
                    <w:left w:w="0" w:type="dxa"/>
                    <w:bottom w:w="0" w:type="dxa"/>
                    <w:right w:w="0" w:type="dxa"/>
                  </w:tcMar>
                  <w:vAlign w:val="center"/>
                </w:tcPr>
                <w:p>
                  <w:pPr>
                    <w:pStyle w:val="36"/>
                    <w:rPr>
                      <w:color w:val="auto"/>
                    </w:rPr>
                  </w:pPr>
                  <w:r>
                    <w:rPr>
                      <w:color w:val="auto"/>
                    </w:rPr>
                    <w:t>-97.7</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-49.1</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32.8</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60.2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28.3</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43.2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64.4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64.3</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64.4</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64.3</w:t>
                  </w:r>
                </w:p>
              </w:tc>
              <w:tc>
                <w:tcPr>
                  <w:tcW w:w="758" w:type="dxa"/>
                  <w:vMerge w:val="continue"/>
                  <w:shd w:val="clear" w:color="auto" w:fill="FFFFFF"/>
                  <w:tcMar>
                    <w:top w:w="0" w:type="dxa"/>
                    <w:left w:w="0" w:type="dxa"/>
                    <w:bottom w:w="0" w:type="dxa"/>
                    <w:right w:w="0" w:type="dxa"/>
                  </w:tcMar>
                  <w:vAlign w:val="center"/>
                </w:tcPr>
                <w:p>
                  <w:pPr>
                    <w:pStyle w:val="36"/>
                    <w:rPr>
                      <w:color w:val="auto"/>
                    </w:rPr>
                  </w:pP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38.4</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38.3</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38.4</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38.3</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rFonts w:hint="eastAsia"/>
                      <w:color w:val="auto"/>
                    </w:rPr>
                    <w:t>13</w:t>
                  </w:r>
                </w:p>
              </w:tc>
              <w:tc>
                <w:tcPr>
                  <w:tcW w:w="436" w:type="dxa"/>
                  <w:vMerge w:val="continue"/>
                  <w:shd w:val="clear" w:color="auto" w:fill="FFFFFF"/>
                  <w:tcMar>
                    <w:top w:w="0" w:type="dxa"/>
                    <w:left w:w="0" w:type="dxa"/>
                    <w:bottom w:w="0" w:type="dxa"/>
                    <w:right w:w="0" w:type="dxa"/>
                  </w:tcMar>
                  <w:vAlign w:val="center"/>
                </w:tcPr>
                <w:p>
                  <w:pPr>
                    <w:pStyle w:val="36"/>
                    <w:rPr>
                      <w:color w:val="auto"/>
                    </w:rPr>
                  </w:pP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小拉机,2台（按点声源组预测）</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80（等效后：83.0)</w:t>
                  </w:r>
                </w:p>
              </w:tc>
              <w:tc>
                <w:tcPr>
                  <w:tcW w:w="676" w:type="dxa"/>
                  <w:vMerge w:val="continue"/>
                  <w:shd w:val="clear" w:color="auto" w:fill="FFFFFF"/>
                  <w:tcMar>
                    <w:top w:w="0" w:type="dxa"/>
                    <w:left w:w="0" w:type="dxa"/>
                    <w:bottom w:w="0" w:type="dxa"/>
                    <w:right w:w="0" w:type="dxa"/>
                  </w:tcMar>
                  <w:vAlign w:val="center"/>
                </w:tcPr>
                <w:p>
                  <w:pPr>
                    <w:pStyle w:val="36"/>
                    <w:rPr>
                      <w:color w:val="auto"/>
                    </w:rPr>
                  </w:pPr>
                </w:p>
              </w:tc>
              <w:tc>
                <w:tcPr>
                  <w:tcW w:w="495" w:type="dxa"/>
                  <w:shd w:val="clear" w:color="auto" w:fill="FFFFFF"/>
                  <w:tcMar>
                    <w:top w:w="0" w:type="dxa"/>
                    <w:left w:w="0" w:type="dxa"/>
                    <w:bottom w:w="0" w:type="dxa"/>
                    <w:right w:w="0" w:type="dxa"/>
                  </w:tcMar>
                  <w:vAlign w:val="center"/>
                </w:tcPr>
                <w:p>
                  <w:pPr>
                    <w:pStyle w:val="36"/>
                    <w:rPr>
                      <w:color w:val="auto"/>
                    </w:rPr>
                  </w:pPr>
                  <w:r>
                    <w:rPr>
                      <w:color w:val="auto"/>
                    </w:rPr>
                    <w:t>-103</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-62.4</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46.1</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29.7</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57.5</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64.4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64.3</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64.4</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64.3</w:t>
                  </w:r>
                </w:p>
              </w:tc>
              <w:tc>
                <w:tcPr>
                  <w:tcW w:w="758" w:type="dxa"/>
                  <w:vMerge w:val="continue"/>
                  <w:shd w:val="clear" w:color="auto" w:fill="FFFFFF"/>
                  <w:tcMar>
                    <w:top w:w="0" w:type="dxa"/>
                    <w:left w:w="0" w:type="dxa"/>
                    <w:bottom w:w="0" w:type="dxa"/>
                    <w:right w:w="0" w:type="dxa"/>
                  </w:tcMar>
                  <w:vAlign w:val="center"/>
                </w:tcPr>
                <w:p>
                  <w:pPr>
                    <w:pStyle w:val="36"/>
                    <w:rPr>
                      <w:color w:val="auto"/>
                    </w:rPr>
                  </w:pP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38.4</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38.3</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38.4</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38.3</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24" w:hRule="atLeast"/>
                <w:jc w:val="center"/>
              </w:trPr>
              <w:tc>
                <w:tcPr>
                  <w:tcW w:w="421" w:type="dxa"/>
                  <w:shd w:val="clear" w:color="auto" w:fill="FFFFFF"/>
                  <w:tcMar>
                    <w:top w:w="0" w:type="dxa"/>
                    <w:left w:w="0" w:type="dxa"/>
                    <w:bottom w:w="0" w:type="dxa"/>
                    <w:right w:w="0" w:type="dxa"/>
                  </w:tcMar>
                  <w:vAlign w:val="center"/>
                </w:tcPr>
                <w:p>
                  <w:pPr>
                    <w:pStyle w:val="36"/>
                    <w:rPr>
                      <w:color w:val="auto"/>
                    </w:rPr>
                  </w:pPr>
                  <w:r>
                    <w:rPr>
                      <w:rFonts w:hint="eastAsia"/>
                      <w:color w:val="auto"/>
                    </w:rPr>
                    <w:t>14</w:t>
                  </w:r>
                </w:p>
              </w:tc>
              <w:tc>
                <w:tcPr>
                  <w:tcW w:w="436" w:type="dxa"/>
                  <w:vMerge w:val="continue"/>
                  <w:shd w:val="clear" w:color="auto" w:fill="FFFFFF"/>
                  <w:tcMar>
                    <w:top w:w="0" w:type="dxa"/>
                    <w:left w:w="0" w:type="dxa"/>
                    <w:bottom w:w="0" w:type="dxa"/>
                    <w:right w:w="0" w:type="dxa"/>
                  </w:tcMar>
                  <w:vAlign w:val="center"/>
                </w:tcPr>
                <w:p>
                  <w:pPr>
                    <w:pStyle w:val="36"/>
                    <w:rPr>
                      <w:color w:val="auto"/>
                    </w:rPr>
                  </w:pPr>
                </w:p>
              </w:tc>
              <w:tc>
                <w:tcPr>
                  <w:tcW w:w="1298" w:type="dxa"/>
                  <w:shd w:val="clear" w:color="auto" w:fill="FFFFFF"/>
                  <w:tcMar>
                    <w:top w:w="0" w:type="dxa"/>
                    <w:left w:w="0" w:type="dxa"/>
                    <w:bottom w:w="0" w:type="dxa"/>
                    <w:right w:w="0" w:type="dxa"/>
                  </w:tcMar>
                  <w:vAlign w:val="center"/>
                </w:tcPr>
                <w:p>
                  <w:pPr>
                    <w:pStyle w:val="36"/>
                    <w:rPr>
                      <w:color w:val="auto"/>
                    </w:rPr>
                  </w:pPr>
                  <w:r>
                    <w:rPr>
                      <w:color w:val="auto"/>
                    </w:rPr>
                    <w:t>退火炉,2台（按点声源组预测）</w:t>
                  </w:r>
                </w:p>
              </w:tc>
              <w:tc>
                <w:tcPr>
                  <w:tcW w:w="878" w:type="dxa"/>
                  <w:shd w:val="clear" w:color="auto" w:fill="FFFFFF"/>
                  <w:tcMar>
                    <w:top w:w="0" w:type="dxa"/>
                    <w:left w:w="0" w:type="dxa"/>
                    <w:bottom w:w="0" w:type="dxa"/>
                    <w:right w:w="0" w:type="dxa"/>
                  </w:tcMar>
                  <w:vAlign w:val="center"/>
                </w:tcPr>
                <w:p>
                  <w:pPr>
                    <w:pStyle w:val="36"/>
                    <w:rPr>
                      <w:color w:val="auto"/>
                    </w:rPr>
                  </w:pPr>
                  <w:r>
                    <w:rPr>
                      <w:color w:val="auto"/>
                    </w:rPr>
                    <w:t>80（等效后：83.0)</w:t>
                  </w:r>
                </w:p>
              </w:tc>
              <w:tc>
                <w:tcPr>
                  <w:tcW w:w="676" w:type="dxa"/>
                  <w:vMerge w:val="continue"/>
                  <w:shd w:val="clear" w:color="auto" w:fill="FFFFFF"/>
                  <w:tcMar>
                    <w:top w:w="0" w:type="dxa"/>
                    <w:left w:w="0" w:type="dxa"/>
                    <w:bottom w:w="0" w:type="dxa"/>
                    <w:right w:w="0" w:type="dxa"/>
                  </w:tcMar>
                  <w:vAlign w:val="center"/>
                </w:tcPr>
                <w:p>
                  <w:pPr>
                    <w:pStyle w:val="36"/>
                    <w:rPr>
                      <w:color w:val="auto"/>
                    </w:rPr>
                  </w:pPr>
                </w:p>
              </w:tc>
              <w:tc>
                <w:tcPr>
                  <w:tcW w:w="495" w:type="dxa"/>
                  <w:shd w:val="clear" w:color="auto" w:fill="FFFFFF"/>
                  <w:tcMar>
                    <w:top w:w="0" w:type="dxa"/>
                    <w:left w:w="0" w:type="dxa"/>
                    <w:bottom w:w="0" w:type="dxa"/>
                    <w:right w:w="0" w:type="dxa"/>
                  </w:tcMar>
                  <w:vAlign w:val="center"/>
                </w:tcPr>
                <w:p>
                  <w:pPr>
                    <w:pStyle w:val="36"/>
                    <w:rPr>
                      <w:color w:val="auto"/>
                    </w:rPr>
                  </w:pPr>
                  <w:r>
                    <w:rPr>
                      <w:color w:val="auto"/>
                    </w:rPr>
                    <w:t>-110.5</w:t>
                  </w:r>
                </w:p>
              </w:tc>
              <w:tc>
                <w:tcPr>
                  <w:tcW w:w="495" w:type="dxa"/>
                  <w:shd w:val="clear" w:color="auto" w:fill="FFFFFF"/>
                  <w:tcMar>
                    <w:top w:w="0" w:type="dxa"/>
                    <w:left w:w="0" w:type="dxa"/>
                    <w:bottom w:w="0" w:type="dxa"/>
                    <w:right w:w="0" w:type="dxa"/>
                  </w:tcMar>
                  <w:vAlign w:val="center"/>
                </w:tcPr>
                <w:p>
                  <w:pPr>
                    <w:pStyle w:val="36"/>
                    <w:rPr>
                      <w:color w:val="auto"/>
                    </w:rPr>
                  </w:pPr>
                  <w:r>
                    <w:rPr>
                      <w:color w:val="auto"/>
                    </w:rPr>
                    <w:t>-76.4</w:t>
                  </w:r>
                </w:p>
              </w:tc>
              <w:tc>
                <w:tcPr>
                  <w:tcW w:w="496" w:type="dxa"/>
                  <w:shd w:val="clear" w:color="auto" w:fill="FFFFFF"/>
                  <w:tcMar>
                    <w:top w:w="0" w:type="dxa"/>
                    <w:left w:w="0" w:type="dxa"/>
                    <w:bottom w:w="0" w:type="dxa"/>
                    <w:right w:w="0" w:type="dxa"/>
                  </w:tcMar>
                  <w:vAlign w:val="center"/>
                </w:tcPr>
                <w:p>
                  <w:pPr>
                    <w:pStyle w:val="36"/>
                    <w:rPr>
                      <w:color w:val="auto"/>
                    </w:rPr>
                  </w:pPr>
                  <w:r>
                    <w:rPr>
                      <w:color w:val="auto"/>
                    </w:rPr>
                    <w:t>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31.2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30.2</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29.4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73.4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64.4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64.4</w:t>
                  </w:r>
                </w:p>
              </w:tc>
              <w:tc>
                <w:tcPr>
                  <w:tcW w:w="449" w:type="dxa"/>
                  <w:shd w:val="clear" w:color="auto" w:fill="FFFFFF"/>
                  <w:tcMar>
                    <w:top w:w="0" w:type="dxa"/>
                    <w:left w:w="0" w:type="dxa"/>
                    <w:bottom w:w="0" w:type="dxa"/>
                    <w:right w:w="0" w:type="dxa"/>
                  </w:tcMar>
                  <w:vAlign w:val="center"/>
                </w:tcPr>
                <w:p>
                  <w:pPr>
                    <w:pStyle w:val="36"/>
                    <w:rPr>
                      <w:color w:val="auto"/>
                    </w:rPr>
                  </w:pPr>
                  <w:r>
                    <w:rPr>
                      <w:color w:val="auto"/>
                    </w:rPr>
                    <w:t>64.4</w:t>
                  </w:r>
                </w:p>
              </w:tc>
              <w:tc>
                <w:tcPr>
                  <w:tcW w:w="451" w:type="dxa"/>
                  <w:shd w:val="clear" w:color="auto" w:fill="FFFFFF"/>
                  <w:tcMar>
                    <w:top w:w="0" w:type="dxa"/>
                    <w:left w:w="0" w:type="dxa"/>
                    <w:bottom w:w="0" w:type="dxa"/>
                    <w:right w:w="0" w:type="dxa"/>
                  </w:tcMar>
                  <w:vAlign w:val="center"/>
                </w:tcPr>
                <w:p>
                  <w:pPr>
                    <w:pStyle w:val="36"/>
                    <w:rPr>
                      <w:color w:val="auto"/>
                    </w:rPr>
                  </w:pPr>
                  <w:r>
                    <w:rPr>
                      <w:color w:val="auto"/>
                    </w:rPr>
                    <w:t>64.3</w:t>
                  </w:r>
                </w:p>
              </w:tc>
              <w:tc>
                <w:tcPr>
                  <w:tcW w:w="758" w:type="dxa"/>
                  <w:vMerge w:val="continue"/>
                  <w:shd w:val="clear" w:color="auto" w:fill="FFFFFF"/>
                  <w:tcMar>
                    <w:top w:w="0" w:type="dxa"/>
                    <w:left w:w="0" w:type="dxa"/>
                    <w:bottom w:w="0" w:type="dxa"/>
                    <w:right w:w="0" w:type="dxa"/>
                  </w:tcMar>
                  <w:vAlign w:val="center"/>
                </w:tcPr>
                <w:p>
                  <w:pPr>
                    <w:pStyle w:val="36"/>
                    <w:rPr>
                      <w:color w:val="auto"/>
                    </w:rPr>
                  </w:pP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59"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460" w:type="dxa"/>
                  <w:shd w:val="clear" w:color="auto" w:fill="FFFFFF"/>
                  <w:tcMar>
                    <w:top w:w="0" w:type="dxa"/>
                    <w:left w:w="0" w:type="dxa"/>
                    <w:bottom w:w="0" w:type="dxa"/>
                    <w:right w:w="0" w:type="dxa"/>
                  </w:tcMar>
                  <w:vAlign w:val="center"/>
                </w:tcPr>
                <w:p>
                  <w:pPr>
                    <w:pStyle w:val="36"/>
                    <w:rPr>
                      <w:color w:val="auto"/>
                    </w:rPr>
                  </w:pPr>
                  <w:r>
                    <w:rPr>
                      <w:color w:val="auto"/>
                    </w:rPr>
                    <w:t>26.0</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38.4</w:t>
                  </w:r>
                </w:p>
              </w:tc>
              <w:tc>
                <w:tcPr>
                  <w:tcW w:w="554" w:type="dxa"/>
                  <w:shd w:val="clear" w:color="auto" w:fill="FFFFFF"/>
                  <w:tcMar>
                    <w:top w:w="0" w:type="dxa"/>
                    <w:left w:w="0" w:type="dxa"/>
                    <w:bottom w:w="0" w:type="dxa"/>
                    <w:right w:w="0" w:type="dxa"/>
                  </w:tcMar>
                  <w:vAlign w:val="center"/>
                </w:tcPr>
                <w:p>
                  <w:pPr>
                    <w:pStyle w:val="36"/>
                    <w:rPr>
                      <w:color w:val="auto"/>
                    </w:rPr>
                  </w:pPr>
                  <w:r>
                    <w:rPr>
                      <w:color w:val="auto"/>
                    </w:rPr>
                    <w:t>38.4</w:t>
                  </w:r>
                </w:p>
              </w:tc>
              <w:tc>
                <w:tcPr>
                  <w:tcW w:w="473" w:type="dxa"/>
                  <w:shd w:val="clear" w:color="auto" w:fill="FFFFFF"/>
                  <w:tcMar>
                    <w:top w:w="0" w:type="dxa"/>
                    <w:left w:w="0" w:type="dxa"/>
                    <w:bottom w:w="0" w:type="dxa"/>
                    <w:right w:w="0" w:type="dxa"/>
                  </w:tcMar>
                  <w:vAlign w:val="center"/>
                </w:tcPr>
                <w:p>
                  <w:pPr>
                    <w:pStyle w:val="36"/>
                    <w:rPr>
                      <w:color w:val="auto"/>
                    </w:rPr>
                  </w:pPr>
                  <w:r>
                    <w:rPr>
                      <w:color w:val="auto"/>
                    </w:rPr>
                    <w:t>38.4</w:t>
                  </w:r>
                </w:p>
              </w:tc>
              <w:tc>
                <w:tcPr>
                  <w:tcW w:w="500" w:type="dxa"/>
                  <w:shd w:val="clear" w:color="auto" w:fill="FFFFFF"/>
                  <w:tcMar>
                    <w:top w:w="0" w:type="dxa"/>
                    <w:left w:w="0" w:type="dxa"/>
                    <w:bottom w:w="0" w:type="dxa"/>
                    <w:right w:w="0" w:type="dxa"/>
                  </w:tcMar>
                  <w:vAlign w:val="center"/>
                </w:tcPr>
                <w:p>
                  <w:pPr>
                    <w:pStyle w:val="36"/>
                    <w:rPr>
                      <w:color w:val="auto"/>
                    </w:rPr>
                  </w:pPr>
                  <w:r>
                    <w:rPr>
                      <w:color w:val="auto"/>
                    </w:rPr>
                    <w:t>38.3</w:t>
                  </w:r>
                </w:p>
              </w:tc>
              <w:tc>
                <w:tcPr>
                  <w:tcW w:w="583" w:type="dxa"/>
                  <w:shd w:val="clear" w:color="auto" w:fill="FFFFFF"/>
                  <w:tcMar>
                    <w:top w:w="0" w:type="dxa"/>
                    <w:left w:w="0" w:type="dxa"/>
                    <w:bottom w:w="0" w:type="dxa"/>
                    <w:right w:w="0" w:type="dxa"/>
                  </w:tcMar>
                  <w:vAlign w:val="center"/>
                </w:tcPr>
                <w:p>
                  <w:pPr>
                    <w:pStyle w:val="36"/>
                    <w:rPr>
                      <w:color w:val="auto"/>
                    </w:rPr>
                  </w:pPr>
                  <w:r>
                    <w:rPr>
                      <w:color w:val="auto"/>
                    </w:rPr>
                    <w:t>1</w:t>
                  </w:r>
                </w:p>
              </w:tc>
            </w:tr>
            <w:bookmarkEnd w:id="88"/>
          </w:tbl>
          <w:p>
            <w:pPr>
              <w:ind w:firstLine="420"/>
              <w:rPr>
                <w:rFonts w:cs="Times New Roman"/>
                <w:color w:val="auto"/>
              </w:rPr>
            </w:pPr>
            <w:r>
              <w:rPr>
                <w:rFonts w:cs="Times New Roman"/>
                <w:bCs/>
                <w:color w:val="auto"/>
                <w:sz w:val="21"/>
                <w:szCs w:val="21"/>
              </w:rPr>
              <w:t>表中坐标以厂界中心（</w:t>
            </w:r>
            <w:bookmarkStart w:id="90" w:name="PO_7"/>
            <w:r>
              <w:rPr>
                <w:rFonts w:cs="Times New Roman"/>
                <w:bCs/>
                <w:color w:val="auto"/>
                <w:sz w:val="21"/>
                <w:szCs w:val="21"/>
              </w:rPr>
              <w:t>119.414314,25.776269</w:t>
            </w:r>
            <w:bookmarkEnd w:id="90"/>
            <w:r>
              <w:rPr>
                <w:rFonts w:cs="Times New Roman"/>
                <w:bCs/>
                <w:color w:val="auto"/>
                <w:sz w:val="21"/>
                <w:szCs w:val="21"/>
              </w:rPr>
              <w:t>）为坐标原点，正东向为X轴正方向，正北向为Y轴正方向</w:t>
            </w:r>
          </w:p>
          <w:p>
            <w:pPr>
              <w:pStyle w:val="37"/>
              <w:ind w:firstLine="480"/>
              <w:rPr>
                <w:rFonts w:cs="Times New Roman"/>
                <w:color w:val="auto"/>
              </w:rPr>
            </w:pPr>
          </w:p>
          <w:p>
            <w:pPr>
              <w:pStyle w:val="37"/>
              <w:ind w:firstLine="480"/>
              <w:rPr>
                <w:rFonts w:cs="Times New Roman"/>
                <w:color w:val="auto"/>
              </w:rPr>
            </w:pPr>
          </w:p>
          <w:p>
            <w:pPr>
              <w:pStyle w:val="37"/>
              <w:ind w:firstLine="480"/>
              <w:rPr>
                <w:rFonts w:cs="Times New Roman"/>
                <w:color w:val="auto"/>
              </w:rPr>
            </w:pPr>
          </w:p>
          <w:p>
            <w:pPr>
              <w:pStyle w:val="37"/>
              <w:ind w:firstLine="480"/>
              <w:rPr>
                <w:rFonts w:cs="Times New Roman"/>
                <w:color w:val="auto"/>
              </w:rPr>
            </w:pPr>
          </w:p>
          <w:p>
            <w:pPr>
              <w:pStyle w:val="37"/>
              <w:ind w:firstLine="480"/>
              <w:rPr>
                <w:rFonts w:cs="Times New Roman"/>
                <w:color w:val="auto"/>
              </w:rPr>
            </w:pPr>
          </w:p>
          <w:p>
            <w:pPr>
              <w:pStyle w:val="37"/>
              <w:ind w:firstLine="480"/>
              <w:rPr>
                <w:rFonts w:cs="Times New Roman"/>
                <w:color w:val="auto"/>
              </w:rPr>
            </w:pPr>
          </w:p>
          <w:p>
            <w:pPr>
              <w:pStyle w:val="37"/>
              <w:ind w:firstLine="480"/>
              <w:rPr>
                <w:rFonts w:cs="Times New Roman"/>
                <w:color w:val="auto"/>
              </w:rPr>
            </w:pPr>
            <w:r>
              <w:rPr>
                <w:rFonts w:cs="Times New Roman"/>
                <w:color w:val="auto"/>
              </w:rPr>
              <w:t>表4.2-</w:t>
            </w:r>
            <w:r>
              <w:rPr>
                <w:rFonts w:hint="eastAsia" w:cs="Times New Roman"/>
                <w:color w:val="auto"/>
                <w:lang w:val="en-US" w:eastAsia="zh-CN"/>
              </w:rPr>
              <w:t>11</w:t>
            </w:r>
            <w:r>
              <w:rPr>
                <w:rFonts w:cs="Times New Roman"/>
                <w:color w:val="auto"/>
              </w:rPr>
              <w:tab/>
            </w:r>
            <w:r>
              <w:rPr>
                <w:rFonts w:cs="Times New Roman"/>
                <w:color w:val="auto"/>
              </w:rPr>
              <w:t>工业企业噪声源强调查清单（室外声源）</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9"/>
              <w:gridCol w:w="2797"/>
              <w:gridCol w:w="1027"/>
              <w:gridCol w:w="1027"/>
              <w:gridCol w:w="1027"/>
              <w:gridCol w:w="4162"/>
              <w:gridCol w:w="1730"/>
              <w:gridCol w:w="1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849" w:type="dxa"/>
                  <w:vMerge w:val="restart"/>
                  <w:vAlign w:val="center"/>
                </w:tcPr>
                <w:p>
                  <w:pPr>
                    <w:pStyle w:val="36"/>
                    <w:rPr>
                      <w:color w:val="auto"/>
                    </w:rPr>
                  </w:pPr>
                  <w:bookmarkStart w:id="91" w:name="PT_5"/>
                  <w:r>
                    <w:rPr>
                      <w:color w:val="auto"/>
                    </w:rPr>
                    <w:t>序号</w:t>
                  </w:r>
                </w:p>
              </w:tc>
              <w:tc>
                <w:tcPr>
                  <w:tcW w:w="2797" w:type="dxa"/>
                  <w:vMerge w:val="restart"/>
                  <w:vAlign w:val="center"/>
                </w:tcPr>
                <w:p>
                  <w:pPr>
                    <w:pStyle w:val="36"/>
                    <w:rPr>
                      <w:color w:val="auto"/>
                    </w:rPr>
                  </w:pPr>
                  <w:r>
                    <w:rPr>
                      <w:color w:val="auto"/>
                    </w:rPr>
                    <w:t>声源名称</w:t>
                  </w:r>
                </w:p>
              </w:tc>
              <w:tc>
                <w:tcPr>
                  <w:tcW w:w="3081" w:type="dxa"/>
                  <w:gridSpan w:val="3"/>
                  <w:vAlign w:val="center"/>
                </w:tcPr>
                <w:p>
                  <w:pPr>
                    <w:pStyle w:val="36"/>
                    <w:rPr>
                      <w:color w:val="auto"/>
                    </w:rPr>
                  </w:pPr>
                  <w:r>
                    <w:rPr>
                      <w:color w:val="auto"/>
                    </w:rPr>
                    <w:t>空间相对位置/m</w:t>
                  </w:r>
                </w:p>
              </w:tc>
              <w:tc>
                <w:tcPr>
                  <w:tcW w:w="4162" w:type="dxa"/>
                  <w:vAlign w:val="center"/>
                </w:tcPr>
                <w:p>
                  <w:pPr>
                    <w:pStyle w:val="36"/>
                    <w:rPr>
                      <w:color w:val="auto"/>
                    </w:rPr>
                  </w:pPr>
                  <w:r>
                    <w:rPr>
                      <w:color w:val="auto"/>
                    </w:rPr>
                    <w:t>声源源强（任选一种）</w:t>
                  </w:r>
                </w:p>
              </w:tc>
              <w:tc>
                <w:tcPr>
                  <w:tcW w:w="1730" w:type="dxa"/>
                  <w:vMerge w:val="restart"/>
                  <w:vAlign w:val="center"/>
                </w:tcPr>
                <w:p>
                  <w:pPr>
                    <w:pStyle w:val="36"/>
                    <w:rPr>
                      <w:color w:val="auto"/>
                    </w:rPr>
                  </w:pPr>
                  <w:r>
                    <w:rPr>
                      <w:color w:val="auto"/>
                    </w:rPr>
                    <w:t>声源控制措施</w:t>
                  </w:r>
                </w:p>
              </w:tc>
              <w:tc>
                <w:tcPr>
                  <w:tcW w:w="1375" w:type="dxa"/>
                  <w:vMerge w:val="restart"/>
                  <w:vAlign w:val="center"/>
                </w:tcPr>
                <w:p>
                  <w:pPr>
                    <w:pStyle w:val="36"/>
                    <w:rPr>
                      <w:color w:val="auto"/>
                    </w:rPr>
                  </w:pPr>
                  <w:r>
                    <w:rPr>
                      <w:color w:val="auto"/>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49" w:type="dxa"/>
                  <w:vMerge w:val="continue"/>
                  <w:shd w:val="clear" w:color="auto" w:fill="FFFFFF"/>
                  <w:vAlign w:val="center"/>
                </w:tcPr>
                <w:p>
                  <w:pPr>
                    <w:pStyle w:val="36"/>
                    <w:rPr>
                      <w:color w:val="auto"/>
                    </w:rPr>
                  </w:pPr>
                </w:p>
              </w:tc>
              <w:tc>
                <w:tcPr>
                  <w:tcW w:w="2797" w:type="dxa"/>
                  <w:vMerge w:val="continue"/>
                  <w:shd w:val="clear" w:color="auto" w:fill="FFFFFF"/>
                  <w:vAlign w:val="center"/>
                </w:tcPr>
                <w:p>
                  <w:pPr>
                    <w:pStyle w:val="36"/>
                    <w:rPr>
                      <w:color w:val="auto"/>
                    </w:rPr>
                  </w:pPr>
                </w:p>
              </w:tc>
              <w:tc>
                <w:tcPr>
                  <w:tcW w:w="1027" w:type="dxa"/>
                  <w:shd w:val="clear" w:color="auto" w:fill="FFFFFF"/>
                  <w:vAlign w:val="center"/>
                </w:tcPr>
                <w:p>
                  <w:pPr>
                    <w:pStyle w:val="36"/>
                    <w:rPr>
                      <w:color w:val="auto"/>
                    </w:rPr>
                  </w:pPr>
                  <w:r>
                    <w:rPr>
                      <w:color w:val="auto"/>
                    </w:rPr>
                    <w:t>X</w:t>
                  </w:r>
                </w:p>
              </w:tc>
              <w:tc>
                <w:tcPr>
                  <w:tcW w:w="1027" w:type="dxa"/>
                  <w:shd w:val="clear" w:color="auto" w:fill="FFFFFF"/>
                  <w:vAlign w:val="center"/>
                </w:tcPr>
                <w:p>
                  <w:pPr>
                    <w:pStyle w:val="36"/>
                    <w:rPr>
                      <w:color w:val="auto"/>
                    </w:rPr>
                  </w:pPr>
                  <w:r>
                    <w:rPr>
                      <w:color w:val="auto"/>
                    </w:rPr>
                    <w:t>Y</w:t>
                  </w:r>
                </w:p>
              </w:tc>
              <w:tc>
                <w:tcPr>
                  <w:tcW w:w="1027" w:type="dxa"/>
                  <w:shd w:val="clear" w:color="auto" w:fill="FFFFFF"/>
                  <w:vAlign w:val="center"/>
                </w:tcPr>
                <w:p>
                  <w:pPr>
                    <w:pStyle w:val="36"/>
                    <w:rPr>
                      <w:color w:val="auto"/>
                    </w:rPr>
                  </w:pPr>
                  <w:r>
                    <w:rPr>
                      <w:color w:val="auto"/>
                    </w:rPr>
                    <w:t>Z</w:t>
                  </w:r>
                </w:p>
              </w:tc>
              <w:tc>
                <w:tcPr>
                  <w:tcW w:w="4162" w:type="dxa"/>
                  <w:shd w:val="clear" w:color="auto" w:fill="FFFFFF"/>
                  <w:vAlign w:val="center"/>
                </w:tcPr>
                <w:p>
                  <w:pPr>
                    <w:pStyle w:val="36"/>
                    <w:rPr>
                      <w:color w:val="auto"/>
                    </w:rPr>
                  </w:pPr>
                  <w:r>
                    <w:rPr>
                      <w:color w:val="auto"/>
                    </w:rPr>
                    <w:t>声功率级/dB</w:t>
                  </w:r>
                  <w:r>
                    <w:rPr>
                      <w:rFonts w:hint="eastAsia"/>
                      <w:color w:val="auto"/>
                    </w:rPr>
                    <w:t>（</w:t>
                  </w:r>
                  <w:r>
                    <w:rPr>
                      <w:color w:val="auto"/>
                    </w:rPr>
                    <w:t>A</w:t>
                  </w:r>
                  <w:r>
                    <w:rPr>
                      <w:rFonts w:hint="eastAsia"/>
                      <w:color w:val="auto"/>
                    </w:rPr>
                    <w:t>）</w:t>
                  </w:r>
                </w:p>
              </w:tc>
              <w:tc>
                <w:tcPr>
                  <w:tcW w:w="1730" w:type="dxa"/>
                  <w:vMerge w:val="continue"/>
                  <w:shd w:val="clear" w:color="auto" w:fill="FFFFFF"/>
                  <w:vAlign w:val="center"/>
                </w:tcPr>
                <w:p>
                  <w:pPr>
                    <w:pStyle w:val="36"/>
                    <w:rPr>
                      <w:color w:val="auto"/>
                    </w:rPr>
                  </w:pPr>
                </w:p>
                <w:bookmarkEnd w:id="91"/>
              </w:tc>
              <w:tc>
                <w:tcPr>
                  <w:tcW w:w="1375" w:type="dxa"/>
                  <w:vMerge w:val="continue"/>
                  <w:shd w:val="clear" w:color="auto" w:fill="FFFFFF"/>
                  <w:vAlign w:val="center"/>
                </w:tcPr>
                <w:p>
                  <w:pPr>
                    <w:pStyle w:val="36"/>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849" w:type="dxa"/>
                  <w:shd w:val="clear" w:color="auto" w:fill="FFFFFF"/>
                  <w:vAlign w:val="center"/>
                </w:tcPr>
                <w:p>
                  <w:pPr>
                    <w:pStyle w:val="36"/>
                    <w:rPr>
                      <w:color w:val="auto"/>
                    </w:rPr>
                  </w:pPr>
                  <w:r>
                    <w:rPr>
                      <w:color w:val="auto"/>
                    </w:rPr>
                    <w:t>1</w:t>
                  </w:r>
                </w:p>
              </w:tc>
              <w:tc>
                <w:tcPr>
                  <w:tcW w:w="2797" w:type="dxa"/>
                  <w:shd w:val="clear" w:color="auto" w:fill="FFFFFF"/>
                  <w:vAlign w:val="center"/>
                </w:tcPr>
                <w:p>
                  <w:pPr>
                    <w:pStyle w:val="36"/>
                    <w:rPr>
                      <w:color w:val="auto"/>
                    </w:rPr>
                  </w:pPr>
                  <w:r>
                    <w:rPr>
                      <w:color w:val="auto"/>
                    </w:rPr>
                    <w:t>冷却塔1#、2#,2台</w:t>
                  </w:r>
                </w:p>
                <w:p>
                  <w:pPr>
                    <w:pStyle w:val="36"/>
                    <w:rPr>
                      <w:color w:val="auto"/>
                    </w:rPr>
                  </w:pPr>
                  <w:r>
                    <w:rPr>
                      <w:color w:val="auto"/>
                    </w:rPr>
                    <w:t>（按点声源组预测）</w:t>
                  </w:r>
                </w:p>
              </w:tc>
              <w:tc>
                <w:tcPr>
                  <w:tcW w:w="1027" w:type="dxa"/>
                  <w:shd w:val="clear" w:color="auto" w:fill="FFFFFF"/>
                  <w:vAlign w:val="center"/>
                </w:tcPr>
                <w:p>
                  <w:pPr>
                    <w:pStyle w:val="36"/>
                    <w:rPr>
                      <w:color w:val="auto"/>
                    </w:rPr>
                  </w:pPr>
                  <w:r>
                    <w:rPr>
                      <w:color w:val="auto"/>
                    </w:rPr>
                    <w:t>139.4</w:t>
                  </w:r>
                </w:p>
              </w:tc>
              <w:tc>
                <w:tcPr>
                  <w:tcW w:w="1027" w:type="dxa"/>
                  <w:shd w:val="clear" w:color="auto" w:fill="FFFFFF"/>
                  <w:vAlign w:val="center"/>
                </w:tcPr>
                <w:p>
                  <w:pPr>
                    <w:pStyle w:val="36"/>
                    <w:rPr>
                      <w:color w:val="auto"/>
                    </w:rPr>
                  </w:pPr>
                  <w:r>
                    <w:rPr>
                      <w:color w:val="auto"/>
                    </w:rPr>
                    <w:t>51.1</w:t>
                  </w:r>
                </w:p>
              </w:tc>
              <w:tc>
                <w:tcPr>
                  <w:tcW w:w="1027" w:type="dxa"/>
                  <w:shd w:val="clear" w:color="auto" w:fill="FFFFFF"/>
                  <w:vAlign w:val="center"/>
                </w:tcPr>
                <w:p>
                  <w:pPr>
                    <w:pStyle w:val="36"/>
                    <w:rPr>
                      <w:color w:val="auto"/>
                    </w:rPr>
                  </w:pPr>
                  <w:r>
                    <w:rPr>
                      <w:color w:val="auto"/>
                    </w:rPr>
                    <w:t>6</w:t>
                  </w:r>
                </w:p>
              </w:tc>
              <w:tc>
                <w:tcPr>
                  <w:tcW w:w="4162" w:type="dxa"/>
                  <w:shd w:val="clear" w:color="auto" w:fill="FFFFFF"/>
                  <w:vAlign w:val="center"/>
                </w:tcPr>
                <w:p>
                  <w:pPr>
                    <w:pStyle w:val="36"/>
                    <w:rPr>
                      <w:color w:val="auto"/>
                    </w:rPr>
                  </w:pPr>
                  <w:r>
                    <w:rPr>
                      <w:color w:val="auto"/>
                    </w:rPr>
                    <w:t>80（等效后：83.0)</w:t>
                  </w:r>
                </w:p>
              </w:tc>
              <w:tc>
                <w:tcPr>
                  <w:tcW w:w="1730" w:type="dxa"/>
                  <w:shd w:val="clear" w:color="auto" w:fill="FFFFFF"/>
                  <w:vAlign w:val="center"/>
                </w:tcPr>
                <w:p>
                  <w:pPr>
                    <w:pStyle w:val="36"/>
                    <w:rPr>
                      <w:color w:val="auto"/>
                    </w:rPr>
                  </w:pPr>
                  <w:r>
                    <w:rPr>
                      <w:rFonts w:hint="eastAsia"/>
                      <w:color w:val="auto"/>
                    </w:rPr>
                    <w:t>基础</w:t>
                  </w:r>
                  <w:r>
                    <w:rPr>
                      <w:rFonts w:hint="eastAsia"/>
                      <w:bCs/>
                      <w:color w:val="auto"/>
                    </w:rPr>
                    <w:t>减振</w:t>
                  </w:r>
                  <w:r>
                    <w:rPr>
                      <w:rFonts w:hint="eastAsia"/>
                      <w:color w:val="auto"/>
                    </w:rPr>
                    <w:t>等</w:t>
                  </w:r>
                </w:p>
              </w:tc>
              <w:tc>
                <w:tcPr>
                  <w:tcW w:w="1375" w:type="dxa"/>
                  <w:shd w:val="clear" w:color="auto" w:fill="FFFFFF"/>
                  <w:vAlign w:val="center"/>
                </w:tcPr>
                <w:p>
                  <w:pPr>
                    <w:pStyle w:val="36"/>
                    <w:rPr>
                      <w:color w:val="auto"/>
                    </w:rPr>
                  </w:pPr>
                  <w:r>
                    <w:rPr>
                      <w:rFonts w:hint="eastAsia"/>
                      <w:color w:val="auto"/>
                    </w:rPr>
                    <w:t>0:00~</w:t>
                  </w:r>
                  <w:r>
                    <w:rPr>
                      <w:color w:val="auto"/>
                    </w:rPr>
                    <w:t>24</w:t>
                  </w:r>
                  <w:r>
                    <w:rPr>
                      <w:rFonts w:hint="eastAsia"/>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849" w:type="dxa"/>
                  <w:shd w:val="clear" w:color="auto" w:fill="FFFFFF"/>
                  <w:vAlign w:val="center"/>
                </w:tcPr>
                <w:p>
                  <w:pPr>
                    <w:pStyle w:val="36"/>
                    <w:rPr>
                      <w:color w:val="auto"/>
                    </w:rPr>
                  </w:pPr>
                  <w:r>
                    <w:rPr>
                      <w:color w:val="auto"/>
                    </w:rPr>
                    <w:t>2</w:t>
                  </w:r>
                </w:p>
              </w:tc>
              <w:tc>
                <w:tcPr>
                  <w:tcW w:w="2797" w:type="dxa"/>
                  <w:shd w:val="clear" w:color="auto" w:fill="FFFFFF"/>
                  <w:vAlign w:val="center"/>
                </w:tcPr>
                <w:p>
                  <w:pPr>
                    <w:pStyle w:val="36"/>
                    <w:rPr>
                      <w:color w:val="auto"/>
                    </w:rPr>
                  </w:pPr>
                  <w:r>
                    <w:rPr>
                      <w:color w:val="auto"/>
                    </w:rPr>
                    <w:t>冷却塔3#、4#,2台</w:t>
                  </w:r>
                </w:p>
                <w:p>
                  <w:pPr>
                    <w:pStyle w:val="36"/>
                    <w:rPr>
                      <w:color w:val="auto"/>
                    </w:rPr>
                  </w:pPr>
                  <w:r>
                    <w:rPr>
                      <w:color w:val="auto"/>
                    </w:rPr>
                    <w:t>（按点声源组预测）</w:t>
                  </w:r>
                </w:p>
              </w:tc>
              <w:tc>
                <w:tcPr>
                  <w:tcW w:w="1027" w:type="dxa"/>
                  <w:shd w:val="clear" w:color="auto" w:fill="FFFFFF"/>
                  <w:vAlign w:val="center"/>
                </w:tcPr>
                <w:p>
                  <w:pPr>
                    <w:pStyle w:val="36"/>
                    <w:rPr>
                      <w:color w:val="auto"/>
                    </w:rPr>
                  </w:pPr>
                  <w:r>
                    <w:rPr>
                      <w:color w:val="auto"/>
                    </w:rPr>
                    <w:t>35.1</w:t>
                  </w:r>
                </w:p>
              </w:tc>
              <w:tc>
                <w:tcPr>
                  <w:tcW w:w="1027" w:type="dxa"/>
                  <w:shd w:val="clear" w:color="auto" w:fill="FFFFFF"/>
                  <w:vAlign w:val="center"/>
                </w:tcPr>
                <w:p>
                  <w:pPr>
                    <w:pStyle w:val="36"/>
                    <w:rPr>
                      <w:color w:val="auto"/>
                    </w:rPr>
                  </w:pPr>
                  <w:r>
                    <w:rPr>
                      <w:color w:val="auto"/>
                    </w:rPr>
                    <w:t>34</w:t>
                  </w:r>
                </w:p>
              </w:tc>
              <w:tc>
                <w:tcPr>
                  <w:tcW w:w="1027" w:type="dxa"/>
                  <w:shd w:val="clear" w:color="auto" w:fill="FFFFFF"/>
                  <w:vAlign w:val="center"/>
                </w:tcPr>
                <w:p>
                  <w:pPr>
                    <w:pStyle w:val="36"/>
                    <w:rPr>
                      <w:color w:val="auto"/>
                    </w:rPr>
                  </w:pPr>
                  <w:r>
                    <w:rPr>
                      <w:color w:val="auto"/>
                    </w:rPr>
                    <w:t>6</w:t>
                  </w:r>
                </w:p>
              </w:tc>
              <w:tc>
                <w:tcPr>
                  <w:tcW w:w="4162" w:type="dxa"/>
                  <w:shd w:val="clear" w:color="auto" w:fill="FFFFFF"/>
                  <w:vAlign w:val="center"/>
                </w:tcPr>
                <w:p>
                  <w:pPr>
                    <w:pStyle w:val="36"/>
                    <w:rPr>
                      <w:color w:val="auto"/>
                    </w:rPr>
                  </w:pPr>
                  <w:r>
                    <w:rPr>
                      <w:color w:val="auto"/>
                    </w:rPr>
                    <w:t>80（等效后：83.0)</w:t>
                  </w:r>
                </w:p>
              </w:tc>
              <w:tc>
                <w:tcPr>
                  <w:tcW w:w="1730" w:type="dxa"/>
                  <w:shd w:val="clear" w:color="auto" w:fill="FFFFFF"/>
                  <w:vAlign w:val="center"/>
                </w:tcPr>
                <w:p>
                  <w:pPr>
                    <w:pStyle w:val="36"/>
                    <w:rPr>
                      <w:color w:val="auto"/>
                    </w:rPr>
                  </w:pPr>
                  <w:r>
                    <w:rPr>
                      <w:rFonts w:hint="eastAsia"/>
                      <w:color w:val="auto"/>
                    </w:rPr>
                    <w:t>基础</w:t>
                  </w:r>
                  <w:r>
                    <w:rPr>
                      <w:rFonts w:hint="eastAsia"/>
                      <w:bCs/>
                      <w:color w:val="auto"/>
                    </w:rPr>
                    <w:t>减振</w:t>
                  </w:r>
                  <w:r>
                    <w:rPr>
                      <w:rFonts w:hint="eastAsia"/>
                      <w:color w:val="auto"/>
                    </w:rPr>
                    <w:t>等</w:t>
                  </w:r>
                </w:p>
              </w:tc>
              <w:tc>
                <w:tcPr>
                  <w:tcW w:w="1375" w:type="dxa"/>
                  <w:shd w:val="clear" w:color="auto" w:fill="FFFFFF"/>
                  <w:vAlign w:val="center"/>
                </w:tcPr>
                <w:p>
                  <w:pPr>
                    <w:pStyle w:val="36"/>
                    <w:rPr>
                      <w:color w:val="auto"/>
                    </w:rPr>
                  </w:pPr>
                  <w:r>
                    <w:rPr>
                      <w:rFonts w:hint="eastAsia"/>
                      <w:color w:val="auto"/>
                    </w:rPr>
                    <w:t>0:00~</w:t>
                  </w:r>
                  <w:r>
                    <w:rPr>
                      <w:color w:val="auto"/>
                    </w:rPr>
                    <w:t>24</w:t>
                  </w:r>
                  <w:r>
                    <w:rPr>
                      <w:rFonts w:hint="eastAsia"/>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849" w:type="dxa"/>
                  <w:shd w:val="clear" w:color="auto" w:fill="FFFFFF"/>
                  <w:vAlign w:val="center"/>
                </w:tcPr>
                <w:p>
                  <w:pPr>
                    <w:pStyle w:val="36"/>
                    <w:rPr>
                      <w:color w:val="auto"/>
                    </w:rPr>
                  </w:pPr>
                  <w:r>
                    <w:rPr>
                      <w:color w:val="auto"/>
                    </w:rPr>
                    <w:t>3</w:t>
                  </w:r>
                </w:p>
              </w:tc>
              <w:tc>
                <w:tcPr>
                  <w:tcW w:w="2797" w:type="dxa"/>
                  <w:shd w:val="clear" w:color="auto" w:fill="FFFFFF"/>
                  <w:vAlign w:val="center"/>
                </w:tcPr>
                <w:p>
                  <w:pPr>
                    <w:pStyle w:val="36"/>
                    <w:rPr>
                      <w:color w:val="auto"/>
                    </w:rPr>
                  </w:pPr>
                  <w:r>
                    <w:rPr>
                      <w:color w:val="auto"/>
                    </w:rPr>
                    <w:t>冷却塔5#、6#,2台</w:t>
                  </w:r>
                </w:p>
                <w:p>
                  <w:pPr>
                    <w:pStyle w:val="36"/>
                    <w:rPr>
                      <w:color w:val="auto"/>
                    </w:rPr>
                  </w:pPr>
                  <w:r>
                    <w:rPr>
                      <w:color w:val="auto"/>
                    </w:rPr>
                    <w:t>（按点声源组预测）</w:t>
                  </w:r>
                </w:p>
              </w:tc>
              <w:tc>
                <w:tcPr>
                  <w:tcW w:w="1027" w:type="dxa"/>
                  <w:shd w:val="clear" w:color="auto" w:fill="FFFFFF"/>
                  <w:vAlign w:val="center"/>
                </w:tcPr>
                <w:p>
                  <w:pPr>
                    <w:pStyle w:val="36"/>
                    <w:rPr>
                      <w:color w:val="auto"/>
                    </w:rPr>
                  </w:pPr>
                  <w:r>
                    <w:rPr>
                      <w:color w:val="auto"/>
                    </w:rPr>
                    <w:t>-72.6</w:t>
                  </w:r>
                </w:p>
              </w:tc>
              <w:tc>
                <w:tcPr>
                  <w:tcW w:w="1027" w:type="dxa"/>
                  <w:shd w:val="clear" w:color="auto" w:fill="FFFFFF"/>
                  <w:vAlign w:val="center"/>
                </w:tcPr>
                <w:p>
                  <w:pPr>
                    <w:pStyle w:val="36"/>
                    <w:rPr>
                      <w:color w:val="auto"/>
                    </w:rPr>
                  </w:pPr>
                  <w:r>
                    <w:rPr>
                      <w:color w:val="auto"/>
                    </w:rPr>
                    <w:t>-7.5</w:t>
                  </w:r>
                </w:p>
              </w:tc>
              <w:tc>
                <w:tcPr>
                  <w:tcW w:w="1027" w:type="dxa"/>
                  <w:shd w:val="clear" w:color="auto" w:fill="FFFFFF"/>
                  <w:vAlign w:val="center"/>
                </w:tcPr>
                <w:p>
                  <w:pPr>
                    <w:pStyle w:val="36"/>
                    <w:rPr>
                      <w:color w:val="auto"/>
                    </w:rPr>
                  </w:pPr>
                  <w:r>
                    <w:rPr>
                      <w:color w:val="auto"/>
                    </w:rPr>
                    <w:t>6</w:t>
                  </w:r>
                </w:p>
              </w:tc>
              <w:tc>
                <w:tcPr>
                  <w:tcW w:w="4162" w:type="dxa"/>
                  <w:shd w:val="clear" w:color="auto" w:fill="FFFFFF"/>
                  <w:vAlign w:val="center"/>
                </w:tcPr>
                <w:p>
                  <w:pPr>
                    <w:pStyle w:val="36"/>
                    <w:rPr>
                      <w:color w:val="auto"/>
                    </w:rPr>
                  </w:pPr>
                  <w:r>
                    <w:rPr>
                      <w:color w:val="auto"/>
                    </w:rPr>
                    <w:t>80（等效后：83.0)</w:t>
                  </w:r>
                </w:p>
              </w:tc>
              <w:tc>
                <w:tcPr>
                  <w:tcW w:w="1730" w:type="dxa"/>
                  <w:shd w:val="clear" w:color="auto" w:fill="FFFFFF"/>
                  <w:vAlign w:val="center"/>
                </w:tcPr>
                <w:p>
                  <w:pPr>
                    <w:pStyle w:val="36"/>
                    <w:rPr>
                      <w:color w:val="auto"/>
                    </w:rPr>
                  </w:pPr>
                  <w:r>
                    <w:rPr>
                      <w:rFonts w:hint="eastAsia"/>
                      <w:color w:val="auto"/>
                    </w:rPr>
                    <w:t>基础</w:t>
                  </w:r>
                  <w:r>
                    <w:rPr>
                      <w:rFonts w:hint="eastAsia"/>
                      <w:bCs/>
                      <w:color w:val="auto"/>
                    </w:rPr>
                    <w:t>减振</w:t>
                  </w:r>
                  <w:r>
                    <w:rPr>
                      <w:rFonts w:hint="eastAsia"/>
                      <w:color w:val="auto"/>
                    </w:rPr>
                    <w:t>等</w:t>
                  </w:r>
                </w:p>
              </w:tc>
              <w:tc>
                <w:tcPr>
                  <w:tcW w:w="1375" w:type="dxa"/>
                  <w:shd w:val="clear" w:color="auto" w:fill="FFFFFF"/>
                  <w:vAlign w:val="center"/>
                </w:tcPr>
                <w:p>
                  <w:pPr>
                    <w:pStyle w:val="36"/>
                    <w:rPr>
                      <w:color w:val="auto"/>
                    </w:rPr>
                  </w:pPr>
                  <w:r>
                    <w:rPr>
                      <w:rFonts w:hint="eastAsia"/>
                      <w:color w:val="auto"/>
                    </w:rPr>
                    <w:t>0:00~</w:t>
                  </w:r>
                  <w:r>
                    <w:rPr>
                      <w:color w:val="auto"/>
                    </w:rPr>
                    <w:t>24</w:t>
                  </w:r>
                  <w:r>
                    <w:rPr>
                      <w:rFonts w:hint="eastAsia"/>
                      <w:color w:val="auto"/>
                    </w:rPr>
                    <w:t>:00</w:t>
                  </w:r>
                </w:p>
              </w:tc>
            </w:tr>
          </w:tbl>
          <w:p>
            <w:pPr>
              <w:ind w:firstLine="420"/>
              <w:rPr>
                <w:rFonts w:cs="Times New Roman"/>
                <w:color w:val="auto"/>
              </w:rPr>
            </w:pPr>
            <w:r>
              <w:rPr>
                <w:rFonts w:cs="Times New Roman"/>
                <w:bCs/>
                <w:color w:val="auto"/>
                <w:sz w:val="21"/>
                <w:szCs w:val="21"/>
              </w:rPr>
              <w:t>表中坐标以厂界中心（119.414314,25.776269）为坐标原点，正东向为X轴正方向，正北向为Y轴正方向</w:t>
            </w: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p>
            <w:pPr>
              <w:pStyle w:val="37"/>
              <w:jc w:val="both"/>
              <w:rPr>
                <w:rFonts w:eastAsia="宋体" w:cs="Times New Roman"/>
                <w:color w:val="auto"/>
                <w:sz w:val="21"/>
                <w:szCs w:val="21"/>
                <w:lang w:val="en-US" w:bidi="ar-SA"/>
              </w:rPr>
            </w:pPr>
          </w:p>
        </w:tc>
      </w:tr>
    </w:tbl>
    <w:p>
      <w:pPr>
        <w:ind w:firstLine="562"/>
        <w:rPr>
          <w:rFonts w:cs="Times New Roman"/>
          <w:b/>
          <w:color w:val="auto"/>
          <w:sz w:val="28"/>
          <w:szCs w:val="28"/>
        </w:rPr>
        <w:sectPr>
          <w:pgSz w:w="16840" w:h="11907" w:orient="landscape"/>
          <w:pgMar w:top="1418" w:right="1418" w:bottom="1418" w:left="1418" w:header="851" w:footer="851" w:gutter="0"/>
          <w:pgBorders>
            <w:top w:val="none" w:sz="0" w:space="0"/>
            <w:left w:val="none" w:sz="0" w:space="0"/>
            <w:bottom w:val="none" w:sz="0" w:space="0"/>
            <w:right w:val="none" w:sz="0" w:space="0"/>
          </w:pgBorders>
          <w:cols w:space="720" w:num="1"/>
          <w:docGrid w:linePitch="326" w:charSpace="0"/>
        </w:sectPr>
      </w:pPr>
    </w:p>
    <w:tbl>
      <w:tblPr>
        <w:tblStyle w:val="27"/>
        <w:tblW w:w="504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86"/>
        <w:gridCol w:w="88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230" w:hRule="atLeast"/>
          <w:jc w:val="center"/>
        </w:trPr>
        <w:tc>
          <w:tcPr>
            <w:tcW w:w="209" w:type="pct"/>
            <w:tcMar>
              <w:left w:w="28" w:type="dxa"/>
              <w:right w:w="28" w:type="dxa"/>
            </w:tcMar>
            <w:vAlign w:val="center"/>
          </w:tcPr>
          <w:p>
            <w:pPr>
              <w:pStyle w:val="36"/>
              <w:rPr>
                <w:rFonts w:cs="Times New Roman"/>
                <w:color w:val="auto"/>
                <w:sz w:val="24"/>
                <w:szCs w:val="24"/>
              </w:rPr>
            </w:pPr>
            <w:r>
              <w:rPr>
                <w:rFonts w:cs="Times New Roman"/>
                <w:color w:val="auto"/>
                <w:sz w:val="24"/>
                <w:szCs w:val="24"/>
              </w:rPr>
              <w:t>运营</w:t>
            </w:r>
          </w:p>
          <w:p>
            <w:pPr>
              <w:pStyle w:val="36"/>
              <w:rPr>
                <w:rFonts w:cs="Times New Roman"/>
                <w:color w:val="auto"/>
                <w:sz w:val="24"/>
                <w:szCs w:val="24"/>
              </w:rPr>
            </w:pPr>
            <w:r>
              <w:rPr>
                <w:rFonts w:cs="Times New Roman"/>
                <w:color w:val="auto"/>
                <w:sz w:val="24"/>
                <w:szCs w:val="24"/>
              </w:rPr>
              <w:t>期环</w:t>
            </w:r>
          </w:p>
          <w:p>
            <w:pPr>
              <w:pStyle w:val="36"/>
              <w:rPr>
                <w:rFonts w:cs="Times New Roman"/>
                <w:color w:val="auto"/>
                <w:sz w:val="24"/>
                <w:szCs w:val="24"/>
              </w:rPr>
            </w:pPr>
            <w:r>
              <w:rPr>
                <w:rFonts w:cs="Times New Roman"/>
                <w:color w:val="auto"/>
                <w:sz w:val="24"/>
                <w:szCs w:val="24"/>
              </w:rPr>
              <w:t>境影</w:t>
            </w:r>
          </w:p>
          <w:p>
            <w:pPr>
              <w:pStyle w:val="36"/>
              <w:rPr>
                <w:rFonts w:cs="Times New Roman"/>
                <w:color w:val="auto"/>
                <w:sz w:val="24"/>
                <w:szCs w:val="24"/>
              </w:rPr>
            </w:pPr>
            <w:r>
              <w:rPr>
                <w:rFonts w:cs="Times New Roman"/>
                <w:color w:val="auto"/>
                <w:sz w:val="24"/>
                <w:szCs w:val="24"/>
              </w:rPr>
              <w:t>响和</w:t>
            </w:r>
          </w:p>
          <w:p>
            <w:pPr>
              <w:pStyle w:val="36"/>
              <w:rPr>
                <w:rFonts w:cs="Times New Roman"/>
                <w:color w:val="auto"/>
                <w:sz w:val="24"/>
                <w:szCs w:val="24"/>
              </w:rPr>
            </w:pPr>
            <w:r>
              <w:rPr>
                <w:rFonts w:cs="Times New Roman"/>
                <w:color w:val="auto"/>
                <w:sz w:val="24"/>
                <w:szCs w:val="24"/>
              </w:rPr>
              <w:t>保护</w:t>
            </w:r>
          </w:p>
          <w:p>
            <w:pPr>
              <w:pStyle w:val="36"/>
              <w:rPr>
                <w:rFonts w:cs="Times New Roman"/>
                <w:color w:val="auto"/>
              </w:rPr>
            </w:pPr>
            <w:r>
              <w:rPr>
                <w:rFonts w:cs="Times New Roman"/>
                <w:color w:val="auto"/>
                <w:sz w:val="24"/>
                <w:szCs w:val="24"/>
              </w:rPr>
              <w:t>措施</w:t>
            </w:r>
          </w:p>
        </w:tc>
        <w:tc>
          <w:tcPr>
            <w:tcW w:w="4790" w:type="pct"/>
          </w:tcPr>
          <w:p>
            <w:pPr>
              <w:pStyle w:val="61"/>
              <w:rPr>
                <w:rFonts w:ascii="Times New Roman" w:hAnsi="Times New Roman" w:cs="Times New Roman"/>
                <w:color w:val="auto"/>
              </w:rPr>
            </w:pPr>
            <w:r>
              <w:rPr>
                <w:rFonts w:ascii="Times New Roman" w:hAnsi="Times New Roman" w:cs="Times New Roman"/>
                <w:color w:val="auto"/>
              </w:rPr>
              <w:t>4.2.3.2噪声达标分析</w:t>
            </w:r>
          </w:p>
          <w:p>
            <w:pPr>
              <w:pStyle w:val="38"/>
              <w:ind w:firstLine="480"/>
              <w:rPr>
                <w:rFonts w:cs="Times New Roman"/>
                <w:color w:val="auto"/>
                <w:kern w:val="2"/>
              </w:rPr>
            </w:pPr>
            <w:r>
              <w:rPr>
                <w:rFonts w:cs="Times New Roman"/>
                <w:color w:val="auto"/>
              </w:rPr>
              <w:t>本评价将对机械设备产生的噪声值进行衰减预测，根据《环境影响评价技术导则—声环境》（HJ</w:t>
            </w:r>
            <w:r>
              <w:rPr>
                <w:rFonts w:hint="eastAsia" w:cs="Times New Roman"/>
                <w:color w:val="auto"/>
              </w:rPr>
              <w:t xml:space="preserve"> </w:t>
            </w:r>
            <w:r>
              <w:rPr>
                <w:rFonts w:cs="Times New Roman"/>
                <w:color w:val="auto"/>
              </w:rPr>
              <w:t>2.4-2021）推荐的预测模式，具体室内等效室外声源声功率计算、户外传播衰减、几何衰减、噪声贡献值叠加等计算模式如下：</w:t>
            </w:r>
          </w:p>
          <w:p>
            <w:pPr>
              <w:pStyle w:val="38"/>
              <w:ind w:firstLine="480"/>
              <w:rPr>
                <w:rFonts w:cs="Times New Roman"/>
                <w:color w:val="auto"/>
              </w:rPr>
            </w:pPr>
            <w:r>
              <w:rPr>
                <w:rFonts w:cs="Times New Roman"/>
                <w:color w:val="auto"/>
              </w:rPr>
              <w:t>（1）单个室外的点声源在预测点产生的声级计算基本公式</w:t>
            </w:r>
          </w:p>
          <w:p>
            <w:pPr>
              <w:pStyle w:val="38"/>
              <w:ind w:firstLine="480"/>
              <w:rPr>
                <w:rFonts w:cs="Times New Roman"/>
                <w:color w:val="auto"/>
              </w:rPr>
            </w:pPr>
            <w:r>
              <w:rPr>
                <w:rFonts w:cs="Times New Roman"/>
                <w:color w:val="auto"/>
              </w:rPr>
              <w:t>某个声源在预测点的倍频带声压级的计算公式如下：</w:t>
            </w:r>
          </w:p>
          <w:p>
            <w:pPr>
              <w:pStyle w:val="37"/>
              <w:ind w:firstLine="480"/>
              <w:rPr>
                <w:rFonts w:cs="Times New Roman"/>
                <w:color w:val="auto"/>
              </w:rPr>
            </w:pP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"C:\\Users\\Admin\\AppData\\Local\\Temp\\ksohtml12936\\wps2.png" \* MERGEFORMATINET </w:instrText>
            </w:r>
            <w:r>
              <w:rPr>
                <w:rFonts w:cs="Times New Roman"/>
                <w:color w:val="auto"/>
              </w:rPr>
              <w:fldChar w:fldCharType="separate"/>
            </w:r>
            <w:r>
              <w:rPr>
                <w:rFonts w:cs="Times New Roman"/>
                <w:color w:val="auto"/>
              </w:rPr>
              <w:pict>
                <v:shape id="_x0000_i1040" o:spt="75" type="#_x0000_t75" style="height:56.4pt;width:198.6pt;" filled="f" o:preferrelative="t" stroked="f" coordsize="21600,21600">
                  <v:path/>
                  <v:fill on="f" focussize="0,0"/>
                  <v:stroke on="f" joinstyle="miter"/>
                  <v:imagedata r:id="rId26" r:href="rId27" o:title=""/>
                  <o:lock v:ext="edit" aspectratio="t"/>
                  <w10:wrap type="none"/>
                  <w10:anchorlock/>
                </v:shape>
              </w:pict>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p>
          <w:p>
            <w:pPr>
              <w:pStyle w:val="38"/>
              <w:ind w:firstLine="412"/>
              <w:rPr>
                <w:rFonts w:cs="Times New Roman"/>
                <w:color w:val="auto"/>
              </w:rPr>
            </w:pPr>
            <w:r>
              <w:rPr>
                <w:rFonts w:cs="Times New Roman"/>
                <w:color w:val="auto"/>
                <w:spacing w:val="-17"/>
              </w:rPr>
              <w:t>式</w:t>
            </w:r>
            <w:r>
              <w:rPr>
                <w:rFonts w:cs="Times New Roman"/>
                <w:color w:val="auto"/>
              </w:rPr>
              <w:t>中：</w:t>
            </w:r>
          </w:p>
          <w:p>
            <w:pPr>
              <w:pStyle w:val="38"/>
              <w:ind w:firstLine="452"/>
              <w:rPr>
                <w:rFonts w:cs="Times New Roman"/>
                <w:color w:val="auto"/>
              </w:rPr>
            </w:pPr>
            <w:r>
              <w:rPr>
                <w:rFonts w:cs="Times New Roman"/>
                <w:color w:val="auto"/>
                <w:spacing w:val="-7"/>
              </w:rPr>
              <w:t>Lw</w:t>
            </w:r>
            <w:r>
              <w:rPr>
                <w:rFonts w:cs="Times New Roman"/>
                <w:color w:val="auto"/>
                <w:spacing w:val="-14"/>
              </w:rPr>
              <w:t>—</w:t>
            </w:r>
            <w:r>
              <w:rPr>
                <w:rFonts w:cs="Times New Roman"/>
                <w:color w:val="auto"/>
                <w:spacing w:val="-13"/>
              </w:rPr>
              <w:t>—</w:t>
            </w:r>
            <w:r>
              <w:rPr>
                <w:rFonts w:cs="Times New Roman"/>
                <w:color w:val="auto"/>
              </w:rPr>
              <w:t>倍频带声功率级</w:t>
            </w:r>
            <w:r>
              <w:rPr>
                <w:rFonts w:cs="Times New Roman"/>
                <w:color w:val="auto"/>
                <w:spacing w:val="-7"/>
              </w:rPr>
              <w:t>，dB；</w:t>
            </w:r>
          </w:p>
          <w:p>
            <w:pPr>
              <w:pStyle w:val="38"/>
              <w:ind w:firstLine="460"/>
              <w:rPr>
                <w:rFonts w:cs="Times New Roman"/>
                <w:color w:val="auto"/>
                <w:spacing w:val="-5"/>
              </w:rPr>
            </w:pPr>
            <w:r>
              <w:rPr>
                <w:rFonts w:cs="Times New Roman"/>
                <w:color w:val="auto"/>
                <w:spacing w:val="-5"/>
              </w:rPr>
              <w:t>Dc</w:t>
            </w:r>
            <w:r>
              <w:rPr>
                <w:rFonts w:cs="Times New Roman"/>
                <w:color w:val="auto"/>
                <w:spacing w:val="-10"/>
              </w:rPr>
              <w:t>——</w:t>
            </w:r>
            <w:r>
              <w:rPr>
                <w:rFonts w:cs="Times New Roman"/>
                <w:color w:val="auto"/>
              </w:rPr>
              <w:t>指向性校正。对辐射到自由空间的全向点声源</w:t>
            </w:r>
            <w:r>
              <w:rPr>
                <w:rFonts w:cs="Times New Roman"/>
                <w:color w:val="auto"/>
                <w:spacing w:val="-5"/>
              </w:rPr>
              <w:t>，Dc=0dB；</w:t>
            </w:r>
          </w:p>
          <w:p>
            <w:pPr>
              <w:pStyle w:val="38"/>
              <w:ind w:firstLine="440"/>
              <w:rPr>
                <w:rFonts w:cs="Times New Roman"/>
                <w:color w:val="auto"/>
              </w:rPr>
            </w:pPr>
            <w:r>
              <w:rPr>
                <w:rFonts w:cs="Times New Roman"/>
                <w:color w:val="auto"/>
                <w:spacing w:val="-10"/>
              </w:rPr>
              <w:t>A—</w:t>
            </w:r>
            <w:r>
              <w:rPr>
                <w:rFonts w:cs="Times New Roman"/>
                <w:color w:val="auto"/>
              </w:rPr>
              <w:t>倍频带衰减，dB；</w:t>
            </w:r>
          </w:p>
          <w:p>
            <w:pPr>
              <w:pStyle w:val="38"/>
              <w:ind w:firstLine="460"/>
              <w:rPr>
                <w:rFonts w:cs="Times New Roman"/>
                <w:color w:val="auto"/>
              </w:rPr>
            </w:pPr>
            <w:r>
              <w:rPr>
                <w:rFonts w:cs="Times New Roman"/>
                <w:color w:val="auto"/>
                <w:spacing w:val="-5"/>
                <w:position w:val="14"/>
              </w:rPr>
              <w:t>A</w:t>
            </w:r>
            <w:r>
              <w:rPr>
                <w:rFonts w:cs="Times New Roman"/>
                <w:color w:val="auto"/>
                <w:spacing w:val="-5"/>
                <w:position w:val="12"/>
                <w:sz w:val="15"/>
                <w:szCs w:val="15"/>
              </w:rPr>
              <w:t>div</w:t>
            </w:r>
            <w:r>
              <w:rPr>
                <w:rFonts w:cs="Times New Roman"/>
                <w:color w:val="auto"/>
                <w:spacing w:val="-5"/>
                <w:position w:val="14"/>
              </w:rPr>
              <w:t>—</w:t>
            </w:r>
            <w:r>
              <w:rPr>
                <w:rFonts w:cs="Times New Roman"/>
                <w:color w:val="auto"/>
              </w:rPr>
              <w:t>几何发散引起的倍频带衰减</w:t>
            </w:r>
            <w:r>
              <w:rPr>
                <w:rFonts w:cs="Times New Roman"/>
                <w:color w:val="auto"/>
                <w:spacing w:val="-5"/>
                <w:position w:val="1"/>
              </w:rPr>
              <w:t>，d</w:t>
            </w:r>
            <w:r>
              <w:rPr>
                <w:rFonts w:cs="Times New Roman"/>
                <w:color w:val="auto"/>
                <w:spacing w:val="-3"/>
                <w:position w:val="1"/>
              </w:rPr>
              <w:t>B</w:t>
            </w:r>
            <w:r>
              <w:rPr>
                <w:rFonts w:cs="Times New Roman"/>
                <w:color w:val="auto"/>
                <w:spacing w:val="-5"/>
                <w:position w:val="1"/>
              </w:rPr>
              <w:t>；</w:t>
            </w:r>
          </w:p>
          <w:p>
            <w:pPr>
              <w:pStyle w:val="38"/>
              <w:ind w:firstLine="460"/>
              <w:rPr>
                <w:rFonts w:cs="Times New Roman"/>
                <w:color w:val="auto"/>
              </w:rPr>
            </w:pPr>
            <w:r>
              <w:rPr>
                <w:rFonts w:cs="Times New Roman"/>
                <w:color w:val="auto"/>
                <w:spacing w:val="-5"/>
                <w:position w:val="1"/>
              </w:rPr>
              <w:t>A</w:t>
            </w:r>
            <w:r>
              <w:rPr>
                <w:rFonts w:cs="Times New Roman"/>
                <w:color w:val="auto"/>
                <w:spacing w:val="-5"/>
                <w:position w:val="-1"/>
                <w:sz w:val="15"/>
                <w:szCs w:val="15"/>
              </w:rPr>
              <w:t>atm</w:t>
            </w:r>
            <w:r>
              <w:rPr>
                <w:rFonts w:cs="Times New Roman"/>
                <w:color w:val="auto"/>
                <w:spacing w:val="-5"/>
                <w:position w:val="1"/>
              </w:rPr>
              <w:t>—</w:t>
            </w:r>
            <w:r>
              <w:rPr>
                <w:rFonts w:cs="Times New Roman"/>
                <w:color w:val="auto"/>
              </w:rPr>
              <w:t>大气吸收引起的倍频带衰减</w:t>
            </w:r>
            <w:r>
              <w:rPr>
                <w:rFonts w:cs="Times New Roman"/>
                <w:color w:val="auto"/>
                <w:spacing w:val="-5"/>
                <w:position w:val="1"/>
              </w:rPr>
              <w:t>，d</w:t>
            </w:r>
            <w:r>
              <w:rPr>
                <w:rFonts w:cs="Times New Roman"/>
                <w:color w:val="auto"/>
                <w:spacing w:val="-3"/>
                <w:position w:val="1"/>
              </w:rPr>
              <w:t>B</w:t>
            </w:r>
            <w:r>
              <w:rPr>
                <w:rFonts w:cs="Times New Roman"/>
                <w:color w:val="auto"/>
                <w:spacing w:val="-5"/>
                <w:position w:val="1"/>
              </w:rPr>
              <w:t>；</w:t>
            </w:r>
          </w:p>
          <w:p>
            <w:pPr>
              <w:pStyle w:val="38"/>
              <w:ind w:firstLine="460"/>
              <w:rPr>
                <w:rFonts w:cs="Times New Roman"/>
                <w:color w:val="auto"/>
              </w:rPr>
            </w:pPr>
            <w:r>
              <w:rPr>
                <w:rFonts w:cs="Times New Roman"/>
                <w:color w:val="auto"/>
                <w:spacing w:val="-5"/>
              </w:rPr>
              <w:t>A</w:t>
            </w:r>
            <w:r>
              <w:rPr>
                <w:rFonts w:cs="Times New Roman"/>
                <w:color w:val="auto"/>
                <w:spacing w:val="-5"/>
                <w:position w:val="-2"/>
                <w:sz w:val="15"/>
                <w:szCs w:val="15"/>
              </w:rPr>
              <w:t>gr</w:t>
            </w:r>
            <w:r>
              <w:rPr>
                <w:rFonts w:cs="Times New Roman"/>
                <w:color w:val="auto"/>
                <w:spacing w:val="-10"/>
              </w:rPr>
              <w:t>—</w:t>
            </w:r>
            <w:r>
              <w:rPr>
                <w:rFonts w:cs="Times New Roman"/>
                <w:color w:val="auto"/>
              </w:rPr>
              <w:t>地面效应引起的倍频带衰减</w:t>
            </w:r>
            <w:r>
              <w:rPr>
                <w:rFonts w:cs="Times New Roman"/>
                <w:color w:val="auto"/>
                <w:spacing w:val="-5"/>
              </w:rPr>
              <w:t>，dB；</w:t>
            </w:r>
          </w:p>
          <w:p>
            <w:pPr>
              <w:pStyle w:val="38"/>
              <w:ind w:firstLine="460"/>
              <w:rPr>
                <w:rFonts w:cs="Times New Roman"/>
                <w:color w:val="auto"/>
              </w:rPr>
            </w:pPr>
            <w:r>
              <w:rPr>
                <w:rFonts w:cs="Times New Roman"/>
                <w:color w:val="auto"/>
                <w:spacing w:val="-5"/>
                <w:position w:val="1"/>
              </w:rPr>
              <w:t>A</w:t>
            </w:r>
            <w:r>
              <w:rPr>
                <w:rFonts w:cs="Times New Roman"/>
                <w:color w:val="auto"/>
                <w:spacing w:val="-5"/>
                <w:position w:val="-1"/>
                <w:sz w:val="15"/>
                <w:szCs w:val="15"/>
              </w:rPr>
              <w:t>bar</w:t>
            </w:r>
            <w:r>
              <w:rPr>
                <w:rFonts w:cs="Times New Roman"/>
                <w:color w:val="auto"/>
                <w:spacing w:val="-9"/>
                <w:position w:val="1"/>
              </w:rPr>
              <w:t>—</w:t>
            </w:r>
            <w:r>
              <w:rPr>
                <w:rFonts w:cs="Times New Roman"/>
                <w:color w:val="auto"/>
              </w:rPr>
              <w:t>声屏障引起的倍频带衰减</w:t>
            </w:r>
            <w:r>
              <w:rPr>
                <w:rFonts w:cs="Times New Roman"/>
                <w:color w:val="auto"/>
                <w:spacing w:val="-5"/>
                <w:position w:val="1"/>
              </w:rPr>
              <w:t>，dB；</w:t>
            </w:r>
          </w:p>
          <w:p>
            <w:pPr>
              <w:pStyle w:val="38"/>
              <w:ind w:firstLine="464"/>
              <w:rPr>
                <w:rFonts w:cs="Times New Roman"/>
                <w:color w:val="auto"/>
              </w:rPr>
            </w:pPr>
            <w:r>
              <w:rPr>
                <w:rFonts w:cs="Times New Roman"/>
                <w:color w:val="auto"/>
                <w:spacing w:val="-4"/>
                <w:position w:val="14"/>
              </w:rPr>
              <w:t>A</w:t>
            </w:r>
            <w:r>
              <w:rPr>
                <w:rFonts w:cs="Times New Roman"/>
                <w:color w:val="auto"/>
                <w:spacing w:val="-4"/>
                <w:position w:val="12"/>
                <w:sz w:val="15"/>
                <w:szCs w:val="15"/>
              </w:rPr>
              <w:t>misc</w:t>
            </w:r>
            <w:r>
              <w:rPr>
                <w:rFonts w:cs="Times New Roman"/>
                <w:color w:val="auto"/>
                <w:spacing w:val="-4"/>
                <w:position w:val="14"/>
              </w:rPr>
              <w:t>—</w:t>
            </w:r>
            <w:r>
              <w:rPr>
                <w:rFonts w:cs="Times New Roman"/>
                <w:color w:val="auto"/>
              </w:rPr>
              <w:t>其他多方面效应引起的倍频带衰减</w:t>
            </w:r>
            <w:r>
              <w:rPr>
                <w:rFonts w:cs="Times New Roman"/>
                <w:color w:val="auto"/>
                <w:spacing w:val="-4"/>
                <w:position w:val="14"/>
              </w:rPr>
              <w:t>，dB。</w:t>
            </w:r>
          </w:p>
          <w:p>
            <w:pPr>
              <w:pStyle w:val="38"/>
              <w:ind w:firstLine="480"/>
              <w:rPr>
                <w:rFonts w:cs="Times New Roman"/>
                <w:color w:val="auto"/>
              </w:rPr>
            </w:pPr>
            <w:r>
              <w:rPr>
                <w:rFonts w:cs="Times New Roman"/>
                <w:color w:val="auto"/>
              </w:rPr>
              <w:t>如已知靠近声源处某点的倍频带声压级Lp（r0）时，相同方向预测点位置的倍频带声压级Lp（r）的计算公式为：</w:t>
            </w:r>
          </w:p>
          <w:p>
            <w:pPr>
              <w:pStyle w:val="37"/>
              <w:ind w:firstLine="480"/>
              <w:rPr>
                <w:rFonts w:cs="Times New Roman"/>
                <w:color w:val="auto"/>
              </w:rPr>
            </w:pP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"C:\\Users\\Admin\\AppData\\Local\\Temp\\ksohtml12936\\wps3.png" \* MERGEFORMATINET </w:instrText>
            </w:r>
            <w:r>
              <w:rPr>
                <w:rFonts w:cs="Times New Roman"/>
                <w:color w:val="auto"/>
              </w:rPr>
              <w:fldChar w:fldCharType="separate"/>
            </w:r>
            <w:r>
              <w:rPr>
                <w:rFonts w:cs="Times New Roman"/>
                <w:color w:val="auto"/>
              </w:rPr>
              <w:pict>
                <v:shape id="_x0000_i1041" o:spt="75" type="#_x0000_t75" style="height:26.4pt;width:129pt;" filled="f" o:preferrelative="t" stroked="f" coordsize="21600,21600">
                  <v:path/>
                  <v:fill on="f" focussize="0,0"/>
                  <v:stroke on="f" joinstyle="miter"/>
                  <v:imagedata r:id="rId28" r:href="rId29" o:title=""/>
                  <o:lock v:ext="edit" aspectratio="t"/>
                  <w10:wrap type="none"/>
                  <w10:anchorlock/>
                </v:shape>
              </w:pict>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p>
          <w:p>
            <w:pPr>
              <w:pStyle w:val="38"/>
              <w:ind w:firstLine="480"/>
              <w:rPr>
                <w:rFonts w:cs="Times New Roman"/>
                <w:color w:val="auto"/>
              </w:rPr>
            </w:pPr>
            <w:r>
              <w:rPr>
                <w:rFonts w:cs="Times New Roman"/>
                <w:color w:val="auto"/>
              </w:rPr>
              <w:t>预测点的A声级LA</w:t>
            </w:r>
            <w:r>
              <w:rPr>
                <w:rFonts w:hint="eastAsia" w:cs="Times New Roman"/>
                <w:color w:val="auto"/>
              </w:rPr>
              <w:t>（</w:t>
            </w:r>
            <w:r>
              <w:rPr>
                <w:rFonts w:cs="Times New Roman"/>
                <w:color w:val="auto"/>
              </w:rPr>
              <w:t>r</w:t>
            </w:r>
            <w:r>
              <w:rPr>
                <w:rFonts w:hint="eastAsia" w:cs="Times New Roman"/>
                <w:color w:val="auto"/>
              </w:rPr>
              <w:t>）</w:t>
            </w:r>
            <w:r>
              <w:rPr>
                <w:rFonts w:cs="Times New Roman"/>
                <w:color w:val="auto"/>
              </w:rPr>
              <w:t>，可利用8个倍频带的声压级按下式计算：</w:t>
            </w:r>
          </w:p>
          <w:p>
            <w:pPr>
              <w:pStyle w:val="37"/>
              <w:ind w:firstLine="480"/>
              <w:rPr>
                <w:rFonts w:cs="Times New Roman"/>
                <w:color w:val="auto"/>
              </w:rPr>
            </w:pP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"C:\\Users\\Admin\\AppData\\Local\\Temp\\ksohtml12936\\wps4.png" \* MERGEFORMATINET </w:instrText>
            </w:r>
            <w:r>
              <w:rPr>
                <w:rFonts w:cs="Times New Roman"/>
                <w:color w:val="auto"/>
              </w:rPr>
              <w:fldChar w:fldCharType="separate"/>
            </w:r>
            <w:r>
              <w:rPr>
                <w:rFonts w:cs="Times New Roman"/>
                <w:color w:val="auto"/>
              </w:rPr>
              <w:pict>
                <v:shape id="_x0000_i1042" o:spt="75" type="#_x0000_t75" style="height:45pt;width:213.6pt;" filled="f" o:preferrelative="t" stroked="f" coordsize="21600,21600">
                  <v:path/>
                  <v:fill on="f" focussize="0,0"/>
                  <v:stroke on="f" joinstyle="miter"/>
                  <v:imagedata r:id="rId30" r:href="rId31" o:title=""/>
                  <o:lock v:ext="edit" aspectratio="t"/>
                  <w10:wrap type="none"/>
                  <w10:anchorlock/>
                </v:shape>
              </w:pict>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p>
          <w:p>
            <w:pPr>
              <w:pStyle w:val="38"/>
              <w:ind w:firstLine="480"/>
              <w:rPr>
                <w:rFonts w:cs="Times New Roman"/>
                <w:color w:val="auto"/>
              </w:rPr>
            </w:pPr>
            <w:r>
              <w:rPr>
                <w:rFonts w:cs="Times New Roman"/>
                <w:color w:val="auto"/>
              </w:rPr>
              <w:t>式中：</w:t>
            </w:r>
          </w:p>
          <w:p>
            <w:pPr>
              <w:pStyle w:val="38"/>
              <w:ind w:firstLine="480"/>
              <w:rPr>
                <w:rFonts w:cs="Times New Roman"/>
                <w:color w:val="auto"/>
              </w:rPr>
            </w:pPr>
            <w:r>
              <w:rPr>
                <w:rFonts w:cs="Times New Roman"/>
                <w:color w:val="auto"/>
              </w:rPr>
              <w:t>L</w:t>
            </w:r>
            <w:r>
              <w:rPr>
                <w:rFonts w:cs="Times New Roman"/>
                <w:color w:val="auto"/>
                <w:vertAlign w:val="subscript"/>
              </w:rPr>
              <w:t>pi</w:t>
            </w:r>
            <w:r>
              <w:rPr>
                <w:rFonts w:hint="eastAsia" w:cs="Times New Roman"/>
                <w:color w:val="auto"/>
                <w:vertAlign w:val="subscript"/>
              </w:rPr>
              <w:t>（</w:t>
            </w:r>
            <w:r>
              <w:rPr>
                <w:rFonts w:cs="Times New Roman"/>
                <w:color w:val="auto"/>
                <w:vertAlign w:val="subscript"/>
              </w:rPr>
              <w:t>r</w:t>
            </w:r>
            <w:r>
              <w:rPr>
                <w:rFonts w:hint="eastAsia" w:cs="Times New Roman"/>
                <w:color w:val="auto"/>
                <w:vertAlign w:val="subscript"/>
              </w:rPr>
              <w:t>）</w:t>
            </w:r>
            <w:r>
              <w:rPr>
                <w:rFonts w:cs="Times New Roman"/>
                <w:color w:val="auto"/>
              </w:rPr>
              <w:t>----预测点（r）处，第i倍频带声压级，dB；</w:t>
            </w:r>
          </w:p>
          <w:p>
            <w:pPr>
              <w:pStyle w:val="38"/>
              <w:ind w:firstLine="480"/>
              <w:rPr>
                <w:rFonts w:cs="Times New Roman"/>
                <w:color w:val="auto"/>
              </w:rPr>
            </w:pPr>
            <w:r>
              <w:rPr>
                <w:rFonts w:ascii="Cambria Math" w:hAnsi="Cambria Math" w:cs="Cambria Math"/>
                <w:color w:val="auto"/>
              </w:rPr>
              <w:t>△</w:t>
            </w:r>
            <w:r>
              <w:rPr>
                <w:rFonts w:cs="Times New Roman"/>
                <w:color w:val="auto"/>
              </w:rPr>
              <w:t>L</w:t>
            </w:r>
            <w:r>
              <w:rPr>
                <w:rFonts w:cs="Times New Roman"/>
                <w:color w:val="auto"/>
                <w:vertAlign w:val="subscript"/>
              </w:rPr>
              <w:t>i—i</w:t>
            </w:r>
            <w:r>
              <w:rPr>
                <w:rFonts w:cs="Times New Roman"/>
                <w:color w:val="auto"/>
              </w:rPr>
              <w:t>倍频带A计算网络修正值，dB（见导则附录B）。</w:t>
            </w:r>
          </w:p>
          <w:p>
            <w:pPr>
              <w:pStyle w:val="38"/>
              <w:ind w:firstLine="480"/>
              <w:rPr>
                <w:rFonts w:cs="Times New Roman"/>
                <w:color w:val="auto"/>
              </w:rPr>
            </w:pPr>
            <w:r>
              <w:rPr>
                <w:rFonts w:cs="Times New Roman"/>
                <w:color w:val="auto"/>
              </w:rPr>
              <w:t>（2）室内声源等效室外声源声功率级计算方法</w:t>
            </w:r>
          </w:p>
          <w:p>
            <w:pPr>
              <w:pStyle w:val="38"/>
              <w:ind w:firstLine="480"/>
              <w:rPr>
                <w:rFonts w:cs="Times New Roman"/>
                <w:color w:val="auto"/>
              </w:rPr>
            </w:pPr>
            <w:r>
              <w:rPr>
                <w:rFonts w:cs="Times New Roman"/>
                <w:color w:val="auto"/>
              </w:rPr>
              <w:t>如下图所示，声源位于室内，室内声源可采用等效室外声源声功率级法进行计算。设靠近开口处（或窗户）室内、室外某倍频带的声压级分别为L</w:t>
            </w:r>
            <w:r>
              <w:rPr>
                <w:rFonts w:cs="Times New Roman"/>
                <w:color w:val="auto"/>
                <w:vertAlign w:val="subscript"/>
              </w:rPr>
              <w:t>p1</w:t>
            </w:r>
            <w:r>
              <w:rPr>
                <w:rFonts w:cs="Times New Roman"/>
                <w:color w:val="auto"/>
              </w:rPr>
              <w:t>和L</w:t>
            </w:r>
            <w:r>
              <w:rPr>
                <w:rFonts w:cs="Times New Roman"/>
                <w:color w:val="auto"/>
                <w:vertAlign w:val="subscript"/>
              </w:rPr>
              <w:t>p2</w:t>
            </w:r>
            <w:r>
              <w:rPr>
                <w:rFonts w:cs="Times New Roman"/>
                <w:color w:val="auto"/>
              </w:rPr>
              <w:t>。若声源所在室内声场为近似扩散声场，则室内的倍频带声压级可按下式近似求出：</w:t>
            </w:r>
          </w:p>
          <w:p>
            <w:pPr>
              <w:pStyle w:val="37"/>
              <w:ind w:firstLine="480"/>
              <w:rPr>
                <w:rFonts w:cs="Times New Roman"/>
                <w:color w:val="auto"/>
              </w:rPr>
            </w:pP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"C:\\Users\\Admin\\AppData\\Local\\Temp\\ksohtml12936\\wps5.png" \* MERGEFORMATINET </w:instrText>
            </w:r>
            <w:r>
              <w:rPr>
                <w:rFonts w:cs="Times New Roman"/>
                <w:color w:val="auto"/>
              </w:rPr>
              <w:fldChar w:fldCharType="separate"/>
            </w:r>
            <w:r>
              <w:rPr>
                <w:rFonts w:cs="Times New Roman"/>
                <w:color w:val="auto"/>
              </w:rPr>
              <w:pict>
                <v:shape id="_x0000_i1043" o:spt="75" type="#_x0000_t75" style="height:30pt;width:138pt;" filled="f" o:preferrelative="t" stroked="f" coordsize="21600,21600">
                  <v:path/>
                  <v:fill on="f" focussize="0,0"/>
                  <v:stroke on="f" joinstyle="miter"/>
                  <v:imagedata r:id="rId32" r:href="rId33" o:title=""/>
                  <o:lock v:ext="edit" aspectratio="t"/>
                  <w10:wrap type="none"/>
                  <w10:anchorlock/>
                </v:shape>
              </w:pict>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p>
          <w:p>
            <w:pPr>
              <w:pStyle w:val="38"/>
              <w:ind w:firstLine="480"/>
              <w:rPr>
                <w:rFonts w:cs="Times New Roman"/>
                <w:color w:val="auto"/>
              </w:rPr>
            </w:pPr>
            <w:r>
              <w:rPr>
                <w:rFonts w:cs="Times New Roman"/>
                <w:color w:val="auto"/>
              </w:rPr>
              <w:t>式中：TL-隔墙（或窗户）倍频带的隔声量，dB。</w:t>
            </w:r>
          </w:p>
          <w:p>
            <w:pPr>
              <w:pStyle w:val="37"/>
              <w:ind w:firstLine="480"/>
              <w:rPr>
                <w:rFonts w:cs="Times New Roman"/>
                <w:color w:val="auto"/>
              </w:rPr>
            </w:pP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"C:\\Users\\Admin\\AppData\\Local\\Temp\\ksohtml12936\\wps6.png" \* MERGEFORMATINET </w:instrText>
            </w:r>
            <w:r>
              <w:rPr>
                <w:rFonts w:cs="Times New Roman"/>
                <w:color w:val="auto"/>
              </w:rPr>
              <w:fldChar w:fldCharType="separate"/>
            </w:r>
            <w:r>
              <w:rPr>
                <w:rFonts w:cs="Times New Roman"/>
                <w:color w:val="auto"/>
              </w:rPr>
              <w:pict>
                <v:shape id="_x0000_i1044" o:spt="75" type="#_x0000_t75" style="height:130.8pt;width:238.2pt;" filled="f" o:preferrelative="t" stroked="f" coordsize="21600,21600">
                  <v:path/>
                  <v:fill on="f" focussize="0,0"/>
                  <v:stroke on="f" joinstyle="miter"/>
                  <v:imagedata r:id="rId34" r:href="rId35" o:title=""/>
                  <o:lock v:ext="edit" aspectratio="t"/>
                  <w10:wrap type="none"/>
                  <w10:anchorlock/>
                </v:shape>
              </w:pict>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p>
          <w:p>
            <w:pPr>
              <w:pStyle w:val="38"/>
              <w:ind w:firstLine="480"/>
              <w:rPr>
                <w:rFonts w:cs="Times New Roman"/>
                <w:color w:val="auto"/>
              </w:rPr>
            </w:pPr>
            <w:r>
              <w:rPr>
                <w:rFonts w:cs="Times New Roman"/>
                <w:color w:val="auto"/>
              </w:rPr>
              <w:t>按下式计算某一室内声源靠近围护结构处产生的倍频带声压级：</w:t>
            </w:r>
          </w:p>
          <w:p>
            <w:pPr>
              <w:pStyle w:val="37"/>
              <w:ind w:firstLine="480"/>
              <w:rPr>
                <w:rFonts w:cs="Times New Roman"/>
                <w:b/>
                <w:color w:val="auto"/>
              </w:rPr>
            </w:pP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"C:\\Users\\Admin\\AppData\\Local\\Temp\\ksohtml12936\\wps7.png" \* MERGEFORMATINET </w:instrText>
            </w:r>
            <w:r>
              <w:rPr>
                <w:rFonts w:cs="Times New Roman"/>
                <w:color w:val="auto"/>
              </w:rPr>
              <w:fldChar w:fldCharType="separate"/>
            </w:r>
            <w:r>
              <w:rPr>
                <w:rFonts w:cs="Times New Roman"/>
                <w:color w:val="auto"/>
              </w:rPr>
              <w:pict>
                <v:shape id="_x0000_i1045" o:spt="75" type="#_x0000_t75" style="height:45pt;width:181.8pt;" filled="f" o:preferrelative="t" stroked="f" coordsize="21600,21600">
                  <v:path/>
                  <v:fill on="f" focussize="0,0"/>
                  <v:stroke on="f" joinstyle="miter"/>
                  <v:imagedata r:id="rId36" r:href="rId37" o:title=""/>
                  <o:lock v:ext="edit" aspectratio="t"/>
                  <w10:wrap type="none"/>
                  <w10:anchorlock/>
                </v:shape>
              </w:pict>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p>
          <w:p>
            <w:pPr>
              <w:pStyle w:val="38"/>
              <w:ind w:firstLine="480"/>
              <w:rPr>
                <w:rFonts w:cs="Times New Roman"/>
                <w:color w:val="auto"/>
              </w:rPr>
            </w:pPr>
            <w:r>
              <w:rPr>
                <w:rFonts w:cs="Times New Roman"/>
                <w:color w:val="auto"/>
              </w:rPr>
              <w:t>式中：</w:t>
            </w:r>
          </w:p>
          <w:p>
            <w:pPr>
              <w:pStyle w:val="38"/>
              <w:ind w:firstLine="480"/>
              <w:rPr>
                <w:rFonts w:cs="Times New Roman"/>
                <w:color w:val="auto"/>
              </w:rPr>
            </w:pPr>
            <w:r>
              <w:rPr>
                <w:rFonts w:cs="Times New Roman"/>
                <w:color w:val="auto"/>
              </w:rPr>
              <w:t>Q----指向性因素；通常对无指向性声源，当声源放在房间中心时，Q=1；当放在一面墙的中心时，Q=2；当放在两面墙夹角处时；Q=4；当放在三面墙夹角处时，Q=8。</w:t>
            </w:r>
          </w:p>
          <w:p>
            <w:pPr>
              <w:pStyle w:val="38"/>
              <w:ind w:firstLine="480"/>
              <w:rPr>
                <w:rFonts w:cs="Times New Roman"/>
                <w:color w:val="auto"/>
              </w:rPr>
            </w:pPr>
            <w:r>
              <w:rPr>
                <w:rFonts w:cs="Times New Roman"/>
                <w:color w:val="auto"/>
              </w:rPr>
              <w:t>R----房间系数；R=Sα/</w:t>
            </w:r>
            <w:r>
              <w:rPr>
                <w:rFonts w:hint="eastAsia" w:cs="Times New Roman"/>
                <w:color w:val="auto"/>
              </w:rPr>
              <w:t>（</w:t>
            </w:r>
            <w:r>
              <w:rPr>
                <w:rFonts w:cs="Times New Roman"/>
                <w:color w:val="auto"/>
              </w:rPr>
              <w:t>1-α</w:t>
            </w:r>
            <w:r>
              <w:rPr>
                <w:rFonts w:hint="eastAsia" w:cs="Times New Roman"/>
                <w:color w:val="auto"/>
              </w:rPr>
              <w:t>）</w:t>
            </w:r>
            <w:r>
              <w:rPr>
                <w:rFonts w:cs="Times New Roman"/>
                <w:color w:val="auto"/>
              </w:rPr>
              <w:t>，S为房间内表面面积，m</w:t>
            </w:r>
            <w:r>
              <w:rPr>
                <w:rFonts w:cs="Times New Roman"/>
                <w:color w:val="auto"/>
                <w:vertAlign w:val="superscript"/>
              </w:rPr>
              <w:t>2</w:t>
            </w:r>
            <w:r>
              <w:rPr>
                <w:rFonts w:cs="Times New Roman"/>
                <w:color w:val="auto"/>
              </w:rPr>
              <w:t>；α为平均吸声系数。</w:t>
            </w:r>
          </w:p>
          <w:p>
            <w:pPr>
              <w:pStyle w:val="38"/>
              <w:ind w:firstLine="480"/>
              <w:rPr>
                <w:rFonts w:cs="Times New Roman"/>
                <w:color w:val="auto"/>
              </w:rPr>
            </w:pPr>
            <w:r>
              <w:rPr>
                <w:rFonts w:cs="Times New Roman"/>
                <w:color w:val="auto"/>
              </w:rPr>
              <w:t>r-----声源到靠近围护结构某点处的距离，m。</w:t>
            </w:r>
          </w:p>
          <w:p>
            <w:pPr>
              <w:pStyle w:val="38"/>
              <w:ind w:firstLine="480"/>
              <w:rPr>
                <w:rFonts w:cs="Times New Roman"/>
                <w:color w:val="auto"/>
              </w:rPr>
            </w:pPr>
            <w:r>
              <w:rPr>
                <w:rFonts w:hint="eastAsia"/>
                <w:color w:val="auto"/>
              </w:rPr>
              <w:t>②</w:t>
            </w:r>
            <w:r>
              <w:rPr>
                <w:rFonts w:cs="Times New Roman"/>
                <w:color w:val="auto"/>
              </w:rPr>
              <w:t>计算出所有室内声源在靠近围护结构处产生的i倍频带叠加声压级：</w:t>
            </w:r>
          </w:p>
          <w:p>
            <w:pPr>
              <w:pStyle w:val="37"/>
              <w:ind w:firstLine="480"/>
              <w:rPr>
                <w:rFonts w:cs="Times New Roman"/>
                <w:color w:val="auto"/>
              </w:rPr>
            </w:pP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"C:\\Users\\Admin\\AppData\\Local\\Temp\\ksohtml12936\\wps8.png" \* MERGEFORMATINET </w:instrText>
            </w:r>
            <w:r>
              <w:rPr>
                <w:rFonts w:cs="Times New Roman"/>
                <w:color w:val="auto"/>
              </w:rPr>
              <w:fldChar w:fldCharType="separate"/>
            </w:r>
            <w:r>
              <w:rPr>
                <w:rFonts w:cs="Times New Roman"/>
                <w:color w:val="auto"/>
              </w:rPr>
              <w:pict>
                <v:shape id="_x0000_i1046" o:spt="75" type="#_x0000_t75" style="height:52.8pt;width:165.6pt;" filled="f" o:preferrelative="t" stroked="f" coordsize="21600,21600">
                  <v:path/>
                  <v:fill on="f" focussize="0,0"/>
                  <v:stroke on="f" joinstyle="miter"/>
                  <v:imagedata r:id="rId38" r:href="rId39" o:title=""/>
                  <o:lock v:ext="edit" aspectratio="t"/>
                  <w10:wrap type="none"/>
                  <w10:anchorlock/>
                </v:shape>
              </w:pict>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p>
          <w:p>
            <w:pPr>
              <w:pStyle w:val="38"/>
              <w:ind w:firstLine="480"/>
              <w:rPr>
                <w:rFonts w:cs="Times New Roman"/>
                <w:color w:val="auto"/>
              </w:rPr>
            </w:pPr>
            <w:r>
              <w:rPr>
                <w:rFonts w:cs="Times New Roman"/>
                <w:color w:val="auto"/>
              </w:rPr>
              <w:t>式中：</w:t>
            </w:r>
          </w:p>
          <w:p>
            <w:pPr>
              <w:pStyle w:val="38"/>
              <w:ind w:firstLine="480"/>
              <w:rPr>
                <w:rFonts w:cs="Times New Roman"/>
                <w:color w:val="auto"/>
              </w:rPr>
            </w:pPr>
            <w:r>
              <w:rPr>
                <w:rFonts w:cs="Times New Roman"/>
                <w:color w:val="auto"/>
              </w:rPr>
              <w:t>L</w:t>
            </w:r>
            <w:r>
              <w:rPr>
                <w:rFonts w:cs="Times New Roman"/>
                <w:color w:val="auto"/>
                <w:vertAlign w:val="subscript"/>
              </w:rPr>
              <w:t>p1i</w:t>
            </w:r>
            <w:r>
              <w:rPr>
                <w:rFonts w:hint="eastAsia" w:cs="Times New Roman"/>
                <w:color w:val="auto"/>
                <w:vertAlign w:val="subscript"/>
              </w:rPr>
              <w:t>（</w:t>
            </w:r>
            <w:r>
              <w:rPr>
                <w:rFonts w:cs="Times New Roman"/>
                <w:color w:val="auto"/>
                <w:vertAlign w:val="subscript"/>
              </w:rPr>
              <w:t>T</w:t>
            </w:r>
            <w:r>
              <w:rPr>
                <w:rFonts w:hint="eastAsia" w:cs="Times New Roman"/>
                <w:color w:val="auto"/>
                <w:vertAlign w:val="subscript"/>
              </w:rPr>
              <w:t>）</w:t>
            </w:r>
            <w:r>
              <w:rPr>
                <w:rFonts w:cs="Times New Roman"/>
                <w:color w:val="auto"/>
                <w:vertAlign w:val="subscript"/>
              </w:rPr>
              <w:t>-</w:t>
            </w:r>
            <w:r>
              <w:rPr>
                <w:rFonts w:cs="Times New Roman"/>
                <w:color w:val="auto"/>
              </w:rPr>
              <w:t>--靠近围护结构处室内N个声源i倍频带的叠加声压级，dB；</w:t>
            </w:r>
          </w:p>
          <w:p>
            <w:pPr>
              <w:pStyle w:val="38"/>
              <w:ind w:firstLine="480"/>
              <w:rPr>
                <w:rFonts w:cs="Times New Roman"/>
                <w:color w:val="auto"/>
              </w:rPr>
            </w:pPr>
            <w:r>
              <w:rPr>
                <w:rFonts w:cs="Times New Roman"/>
                <w:color w:val="auto"/>
              </w:rPr>
              <w:t>L</w:t>
            </w:r>
            <w:r>
              <w:rPr>
                <w:rFonts w:cs="Times New Roman"/>
                <w:color w:val="auto"/>
                <w:vertAlign w:val="subscript"/>
              </w:rPr>
              <w:t>p1ij</w:t>
            </w:r>
            <w:r>
              <w:rPr>
                <w:rFonts w:cs="Times New Roman"/>
                <w:color w:val="auto"/>
              </w:rPr>
              <w:t>---室内j声源i倍频带的声压级，dB；</w:t>
            </w:r>
          </w:p>
          <w:p>
            <w:pPr>
              <w:pStyle w:val="38"/>
              <w:ind w:firstLine="480"/>
              <w:rPr>
                <w:rFonts w:cs="Times New Roman"/>
                <w:color w:val="auto"/>
              </w:rPr>
            </w:pPr>
            <w:r>
              <w:rPr>
                <w:rFonts w:cs="Times New Roman"/>
                <w:color w:val="auto"/>
              </w:rPr>
              <w:t>N---室内声源总数。</w:t>
            </w:r>
          </w:p>
          <w:p>
            <w:pPr>
              <w:pStyle w:val="38"/>
              <w:ind w:firstLine="480"/>
              <w:rPr>
                <w:rFonts w:cs="Times New Roman"/>
                <w:color w:val="auto"/>
              </w:rPr>
            </w:pPr>
            <w:r>
              <w:rPr>
                <w:rFonts w:hint="eastAsia"/>
                <w:color w:val="auto"/>
              </w:rPr>
              <w:t>③</w:t>
            </w:r>
            <w:r>
              <w:rPr>
                <w:rFonts w:cs="Times New Roman"/>
                <w:color w:val="auto"/>
              </w:rPr>
              <w:t>计算出室外靠近围护结构处的声压级：</w:t>
            </w:r>
          </w:p>
          <w:p>
            <w:pPr>
              <w:pStyle w:val="37"/>
              <w:ind w:firstLine="480"/>
              <w:rPr>
                <w:rFonts w:cs="Times New Roman"/>
                <w:color w:val="auto"/>
              </w:rPr>
            </w:pP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"C:\\Users\\Admin\\AppData\\Local\\Temp\\ksohtml12936\\wps9.png" \* MERGEFORMATINET </w:instrText>
            </w:r>
            <w:r>
              <w:rPr>
                <w:rFonts w:cs="Times New Roman"/>
                <w:color w:val="auto"/>
              </w:rPr>
              <w:fldChar w:fldCharType="separate"/>
            </w:r>
            <w:r>
              <w:rPr>
                <w:rFonts w:cs="Times New Roman"/>
                <w:color w:val="auto"/>
              </w:rPr>
              <w:pict>
                <v:shape id="_x0000_i1047" o:spt="75" type="#_x0000_t75" style="height:28.8pt;width:190.8pt;" filled="f" o:preferrelative="t" stroked="f" coordsize="21600,21600">
                  <v:path/>
                  <v:fill on="f" focussize="0,0"/>
                  <v:stroke on="f" joinstyle="miter"/>
                  <v:imagedata r:id="rId40" r:href="rId41" o:title=""/>
                  <o:lock v:ext="edit" aspectratio="t"/>
                  <w10:wrap type="none"/>
                  <w10:anchorlock/>
                </v:shape>
              </w:pict>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p>
          <w:p>
            <w:pPr>
              <w:pStyle w:val="38"/>
              <w:ind w:firstLine="480"/>
              <w:rPr>
                <w:rFonts w:cs="Times New Roman"/>
                <w:color w:val="auto"/>
              </w:rPr>
            </w:pPr>
            <w:r>
              <w:rPr>
                <w:rFonts w:cs="Times New Roman"/>
                <w:color w:val="auto"/>
              </w:rPr>
              <w:t>式中：</w:t>
            </w:r>
          </w:p>
          <w:p>
            <w:pPr>
              <w:pStyle w:val="38"/>
              <w:ind w:firstLine="480"/>
              <w:rPr>
                <w:rFonts w:cs="Times New Roman"/>
                <w:color w:val="auto"/>
              </w:rPr>
            </w:pPr>
            <w:r>
              <w:rPr>
                <w:rFonts w:cs="Times New Roman"/>
                <w:color w:val="auto"/>
              </w:rPr>
              <w:t>L</w:t>
            </w:r>
            <w:r>
              <w:rPr>
                <w:rFonts w:cs="Times New Roman"/>
                <w:color w:val="auto"/>
                <w:vertAlign w:val="subscript"/>
              </w:rPr>
              <w:t>p2i</w:t>
            </w:r>
            <w:r>
              <w:rPr>
                <w:rFonts w:hint="eastAsia" w:cs="Times New Roman"/>
                <w:color w:val="auto"/>
                <w:vertAlign w:val="subscript"/>
              </w:rPr>
              <w:t>（</w:t>
            </w:r>
            <w:r>
              <w:rPr>
                <w:rFonts w:cs="Times New Roman"/>
                <w:color w:val="auto"/>
                <w:vertAlign w:val="subscript"/>
              </w:rPr>
              <w:t>T</w:t>
            </w:r>
            <w:r>
              <w:rPr>
                <w:rFonts w:hint="eastAsia" w:cs="Times New Roman"/>
                <w:color w:val="auto"/>
                <w:vertAlign w:val="subscript"/>
              </w:rPr>
              <w:t>）</w:t>
            </w:r>
            <w:r>
              <w:rPr>
                <w:rFonts w:cs="Times New Roman"/>
                <w:color w:val="auto"/>
              </w:rPr>
              <w:t>---靠近围护结构处室内N个声源i倍频带的叠加声压级，dB；</w:t>
            </w:r>
          </w:p>
          <w:p>
            <w:pPr>
              <w:pStyle w:val="38"/>
              <w:ind w:firstLine="480"/>
              <w:rPr>
                <w:rFonts w:cs="Times New Roman"/>
                <w:color w:val="auto"/>
              </w:rPr>
            </w:pPr>
            <w:r>
              <w:rPr>
                <w:rFonts w:cs="Times New Roman"/>
                <w:color w:val="auto"/>
              </w:rPr>
              <w:t>T</w:t>
            </w:r>
            <w:r>
              <w:rPr>
                <w:rFonts w:cs="Times New Roman"/>
                <w:color w:val="auto"/>
                <w:vertAlign w:val="subscript"/>
              </w:rPr>
              <w:t>Li</w:t>
            </w:r>
            <w:r>
              <w:rPr>
                <w:rFonts w:cs="Times New Roman"/>
                <w:color w:val="auto"/>
              </w:rPr>
              <w:t>---围护结构i倍频带的隔声量，dB。</w:t>
            </w:r>
          </w:p>
          <w:p>
            <w:pPr>
              <w:pStyle w:val="38"/>
              <w:ind w:firstLine="480"/>
              <w:rPr>
                <w:rFonts w:cs="Times New Roman"/>
                <w:color w:val="auto"/>
              </w:rPr>
            </w:pPr>
            <w:r>
              <w:rPr>
                <w:rFonts w:hint="eastAsia"/>
                <w:color w:val="auto"/>
              </w:rPr>
              <w:t>④</w:t>
            </w:r>
            <w:r>
              <w:rPr>
                <w:rFonts w:cs="Times New Roman"/>
                <w:color w:val="auto"/>
              </w:rPr>
              <w:t>将室外声源的声压级和透声面积换算成等效的室外声源，计算出中心位置位于透声面积（S）处的等效声源的倍频带的声功率级：</w:t>
            </w:r>
          </w:p>
          <w:p>
            <w:pPr>
              <w:pStyle w:val="37"/>
              <w:ind w:firstLine="480"/>
              <w:rPr>
                <w:rFonts w:cs="Times New Roman"/>
                <w:color w:val="auto"/>
              </w:rPr>
            </w:pP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"C:\\Users\\Admin\\AppData\\Local\\Temp\\ksohtml12936\\wps10.png" \* MERGEFORMATINET </w:instrText>
            </w:r>
            <w:r>
              <w:rPr>
                <w:rFonts w:cs="Times New Roman"/>
                <w:color w:val="auto"/>
              </w:rPr>
              <w:fldChar w:fldCharType="separate"/>
            </w:r>
            <w:r>
              <w:rPr>
                <w:rFonts w:cs="Times New Roman"/>
                <w:color w:val="auto"/>
              </w:rPr>
              <w:pict>
                <v:shape id="_x0000_i1048" o:spt="75" type="#_x0000_t75" style="height:33.6pt;width:141.6pt;" filled="f" o:preferrelative="t" stroked="f" coordsize="21600,21600">
                  <v:path/>
                  <v:fill on="f" focussize="0,0"/>
                  <v:stroke on="f" joinstyle="miter"/>
                  <v:imagedata r:id="rId42" r:href="rId43" o:title=""/>
                  <o:lock v:ext="edit" aspectratio="t"/>
                  <w10:wrap type="none"/>
                  <w10:anchorlock/>
                </v:shape>
              </w:pict>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p>
          <w:p>
            <w:pPr>
              <w:pStyle w:val="38"/>
              <w:ind w:firstLine="480"/>
              <w:rPr>
                <w:rFonts w:cs="Times New Roman"/>
                <w:color w:val="auto"/>
              </w:rPr>
            </w:pPr>
            <w:r>
              <w:rPr>
                <w:rFonts w:cs="Times New Roman"/>
                <w:color w:val="auto"/>
              </w:rPr>
              <w:t>式中：S为透声面积，㎡。</w:t>
            </w:r>
          </w:p>
          <w:p>
            <w:pPr>
              <w:pStyle w:val="38"/>
              <w:ind w:firstLine="480"/>
              <w:rPr>
                <w:rFonts w:cs="Times New Roman"/>
                <w:color w:val="auto"/>
              </w:rPr>
            </w:pPr>
            <w:r>
              <w:rPr>
                <w:rFonts w:hint="eastAsia"/>
                <w:color w:val="auto"/>
              </w:rPr>
              <w:t>⑤</w:t>
            </w:r>
            <w:r>
              <w:rPr>
                <w:rFonts w:cs="Times New Roman"/>
                <w:color w:val="auto"/>
              </w:rPr>
              <w:t>等效室外声源的位置为围护结构的位置，其倍频带声功率级为Lw，由此按室外声源方法计算等效室外声源在预测点产生的声级。</w:t>
            </w:r>
          </w:p>
          <w:p>
            <w:pPr>
              <w:pStyle w:val="38"/>
              <w:ind w:firstLine="480"/>
              <w:rPr>
                <w:rFonts w:cs="Times New Roman"/>
                <w:color w:val="auto"/>
              </w:rPr>
            </w:pPr>
            <w:r>
              <w:rPr>
                <w:rFonts w:cs="Times New Roman"/>
                <w:color w:val="auto"/>
              </w:rPr>
              <w:t>（3）噪声贡献值计算</w:t>
            </w:r>
          </w:p>
          <w:p>
            <w:pPr>
              <w:pStyle w:val="38"/>
              <w:ind w:firstLine="480"/>
              <w:rPr>
                <w:rFonts w:cs="Times New Roman"/>
                <w:color w:val="auto"/>
              </w:rPr>
            </w:pPr>
            <w:r>
              <w:rPr>
                <w:rFonts w:cs="Times New Roman"/>
                <w:color w:val="auto"/>
              </w:rPr>
              <w:t>设第i个室外声源在预测点产生的A声级为L</w:t>
            </w:r>
            <w:r>
              <w:rPr>
                <w:rFonts w:cs="Times New Roman"/>
                <w:color w:val="auto"/>
                <w:vertAlign w:val="subscript"/>
              </w:rPr>
              <w:t>Ai</w:t>
            </w:r>
            <w:r>
              <w:rPr>
                <w:rFonts w:cs="Times New Roman"/>
                <w:color w:val="auto"/>
              </w:rPr>
              <w:t>，在T时间内该声源工作时间为t</w:t>
            </w:r>
            <w:r>
              <w:rPr>
                <w:rFonts w:cs="Times New Roman"/>
                <w:color w:val="auto"/>
                <w:vertAlign w:val="subscript"/>
              </w:rPr>
              <w:t>i</w:t>
            </w:r>
            <w:r>
              <w:rPr>
                <w:rFonts w:cs="Times New Roman"/>
                <w:color w:val="auto"/>
              </w:rPr>
              <w:t>；第j个等效室外声源在预测点产生的A声级为L</w:t>
            </w:r>
            <w:r>
              <w:rPr>
                <w:rFonts w:cs="Times New Roman"/>
                <w:color w:val="auto"/>
                <w:vertAlign w:val="subscript"/>
              </w:rPr>
              <w:t>Aj</w:t>
            </w:r>
            <w:r>
              <w:rPr>
                <w:rFonts w:cs="Times New Roman"/>
                <w:color w:val="auto"/>
              </w:rPr>
              <w:t>，在拟建工程声源对预测点产生的贡献值（Le</w:t>
            </w:r>
            <w:r>
              <w:rPr>
                <w:rFonts w:cs="Times New Roman"/>
                <w:color w:val="auto"/>
                <w:vertAlign w:val="subscript"/>
              </w:rPr>
              <w:t>qg）</w:t>
            </w:r>
            <w:r>
              <w:rPr>
                <w:rFonts w:cs="Times New Roman"/>
                <w:color w:val="auto"/>
              </w:rPr>
              <w:t>为：</w:t>
            </w:r>
          </w:p>
          <w:p>
            <w:pPr>
              <w:pStyle w:val="37"/>
              <w:ind w:firstLine="480"/>
              <w:rPr>
                <w:rFonts w:cs="Times New Roman"/>
                <w:color w:val="auto"/>
              </w:rPr>
            </w:pP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"C:\\Users\\Admin\\AppData\\Local\\Temp\\ksohtml12936\\wps11.png" \* MERGEFORMATINET </w:instrText>
            </w:r>
            <w:r>
              <w:rPr>
                <w:rFonts w:cs="Times New Roman"/>
                <w:color w:val="auto"/>
              </w:rPr>
              <w:fldChar w:fldCharType="separate"/>
            </w:r>
            <w:r>
              <w:rPr>
                <w:rFonts w:cs="Times New Roman"/>
                <w:color w:val="auto"/>
              </w:rPr>
              <w:pict>
                <v:shape id="_x0000_i1049" o:spt="75" type="#_x0000_t75" style="height:45.6pt;width:257.4pt;" filled="f" o:preferrelative="t" stroked="f" coordsize="21600,21600">
                  <v:path/>
                  <v:fill on="f" focussize="0,0"/>
                  <v:stroke on="f" joinstyle="miter"/>
                  <v:imagedata r:id="rId44" r:href="rId45" o:title=""/>
                  <o:lock v:ext="edit" aspectratio="t"/>
                  <w10:wrap type="none"/>
                  <w10:anchorlock/>
                </v:shape>
              </w:pict>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p>
          <w:p>
            <w:pPr>
              <w:pStyle w:val="38"/>
              <w:ind w:firstLine="412"/>
              <w:rPr>
                <w:rFonts w:cs="Times New Roman"/>
                <w:color w:val="auto"/>
              </w:rPr>
            </w:pPr>
            <w:r>
              <w:rPr>
                <w:rFonts w:cs="Times New Roman"/>
                <w:color w:val="auto"/>
                <w:spacing w:val="-17"/>
              </w:rPr>
              <w:t>式</w:t>
            </w:r>
            <w:r>
              <w:rPr>
                <w:rFonts w:cs="Times New Roman"/>
                <w:color w:val="auto"/>
              </w:rPr>
              <w:t>中：</w:t>
            </w:r>
          </w:p>
          <w:p>
            <w:pPr>
              <w:pStyle w:val="38"/>
              <w:ind w:firstLine="480"/>
              <w:rPr>
                <w:rFonts w:cs="Times New Roman"/>
                <w:color w:val="auto"/>
              </w:rPr>
            </w:pPr>
            <w:r>
              <w:rPr>
                <w:rFonts w:cs="Times New Roman"/>
                <w:color w:val="auto"/>
              </w:rPr>
              <w:t>t</w:t>
            </w:r>
            <w:r>
              <w:rPr>
                <w:rFonts w:cs="Times New Roman"/>
                <w:color w:val="auto"/>
                <w:vertAlign w:val="subscript"/>
              </w:rPr>
              <w:t>j</w:t>
            </w:r>
            <w:r>
              <w:rPr>
                <w:rFonts w:cs="Times New Roman"/>
                <w:color w:val="auto"/>
              </w:rPr>
              <w:t>---在T时间内j声源工作时间，s；</w:t>
            </w:r>
          </w:p>
          <w:p>
            <w:pPr>
              <w:pStyle w:val="38"/>
              <w:ind w:firstLine="480"/>
              <w:rPr>
                <w:rFonts w:cs="Times New Roman"/>
                <w:color w:val="auto"/>
              </w:rPr>
            </w:pPr>
            <w:r>
              <w:rPr>
                <w:rFonts w:cs="Times New Roman"/>
                <w:color w:val="auto"/>
              </w:rPr>
              <w:t>t</w:t>
            </w:r>
            <w:r>
              <w:rPr>
                <w:rFonts w:cs="Times New Roman"/>
                <w:color w:val="auto"/>
                <w:vertAlign w:val="subscript"/>
              </w:rPr>
              <w:t>i</w:t>
            </w:r>
            <w:r>
              <w:rPr>
                <w:rFonts w:cs="Times New Roman"/>
                <w:color w:val="auto"/>
              </w:rPr>
              <w:t>---在T时间内i声源工作时间，s；</w:t>
            </w:r>
          </w:p>
          <w:p>
            <w:pPr>
              <w:pStyle w:val="38"/>
              <w:ind w:firstLine="480"/>
              <w:rPr>
                <w:rFonts w:cs="Times New Roman"/>
                <w:color w:val="auto"/>
              </w:rPr>
            </w:pPr>
            <w:r>
              <w:rPr>
                <w:rFonts w:cs="Times New Roman"/>
                <w:color w:val="auto"/>
              </w:rPr>
              <w:t>T---用于计算等效声级的时间，s；</w:t>
            </w:r>
          </w:p>
          <w:p>
            <w:pPr>
              <w:pStyle w:val="38"/>
              <w:ind w:firstLine="480"/>
              <w:rPr>
                <w:rFonts w:cs="Times New Roman"/>
                <w:color w:val="auto"/>
              </w:rPr>
            </w:pPr>
            <w:r>
              <w:rPr>
                <w:rFonts w:cs="Times New Roman"/>
                <w:color w:val="auto"/>
              </w:rPr>
              <w:t>N---室外声源个数；</w:t>
            </w:r>
          </w:p>
          <w:p>
            <w:pPr>
              <w:pStyle w:val="38"/>
              <w:ind w:firstLine="480"/>
              <w:rPr>
                <w:rFonts w:cs="Times New Roman"/>
                <w:color w:val="auto"/>
              </w:rPr>
            </w:pPr>
            <w:r>
              <w:rPr>
                <w:rFonts w:cs="Times New Roman"/>
                <w:color w:val="auto"/>
              </w:rPr>
              <w:t>M---室内声源个数。</w:t>
            </w:r>
          </w:p>
          <w:p>
            <w:pPr>
              <w:pStyle w:val="38"/>
              <w:ind w:firstLine="480"/>
              <w:rPr>
                <w:rFonts w:cs="Times New Roman"/>
                <w:color w:val="auto"/>
              </w:rPr>
            </w:pPr>
            <w:r>
              <w:rPr>
                <w:rFonts w:cs="Times New Roman"/>
                <w:color w:val="auto"/>
              </w:rPr>
              <w:t>（4）预测值计算</w:t>
            </w:r>
          </w:p>
          <w:p>
            <w:pPr>
              <w:pStyle w:val="38"/>
              <w:ind w:firstLine="480"/>
              <w:rPr>
                <w:rFonts w:cs="Times New Roman"/>
                <w:color w:val="auto"/>
              </w:rPr>
            </w:pPr>
            <w:r>
              <w:rPr>
                <w:rFonts w:cs="Times New Roman"/>
                <w:color w:val="auto"/>
              </w:rPr>
              <w:t>预测点的预测等效声级（Leq）计算公式为：</w:t>
            </w:r>
          </w:p>
          <w:p>
            <w:pPr>
              <w:pStyle w:val="37"/>
              <w:ind w:firstLine="480"/>
              <w:rPr>
                <w:rFonts w:cs="Times New Roman"/>
                <w:color w:val="auto"/>
                <w:spacing w:val="-10"/>
              </w:rPr>
            </w:pP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fldChar w:fldCharType="begin"/>
            </w:r>
            <w:r>
              <w:rPr>
                <w:rFonts w:cs="Times New Roman"/>
                <w:color w:val="auto"/>
              </w:rPr>
              <w:instrText xml:space="preserve"> INCLUDEPICTURE  "C:\\Users\\Admin\\AppData\\Local\\Temp\\ksohtml12936\\wps12.png" \* MERGEFORMATINET </w:instrText>
            </w:r>
            <w:r>
              <w:rPr>
                <w:rFonts w:cs="Times New Roman"/>
                <w:color w:val="auto"/>
              </w:rPr>
              <w:fldChar w:fldCharType="separate"/>
            </w:r>
            <w:r>
              <w:rPr>
                <w:rFonts w:cs="Times New Roman"/>
                <w:color w:val="auto"/>
              </w:rPr>
              <w:pict>
                <v:shape id="_x0000_i1050" o:spt="75" type="#_x0000_t75" style="height:39.6pt;width:185.4pt;" filled="f" o:preferrelative="t" stroked="f" coordsize="21600,21600">
                  <v:path/>
                  <v:fill on="f" focussize="0,0"/>
                  <v:stroke on="f" joinstyle="miter"/>
                  <v:imagedata r:id="rId46" r:href="rId47" o:title=""/>
                  <o:lock v:ext="edit" aspectratio="t"/>
                  <w10:wrap type="none"/>
                  <w10:anchorlock/>
                </v:shape>
              </w:pict>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r>
              <w:rPr>
                <w:rFonts w:cs="Times New Roman"/>
                <w:color w:val="auto"/>
              </w:rPr>
              <w:fldChar w:fldCharType="end"/>
            </w:r>
          </w:p>
          <w:p>
            <w:pPr>
              <w:pStyle w:val="38"/>
              <w:ind w:firstLine="480"/>
              <w:rPr>
                <w:rFonts w:cs="Times New Roman"/>
                <w:color w:val="auto"/>
              </w:rPr>
            </w:pPr>
            <w:r>
              <w:rPr>
                <w:rFonts w:cs="Times New Roman"/>
                <w:color w:val="auto"/>
              </w:rPr>
              <w:t>式中：L</w:t>
            </w:r>
            <w:r>
              <w:rPr>
                <w:rFonts w:cs="Times New Roman"/>
                <w:color w:val="auto"/>
                <w:vertAlign w:val="subscript"/>
              </w:rPr>
              <w:t>eqg</w:t>
            </w:r>
            <w:r>
              <w:rPr>
                <w:rFonts w:cs="Times New Roman"/>
                <w:color w:val="auto"/>
              </w:rPr>
              <w:t>---建设项目声源在预测点的等效声级贡献值，dB；</w:t>
            </w:r>
          </w:p>
          <w:p>
            <w:pPr>
              <w:pStyle w:val="38"/>
              <w:ind w:firstLine="480"/>
              <w:rPr>
                <w:rFonts w:cs="Times New Roman"/>
                <w:color w:val="auto"/>
              </w:rPr>
            </w:pPr>
            <w:r>
              <w:rPr>
                <w:rFonts w:cs="Times New Roman"/>
                <w:color w:val="auto"/>
              </w:rPr>
              <w:t>L</w:t>
            </w:r>
            <w:r>
              <w:rPr>
                <w:rFonts w:cs="Times New Roman"/>
                <w:color w:val="auto"/>
                <w:vertAlign w:val="subscript"/>
              </w:rPr>
              <w:t>eqb</w:t>
            </w:r>
            <w:r>
              <w:rPr>
                <w:rFonts w:cs="Times New Roman"/>
                <w:color w:val="auto"/>
              </w:rPr>
              <w:t>---预测点的背景值，dB。</w:t>
            </w:r>
          </w:p>
          <w:p>
            <w:pPr>
              <w:pStyle w:val="38"/>
              <w:ind w:firstLine="480"/>
              <w:rPr>
                <w:rFonts w:cs="Times New Roman"/>
                <w:color w:val="auto"/>
              </w:rPr>
            </w:pPr>
            <w:r>
              <w:rPr>
                <w:rFonts w:cs="Times New Roman"/>
                <w:color w:val="auto"/>
              </w:rPr>
              <w:t>（5）隔声量的确定</w:t>
            </w:r>
          </w:p>
          <w:p>
            <w:pPr>
              <w:pStyle w:val="38"/>
              <w:ind w:firstLine="480"/>
              <w:rPr>
                <w:rFonts w:cs="Times New Roman"/>
                <w:color w:val="auto"/>
              </w:rPr>
            </w:pPr>
            <w:r>
              <w:rPr>
                <w:rFonts w:cs="Times New Roman"/>
                <w:color w:val="auto"/>
              </w:rPr>
              <w:t>项目主要噪声设备大多设置于各建构筑物内，设备噪声经减震、隔声后，可削减20dB（A）以上。</w:t>
            </w: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p>
          <w:p>
            <w:pPr>
              <w:pStyle w:val="38"/>
              <w:ind w:firstLine="480"/>
              <w:rPr>
                <w:rFonts w:cs="Times New Roman"/>
                <w:color w:val="auto"/>
              </w:rPr>
            </w:pPr>
            <w:r>
              <w:rPr>
                <w:rFonts w:cs="Times New Roman"/>
                <w:color w:val="auto"/>
              </w:rPr>
              <w:t>（6）预测结果</w:t>
            </w:r>
          </w:p>
          <w:p>
            <w:pPr>
              <w:pStyle w:val="38"/>
              <w:ind w:firstLine="480"/>
              <w:rPr>
                <w:rFonts w:cs="Times New Roman"/>
                <w:color w:val="auto"/>
              </w:rPr>
            </w:pPr>
            <w:r>
              <w:rPr>
                <w:rFonts w:cs="Times New Roman"/>
                <w:color w:val="auto"/>
              </w:rPr>
              <w:t>采用上述预测模式计算厂界处的噪声排放声级及其对声环境</w:t>
            </w:r>
            <w:r>
              <w:rPr>
                <w:rFonts w:hint="eastAsia" w:cs="Times New Roman"/>
                <w:color w:val="auto"/>
              </w:rPr>
              <w:t>敏感目标</w:t>
            </w:r>
            <w:r>
              <w:rPr>
                <w:rFonts w:cs="Times New Roman"/>
                <w:color w:val="auto"/>
              </w:rPr>
              <w:t>的影响，厂界及其对周边声环境噪声预测结果见表4.2-</w:t>
            </w:r>
            <w:r>
              <w:rPr>
                <w:rFonts w:hint="eastAsia" w:cs="Times New Roman"/>
                <w:color w:val="auto"/>
                <w:lang w:val="en-US" w:eastAsia="zh-CN"/>
              </w:rPr>
              <w:t>12</w:t>
            </w:r>
            <w:r>
              <w:rPr>
                <w:rFonts w:hint="eastAsia" w:cs="Times New Roman"/>
                <w:color w:val="auto"/>
              </w:rPr>
              <w:t>~表4.2-</w:t>
            </w:r>
            <w:r>
              <w:rPr>
                <w:rFonts w:hint="eastAsia" w:cs="Times New Roman"/>
                <w:color w:val="auto"/>
                <w:lang w:val="en-US" w:eastAsia="zh-CN"/>
              </w:rPr>
              <w:t>13</w:t>
            </w:r>
            <w:r>
              <w:rPr>
                <w:rFonts w:cs="Times New Roman"/>
                <w:color w:val="auto"/>
              </w:rPr>
              <w:t>。</w:t>
            </w:r>
          </w:p>
          <w:p>
            <w:pPr>
              <w:pStyle w:val="37"/>
              <w:rPr>
                <w:rFonts w:cs="Times New Roman"/>
                <w:color w:val="auto"/>
              </w:rPr>
            </w:pPr>
            <w:r>
              <w:rPr>
                <w:rFonts w:cs="Times New Roman"/>
                <w:color w:val="auto"/>
              </w:rPr>
              <w:t>表4.2-</w:t>
            </w:r>
            <w:r>
              <w:rPr>
                <w:rFonts w:hint="eastAsia" w:cs="Times New Roman"/>
                <w:color w:val="auto"/>
                <w:lang w:val="en-US" w:eastAsia="zh-CN"/>
              </w:rPr>
              <w:t>12</w:t>
            </w:r>
            <w:r>
              <w:rPr>
                <w:rFonts w:hint="eastAsia" w:cs="Times New Roman"/>
                <w:color w:val="auto"/>
                <w:lang w:val="en-US"/>
              </w:rPr>
              <w:t xml:space="preserve">  </w:t>
            </w:r>
            <w:r>
              <w:rPr>
                <w:rFonts w:cs="Times New Roman"/>
                <w:color w:val="auto"/>
              </w:rPr>
              <w:t>厂界噪声预测结果与达标分析表</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803"/>
              <w:gridCol w:w="803"/>
              <w:gridCol w:w="803"/>
              <w:gridCol w:w="993"/>
              <w:gridCol w:w="1417"/>
              <w:gridCol w:w="1418"/>
              <w:gridCol w:w="11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exact"/>
                <w:jc w:val="center"/>
              </w:trPr>
              <w:tc>
                <w:tcPr>
                  <w:tcW w:w="1101" w:type="dxa"/>
                  <w:vMerge w:val="restart"/>
                  <w:tcBorders>
                    <w:tl2br w:val="nil"/>
                    <w:tr2bl w:val="nil"/>
                  </w:tcBorders>
                  <w:vAlign w:val="center"/>
                </w:tcPr>
                <w:p>
                  <w:pPr>
                    <w:pStyle w:val="36"/>
                    <w:rPr>
                      <w:color w:val="auto"/>
                    </w:rPr>
                  </w:pPr>
                  <w:r>
                    <w:rPr>
                      <w:color w:val="auto"/>
                    </w:rPr>
                    <w:t>预测方位</w:t>
                  </w:r>
                </w:p>
              </w:tc>
              <w:tc>
                <w:tcPr>
                  <w:tcW w:w="2409" w:type="dxa"/>
                  <w:gridSpan w:val="3"/>
                  <w:tcBorders>
                    <w:tl2br w:val="nil"/>
                    <w:tr2bl w:val="nil"/>
                  </w:tcBorders>
                  <w:vAlign w:val="center"/>
                </w:tcPr>
                <w:p>
                  <w:pPr>
                    <w:pStyle w:val="36"/>
                    <w:rPr>
                      <w:color w:val="auto"/>
                    </w:rPr>
                  </w:pPr>
                  <w:r>
                    <w:rPr>
                      <w:rFonts w:hint="eastAsia"/>
                      <w:color w:val="auto"/>
                    </w:rPr>
                    <w:t>最大值点</w:t>
                  </w:r>
                  <w:r>
                    <w:rPr>
                      <w:color w:val="auto"/>
                    </w:rPr>
                    <w:t>空间相对位置/m</w:t>
                  </w:r>
                </w:p>
              </w:tc>
              <w:tc>
                <w:tcPr>
                  <w:tcW w:w="993" w:type="dxa"/>
                  <w:vMerge w:val="restart"/>
                  <w:tcBorders>
                    <w:tl2br w:val="nil"/>
                    <w:tr2bl w:val="nil"/>
                  </w:tcBorders>
                  <w:vAlign w:val="center"/>
                </w:tcPr>
                <w:p>
                  <w:pPr>
                    <w:pStyle w:val="36"/>
                    <w:rPr>
                      <w:color w:val="auto"/>
                    </w:rPr>
                  </w:pPr>
                  <w:r>
                    <w:rPr>
                      <w:color w:val="auto"/>
                    </w:rPr>
                    <w:t>时段</w:t>
                  </w:r>
                </w:p>
              </w:tc>
              <w:tc>
                <w:tcPr>
                  <w:tcW w:w="1417" w:type="dxa"/>
                  <w:vMerge w:val="restart"/>
                  <w:tcBorders>
                    <w:tl2br w:val="nil"/>
                    <w:tr2bl w:val="nil"/>
                  </w:tcBorders>
                  <w:vAlign w:val="center"/>
                </w:tcPr>
                <w:p>
                  <w:pPr>
                    <w:pStyle w:val="36"/>
                    <w:rPr>
                      <w:color w:val="auto"/>
                    </w:rPr>
                  </w:pPr>
                  <w:r>
                    <w:rPr>
                      <w:rFonts w:hint="eastAsia"/>
                      <w:color w:val="auto"/>
                    </w:rPr>
                    <w:t>贡献值</w:t>
                  </w:r>
                  <w:r>
                    <w:rPr>
                      <w:color w:val="auto"/>
                    </w:rPr>
                    <w:t>（dB</w:t>
                  </w:r>
                  <w:r>
                    <w:rPr>
                      <w:rFonts w:hint="eastAsia"/>
                      <w:color w:val="auto"/>
                    </w:rPr>
                    <w:t>（</w:t>
                  </w:r>
                  <w:r>
                    <w:rPr>
                      <w:color w:val="auto"/>
                    </w:rPr>
                    <w:t>A</w:t>
                  </w:r>
                  <w:r>
                    <w:rPr>
                      <w:rFonts w:hint="eastAsia"/>
                      <w:color w:val="auto"/>
                    </w:rPr>
                    <w:t>）</w:t>
                  </w:r>
                  <w:r>
                    <w:rPr>
                      <w:color w:val="auto"/>
                    </w:rPr>
                    <w:t>）</w:t>
                  </w:r>
                </w:p>
              </w:tc>
              <w:tc>
                <w:tcPr>
                  <w:tcW w:w="1418" w:type="dxa"/>
                  <w:vMerge w:val="restart"/>
                  <w:tcBorders>
                    <w:tl2br w:val="nil"/>
                    <w:tr2bl w:val="nil"/>
                  </w:tcBorders>
                  <w:vAlign w:val="center"/>
                </w:tcPr>
                <w:p>
                  <w:pPr>
                    <w:pStyle w:val="36"/>
                    <w:rPr>
                      <w:color w:val="auto"/>
                    </w:rPr>
                  </w:pPr>
                  <w:r>
                    <w:rPr>
                      <w:color w:val="auto"/>
                    </w:rPr>
                    <w:t>标准限值（dB</w:t>
                  </w:r>
                  <w:r>
                    <w:rPr>
                      <w:rFonts w:hint="eastAsia"/>
                      <w:color w:val="auto"/>
                    </w:rPr>
                    <w:t>（</w:t>
                  </w:r>
                  <w:r>
                    <w:rPr>
                      <w:color w:val="auto"/>
                    </w:rPr>
                    <w:t>A</w:t>
                  </w:r>
                  <w:r>
                    <w:rPr>
                      <w:rFonts w:hint="eastAsia"/>
                      <w:color w:val="auto"/>
                    </w:rPr>
                    <w:t>）</w:t>
                  </w:r>
                  <w:r>
                    <w:rPr>
                      <w:color w:val="auto"/>
                    </w:rPr>
                    <w:t>）</w:t>
                  </w:r>
                </w:p>
              </w:tc>
              <w:tc>
                <w:tcPr>
                  <w:tcW w:w="1188" w:type="dxa"/>
                  <w:vMerge w:val="restart"/>
                  <w:tcBorders>
                    <w:tl2br w:val="nil"/>
                    <w:tr2bl w:val="nil"/>
                  </w:tcBorders>
                  <w:vAlign w:val="center"/>
                </w:tcPr>
                <w:p>
                  <w:pPr>
                    <w:pStyle w:val="36"/>
                    <w:rPr>
                      <w:color w:val="auto"/>
                    </w:rPr>
                  </w:pPr>
                  <w:r>
                    <w:rPr>
                      <w:color w:val="auto"/>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101" w:type="dxa"/>
                  <w:vMerge w:val="continue"/>
                  <w:tcBorders>
                    <w:tl2br w:val="nil"/>
                    <w:tr2bl w:val="nil"/>
                  </w:tcBorders>
                  <w:shd w:val="clear" w:color="auto" w:fill="FFFFFF"/>
                  <w:vAlign w:val="center"/>
                </w:tcPr>
                <w:p>
                  <w:pPr>
                    <w:pStyle w:val="36"/>
                    <w:rPr>
                      <w:color w:val="auto"/>
                    </w:rPr>
                  </w:pPr>
                </w:p>
              </w:tc>
              <w:tc>
                <w:tcPr>
                  <w:tcW w:w="803" w:type="dxa"/>
                  <w:tcBorders>
                    <w:tl2br w:val="nil"/>
                    <w:tr2bl w:val="nil"/>
                  </w:tcBorders>
                  <w:shd w:val="clear" w:color="auto" w:fill="FFFFFF"/>
                  <w:vAlign w:val="center"/>
                </w:tcPr>
                <w:p>
                  <w:pPr>
                    <w:pStyle w:val="36"/>
                    <w:rPr>
                      <w:color w:val="auto"/>
                    </w:rPr>
                  </w:pPr>
                  <w:r>
                    <w:rPr>
                      <w:color w:val="auto"/>
                    </w:rPr>
                    <w:t>X</w:t>
                  </w:r>
                </w:p>
              </w:tc>
              <w:tc>
                <w:tcPr>
                  <w:tcW w:w="803" w:type="dxa"/>
                  <w:tcBorders>
                    <w:tl2br w:val="nil"/>
                    <w:tr2bl w:val="nil"/>
                  </w:tcBorders>
                  <w:shd w:val="clear" w:color="auto" w:fill="FFFFFF"/>
                  <w:vAlign w:val="center"/>
                </w:tcPr>
                <w:p>
                  <w:pPr>
                    <w:pStyle w:val="36"/>
                    <w:rPr>
                      <w:color w:val="auto"/>
                    </w:rPr>
                  </w:pPr>
                  <w:r>
                    <w:rPr>
                      <w:color w:val="auto"/>
                    </w:rPr>
                    <w:t>Y</w:t>
                  </w:r>
                </w:p>
              </w:tc>
              <w:tc>
                <w:tcPr>
                  <w:tcW w:w="803" w:type="dxa"/>
                  <w:tcBorders>
                    <w:tl2br w:val="nil"/>
                    <w:tr2bl w:val="nil"/>
                  </w:tcBorders>
                  <w:shd w:val="clear" w:color="auto" w:fill="FFFFFF"/>
                  <w:vAlign w:val="center"/>
                </w:tcPr>
                <w:p>
                  <w:pPr>
                    <w:pStyle w:val="36"/>
                    <w:rPr>
                      <w:color w:val="auto"/>
                    </w:rPr>
                  </w:pPr>
                  <w:r>
                    <w:rPr>
                      <w:color w:val="auto"/>
                    </w:rPr>
                    <w:t>Z</w:t>
                  </w:r>
                </w:p>
              </w:tc>
              <w:tc>
                <w:tcPr>
                  <w:tcW w:w="993" w:type="dxa"/>
                  <w:vMerge w:val="continue"/>
                  <w:tcBorders>
                    <w:tl2br w:val="nil"/>
                    <w:tr2bl w:val="nil"/>
                  </w:tcBorders>
                  <w:shd w:val="clear" w:color="auto" w:fill="FFFFFF"/>
                  <w:vAlign w:val="center"/>
                </w:tcPr>
                <w:p>
                  <w:pPr>
                    <w:pStyle w:val="36"/>
                    <w:rPr>
                      <w:color w:val="auto"/>
                    </w:rPr>
                  </w:pPr>
                </w:p>
              </w:tc>
              <w:tc>
                <w:tcPr>
                  <w:tcW w:w="1417" w:type="dxa"/>
                  <w:vMerge w:val="continue"/>
                  <w:tcBorders>
                    <w:tl2br w:val="nil"/>
                    <w:tr2bl w:val="nil"/>
                  </w:tcBorders>
                  <w:shd w:val="clear" w:color="auto" w:fill="FFFFFF"/>
                  <w:vAlign w:val="center"/>
                </w:tcPr>
                <w:p>
                  <w:pPr>
                    <w:pStyle w:val="36"/>
                    <w:rPr>
                      <w:color w:val="auto"/>
                    </w:rPr>
                  </w:pPr>
                </w:p>
              </w:tc>
              <w:tc>
                <w:tcPr>
                  <w:tcW w:w="1418" w:type="dxa"/>
                  <w:vMerge w:val="continue"/>
                  <w:tcBorders>
                    <w:tl2br w:val="nil"/>
                    <w:tr2bl w:val="nil"/>
                  </w:tcBorders>
                  <w:shd w:val="clear" w:color="auto" w:fill="FFFFFF"/>
                  <w:vAlign w:val="center"/>
                </w:tcPr>
                <w:p>
                  <w:pPr>
                    <w:pStyle w:val="36"/>
                    <w:rPr>
                      <w:color w:val="auto"/>
                    </w:rPr>
                  </w:pPr>
                </w:p>
              </w:tc>
              <w:tc>
                <w:tcPr>
                  <w:tcW w:w="1188" w:type="dxa"/>
                  <w:vMerge w:val="continue"/>
                  <w:tcBorders>
                    <w:tl2br w:val="nil"/>
                    <w:tr2bl w:val="nil"/>
                  </w:tcBorders>
                  <w:shd w:val="clear" w:color="auto" w:fill="FFFFFF"/>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restart"/>
                  <w:tcBorders>
                    <w:tl2br w:val="nil"/>
                    <w:tr2bl w:val="nil"/>
                  </w:tcBorders>
                  <w:shd w:val="clear" w:color="auto" w:fill="FFFFFF"/>
                  <w:vAlign w:val="center"/>
                </w:tcPr>
                <w:p>
                  <w:pPr>
                    <w:pStyle w:val="36"/>
                    <w:rPr>
                      <w:color w:val="auto"/>
                    </w:rPr>
                  </w:pPr>
                  <w:r>
                    <w:rPr>
                      <w:color w:val="auto"/>
                    </w:rPr>
                    <w:t>东侧</w:t>
                  </w:r>
                </w:p>
              </w:tc>
              <w:tc>
                <w:tcPr>
                  <w:tcW w:w="803" w:type="dxa"/>
                  <w:tcBorders>
                    <w:tl2br w:val="nil"/>
                    <w:tr2bl w:val="nil"/>
                  </w:tcBorders>
                  <w:shd w:val="clear" w:color="auto" w:fill="FFFFFF"/>
                  <w:vAlign w:val="center"/>
                </w:tcPr>
                <w:p>
                  <w:pPr>
                    <w:pStyle w:val="36"/>
                    <w:rPr>
                      <w:color w:val="auto"/>
                    </w:rPr>
                  </w:pPr>
                  <w:r>
                    <w:rPr>
                      <w:color w:val="auto"/>
                    </w:rPr>
                    <w:t>44.6</w:t>
                  </w:r>
                </w:p>
              </w:tc>
              <w:tc>
                <w:tcPr>
                  <w:tcW w:w="803" w:type="dxa"/>
                  <w:tcBorders>
                    <w:tl2br w:val="nil"/>
                    <w:tr2bl w:val="nil"/>
                  </w:tcBorders>
                  <w:shd w:val="clear" w:color="auto" w:fill="FFFFFF"/>
                  <w:vAlign w:val="center"/>
                </w:tcPr>
                <w:p>
                  <w:pPr>
                    <w:pStyle w:val="36"/>
                    <w:rPr>
                      <w:color w:val="auto"/>
                    </w:rPr>
                  </w:pPr>
                  <w:r>
                    <w:rPr>
                      <w:color w:val="auto"/>
                    </w:rPr>
                    <w:t>-6.3</w:t>
                  </w:r>
                </w:p>
              </w:tc>
              <w:tc>
                <w:tcPr>
                  <w:tcW w:w="803" w:type="dxa"/>
                  <w:tcBorders>
                    <w:tl2br w:val="nil"/>
                    <w:tr2bl w:val="nil"/>
                  </w:tcBorders>
                  <w:shd w:val="clear" w:color="auto" w:fill="FFFFFF"/>
                  <w:vAlign w:val="center"/>
                </w:tcPr>
                <w:p>
                  <w:pPr>
                    <w:pStyle w:val="36"/>
                    <w:rPr>
                      <w:color w:val="auto"/>
                    </w:rPr>
                  </w:pPr>
                  <w:r>
                    <w:rPr>
                      <w:color w:val="auto"/>
                    </w:rPr>
                    <w:t>1.2</w:t>
                  </w:r>
                </w:p>
              </w:tc>
              <w:tc>
                <w:tcPr>
                  <w:tcW w:w="993" w:type="dxa"/>
                  <w:tcBorders>
                    <w:tl2br w:val="nil"/>
                    <w:tr2bl w:val="nil"/>
                  </w:tcBorders>
                  <w:shd w:val="clear" w:color="auto" w:fill="FFFFFF"/>
                  <w:vAlign w:val="center"/>
                </w:tcPr>
                <w:p>
                  <w:pPr>
                    <w:pStyle w:val="36"/>
                    <w:rPr>
                      <w:color w:val="auto"/>
                    </w:rPr>
                  </w:pPr>
                  <w:r>
                    <w:rPr>
                      <w:color w:val="auto"/>
                    </w:rPr>
                    <w:t>昼间</w:t>
                  </w:r>
                </w:p>
              </w:tc>
              <w:tc>
                <w:tcPr>
                  <w:tcW w:w="1417" w:type="dxa"/>
                  <w:tcBorders>
                    <w:tl2br w:val="nil"/>
                    <w:tr2bl w:val="nil"/>
                  </w:tcBorders>
                  <w:shd w:val="clear" w:color="auto" w:fill="FFFFFF"/>
                  <w:vAlign w:val="center"/>
                </w:tcPr>
                <w:p>
                  <w:pPr>
                    <w:pStyle w:val="36"/>
                    <w:rPr>
                      <w:color w:val="auto"/>
                    </w:rPr>
                  </w:pPr>
                  <w:r>
                    <w:rPr>
                      <w:color w:val="auto"/>
                    </w:rPr>
                    <w:t>48.9</w:t>
                  </w:r>
                </w:p>
              </w:tc>
              <w:tc>
                <w:tcPr>
                  <w:tcW w:w="1418" w:type="dxa"/>
                  <w:tcBorders>
                    <w:tl2br w:val="nil"/>
                    <w:tr2bl w:val="nil"/>
                  </w:tcBorders>
                  <w:shd w:val="clear" w:color="auto" w:fill="FFFFFF"/>
                  <w:vAlign w:val="center"/>
                </w:tcPr>
                <w:p>
                  <w:pPr>
                    <w:pStyle w:val="36"/>
                    <w:rPr>
                      <w:color w:val="auto"/>
                    </w:rPr>
                  </w:pPr>
                  <w:r>
                    <w:rPr>
                      <w:color w:val="auto"/>
                    </w:rPr>
                    <w:t>65</w:t>
                  </w:r>
                </w:p>
              </w:tc>
              <w:tc>
                <w:tcPr>
                  <w:tcW w:w="1188" w:type="dxa"/>
                  <w:tcBorders>
                    <w:tl2br w:val="nil"/>
                    <w:tr2bl w:val="nil"/>
                  </w:tcBorders>
                  <w:shd w:val="clear" w:color="auto" w:fill="FFFFFF"/>
                  <w:vAlign w:val="center"/>
                </w:tcPr>
                <w:p>
                  <w:pPr>
                    <w:pStyle w:val="36"/>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continue"/>
                  <w:tcBorders>
                    <w:tl2br w:val="nil"/>
                    <w:tr2bl w:val="nil"/>
                  </w:tcBorders>
                  <w:shd w:val="clear" w:color="auto" w:fill="FFFFFF"/>
                  <w:vAlign w:val="center"/>
                </w:tcPr>
                <w:p>
                  <w:pPr>
                    <w:pStyle w:val="36"/>
                    <w:rPr>
                      <w:color w:val="auto"/>
                    </w:rPr>
                  </w:pPr>
                </w:p>
              </w:tc>
              <w:tc>
                <w:tcPr>
                  <w:tcW w:w="803" w:type="dxa"/>
                  <w:tcBorders>
                    <w:tl2br w:val="nil"/>
                    <w:tr2bl w:val="nil"/>
                  </w:tcBorders>
                  <w:shd w:val="clear" w:color="auto" w:fill="FFFFFF"/>
                  <w:vAlign w:val="center"/>
                </w:tcPr>
                <w:p>
                  <w:pPr>
                    <w:pStyle w:val="36"/>
                    <w:rPr>
                      <w:color w:val="auto"/>
                    </w:rPr>
                  </w:pPr>
                  <w:r>
                    <w:rPr>
                      <w:color w:val="auto"/>
                    </w:rPr>
                    <w:t>44.6</w:t>
                  </w:r>
                </w:p>
              </w:tc>
              <w:tc>
                <w:tcPr>
                  <w:tcW w:w="803" w:type="dxa"/>
                  <w:tcBorders>
                    <w:tl2br w:val="nil"/>
                    <w:tr2bl w:val="nil"/>
                  </w:tcBorders>
                  <w:shd w:val="clear" w:color="auto" w:fill="FFFFFF"/>
                  <w:vAlign w:val="center"/>
                </w:tcPr>
                <w:p>
                  <w:pPr>
                    <w:pStyle w:val="36"/>
                    <w:rPr>
                      <w:color w:val="auto"/>
                    </w:rPr>
                  </w:pPr>
                  <w:r>
                    <w:rPr>
                      <w:color w:val="auto"/>
                    </w:rPr>
                    <w:t>-6.3</w:t>
                  </w:r>
                </w:p>
              </w:tc>
              <w:tc>
                <w:tcPr>
                  <w:tcW w:w="803" w:type="dxa"/>
                  <w:tcBorders>
                    <w:tl2br w:val="nil"/>
                    <w:tr2bl w:val="nil"/>
                  </w:tcBorders>
                  <w:shd w:val="clear" w:color="auto" w:fill="FFFFFF"/>
                  <w:vAlign w:val="center"/>
                </w:tcPr>
                <w:p>
                  <w:pPr>
                    <w:pStyle w:val="36"/>
                    <w:rPr>
                      <w:color w:val="auto"/>
                    </w:rPr>
                  </w:pPr>
                  <w:r>
                    <w:rPr>
                      <w:color w:val="auto"/>
                    </w:rPr>
                    <w:t>1.2</w:t>
                  </w:r>
                </w:p>
              </w:tc>
              <w:tc>
                <w:tcPr>
                  <w:tcW w:w="993" w:type="dxa"/>
                  <w:tcBorders>
                    <w:tl2br w:val="nil"/>
                    <w:tr2bl w:val="nil"/>
                  </w:tcBorders>
                  <w:shd w:val="clear" w:color="auto" w:fill="FFFFFF"/>
                  <w:vAlign w:val="center"/>
                </w:tcPr>
                <w:p>
                  <w:pPr>
                    <w:pStyle w:val="36"/>
                    <w:rPr>
                      <w:color w:val="auto"/>
                    </w:rPr>
                  </w:pPr>
                  <w:r>
                    <w:rPr>
                      <w:color w:val="auto"/>
                    </w:rPr>
                    <w:t>夜间</w:t>
                  </w:r>
                </w:p>
              </w:tc>
              <w:tc>
                <w:tcPr>
                  <w:tcW w:w="1417" w:type="dxa"/>
                  <w:tcBorders>
                    <w:tl2br w:val="nil"/>
                    <w:tr2bl w:val="nil"/>
                  </w:tcBorders>
                  <w:shd w:val="clear" w:color="auto" w:fill="FFFFFF"/>
                  <w:vAlign w:val="center"/>
                </w:tcPr>
                <w:p>
                  <w:pPr>
                    <w:pStyle w:val="36"/>
                    <w:rPr>
                      <w:color w:val="auto"/>
                    </w:rPr>
                  </w:pPr>
                  <w:r>
                    <w:rPr>
                      <w:color w:val="auto"/>
                    </w:rPr>
                    <w:t>48.9</w:t>
                  </w:r>
                </w:p>
              </w:tc>
              <w:tc>
                <w:tcPr>
                  <w:tcW w:w="1418" w:type="dxa"/>
                  <w:tcBorders>
                    <w:tl2br w:val="nil"/>
                    <w:tr2bl w:val="nil"/>
                  </w:tcBorders>
                  <w:shd w:val="clear" w:color="auto" w:fill="FFFFFF"/>
                  <w:vAlign w:val="center"/>
                </w:tcPr>
                <w:p>
                  <w:pPr>
                    <w:pStyle w:val="36"/>
                    <w:rPr>
                      <w:color w:val="auto"/>
                    </w:rPr>
                  </w:pPr>
                  <w:r>
                    <w:rPr>
                      <w:color w:val="auto"/>
                    </w:rPr>
                    <w:t>55</w:t>
                  </w:r>
                </w:p>
              </w:tc>
              <w:tc>
                <w:tcPr>
                  <w:tcW w:w="1188" w:type="dxa"/>
                  <w:tcBorders>
                    <w:tl2br w:val="nil"/>
                    <w:tr2bl w:val="nil"/>
                  </w:tcBorders>
                  <w:shd w:val="clear" w:color="auto" w:fill="FFFFFF"/>
                  <w:vAlign w:val="center"/>
                </w:tcPr>
                <w:p>
                  <w:pPr>
                    <w:pStyle w:val="36"/>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PrEx>
              <w:trPr>
                <w:trHeight w:val="408" w:hRule="exact"/>
                <w:jc w:val="center"/>
              </w:trPr>
              <w:tc>
                <w:tcPr>
                  <w:tcW w:w="1101" w:type="dxa"/>
                  <w:vMerge w:val="restart"/>
                  <w:tcBorders>
                    <w:tl2br w:val="nil"/>
                    <w:tr2bl w:val="nil"/>
                  </w:tcBorders>
                  <w:shd w:val="clear" w:color="auto" w:fill="FFFFFF"/>
                  <w:vAlign w:val="center"/>
                </w:tcPr>
                <w:p>
                  <w:pPr>
                    <w:pStyle w:val="36"/>
                    <w:rPr>
                      <w:color w:val="auto"/>
                    </w:rPr>
                  </w:pPr>
                  <w:r>
                    <w:rPr>
                      <w:color w:val="auto"/>
                    </w:rPr>
                    <w:t>南侧</w:t>
                  </w:r>
                </w:p>
              </w:tc>
              <w:tc>
                <w:tcPr>
                  <w:tcW w:w="803" w:type="dxa"/>
                  <w:tcBorders>
                    <w:tl2br w:val="nil"/>
                    <w:tr2bl w:val="nil"/>
                  </w:tcBorders>
                  <w:shd w:val="clear" w:color="auto" w:fill="FFFFFF"/>
                  <w:vAlign w:val="center"/>
                </w:tcPr>
                <w:p>
                  <w:pPr>
                    <w:pStyle w:val="36"/>
                    <w:rPr>
                      <w:color w:val="auto"/>
                    </w:rPr>
                  </w:pPr>
                  <w:r>
                    <w:rPr>
                      <w:color w:val="auto"/>
                    </w:rPr>
                    <w:t>-145.3</w:t>
                  </w:r>
                </w:p>
              </w:tc>
              <w:tc>
                <w:tcPr>
                  <w:tcW w:w="803" w:type="dxa"/>
                  <w:tcBorders>
                    <w:tl2br w:val="nil"/>
                    <w:tr2bl w:val="nil"/>
                  </w:tcBorders>
                  <w:shd w:val="clear" w:color="auto" w:fill="FFFFFF"/>
                  <w:vAlign w:val="center"/>
                </w:tcPr>
                <w:p>
                  <w:pPr>
                    <w:pStyle w:val="36"/>
                    <w:rPr>
                      <w:color w:val="auto"/>
                    </w:rPr>
                  </w:pPr>
                  <w:r>
                    <w:rPr>
                      <w:color w:val="auto"/>
                    </w:rPr>
                    <w:t>-120.6</w:t>
                  </w:r>
                </w:p>
              </w:tc>
              <w:tc>
                <w:tcPr>
                  <w:tcW w:w="803" w:type="dxa"/>
                  <w:tcBorders>
                    <w:tl2br w:val="nil"/>
                    <w:tr2bl w:val="nil"/>
                  </w:tcBorders>
                  <w:shd w:val="clear" w:color="auto" w:fill="FFFFFF"/>
                  <w:vAlign w:val="center"/>
                </w:tcPr>
                <w:p>
                  <w:pPr>
                    <w:pStyle w:val="36"/>
                    <w:rPr>
                      <w:color w:val="auto"/>
                    </w:rPr>
                  </w:pPr>
                  <w:r>
                    <w:rPr>
                      <w:color w:val="auto"/>
                    </w:rPr>
                    <w:t>1.2</w:t>
                  </w:r>
                </w:p>
              </w:tc>
              <w:tc>
                <w:tcPr>
                  <w:tcW w:w="993" w:type="dxa"/>
                  <w:tcBorders>
                    <w:tl2br w:val="nil"/>
                    <w:tr2bl w:val="nil"/>
                  </w:tcBorders>
                  <w:shd w:val="clear" w:color="auto" w:fill="FFFFFF"/>
                  <w:vAlign w:val="center"/>
                </w:tcPr>
                <w:p>
                  <w:pPr>
                    <w:pStyle w:val="36"/>
                    <w:rPr>
                      <w:color w:val="auto"/>
                    </w:rPr>
                  </w:pPr>
                  <w:r>
                    <w:rPr>
                      <w:color w:val="auto"/>
                    </w:rPr>
                    <w:t>昼间</w:t>
                  </w:r>
                </w:p>
              </w:tc>
              <w:tc>
                <w:tcPr>
                  <w:tcW w:w="1417" w:type="dxa"/>
                  <w:tcBorders>
                    <w:tl2br w:val="nil"/>
                    <w:tr2bl w:val="nil"/>
                  </w:tcBorders>
                  <w:shd w:val="clear" w:color="auto" w:fill="FFFFFF"/>
                  <w:vAlign w:val="center"/>
                </w:tcPr>
                <w:p>
                  <w:pPr>
                    <w:pStyle w:val="36"/>
                    <w:rPr>
                      <w:color w:val="auto"/>
                    </w:rPr>
                  </w:pPr>
                  <w:r>
                    <w:rPr>
                      <w:color w:val="auto"/>
                    </w:rPr>
                    <w:t>39.8</w:t>
                  </w:r>
                </w:p>
              </w:tc>
              <w:tc>
                <w:tcPr>
                  <w:tcW w:w="1418" w:type="dxa"/>
                  <w:tcBorders>
                    <w:tl2br w:val="nil"/>
                    <w:tr2bl w:val="nil"/>
                  </w:tcBorders>
                  <w:shd w:val="clear" w:color="auto" w:fill="FFFFFF"/>
                  <w:vAlign w:val="center"/>
                </w:tcPr>
                <w:p>
                  <w:pPr>
                    <w:pStyle w:val="36"/>
                    <w:rPr>
                      <w:color w:val="auto"/>
                    </w:rPr>
                  </w:pPr>
                  <w:r>
                    <w:rPr>
                      <w:rFonts w:hint="eastAsia"/>
                      <w:color w:val="auto"/>
                    </w:rPr>
                    <w:t>70</w:t>
                  </w:r>
                </w:p>
              </w:tc>
              <w:tc>
                <w:tcPr>
                  <w:tcW w:w="1188" w:type="dxa"/>
                  <w:tcBorders>
                    <w:tl2br w:val="nil"/>
                    <w:tr2bl w:val="nil"/>
                  </w:tcBorders>
                  <w:shd w:val="clear" w:color="auto" w:fill="FFFFFF"/>
                  <w:vAlign w:val="center"/>
                </w:tcPr>
                <w:p>
                  <w:pPr>
                    <w:pStyle w:val="36"/>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continue"/>
                  <w:tcBorders>
                    <w:tl2br w:val="nil"/>
                    <w:tr2bl w:val="nil"/>
                  </w:tcBorders>
                  <w:shd w:val="clear" w:color="auto" w:fill="FFFFFF"/>
                  <w:vAlign w:val="center"/>
                </w:tcPr>
                <w:p>
                  <w:pPr>
                    <w:pStyle w:val="36"/>
                    <w:rPr>
                      <w:color w:val="auto"/>
                    </w:rPr>
                  </w:pPr>
                </w:p>
              </w:tc>
              <w:tc>
                <w:tcPr>
                  <w:tcW w:w="803" w:type="dxa"/>
                  <w:tcBorders>
                    <w:tl2br w:val="nil"/>
                    <w:tr2bl w:val="nil"/>
                  </w:tcBorders>
                  <w:shd w:val="clear" w:color="auto" w:fill="FFFFFF"/>
                  <w:vAlign w:val="center"/>
                </w:tcPr>
                <w:p>
                  <w:pPr>
                    <w:pStyle w:val="36"/>
                    <w:rPr>
                      <w:color w:val="auto"/>
                    </w:rPr>
                  </w:pPr>
                  <w:r>
                    <w:rPr>
                      <w:color w:val="auto"/>
                    </w:rPr>
                    <w:t>-145.3</w:t>
                  </w:r>
                </w:p>
              </w:tc>
              <w:tc>
                <w:tcPr>
                  <w:tcW w:w="803" w:type="dxa"/>
                  <w:tcBorders>
                    <w:tl2br w:val="nil"/>
                    <w:tr2bl w:val="nil"/>
                  </w:tcBorders>
                  <w:shd w:val="clear" w:color="auto" w:fill="FFFFFF"/>
                  <w:vAlign w:val="center"/>
                </w:tcPr>
                <w:p>
                  <w:pPr>
                    <w:pStyle w:val="36"/>
                    <w:rPr>
                      <w:color w:val="auto"/>
                    </w:rPr>
                  </w:pPr>
                  <w:r>
                    <w:rPr>
                      <w:color w:val="auto"/>
                    </w:rPr>
                    <w:t>-120.6</w:t>
                  </w:r>
                </w:p>
              </w:tc>
              <w:tc>
                <w:tcPr>
                  <w:tcW w:w="803" w:type="dxa"/>
                  <w:tcBorders>
                    <w:tl2br w:val="nil"/>
                    <w:tr2bl w:val="nil"/>
                  </w:tcBorders>
                  <w:shd w:val="clear" w:color="auto" w:fill="FFFFFF"/>
                  <w:vAlign w:val="center"/>
                </w:tcPr>
                <w:p>
                  <w:pPr>
                    <w:pStyle w:val="36"/>
                    <w:rPr>
                      <w:color w:val="auto"/>
                    </w:rPr>
                  </w:pPr>
                  <w:r>
                    <w:rPr>
                      <w:color w:val="auto"/>
                    </w:rPr>
                    <w:t>1.2</w:t>
                  </w:r>
                </w:p>
              </w:tc>
              <w:tc>
                <w:tcPr>
                  <w:tcW w:w="993" w:type="dxa"/>
                  <w:tcBorders>
                    <w:tl2br w:val="nil"/>
                    <w:tr2bl w:val="nil"/>
                  </w:tcBorders>
                  <w:shd w:val="clear" w:color="auto" w:fill="FFFFFF"/>
                  <w:vAlign w:val="center"/>
                </w:tcPr>
                <w:p>
                  <w:pPr>
                    <w:pStyle w:val="36"/>
                    <w:rPr>
                      <w:color w:val="auto"/>
                    </w:rPr>
                  </w:pPr>
                  <w:r>
                    <w:rPr>
                      <w:color w:val="auto"/>
                    </w:rPr>
                    <w:t>夜间</w:t>
                  </w:r>
                </w:p>
              </w:tc>
              <w:tc>
                <w:tcPr>
                  <w:tcW w:w="1417" w:type="dxa"/>
                  <w:tcBorders>
                    <w:tl2br w:val="nil"/>
                    <w:tr2bl w:val="nil"/>
                  </w:tcBorders>
                  <w:shd w:val="clear" w:color="auto" w:fill="FFFFFF"/>
                  <w:vAlign w:val="center"/>
                </w:tcPr>
                <w:p>
                  <w:pPr>
                    <w:pStyle w:val="36"/>
                    <w:rPr>
                      <w:color w:val="auto"/>
                    </w:rPr>
                  </w:pPr>
                  <w:r>
                    <w:rPr>
                      <w:color w:val="auto"/>
                    </w:rPr>
                    <w:t>39.8</w:t>
                  </w:r>
                </w:p>
              </w:tc>
              <w:tc>
                <w:tcPr>
                  <w:tcW w:w="1418" w:type="dxa"/>
                  <w:tcBorders>
                    <w:tl2br w:val="nil"/>
                    <w:tr2bl w:val="nil"/>
                  </w:tcBorders>
                  <w:shd w:val="clear" w:color="auto" w:fill="FFFFFF"/>
                  <w:vAlign w:val="center"/>
                </w:tcPr>
                <w:p>
                  <w:pPr>
                    <w:pStyle w:val="36"/>
                    <w:rPr>
                      <w:color w:val="auto"/>
                    </w:rPr>
                  </w:pPr>
                  <w:r>
                    <w:rPr>
                      <w:color w:val="auto"/>
                    </w:rPr>
                    <w:t>55</w:t>
                  </w:r>
                </w:p>
              </w:tc>
              <w:tc>
                <w:tcPr>
                  <w:tcW w:w="1188" w:type="dxa"/>
                  <w:tcBorders>
                    <w:tl2br w:val="nil"/>
                    <w:tr2bl w:val="nil"/>
                  </w:tcBorders>
                  <w:shd w:val="clear" w:color="auto" w:fill="FFFFFF"/>
                  <w:vAlign w:val="center"/>
                </w:tcPr>
                <w:p>
                  <w:pPr>
                    <w:pStyle w:val="36"/>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restart"/>
                  <w:tcBorders>
                    <w:tl2br w:val="nil"/>
                    <w:tr2bl w:val="nil"/>
                  </w:tcBorders>
                  <w:shd w:val="clear" w:color="auto" w:fill="FFFFFF"/>
                  <w:vAlign w:val="center"/>
                </w:tcPr>
                <w:p>
                  <w:pPr>
                    <w:pStyle w:val="36"/>
                    <w:rPr>
                      <w:color w:val="auto"/>
                    </w:rPr>
                  </w:pPr>
                  <w:r>
                    <w:rPr>
                      <w:color w:val="auto"/>
                    </w:rPr>
                    <w:t>西侧</w:t>
                  </w:r>
                </w:p>
              </w:tc>
              <w:tc>
                <w:tcPr>
                  <w:tcW w:w="803" w:type="dxa"/>
                  <w:tcBorders>
                    <w:tl2br w:val="nil"/>
                    <w:tr2bl w:val="nil"/>
                  </w:tcBorders>
                  <w:shd w:val="clear" w:color="auto" w:fill="FFFFFF"/>
                  <w:vAlign w:val="center"/>
                </w:tcPr>
                <w:p>
                  <w:pPr>
                    <w:pStyle w:val="36"/>
                    <w:rPr>
                      <w:color w:val="auto"/>
                    </w:rPr>
                  </w:pPr>
                  <w:r>
                    <w:rPr>
                      <w:color w:val="auto"/>
                    </w:rPr>
                    <w:t>-135.6</w:t>
                  </w:r>
                </w:p>
              </w:tc>
              <w:tc>
                <w:tcPr>
                  <w:tcW w:w="803" w:type="dxa"/>
                  <w:tcBorders>
                    <w:tl2br w:val="nil"/>
                    <w:tr2bl w:val="nil"/>
                  </w:tcBorders>
                  <w:shd w:val="clear" w:color="auto" w:fill="FFFFFF"/>
                  <w:vAlign w:val="center"/>
                </w:tcPr>
                <w:p>
                  <w:pPr>
                    <w:pStyle w:val="36"/>
                    <w:rPr>
                      <w:color w:val="auto"/>
                    </w:rPr>
                  </w:pPr>
                  <w:r>
                    <w:rPr>
                      <w:color w:val="auto"/>
                    </w:rPr>
                    <w:t>-45.2</w:t>
                  </w:r>
                </w:p>
              </w:tc>
              <w:tc>
                <w:tcPr>
                  <w:tcW w:w="803" w:type="dxa"/>
                  <w:tcBorders>
                    <w:tl2br w:val="nil"/>
                    <w:tr2bl w:val="nil"/>
                  </w:tcBorders>
                  <w:shd w:val="clear" w:color="auto" w:fill="FFFFFF"/>
                  <w:vAlign w:val="center"/>
                </w:tcPr>
                <w:p>
                  <w:pPr>
                    <w:pStyle w:val="36"/>
                    <w:rPr>
                      <w:color w:val="auto"/>
                    </w:rPr>
                  </w:pPr>
                  <w:r>
                    <w:rPr>
                      <w:color w:val="auto"/>
                    </w:rPr>
                    <w:t>1.2</w:t>
                  </w:r>
                </w:p>
              </w:tc>
              <w:tc>
                <w:tcPr>
                  <w:tcW w:w="993" w:type="dxa"/>
                  <w:tcBorders>
                    <w:tl2br w:val="nil"/>
                    <w:tr2bl w:val="nil"/>
                  </w:tcBorders>
                  <w:shd w:val="clear" w:color="auto" w:fill="FFFFFF"/>
                  <w:vAlign w:val="center"/>
                </w:tcPr>
                <w:p>
                  <w:pPr>
                    <w:pStyle w:val="36"/>
                    <w:rPr>
                      <w:color w:val="auto"/>
                    </w:rPr>
                  </w:pPr>
                  <w:r>
                    <w:rPr>
                      <w:color w:val="auto"/>
                    </w:rPr>
                    <w:t>昼间</w:t>
                  </w:r>
                </w:p>
              </w:tc>
              <w:tc>
                <w:tcPr>
                  <w:tcW w:w="1417" w:type="dxa"/>
                  <w:tcBorders>
                    <w:tl2br w:val="nil"/>
                    <w:tr2bl w:val="nil"/>
                  </w:tcBorders>
                  <w:shd w:val="clear" w:color="auto" w:fill="FFFFFF"/>
                  <w:vAlign w:val="center"/>
                </w:tcPr>
                <w:p>
                  <w:pPr>
                    <w:pStyle w:val="36"/>
                    <w:rPr>
                      <w:color w:val="auto"/>
                    </w:rPr>
                  </w:pPr>
                  <w:r>
                    <w:rPr>
                      <w:color w:val="auto"/>
                    </w:rPr>
                    <w:t>46.9</w:t>
                  </w:r>
                </w:p>
              </w:tc>
              <w:tc>
                <w:tcPr>
                  <w:tcW w:w="1418" w:type="dxa"/>
                  <w:tcBorders>
                    <w:tl2br w:val="nil"/>
                    <w:tr2bl w:val="nil"/>
                  </w:tcBorders>
                  <w:shd w:val="clear" w:color="auto" w:fill="FFFFFF"/>
                  <w:vAlign w:val="center"/>
                </w:tcPr>
                <w:p>
                  <w:pPr>
                    <w:pStyle w:val="36"/>
                    <w:rPr>
                      <w:color w:val="auto"/>
                    </w:rPr>
                  </w:pPr>
                  <w:r>
                    <w:rPr>
                      <w:color w:val="auto"/>
                    </w:rPr>
                    <w:t>65</w:t>
                  </w:r>
                </w:p>
              </w:tc>
              <w:tc>
                <w:tcPr>
                  <w:tcW w:w="1188" w:type="dxa"/>
                  <w:tcBorders>
                    <w:tl2br w:val="nil"/>
                    <w:tr2bl w:val="nil"/>
                  </w:tcBorders>
                  <w:shd w:val="clear" w:color="auto" w:fill="FFFFFF"/>
                  <w:vAlign w:val="center"/>
                </w:tcPr>
                <w:p>
                  <w:pPr>
                    <w:pStyle w:val="36"/>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continue"/>
                  <w:tcBorders>
                    <w:tl2br w:val="nil"/>
                    <w:tr2bl w:val="nil"/>
                  </w:tcBorders>
                  <w:shd w:val="clear" w:color="auto" w:fill="FFFFFF"/>
                  <w:vAlign w:val="center"/>
                </w:tcPr>
                <w:p>
                  <w:pPr>
                    <w:pStyle w:val="36"/>
                    <w:rPr>
                      <w:color w:val="auto"/>
                    </w:rPr>
                  </w:pPr>
                </w:p>
              </w:tc>
              <w:tc>
                <w:tcPr>
                  <w:tcW w:w="803" w:type="dxa"/>
                  <w:tcBorders>
                    <w:tl2br w:val="nil"/>
                    <w:tr2bl w:val="nil"/>
                  </w:tcBorders>
                  <w:shd w:val="clear" w:color="auto" w:fill="FFFFFF"/>
                  <w:vAlign w:val="center"/>
                </w:tcPr>
                <w:p>
                  <w:pPr>
                    <w:pStyle w:val="36"/>
                    <w:rPr>
                      <w:color w:val="auto"/>
                    </w:rPr>
                  </w:pPr>
                  <w:r>
                    <w:rPr>
                      <w:color w:val="auto"/>
                    </w:rPr>
                    <w:t>-135.6</w:t>
                  </w:r>
                </w:p>
              </w:tc>
              <w:tc>
                <w:tcPr>
                  <w:tcW w:w="803" w:type="dxa"/>
                  <w:tcBorders>
                    <w:tl2br w:val="nil"/>
                    <w:tr2bl w:val="nil"/>
                  </w:tcBorders>
                  <w:shd w:val="clear" w:color="auto" w:fill="FFFFFF"/>
                  <w:vAlign w:val="center"/>
                </w:tcPr>
                <w:p>
                  <w:pPr>
                    <w:pStyle w:val="36"/>
                    <w:rPr>
                      <w:color w:val="auto"/>
                    </w:rPr>
                  </w:pPr>
                  <w:r>
                    <w:rPr>
                      <w:color w:val="auto"/>
                    </w:rPr>
                    <w:t>-45.2</w:t>
                  </w:r>
                </w:p>
              </w:tc>
              <w:tc>
                <w:tcPr>
                  <w:tcW w:w="803" w:type="dxa"/>
                  <w:tcBorders>
                    <w:tl2br w:val="nil"/>
                    <w:tr2bl w:val="nil"/>
                  </w:tcBorders>
                  <w:shd w:val="clear" w:color="auto" w:fill="FFFFFF"/>
                  <w:vAlign w:val="center"/>
                </w:tcPr>
                <w:p>
                  <w:pPr>
                    <w:pStyle w:val="36"/>
                    <w:rPr>
                      <w:color w:val="auto"/>
                    </w:rPr>
                  </w:pPr>
                  <w:r>
                    <w:rPr>
                      <w:color w:val="auto"/>
                    </w:rPr>
                    <w:t>1.2</w:t>
                  </w:r>
                </w:p>
              </w:tc>
              <w:tc>
                <w:tcPr>
                  <w:tcW w:w="993" w:type="dxa"/>
                  <w:tcBorders>
                    <w:tl2br w:val="nil"/>
                    <w:tr2bl w:val="nil"/>
                  </w:tcBorders>
                  <w:shd w:val="clear" w:color="auto" w:fill="FFFFFF"/>
                  <w:vAlign w:val="center"/>
                </w:tcPr>
                <w:p>
                  <w:pPr>
                    <w:pStyle w:val="36"/>
                    <w:rPr>
                      <w:color w:val="auto"/>
                    </w:rPr>
                  </w:pPr>
                  <w:r>
                    <w:rPr>
                      <w:color w:val="auto"/>
                    </w:rPr>
                    <w:t>夜间</w:t>
                  </w:r>
                </w:p>
              </w:tc>
              <w:tc>
                <w:tcPr>
                  <w:tcW w:w="1417" w:type="dxa"/>
                  <w:tcBorders>
                    <w:tl2br w:val="nil"/>
                    <w:tr2bl w:val="nil"/>
                  </w:tcBorders>
                  <w:shd w:val="clear" w:color="auto" w:fill="FFFFFF"/>
                  <w:vAlign w:val="center"/>
                </w:tcPr>
                <w:p>
                  <w:pPr>
                    <w:pStyle w:val="36"/>
                    <w:rPr>
                      <w:color w:val="auto"/>
                    </w:rPr>
                  </w:pPr>
                  <w:r>
                    <w:rPr>
                      <w:color w:val="auto"/>
                    </w:rPr>
                    <w:t>46.9</w:t>
                  </w:r>
                </w:p>
              </w:tc>
              <w:tc>
                <w:tcPr>
                  <w:tcW w:w="1418" w:type="dxa"/>
                  <w:tcBorders>
                    <w:tl2br w:val="nil"/>
                    <w:tr2bl w:val="nil"/>
                  </w:tcBorders>
                  <w:shd w:val="clear" w:color="auto" w:fill="FFFFFF"/>
                  <w:vAlign w:val="center"/>
                </w:tcPr>
                <w:p>
                  <w:pPr>
                    <w:pStyle w:val="36"/>
                    <w:rPr>
                      <w:color w:val="auto"/>
                    </w:rPr>
                  </w:pPr>
                  <w:r>
                    <w:rPr>
                      <w:color w:val="auto"/>
                    </w:rPr>
                    <w:t>55</w:t>
                  </w:r>
                </w:p>
              </w:tc>
              <w:tc>
                <w:tcPr>
                  <w:tcW w:w="1188" w:type="dxa"/>
                  <w:tcBorders>
                    <w:tl2br w:val="nil"/>
                    <w:tr2bl w:val="nil"/>
                  </w:tcBorders>
                  <w:shd w:val="clear" w:color="auto" w:fill="FFFFFF"/>
                  <w:vAlign w:val="center"/>
                </w:tcPr>
                <w:p>
                  <w:pPr>
                    <w:pStyle w:val="36"/>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restart"/>
                  <w:tcBorders>
                    <w:tl2br w:val="nil"/>
                    <w:tr2bl w:val="nil"/>
                  </w:tcBorders>
                  <w:shd w:val="clear" w:color="auto" w:fill="FFFFFF"/>
                  <w:vAlign w:val="center"/>
                </w:tcPr>
                <w:p>
                  <w:pPr>
                    <w:pStyle w:val="36"/>
                    <w:rPr>
                      <w:color w:val="auto"/>
                    </w:rPr>
                  </w:pPr>
                  <w:r>
                    <w:rPr>
                      <w:color w:val="auto"/>
                    </w:rPr>
                    <w:t>北侧</w:t>
                  </w:r>
                </w:p>
              </w:tc>
              <w:tc>
                <w:tcPr>
                  <w:tcW w:w="803" w:type="dxa"/>
                  <w:tcBorders>
                    <w:tl2br w:val="nil"/>
                    <w:tr2bl w:val="nil"/>
                  </w:tcBorders>
                  <w:shd w:val="clear" w:color="auto" w:fill="FFFFFF"/>
                  <w:vAlign w:val="center"/>
                </w:tcPr>
                <w:p>
                  <w:pPr>
                    <w:pStyle w:val="36"/>
                    <w:rPr>
                      <w:color w:val="auto"/>
                    </w:rPr>
                  </w:pPr>
                  <w:r>
                    <w:rPr>
                      <w:color w:val="auto"/>
                    </w:rPr>
                    <w:t>-5.9</w:t>
                  </w:r>
                </w:p>
              </w:tc>
              <w:tc>
                <w:tcPr>
                  <w:tcW w:w="803" w:type="dxa"/>
                  <w:tcBorders>
                    <w:tl2br w:val="nil"/>
                    <w:tr2bl w:val="nil"/>
                  </w:tcBorders>
                  <w:shd w:val="clear" w:color="auto" w:fill="FFFFFF"/>
                  <w:vAlign w:val="center"/>
                </w:tcPr>
                <w:p>
                  <w:pPr>
                    <w:pStyle w:val="36"/>
                    <w:rPr>
                      <w:color w:val="auto"/>
                    </w:rPr>
                  </w:pPr>
                  <w:r>
                    <w:rPr>
                      <w:color w:val="auto"/>
                    </w:rPr>
                    <w:t>22.9</w:t>
                  </w:r>
                </w:p>
              </w:tc>
              <w:tc>
                <w:tcPr>
                  <w:tcW w:w="803" w:type="dxa"/>
                  <w:tcBorders>
                    <w:tl2br w:val="nil"/>
                    <w:tr2bl w:val="nil"/>
                  </w:tcBorders>
                  <w:shd w:val="clear" w:color="auto" w:fill="FFFFFF"/>
                  <w:vAlign w:val="center"/>
                </w:tcPr>
                <w:p>
                  <w:pPr>
                    <w:pStyle w:val="36"/>
                    <w:rPr>
                      <w:color w:val="auto"/>
                    </w:rPr>
                  </w:pPr>
                  <w:r>
                    <w:rPr>
                      <w:color w:val="auto"/>
                    </w:rPr>
                    <w:t>1.2</w:t>
                  </w:r>
                </w:p>
              </w:tc>
              <w:tc>
                <w:tcPr>
                  <w:tcW w:w="993" w:type="dxa"/>
                  <w:tcBorders>
                    <w:tl2br w:val="nil"/>
                    <w:tr2bl w:val="nil"/>
                  </w:tcBorders>
                  <w:shd w:val="clear" w:color="auto" w:fill="FFFFFF"/>
                  <w:vAlign w:val="center"/>
                </w:tcPr>
                <w:p>
                  <w:pPr>
                    <w:pStyle w:val="36"/>
                    <w:rPr>
                      <w:color w:val="auto"/>
                    </w:rPr>
                  </w:pPr>
                  <w:r>
                    <w:rPr>
                      <w:color w:val="auto"/>
                    </w:rPr>
                    <w:t>昼间</w:t>
                  </w:r>
                </w:p>
              </w:tc>
              <w:tc>
                <w:tcPr>
                  <w:tcW w:w="1417" w:type="dxa"/>
                  <w:tcBorders>
                    <w:tl2br w:val="nil"/>
                    <w:tr2bl w:val="nil"/>
                  </w:tcBorders>
                  <w:shd w:val="clear" w:color="auto" w:fill="FFFFFF"/>
                  <w:vAlign w:val="center"/>
                </w:tcPr>
                <w:p>
                  <w:pPr>
                    <w:pStyle w:val="36"/>
                    <w:rPr>
                      <w:color w:val="auto"/>
                    </w:rPr>
                  </w:pPr>
                  <w:r>
                    <w:rPr>
                      <w:color w:val="auto"/>
                    </w:rPr>
                    <w:t>48.2</w:t>
                  </w:r>
                </w:p>
              </w:tc>
              <w:tc>
                <w:tcPr>
                  <w:tcW w:w="1418" w:type="dxa"/>
                  <w:tcBorders>
                    <w:tl2br w:val="nil"/>
                    <w:tr2bl w:val="nil"/>
                  </w:tcBorders>
                  <w:shd w:val="clear" w:color="auto" w:fill="FFFFFF"/>
                  <w:vAlign w:val="center"/>
                </w:tcPr>
                <w:p>
                  <w:pPr>
                    <w:pStyle w:val="36"/>
                    <w:rPr>
                      <w:color w:val="auto"/>
                    </w:rPr>
                  </w:pPr>
                  <w:r>
                    <w:rPr>
                      <w:color w:val="auto"/>
                    </w:rPr>
                    <w:t>65</w:t>
                  </w:r>
                </w:p>
              </w:tc>
              <w:tc>
                <w:tcPr>
                  <w:tcW w:w="1188" w:type="dxa"/>
                  <w:tcBorders>
                    <w:tl2br w:val="nil"/>
                    <w:tr2bl w:val="nil"/>
                  </w:tcBorders>
                  <w:shd w:val="clear" w:color="auto" w:fill="FFFFFF"/>
                  <w:vAlign w:val="center"/>
                </w:tcPr>
                <w:p>
                  <w:pPr>
                    <w:pStyle w:val="36"/>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PrEx>
              <w:trPr>
                <w:trHeight w:val="408" w:hRule="exact"/>
                <w:jc w:val="center"/>
              </w:trPr>
              <w:tc>
                <w:tcPr>
                  <w:tcW w:w="1101" w:type="dxa"/>
                  <w:vMerge w:val="continue"/>
                  <w:tcBorders>
                    <w:tl2br w:val="nil"/>
                    <w:tr2bl w:val="nil"/>
                  </w:tcBorders>
                  <w:shd w:val="clear" w:color="auto" w:fill="FFFFFF"/>
                  <w:vAlign w:val="center"/>
                </w:tcPr>
                <w:p>
                  <w:pPr>
                    <w:pStyle w:val="36"/>
                    <w:rPr>
                      <w:color w:val="auto"/>
                    </w:rPr>
                  </w:pPr>
                </w:p>
              </w:tc>
              <w:tc>
                <w:tcPr>
                  <w:tcW w:w="803" w:type="dxa"/>
                  <w:tcBorders>
                    <w:tl2br w:val="nil"/>
                    <w:tr2bl w:val="nil"/>
                  </w:tcBorders>
                  <w:shd w:val="clear" w:color="auto" w:fill="FFFFFF"/>
                  <w:vAlign w:val="center"/>
                </w:tcPr>
                <w:p>
                  <w:pPr>
                    <w:pStyle w:val="36"/>
                    <w:rPr>
                      <w:color w:val="auto"/>
                    </w:rPr>
                  </w:pPr>
                  <w:r>
                    <w:rPr>
                      <w:color w:val="auto"/>
                    </w:rPr>
                    <w:t>-5.9</w:t>
                  </w:r>
                </w:p>
              </w:tc>
              <w:tc>
                <w:tcPr>
                  <w:tcW w:w="803" w:type="dxa"/>
                  <w:tcBorders>
                    <w:tl2br w:val="nil"/>
                    <w:tr2bl w:val="nil"/>
                  </w:tcBorders>
                  <w:shd w:val="clear" w:color="auto" w:fill="FFFFFF"/>
                  <w:vAlign w:val="center"/>
                </w:tcPr>
                <w:p>
                  <w:pPr>
                    <w:pStyle w:val="36"/>
                    <w:rPr>
                      <w:color w:val="auto"/>
                    </w:rPr>
                  </w:pPr>
                  <w:r>
                    <w:rPr>
                      <w:color w:val="auto"/>
                    </w:rPr>
                    <w:t>22.9</w:t>
                  </w:r>
                </w:p>
              </w:tc>
              <w:tc>
                <w:tcPr>
                  <w:tcW w:w="803" w:type="dxa"/>
                  <w:tcBorders>
                    <w:tl2br w:val="nil"/>
                    <w:tr2bl w:val="nil"/>
                  </w:tcBorders>
                  <w:shd w:val="clear" w:color="auto" w:fill="FFFFFF"/>
                  <w:vAlign w:val="center"/>
                </w:tcPr>
                <w:p>
                  <w:pPr>
                    <w:pStyle w:val="36"/>
                    <w:rPr>
                      <w:color w:val="auto"/>
                    </w:rPr>
                  </w:pPr>
                  <w:r>
                    <w:rPr>
                      <w:color w:val="auto"/>
                    </w:rPr>
                    <w:t>1.2</w:t>
                  </w:r>
                </w:p>
              </w:tc>
              <w:tc>
                <w:tcPr>
                  <w:tcW w:w="993" w:type="dxa"/>
                  <w:tcBorders>
                    <w:tl2br w:val="nil"/>
                    <w:tr2bl w:val="nil"/>
                  </w:tcBorders>
                  <w:shd w:val="clear" w:color="auto" w:fill="FFFFFF"/>
                  <w:vAlign w:val="center"/>
                </w:tcPr>
                <w:p>
                  <w:pPr>
                    <w:pStyle w:val="36"/>
                    <w:rPr>
                      <w:color w:val="auto"/>
                    </w:rPr>
                  </w:pPr>
                  <w:r>
                    <w:rPr>
                      <w:color w:val="auto"/>
                    </w:rPr>
                    <w:t>夜间</w:t>
                  </w:r>
                </w:p>
              </w:tc>
              <w:tc>
                <w:tcPr>
                  <w:tcW w:w="1417" w:type="dxa"/>
                  <w:tcBorders>
                    <w:tl2br w:val="nil"/>
                    <w:tr2bl w:val="nil"/>
                  </w:tcBorders>
                  <w:shd w:val="clear" w:color="auto" w:fill="FFFFFF"/>
                  <w:vAlign w:val="center"/>
                </w:tcPr>
                <w:p>
                  <w:pPr>
                    <w:pStyle w:val="36"/>
                    <w:rPr>
                      <w:color w:val="auto"/>
                    </w:rPr>
                  </w:pPr>
                  <w:r>
                    <w:rPr>
                      <w:color w:val="auto"/>
                    </w:rPr>
                    <w:t>48.2</w:t>
                  </w:r>
                </w:p>
              </w:tc>
              <w:tc>
                <w:tcPr>
                  <w:tcW w:w="1418" w:type="dxa"/>
                  <w:tcBorders>
                    <w:tl2br w:val="nil"/>
                    <w:tr2bl w:val="nil"/>
                  </w:tcBorders>
                  <w:shd w:val="clear" w:color="auto" w:fill="FFFFFF"/>
                  <w:vAlign w:val="center"/>
                </w:tcPr>
                <w:p>
                  <w:pPr>
                    <w:pStyle w:val="36"/>
                    <w:rPr>
                      <w:color w:val="auto"/>
                    </w:rPr>
                  </w:pPr>
                  <w:r>
                    <w:rPr>
                      <w:color w:val="auto"/>
                    </w:rPr>
                    <w:t>55</w:t>
                  </w:r>
                </w:p>
              </w:tc>
              <w:tc>
                <w:tcPr>
                  <w:tcW w:w="1188" w:type="dxa"/>
                  <w:tcBorders>
                    <w:tl2br w:val="nil"/>
                    <w:tr2bl w:val="nil"/>
                  </w:tcBorders>
                  <w:shd w:val="clear" w:color="auto" w:fill="FFFFFF"/>
                  <w:vAlign w:val="center"/>
                </w:tcPr>
                <w:p>
                  <w:pPr>
                    <w:pStyle w:val="36"/>
                    <w:rPr>
                      <w:color w:val="auto"/>
                    </w:rPr>
                  </w:pPr>
                  <w:r>
                    <w:rPr>
                      <w:color w:val="auto"/>
                    </w:rPr>
                    <w:t>达标</w:t>
                  </w:r>
                </w:p>
              </w:tc>
            </w:tr>
          </w:tbl>
          <w:p>
            <w:pPr>
              <w:ind w:firstLine="420"/>
              <w:rPr>
                <w:rFonts w:cs="Times New Roman"/>
                <w:color w:val="auto"/>
              </w:rPr>
            </w:pPr>
            <w:r>
              <w:rPr>
                <w:rFonts w:cs="Times New Roman"/>
                <w:bCs/>
                <w:color w:val="auto"/>
                <w:sz w:val="21"/>
                <w:szCs w:val="21"/>
              </w:rPr>
              <w:t>表中坐标以厂界中心（</w:t>
            </w:r>
            <w:bookmarkStart w:id="92" w:name="PO_8"/>
            <w:r>
              <w:rPr>
                <w:rFonts w:cs="Times New Roman"/>
                <w:bCs/>
                <w:color w:val="auto"/>
                <w:sz w:val="21"/>
                <w:szCs w:val="21"/>
              </w:rPr>
              <w:t>119.406425,25.780307</w:t>
            </w:r>
            <w:bookmarkEnd w:id="92"/>
            <w:r>
              <w:rPr>
                <w:rFonts w:cs="Times New Roman"/>
                <w:bCs/>
                <w:color w:val="auto"/>
                <w:sz w:val="21"/>
                <w:szCs w:val="21"/>
              </w:rPr>
              <w:t>）为坐标原点，正东向为X轴正方向，正北向为Y轴正方向</w:t>
            </w:r>
            <w:r>
              <w:rPr>
                <w:rFonts w:hint="eastAsia" w:cs="Times New Roman"/>
                <w:bCs/>
                <w:color w:val="auto"/>
                <w:sz w:val="21"/>
                <w:szCs w:val="21"/>
              </w:rPr>
              <w:t>。</w:t>
            </w:r>
          </w:p>
          <w:p>
            <w:pPr>
              <w:pStyle w:val="37"/>
              <w:rPr>
                <w:rFonts w:cs="Times New Roman"/>
                <w:color w:val="auto"/>
              </w:rPr>
            </w:pPr>
            <w:r>
              <w:rPr>
                <w:rFonts w:cs="Times New Roman"/>
                <w:color w:val="auto"/>
              </w:rPr>
              <w:t>表4.2-</w:t>
            </w:r>
            <w:r>
              <w:rPr>
                <w:rFonts w:hint="eastAsia" w:cs="Times New Roman"/>
                <w:color w:val="auto"/>
                <w:lang w:val="en-US" w:eastAsia="zh-CN"/>
              </w:rPr>
              <w:t>13</w:t>
            </w:r>
            <w:r>
              <w:rPr>
                <w:rFonts w:hint="eastAsia" w:cs="Times New Roman"/>
                <w:color w:val="auto"/>
                <w:lang w:val="en-US"/>
              </w:rPr>
              <w:t xml:space="preserve">  </w:t>
            </w:r>
            <w:r>
              <w:rPr>
                <w:rFonts w:hint="eastAsia" w:cs="Times New Roman"/>
                <w:color w:val="auto"/>
              </w:rPr>
              <w:t>声环境保护目标噪声预测结果与达标分析表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795"/>
              <w:gridCol w:w="790"/>
              <w:gridCol w:w="786"/>
              <w:gridCol w:w="709"/>
              <w:gridCol w:w="911"/>
              <w:gridCol w:w="870"/>
              <w:gridCol w:w="879"/>
              <w:gridCol w:w="934"/>
              <w:gridCol w:w="8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050" w:type="dxa"/>
                  <w:vMerge w:val="restart"/>
                  <w:tcBorders>
                    <w:tl2br w:val="nil"/>
                    <w:tr2bl w:val="nil"/>
                  </w:tcBorders>
                  <w:vAlign w:val="center"/>
                </w:tcPr>
                <w:p>
                  <w:pPr>
                    <w:pStyle w:val="36"/>
                    <w:rPr>
                      <w:rFonts w:cs="Times New Roman"/>
                      <w:color w:val="auto"/>
                    </w:rPr>
                  </w:pPr>
                  <w:r>
                    <w:rPr>
                      <w:rFonts w:hint="eastAsia" w:cs="Times New Roman"/>
                      <w:color w:val="auto"/>
                    </w:rPr>
                    <w:t>声环境保护目标名称</w:t>
                  </w:r>
                </w:p>
              </w:tc>
              <w:tc>
                <w:tcPr>
                  <w:tcW w:w="2350" w:type="dxa"/>
                  <w:gridSpan w:val="3"/>
                  <w:tcBorders>
                    <w:tl2br w:val="nil"/>
                    <w:tr2bl w:val="nil"/>
                  </w:tcBorders>
                  <w:vAlign w:val="center"/>
                </w:tcPr>
                <w:p>
                  <w:pPr>
                    <w:pStyle w:val="36"/>
                    <w:rPr>
                      <w:rFonts w:cs="Times New Roman"/>
                      <w:color w:val="auto"/>
                    </w:rPr>
                  </w:pPr>
                  <w:r>
                    <w:rPr>
                      <w:rFonts w:hint="eastAsia" w:cs="Times New Roman"/>
                      <w:color w:val="auto"/>
                    </w:rPr>
                    <w:t>空间相对位置/m</w:t>
                  </w:r>
                </w:p>
              </w:tc>
              <w:tc>
                <w:tcPr>
                  <w:tcW w:w="702" w:type="dxa"/>
                  <w:vMerge w:val="restart"/>
                  <w:tcBorders>
                    <w:tl2br w:val="nil"/>
                    <w:tr2bl w:val="nil"/>
                  </w:tcBorders>
                  <w:vAlign w:val="center"/>
                </w:tcPr>
                <w:p>
                  <w:pPr>
                    <w:pStyle w:val="36"/>
                    <w:rPr>
                      <w:rFonts w:cs="Times New Roman"/>
                      <w:color w:val="auto"/>
                    </w:rPr>
                  </w:pPr>
                  <w:r>
                    <w:rPr>
                      <w:rFonts w:cs="Times New Roman"/>
                      <w:color w:val="auto"/>
                    </w:rPr>
                    <w:t>时段</w:t>
                  </w:r>
                </w:p>
              </w:tc>
              <w:tc>
                <w:tcPr>
                  <w:tcW w:w="903" w:type="dxa"/>
                  <w:vMerge w:val="restart"/>
                  <w:tcBorders>
                    <w:tl2br w:val="nil"/>
                    <w:tr2bl w:val="nil"/>
                  </w:tcBorders>
                  <w:vAlign w:val="center"/>
                </w:tcPr>
                <w:p>
                  <w:pPr>
                    <w:pStyle w:val="36"/>
                    <w:ind w:left="-120" w:leftChars="-50" w:right="-120" w:rightChars="-50"/>
                    <w:rPr>
                      <w:rFonts w:cs="Times New Roman"/>
                      <w:color w:val="auto"/>
                    </w:rPr>
                  </w:pPr>
                  <w:r>
                    <w:rPr>
                      <w:rFonts w:cs="Times New Roman"/>
                      <w:color w:val="auto"/>
                    </w:rPr>
                    <w:t>贡献值（dB</w:t>
                  </w:r>
                  <w:r>
                    <w:rPr>
                      <w:rFonts w:hint="eastAsia" w:cs="Times New Roman"/>
                      <w:color w:val="auto"/>
                    </w:rPr>
                    <w:t>（</w:t>
                  </w:r>
                  <w:r>
                    <w:rPr>
                      <w:rFonts w:cs="Times New Roman"/>
                      <w:color w:val="auto"/>
                    </w:rPr>
                    <w:t>A）</w:t>
                  </w:r>
                </w:p>
              </w:tc>
              <w:tc>
                <w:tcPr>
                  <w:tcW w:w="862" w:type="dxa"/>
                  <w:vMerge w:val="restart"/>
                  <w:tcBorders>
                    <w:tl2br w:val="nil"/>
                    <w:tr2bl w:val="nil"/>
                  </w:tcBorders>
                  <w:vAlign w:val="center"/>
                </w:tcPr>
                <w:p>
                  <w:pPr>
                    <w:pStyle w:val="36"/>
                    <w:ind w:left="-120" w:leftChars="-50" w:right="-120" w:rightChars="-50"/>
                    <w:rPr>
                      <w:rFonts w:cs="Times New Roman"/>
                      <w:color w:val="auto"/>
                    </w:rPr>
                  </w:pPr>
                  <w:r>
                    <w:rPr>
                      <w:rFonts w:hint="eastAsia" w:cs="Times New Roman"/>
                      <w:color w:val="auto"/>
                    </w:rPr>
                    <w:t>现状值</w:t>
                  </w:r>
                  <w:r>
                    <w:rPr>
                      <w:rFonts w:cs="Times New Roman"/>
                      <w:color w:val="auto"/>
                    </w:rPr>
                    <w:t>（dB</w:t>
                  </w:r>
                  <w:r>
                    <w:rPr>
                      <w:rFonts w:hint="eastAsia" w:cs="Times New Roman"/>
                      <w:color w:val="auto"/>
                    </w:rPr>
                    <w:t>（</w:t>
                  </w:r>
                  <w:r>
                    <w:rPr>
                      <w:rFonts w:cs="Times New Roman"/>
                      <w:color w:val="auto"/>
                    </w:rPr>
                    <w:t>A）</w:t>
                  </w:r>
                </w:p>
              </w:tc>
              <w:tc>
                <w:tcPr>
                  <w:tcW w:w="871" w:type="dxa"/>
                  <w:vMerge w:val="restart"/>
                  <w:tcBorders>
                    <w:tl2br w:val="nil"/>
                    <w:tr2bl w:val="nil"/>
                  </w:tcBorders>
                  <w:vAlign w:val="center"/>
                </w:tcPr>
                <w:p>
                  <w:pPr>
                    <w:pStyle w:val="36"/>
                    <w:ind w:left="-120" w:leftChars="-50" w:right="-120" w:rightChars="-50"/>
                    <w:rPr>
                      <w:rFonts w:cs="Times New Roman"/>
                      <w:color w:val="auto"/>
                    </w:rPr>
                  </w:pPr>
                  <w:r>
                    <w:rPr>
                      <w:rFonts w:hint="eastAsia" w:cs="Times New Roman"/>
                      <w:color w:val="auto"/>
                    </w:rPr>
                    <w:t>预测值</w:t>
                  </w:r>
                  <w:r>
                    <w:rPr>
                      <w:rFonts w:cs="Times New Roman"/>
                      <w:color w:val="auto"/>
                    </w:rPr>
                    <w:t>（dB</w:t>
                  </w:r>
                  <w:r>
                    <w:rPr>
                      <w:rFonts w:hint="eastAsia" w:cs="Times New Roman"/>
                      <w:color w:val="auto"/>
                    </w:rPr>
                    <w:t>（</w:t>
                  </w:r>
                  <w:r>
                    <w:rPr>
                      <w:rFonts w:cs="Times New Roman"/>
                      <w:color w:val="auto"/>
                    </w:rPr>
                    <w:t>A）</w:t>
                  </w:r>
                </w:p>
              </w:tc>
              <w:tc>
                <w:tcPr>
                  <w:tcW w:w="925" w:type="dxa"/>
                  <w:vMerge w:val="restart"/>
                  <w:tcBorders>
                    <w:tl2br w:val="nil"/>
                    <w:tr2bl w:val="nil"/>
                  </w:tcBorders>
                  <w:vAlign w:val="center"/>
                </w:tcPr>
                <w:p>
                  <w:pPr>
                    <w:pStyle w:val="36"/>
                    <w:ind w:left="-120" w:leftChars="-50" w:right="-120" w:rightChars="-50"/>
                    <w:rPr>
                      <w:rFonts w:cs="Times New Roman"/>
                      <w:color w:val="auto"/>
                    </w:rPr>
                  </w:pPr>
                  <w:r>
                    <w:rPr>
                      <w:rFonts w:cs="Times New Roman"/>
                      <w:color w:val="auto"/>
                    </w:rPr>
                    <w:t>标准限值（dB</w:t>
                  </w:r>
                  <w:r>
                    <w:rPr>
                      <w:rFonts w:hint="eastAsia" w:cs="Times New Roman"/>
                      <w:color w:val="auto"/>
                    </w:rPr>
                    <w:t>（</w:t>
                  </w:r>
                  <w:r>
                    <w:rPr>
                      <w:rFonts w:cs="Times New Roman"/>
                      <w:color w:val="auto"/>
                    </w:rPr>
                    <w:t>A</w:t>
                  </w:r>
                  <w:r>
                    <w:rPr>
                      <w:rFonts w:hint="eastAsia" w:cs="Times New Roman"/>
                      <w:color w:val="auto"/>
                    </w:rPr>
                    <w:t>）</w:t>
                  </w:r>
                  <w:r>
                    <w:rPr>
                      <w:rFonts w:cs="Times New Roman"/>
                      <w:color w:val="auto"/>
                    </w:rPr>
                    <w:t>）</w:t>
                  </w:r>
                </w:p>
              </w:tc>
              <w:tc>
                <w:tcPr>
                  <w:tcW w:w="858" w:type="dxa"/>
                  <w:vMerge w:val="restart"/>
                  <w:tcBorders>
                    <w:tl2br w:val="nil"/>
                    <w:tr2bl w:val="nil"/>
                  </w:tcBorders>
                  <w:vAlign w:val="center"/>
                </w:tcPr>
                <w:p>
                  <w:pPr>
                    <w:pStyle w:val="36"/>
                    <w:rPr>
                      <w:rFonts w:cs="Times New Roman"/>
                      <w:color w:val="auto"/>
                    </w:rPr>
                  </w:pPr>
                  <w:r>
                    <w:rPr>
                      <w:rFonts w:cs="Times New Roman"/>
                      <w:color w:val="auto"/>
                    </w:rPr>
                    <w:t>达标</w:t>
                  </w:r>
                </w:p>
                <w:p>
                  <w:pPr>
                    <w:pStyle w:val="36"/>
                    <w:rPr>
                      <w:rFonts w:cs="Times New Roman"/>
                      <w:color w:val="auto"/>
                    </w:rPr>
                  </w:pPr>
                  <w:r>
                    <w:rPr>
                      <w:rFonts w:cs="Times New Roman"/>
                      <w:color w:val="auto"/>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050" w:type="dxa"/>
                  <w:vMerge w:val="continue"/>
                  <w:tcBorders>
                    <w:tl2br w:val="nil"/>
                    <w:tr2bl w:val="nil"/>
                  </w:tcBorders>
                  <w:vAlign w:val="center"/>
                </w:tcPr>
                <w:p>
                  <w:pPr>
                    <w:pStyle w:val="36"/>
                    <w:rPr>
                      <w:rFonts w:cs="Times New Roman"/>
                      <w:color w:val="auto"/>
                    </w:rPr>
                  </w:pPr>
                </w:p>
              </w:tc>
              <w:tc>
                <w:tcPr>
                  <w:tcW w:w="788" w:type="dxa"/>
                  <w:tcBorders>
                    <w:tl2br w:val="nil"/>
                    <w:tr2bl w:val="nil"/>
                  </w:tcBorders>
                  <w:shd w:val="clear" w:color="auto" w:fill="FFFFFF"/>
                  <w:vAlign w:val="center"/>
                </w:tcPr>
                <w:p>
                  <w:pPr>
                    <w:pStyle w:val="36"/>
                    <w:rPr>
                      <w:rFonts w:cs="Times New Roman"/>
                      <w:color w:val="auto"/>
                    </w:rPr>
                  </w:pPr>
                  <w:r>
                    <w:rPr>
                      <w:rFonts w:cs="Times New Roman"/>
                      <w:color w:val="auto"/>
                    </w:rPr>
                    <w:t>X</w:t>
                  </w:r>
                </w:p>
              </w:tc>
              <w:tc>
                <w:tcPr>
                  <w:tcW w:w="783" w:type="dxa"/>
                  <w:tcBorders>
                    <w:tl2br w:val="nil"/>
                    <w:tr2bl w:val="nil"/>
                  </w:tcBorders>
                  <w:shd w:val="clear" w:color="auto" w:fill="FFFFFF"/>
                  <w:vAlign w:val="center"/>
                </w:tcPr>
                <w:p>
                  <w:pPr>
                    <w:pStyle w:val="36"/>
                    <w:rPr>
                      <w:rFonts w:cs="Times New Roman"/>
                      <w:color w:val="auto"/>
                    </w:rPr>
                  </w:pPr>
                  <w:r>
                    <w:rPr>
                      <w:rFonts w:cs="Times New Roman"/>
                      <w:color w:val="auto"/>
                    </w:rPr>
                    <w:t>Y</w:t>
                  </w:r>
                </w:p>
              </w:tc>
              <w:tc>
                <w:tcPr>
                  <w:tcW w:w="779" w:type="dxa"/>
                  <w:tcBorders>
                    <w:tl2br w:val="nil"/>
                    <w:tr2bl w:val="nil"/>
                  </w:tcBorders>
                  <w:shd w:val="clear" w:color="auto" w:fill="FFFFFF"/>
                  <w:vAlign w:val="center"/>
                </w:tcPr>
                <w:p>
                  <w:pPr>
                    <w:pStyle w:val="36"/>
                    <w:rPr>
                      <w:rFonts w:cs="Times New Roman"/>
                      <w:color w:val="auto"/>
                    </w:rPr>
                  </w:pPr>
                  <w:r>
                    <w:rPr>
                      <w:rFonts w:cs="Times New Roman"/>
                      <w:color w:val="auto"/>
                    </w:rPr>
                    <w:t>Z</w:t>
                  </w:r>
                </w:p>
              </w:tc>
              <w:tc>
                <w:tcPr>
                  <w:tcW w:w="702" w:type="dxa"/>
                  <w:vMerge w:val="continue"/>
                  <w:tcBorders>
                    <w:tl2br w:val="nil"/>
                    <w:tr2bl w:val="nil"/>
                  </w:tcBorders>
                  <w:vAlign w:val="center"/>
                </w:tcPr>
                <w:p>
                  <w:pPr>
                    <w:pStyle w:val="36"/>
                    <w:rPr>
                      <w:rFonts w:cs="Times New Roman"/>
                      <w:color w:val="auto"/>
                    </w:rPr>
                  </w:pPr>
                </w:p>
              </w:tc>
              <w:tc>
                <w:tcPr>
                  <w:tcW w:w="903" w:type="dxa"/>
                  <w:vMerge w:val="continue"/>
                  <w:tcBorders>
                    <w:tl2br w:val="nil"/>
                    <w:tr2bl w:val="nil"/>
                  </w:tcBorders>
                  <w:vAlign w:val="center"/>
                </w:tcPr>
                <w:p>
                  <w:pPr>
                    <w:pStyle w:val="36"/>
                    <w:rPr>
                      <w:rFonts w:cs="Times New Roman"/>
                      <w:color w:val="auto"/>
                    </w:rPr>
                  </w:pPr>
                </w:p>
              </w:tc>
              <w:tc>
                <w:tcPr>
                  <w:tcW w:w="862" w:type="dxa"/>
                  <w:vMerge w:val="continue"/>
                  <w:tcBorders>
                    <w:tl2br w:val="nil"/>
                    <w:tr2bl w:val="nil"/>
                  </w:tcBorders>
                  <w:vAlign w:val="center"/>
                </w:tcPr>
                <w:p>
                  <w:pPr>
                    <w:pStyle w:val="36"/>
                    <w:rPr>
                      <w:rFonts w:cs="Times New Roman"/>
                      <w:color w:val="auto"/>
                    </w:rPr>
                  </w:pPr>
                </w:p>
              </w:tc>
              <w:tc>
                <w:tcPr>
                  <w:tcW w:w="871" w:type="dxa"/>
                  <w:vMerge w:val="continue"/>
                  <w:tcBorders>
                    <w:tl2br w:val="nil"/>
                    <w:tr2bl w:val="nil"/>
                  </w:tcBorders>
                  <w:vAlign w:val="center"/>
                </w:tcPr>
                <w:p>
                  <w:pPr>
                    <w:pStyle w:val="36"/>
                    <w:rPr>
                      <w:rFonts w:cs="Times New Roman"/>
                      <w:color w:val="auto"/>
                    </w:rPr>
                  </w:pPr>
                </w:p>
              </w:tc>
              <w:tc>
                <w:tcPr>
                  <w:tcW w:w="925" w:type="dxa"/>
                  <w:vMerge w:val="continue"/>
                  <w:tcBorders>
                    <w:tl2br w:val="nil"/>
                    <w:tr2bl w:val="nil"/>
                  </w:tcBorders>
                  <w:vAlign w:val="center"/>
                </w:tcPr>
                <w:p>
                  <w:pPr>
                    <w:pStyle w:val="36"/>
                    <w:rPr>
                      <w:rFonts w:cs="Times New Roman"/>
                      <w:color w:val="auto"/>
                    </w:rPr>
                  </w:pPr>
                </w:p>
              </w:tc>
              <w:tc>
                <w:tcPr>
                  <w:tcW w:w="858" w:type="dxa"/>
                  <w:vMerge w:val="continue"/>
                  <w:tcBorders>
                    <w:tl2br w:val="nil"/>
                    <w:tr2bl w:val="nil"/>
                  </w:tcBorders>
                  <w:vAlign w:val="center"/>
                </w:tcPr>
                <w:p>
                  <w:pPr>
                    <w:pStyle w:val="36"/>
                    <w:rPr>
                      <w:rFonts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08" w:hRule="atLeast"/>
                <w:jc w:val="center"/>
              </w:trPr>
              <w:tc>
                <w:tcPr>
                  <w:tcW w:w="1050" w:type="dxa"/>
                  <w:vMerge w:val="restart"/>
                  <w:tcBorders>
                    <w:tl2br w:val="nil"/>
                    <w:tr2bl w:val="nil"/>
                  </w:tcBorders>
                  <w:shd w:val="clear" w:color="auto" w:fill="FFFFFF"/>
                  <w:vAlign w:val="center"/>
                </w:tcPr>
                <w:p>
                  <w:pPr>
                    <w:pStyle w:val="36"/>
                    <w:rPr>
                      <w:color w:val="auto"/>
                    </w:rPr>
                  </w:pPr>
                  <w:r>
                    <w:rPr>
                      <w:rFonts w:hint="eastAsia"/>
                      <w:color w:val="auto"/>
                    </w:rPr>
                    <w:t>屿边村</w:t>
                  </w:r>
                </w:p>
              </w:tc>
              <w:tc>
                <w:tcPr>
                  <w:tcW w:w="788" w:type="dxa"/>
                  <w:vMerge w:val="restart"/>
                  <w:tcBorders>
                    <w:tl2br w:val="nil"/>
                    <w:tr2bl w:val="nil"/>
                  </w:tcBorders>
                  <w:shd w:val="clear" w:color="auto" w:fill="FFFFFF"/>
                  <w:vAlign w:val="center"/>
                </w:tcPr>
                <w:p>
                  <w:pPr>
                    <w:pStyle w:val="36"/>
                    <w:rPr>
                      <w:color w:val="auto"/>
                    </w:rPr>
                  </w:pPr>
                  <w:r>
                    <w:rPr>
                      <w:rFonts w:hint="eastAsia"/>
                      <w:color w:val="auto"/>
                    </w:rPr>
                    <w:t>39.8</w:t>
                  </w:r>
                </w:p>
              </w:tc>
              <w:tc>
                <w:tcPr>
                  <w:tcW w:w="783" w:type="dxa"/>
                  <w:vMerge w:val="restart"/>
                  <w:tcBorders>
                    <w:tl2br w:val="nil"/>
                    <w:tr2bl w:val="nil"/>
                  </w:tcBorders>
                  <w:shd w:val="clear" w:color="auto" w:fill="FFFFFF"/>
                  <w:vAlign w:val="center"/>
                </w:tcPr>
                <w:p>
                  <w:pPr>
                    <w:pStyle w:val="36"/>
                    <w:rPr>
                      <w:color w:val="auto"/>
                    </w:rPr>
                  </w:pPr>
                  <w:r>
                    <w:rPr>
                      <w:rFonts w:hint="eastAsia"/>
                      <w:color w:val="auto"/>
                    </w:rPr>
                    <w:t>-126.1</w:t>
                  </w:r>
                </w:p>
              </w:tc>
              <w:tc>
                <w:tcPr>
                  <w:tcW w:w="779" w:type="dxa"/>
                  <w:vMerge w:val="restart"/>
                  <w:tcBorders>
                    <w:tl2br w:val="nil"/>
                    <w:tr2bl w:val="nil"/>
                  </w:tcBorders>
                  <w:shd w:val="clear" w:color="auto" w:fill="FFFFFF"/>
                  <w:vAlign w:val="center"/>
                </w:tcPr>
                <w:p>
                  <w:pPr>
                    <w:pStyle w:val="36"/>
                    <w:rPr>
                      <w:color w:val="auto"/>
                    </w:rPr>
                  </w:pPr>
                  <w:r>
                    <w:rPr>
                      <w:rFonts w:hint="eastAsia"/>
                      <w:color w:val="auto"/>
                    </w:rPr>
                    <w:t>1.2</w:t>
                  </w:r>
                </w:p>
              </w:tc>
              <w:tc>
                <w:tcPr>
                  <w:tcW w:w="702" w:type="dxa"/>
                  <w:tcBorders>
                    <w:tl2br w:val="nil"/>
                    <w:tr2bl w:val="nil"/>
                  </w:tcBorders>
                  <w:shd w:val="clear" w:color="auto" w:fill="FFFFFF"/>
                  <w:vAlign w:val="center"/>
                </w:tcPr>
                <w:p>
                  <w:pPr>
                    <w:pStyle w:val="36"/>
                    <w:rPr>
                      <w:color w:val="auto"/>
                    </w:rPr>
                  </w:pPr>
                  <w:r>
                    <w:rPr>
                      <w:rFonts w:hint="eastAsia"/>
                      <w:color w:val="auto"/>
                    </w:rPr>
                    <w:t>昼间</w:t>
                  </w:r>
                </w:p>
              </w:tc>
              <w:tc>
                <w:tcPr>
                  <w:tcW w:w="903" w:type="dxa"/>
                  <w:tcBorders>
                    <w:tl2br w:val="nil"/>
                    <w:tr2bl w:val="nil"/>
                  </w:tcBorders>
                  <w:shd w:val="clear" w:color="auto" w:fill="FFFFFF"/>
                  <w:vAlign w:val="center"/>
                </w:tcPr>
                <w:p>
                  <w:pPr>
                    <w:pStyle w:val="36"/>
                    <w:rPr>
                      <w:color w:val="auto"/>
                    </w:rPr>
                  </w:pPr>
                  <w:r>
                    <w:rPr>
                      <w:rFonts w:hint="eastAsia"/>
                      <w:color w:val="auto"/>
                    </w:rPr>
                    <w:t>30.7</w:t>
                  </w:r>
                </w:p>
              </w:tc>
              <w:tc>
                <w:tcPr>
                  <w:tcW w:w="862" w:type="dxa"/>
                  <w:tcBorders>
                    <w:tl2br w:val="nil"/>
                    <w:tr2bl w:val="nil"/>
                  </w:tcBorders>
                  <w:shd w:val="clear" w:color="auto" w:fill="FFFFFF"/>
                  <w:vAlign w:val="center"/>
                </w:tcPr>
                <w:p>
                  <w:pPr>
                    <w:pStyle w:val="36"/>
                    <w:rPr>
                      <w:color w:val="auto"/>
                    </w:rPr>
                  </w:pPr>
                  <w:r>
                    <w:rPr>
                      <w:rFonts w:hint="eastAsia"/>
                      <w:color w:val="auto"/>
                    </w:rPr>
                    <w:t>53.2</w:t>
                  </w:r>
                </w:p>
              </w:tc>
              <w:tc>
                <w:tcPr>
                  <w:tcW w:w="871" w:type="dxa"/>
                  <w:tcBorders>
                    <w:tl2br w:val="nil"/>
                    <w:tr2bl w:val="nil"/>
                  </w:tcBorders>
                  <w:shd w:val="clear" w:color="auto" w:fill="FFFFFF"/>
                  <w:vAlign w:val="center"/>
                </w:tcPr>
                <w:p>
                  <w:pPr>
                    <w:pStyle w:val="36"/>
                    <w:rPr>
                      <w:color w:val="auto"/>
                    </w:rPr>
                  </w:pPr>
                  <w:r>
                    <w:rPr>
                      <w:rFonts w:hint="eastAsia"/>
                      <w:color w:val="auto"/>
                    </w:rPr>
                    <w:t>53.2</w:t>
                  </w:r>
                </w:p>
              </w:tc>
              <w:tc>
                <w:tcPr>
                  <w:tcW w:w="925" w:type="dxa"/>
                  <w:tcBorders>
                    <w:tl2br w:val="nil"/>
                    <w:tr2bl w:val="nil"/>
                  </w:tcBorders>
                  <w:shd w:val="clear" w:color="auto" w:fill="FFFFFF"/>
                  <w:vAlign w:val="center"/>
                </w:tcPr>
                <w:p>
                  <w:pPr>
                    <w:pStyle w:val="36"/>
                    <w:rPr>
                      <w:rFonts w:hint="default" w:eastAsia="宋体"/>
                      <w:color w:val="auto"/>
                      <w:lang w:val="en-US" w:eastAsia="zh-CN"/>
                    </w:rPr>
                  </w:pPr>
                  <w:r>
                    <w:rPr>
                      <w:rFonts w:hint="eastAsia"/>
                      <w:color w:val="auto"/>
                      <w:lang w:val="en-US" w:eastAsia="zh-CN"/>
                    </w:rPr>
                    <w:t>60</w:t>
                  </w:r>
                </w:p>
              </w:tc>
              <w:tc>
                <w:tcPr>
                  <w:tcW w:w="858" w:type="dxa"/>
                  <w:tcBorders>
                    <w:tl2br w:val="nil"/>
                    <w:tr2bl w:val="nil"/>
                  </w:tcBorders>
                  <w:shd w:val="clear" w:color="auto" w:fill="FFFFFF"/>
                  <w:vAlign w:val="center"/>
                </w:tcPr>
                <w:p>
                  <w:pPr>
                    <w:pStyle w:val="36"/>
                    <w:rPr>
                      <w:color w:val="auto"/>
                    </w:rPr>
                  </w:pPr>
                  <w:r>
                    <w:rPr>
                      <w:rFonts w:hint="eastAsia"/>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050" w:type="dxa"/>
                  <w:vMerge w:val="continue"/>
                  <w:tcBorders>
                    <w:tl2br w:val="nil"/>
                    <w:tr2bl w:val="nil"/>
                  </w:tcBorders>
                  <w:shd w:val="clear" w:color="auto" w:fill="FFFFFF"/>
                  <w:vAlign w:val="center"/>
                </w:tcPr>
                <w:p>
                  <w:pPr>
                    <w:pStyle w:val="36"/>
                    <w:rPr>
                      <w:color w:val="auto"/>
                    </w:rPr>
                  </w:pPr>
                </w:p>
              </w:tc>
              <w:tc>
                <w:tcPr>
                  <w:tcW w:w="788" w:type="dxa"/>
                  <w:vMerge w:val="continue"/>
                  <w:tcBorders>
                    <w:tl2br w:val="nil"/>
                    <w:tr2bl w:val="nil"/>
                  </w:tcBorders>
                  <w:shd w:val="clear" w:color="auto" w:fill="FFFFFF"/>
                  <w:vAlign w:val="center"/>
                </w:tcPr>
                <w:p>
                  <w:pPr>
                    <w:pStyle w:val="36"/>
                    <w:rPr>
                      <w:color w:val="auto"/>
                    </w:rPr>
                  </w:pPr>
                </w:p>
              </w:tc>
              <w:tc>
                <w:tcPr>
                  <w:tcW w:w="783" w:type="dxa"/>
                  <w:vMerge w:val="continue"/>
                  <w:tcBorders>
                    <w:tl2br w:val="nil"/>
                    <w:tr2bl w:val="nil"/>
                  </w:tcBorders>
                  <w:shd w:val="clear" w:color="auto" w:fill="FFFFFF"/>
                  <w:vAlign w:val="center"/>
                </w:tcPr>
                <w:p>
                  <w:pPr>
                    <w:pStyle w:val="36"/>
                    <w:rPr>
                      <w:color w:val="auto"/>
                    </w:rPr>
                  </w:pPr>
                </w:p>
              </w:tc>
              <w:tc>
                <w:tcPr>
                  <w:tcW w:w="779" w:type="dxa"/>
                  <w:vMerge w:val="continue"/>
                  <w:tcBorders>
                    <w:tl2br w:val="nil"/>
                    <w:tr2bl w:val="nil"/>
                  </w:tcBorders>
                  <w:shd w:val="clear" w:color="auto" w:fill="FFFFFF"/>
                  <w:vAlign w:val="center"/>
                </w:tcPr>
                <w:p>
                  <w:pPr>
                    <w:pStyle w:val="36"/>
                    <w:rPr>
                      <w:color w:val="auto"/>
                    </w:rPr>
                  </w:pPr>
                </w:p>
              </w:tc>
              <w:tc>
                <w:tcPr>
                  <w:tcW w:w="702" w:type="dxa"/>
                  <w:tcBorders>
                    <w:tl2br w:val="nil"/>
                    <w:tr2bl w:val="nil"/>
                  </w:tcBorders>
                  <w:shd w:val="clear" w:color="auto" w:fill="FFFFFF"/>
                  <w:vAlign w:val="center"/>
                </w:tcPr>
                <w:p>
                  <w:pPr>
                    <w:pStyle w:val="36"/>
                    <w:rPr>
                      <w:color w:val="auto"/>
                    </w:rPr>
                  </w:pPr>
                  <w:r>
                    <w:rPr>
                      <w:rFonts w:hint="eastAsia"/>
                      <w:color w:val="auto"/>
                    </w:rPr>
                    <w:t>夜间</w:t>
                  </w:r>
                </w:p>
              </w:tc>
              <w:tc>
                <w:tcPr>
                  <w:tcW w:w="903" w:type="dxa"/>
                  <w:tcBorders>
                    <w:tl2br w:val="nil"/>
                    <w:tr2bl w:val="nil"/>
                  </w:tcBorders>
                  <w:shd w:val="clear" w:color="auto" w:fill="FFFFFF"/>
                  <w:vAlign w:val="center"/>
                </w:tcPr>
                <w:p>
                  <w:pPr>
                    <w:pStyle w:val="36"/>
                    <w:rPr>
                      <w:color w:val="auto"/>
                    </w:rPr>
                  </w:pPr>
                  <w:r>
                    <w:rPr>
                      <w:rFonts w:hint="eastAsia"/>
                      <w:color w:val="auto"/>
                    </w:rPr>
                    <w:t>30.7</w:t>
                  </w:r>
                </w:p>
              </w:tc>
              <w:tc>
                <w:tcPr>
                  <w:tcW w:w="862" w:type="dxa"/>
                  <w:tcBorders>
                    <w:tl2br w:val="nil"/>
                    <w:tr2bl w:val="nil"/>
                  </w:tcBorders>
                  <w:shd w:val="clear" w:color="auto" w:fill="FFFFFF"/>
                  <w:vAlign w:val="center"/>
                </w:tcPr>
                <w:p>
                  <w:pPr>
                    <w:pStyle w:val="36"/>
                    <w:rPr>
                      <w:color w:val="auto"/>
                    </w:rPr>
                  </w:pPr>
                  <w:r>
                    <w:rPr>
                      <w:rFonts w:hint="eastAsia"/>
                      <w:color w:val="auto"/>
                    </w:rPr>
                    <w:t>48.2</w:t>
                  </w:r>
                </w:p>
              </w:tc>
              <w:tc>
                <w:tcPr>
                  <w:tcW w:w="871" w:type="dxa"/>
                  <w:tcBorders>
                    <w:tl2br w:val="nil"/>
                    <w:tr2bl w:val="nil"/>
                  </w:tcBorders>
                  <w:shd w:val="clear" w:color="auto" w:fill="FFFFFF"/>
                  <w:vAlign w:val="center"/>
                </w:tcPr>
                <w:p>
                  <w:pPr>
                    <w:pStyle w:val="36"/>
                    <w:rPr>
                      <w:color w:val="auto"/>
                    </w:rPr>
                  </w:pPr>
                  <w:r>
                    <w:rPr>
                      <w:rFonts w:hint="eastAsia"/>
                      <w:color w:val="auto"/>
                    </w:rPr>
                    <w:t>48.3</w:t>
                  </w:r>
                </w:p>
              </w:tc>
              <w:tc>
                <w:tcPr>
                  <w:tcW w:w="925" w:type="dxa"/>
                  <w:tcBorders>
                    <w:tl2br w:val="nil"/>
                    <w:tr2bl w:val="nil"/>
                  </w:tcBorders>
                  <w:shd w:val="clear" w:color="auto" w:fill="FFFFFF"/>
                  <w:vAlign w:val="center"/>
                </w:tcPr>
                <w:p>
                  <w:pPr>
                    <w:pStyle w:val="36"/>
                    <w:rPr>
                      <w:rFonts w:hint="default" w:eastAsia="宋体"/>
                      <w:color w:val="auto"/>
                      <w:lang w:val="en-US" w:eastAsia="zh-CN"/>
                    </w:rPr>
                  </w:pPr>
                  <w:r>
                    <w:rPr>
                      <w:rFonts w:hint="eastAsia"/>
                      <w:color w:val="auto"/>
                      <w:lang w:val="en-US" w:eastAsia="zh-CN"/>
                    </w:rPr>
                    <w:t>50</w:t>
                  </w:r>
                </w:p>
              </w:tc>
              <w:tc>
                <w:tcPr>
                  <w:tcW w:w="858" w:type="dxa"/>
                  <w:tcBorders>
                    <w:tl2br w:val="nil"/>
                    <w:tr2bl w:val="nil"/>
                  </w:tcBorders>
                  <w:shd w:val="clear" w:color="auto" w:fill="FFFFFF"/>
                  <w:vAlign w:val="center"/>
                </w:tcPr>
                <w:p>
                  <w:pPr>
                    <w:pStyle w:val="36"/>
                    <w:rPr>
                      <w:color w:val="auto"/>
                    </w:rPr>
                  </w:pPr>
                  <w:r>
                    <w:rPr>
                      <w:rFonts w:hint="eastAsia"/>
                      <w:color w:val="auto"/>
                    </w:rPr>
                    <w:t>达标</w:t>
                  </w:r>
                </w:p>
              </w:tc>
            </w:tr>
          </w:tbl>
          <w:p>
            <w:pPr>
              <w:pStyle w:val="36"/>
              <w:jc w:val="left"/>
              <w:rPr>
                <w:rFonts w:cs="Times New Roman"/>
                <w:color w:val="auto"/>
              </w:rPr>
            </w:pPr>
            <w:r>
              <w:rPr>
                <w:rFonts w:cs="Times New Roman"/>
                <w:color w:val="auto"/>
              </w:rPr>
              <w:t>表中坐标以厂界中心</w:t>
            </w:r>
            <w:r>
              <w:rPr>
                <w:rFonts w:hint="eastAsia" w:cs="Times New Roman"/>
                <w:color w:val="auto"/>
              </w:rPr>
              <w:t>（119.294586，26.075494）</w:t>
            </w:r>
            <w:r>
              <w:rPr>
                <w:rFonts w:cs="Times New Roman"/>
                <w:color w:val="auto"/>
              </w:rPr>
              <w:t>为坐标原点，正东向为X轴正方向，正北向为Y轴正方向。</w:t>
            </w:r>
          </w:p>
          <w:p>
            <w:pPr>
              <w:wordWrap w:val="0"/>
              <w:ind w:firstLine="480"/>
              <w:rPr>
                <w:rFonts w:hint="eastAsia" w:eastAsia="宋体" w:cs="Times New Roman"/>
                <w:color w:val="auto"/>
                <w:lang w:val="en-US" w:eastAsia="zh-CN"/>
              </w:rPr>
            </w:pPr>
            <w:r>
              <w:rPr>
                <w:rFonts w:cs="Times New Roman"/>
                <w:color w:val="auto"/>
              </w:rPr>
              <w:t>根据表4.2-</w:t>
            </w:r>
            <w:r>
              <w:rPr>
                <w:rFonts w:hint="eastAsia" w:cs="Times New Roman"/>
                <w:color w:val="auto"/>
                <w:lang w:val="en-US" w:eastAsia="zh-CN"/>
              </w:rPr>
              <w:t>12</w:t>
            </w:r>
            <w:r>
              <w:rPr>
                <w:rFonts w:hint="eastAsia" w:cs="Times New Roman"/>
                <w:color w:val="auto"/>
              </w:rPr>
              <w:t>~</w:t>
            </w:r>
            <w:r>
              <w:rPr>
                <w:rFonts w:cs="Times New Roman"/>
                <w:color w:val="auto"/>
              </w:rPr>
              <w:t>4.2-</w:t>
            </w:r>
            <w:r>
              <w:rPr>
                <w:rFonts w:hint="eastAsia" w:cs="Times New Roman"/>
                <w:color w:val="auto"/>
                <w:lang w:val="en-US" w:eastAsia="zh-CN"/>
              </w:rPr>
              <w:t>13</w:t>
            </w:r>
            <w:r>
              <w:rPr>
                <w:rFonts w:cs="Times New Roman"/>
                <w:color w:val="auto"/>
              </w:rPr>
              <w:t>预测结果可以看出，</w:t>
            </w:r>
            <w:r>
              <w:rPr>
                <w:rFonts w:hint="eastAsia" w:cs="Times New Roman"/>
                <w:color w:val="auto"/>
              </w:rPr>
              <w:t>项目</w:t>
            </w:r>
            <w:r>
              <w:rPr>
                <w:rFonts w:hint="eastAsia" w:cs="Times New Roman"/>
                <w:color w:val="auto"/>
                <w:lang w:val="en-US" w:eastAsia="zh-CN"/>
              </w:rPr>
              <w:t>南侧</w:t>
            </w:r>
            <w:r>
              <w:rPr>
                <w:rFonts w:cs="Times New Roman"/>
                <w:color w:val="auto"/>
              </w:rPr>
              <w:t>厂界</w:t>
            </w:r>
            <w:r>
              <w:rPr>
                <w:rFonts w:hint="eastAsia"/>
                <w:color w:val="auto"/>
                <w:szCs w:val="21"/>
              </w:rPr>
              <w:t>昼间、夜间噪声可</w:t>
            </w:r>
            <w:r>
              <w:rPr>
                <w:rFonts w:hint="eastAsia" w:cs="Times New Roman"/>
                <w:color w:val="auto"/>
              </w:rPr>
              <w:t>满足</w:t>
            </w:r>
            <w:r>
              <w:rPr>
                <w:rFonts w:cs="Times New Roman"/>
                <w:color w:val="auto"/>
              </w:rPr>
              <w:t>《工业企业厂界环境噪声排放标准》</w:t>
            </w:r>
            <w:r>
              <w:rPr>
                <w:rFonts w:hint="eastAsia" w:cs="Times New Roman"/>
                <w:color w:val="auto"/>
              </w:rPr>
              <w:t>（</w:t>
            </w:r>
            <w:r>
              <w:rPr>
                <w:rFonts w:cs="Times New Roman"/>
                <w:color w:val="auto"/>
              </w:rPr>
              <w:t>GB</w:t>
            </w:r>
            <w:r>
              <w:rPr>
                <w:rFonts w:hint="eastAsia" w:cs="Times New Roman"/>
                <w:color w:val="auto"/>
              </w:rPr>
              <w:t xml:space="preserve"> </w:t>
            </w:r>
            <w:r>
              <w:rPr>
                <w:rFonts w:cs="Times New Roman"/>
                <w:color w:val="auto"/>
              </w:rPr>
              <w:t>12348-2008</w:t>
            </w:r>
            <w:r>
              <w:rPr>
                <w:rFonts w:hint="eastAsia" w:cs="Times New Roman"/>
                <w:color w:val="auto"/>
              </w:rPr>
              <w:t>）</w:t>
            </w:r>
            <w:r>
              <w:rPr>
                <w:rFonts w:cs="Times New Roman"/>
                <w:color w:val="auto"/>
              </w:rPr>
              <w:t>中</w:t>
            </w:r>
            <w:r>
              <w:rPr>
                <w:rFonts w:hint="eastAsia" w:cs="Times New Roman"/>
                <w:color w:val="auto"/>
                <w:lang w:val="en-US" w:eastAsia="zh-CN"/>
              </w:rPr>
              <w:t>4</w:t>
            </w:r>
            <w:r>
              <w:rPr>
                <w:rFonts w:cs="Times New Roman"/>
                <w:color w:val="auto"/>
              </w:rPr>
              <w:t>类标准</w:t>
            </w:r>
            <w:r>
              <w:rPr>
                <w:rFonts w:hint="eastAsia" w:cs="Times New Roman"/>
                <w:color w:val="auto"/>
                <w:lang w:val="en-US" w:eastAsia="zh-CN"/>
              </w:rPr>
              <w:t>限值</w:t>
            </w:r>
            <w:r>
              <w:rPr>
                <w:rFonts w:cs="Times New Roman"/>
                <w:color w:val="auto"/>
              </w:rPr>
              <w:t>，</w:t>
            </w:r>
            <w:r>
              <w:rPr>
                <w:rFonts w:hint="eastAsia" w:cs="Times New Roman"/>
                <w:color w:val="auto"/>
                <w:lang w:val="en-US" w:eastAsia="zh-CN"/>
              </w:rPr>
              <w:t>其他厂界可满足</w:t>
            </w:r>
            <w:r>
              <w:rPr>
                <w:rFonts w:cs="Times New Roman"/>
                <w:color w:val="auto"/>
              </w:rPr>
              <w:t>《工业企业厂界环境噪声排放标准》</w:t>
            </w:r>
            <w:r>
              <w:rPr>
                <w:rFonts w:hint="eastAsia" w:cs="Times New Roman"/>
                <w:color w:val="auto"/>
              </w:rPr>
              <w:t>（</w:t>
            </w:r>
            <w:r>
              <w:rPr>
                <w:rFonts w:cs="Times New Roman"/>
                <w:color w:val="auto"/>
              </w:rPr>
              <w:t>GB</w:t>
            </w:r>
            <w:r>
              <w:rPr>
                <w:rFonts w:hint="eastAsia" w:cs="Times New Roman"/>
                <w:color w:val="auto"/>
              </w:rPr>
              <w:t xml:space="preserve"> </w:t>
            </w:r>
            <w:r>
              <w:rPr>
                <w:rFonts w:cs="Times New Roman"/>
                <w:color w:val="auto"/>
              </w:rPr>
              <w:t>12348-2008</w:t>
            </w:r>
            <w:r>
              <w:rPr>
                <w:rFonts w:hint="eastAsia" w:cs="Times New Roman"/>
                <w:color w:val="auto"/>
              </w:rPr>
              <w:t>）</w:t>
            </w:r>
            <w:r>
              <w:rPr>
                <w:rFonts w:cs="Times New Roman"/>
                <w:color w:val="auto"/>
              </w:rPr>
              <w:t>中</w:t>
            </w:r>
            <w:r>
              <w:rPr>
                <w:rFonts w:hint="eastAsia" w:cs="Times New Roman"/>
                <w:color w:val="auto"/>
                <w:lang w:val="en-US" w:eastAsia="zh-CN"/>
              </w:rPr>
              <w:t>3</w:t>
            </w:r>
            <w:r>
              <w:rPr>
                <w:rFonts w:cs="Times New Roman"/>
                <w:color w:val="auto"/>
              </w:rPr>
              <w:t>类标准</w:t>
            </w:r>
            <w:r>
              <w:rPr>
                <w:rFonts w:hint="eastAsia" w:cs="Times New Roman"/>
                <w:color w:val="auto"/>
                <w:lang w:val="en-US" w:eastAsia="zh-CN"/>
              </w:rPr>
              <w:t>限值</w:t>
            </w:r>
            <w:r>
              <w:rPr>
                <w:rFonts w:hint="eastAsia" w:cs="Times New Roman"/>
                <w:color w:val="auto"/>
                <w:lang w:eastAsia="zh-CN"/>
              </w:rPr>
              <w:t>。</w:t>
            </w:r>
          </w:p>
          <w:p>
            <w:pPr>
              <w:wordWrap w:val="0"/>
              <w:ind w:left="0" w:leftChars="0" w:firstLine="0" w:firstLineChars="0"/>
              <w:rPr>
                <w:rFonts w:cs="Times New Roman"/>
                <w:color w:val="auto"/>
              </w:rPr>
            </w:pPr>
            <w:r>
              <w:rPr>
                <w:rFonts w:hint="eastAsia" w:cs="Times New Roman"/>
                <w:color w:val="auto"/>
                <w:lang w:val="en-US" w:eastAsia="zh-CN"/>
              </w:rPr>
              <w:t>项目周边50m</w:t>
            </w:r>
            <w:r>
              <w:rPr>
                <w:rFonts w:hint="eastAsia" w:cs="Times New Roman"/>
                <w:color w:val="auto"/>
              </w:rPr>
              <w:t>声环境保护目标</w:t>
            </w:r>
            <w:r>
              <w:rPr>
                <w:rFonts w:hint="eastAsia" w:cs="Times New Roman"/>
                <w:color w:val="auto"/>
                <w:lang w:eastAsia="zh-CN"/>
              </w:rPr>
              <w:t>（</w:t>
            </w:r>
            <w:r>
              <w:rPr>
                <w:rFonts w:hint="eastAsia" w:cs="Times New Roman"/>
                <w:color w:val="auto"/>
                <w:lang w:val="en-US" w:eastAsia="zh-CN"/>
              </w:rPr>
              <w:t>屿边村）</w:t>
            </w:r>
            <w:r>
              <w:rPr>
                <w:rFonts w:hint="eastAsia" w:cs="Times New Roman"/>
                <w:color w:val="auto"/>
              </w:rPr>
              <w:t>处预测值可满足《声环境质量标准质量标准》（GB 3096-2008）</w:t>
            </w:r>
            <w:r>
              <w:rPr>
                <w:rFonts w:cs="Times New Roman"/>
                <w:color w:val="auto"/>
              </w:rPr>
              <w:t>中</w:t>
            </w:r>
            <w:r>
              <w:rPr>
                <w:rFonts w:hint="eastAsia" w:cs="Times New Roman"/>
                <w:color w:val="auto"/>
                <w:lang w:val="en-US" w:eastAsia="zh-CN"/>
              </w:rPr>
              <w:t>2</w:t>
            </w:r>
            <w:r>
              <w:rPr>
                <w:rFonts w:cs="Times New Roman"/>
                <w:color w:val="auto"/>
              </w:rPr>
              <w:t>类标准。</w:t>
            </w:r>
          </w:p>
          <w:p>
            <w:pPr>
              <w:wordWrap w:val="0"/>
              <w:ind w:firstLine="480"/>
              <w:rPr>
                <w:rFonts w:cs="Times New Roman"/>
                <w:color w:val="auto"/>
              </w:rPr>
            </w:pPr>
            <w:r>
              <w:rPr>
                <w:rFonts w:hint="eastAsia" w:cs="Times New Roman"/>
                <w:color w:val="auto"/>
              </w:rPr>
              <w:t>本项目通过平面布局优化，将</w:t>
            </w:r>
            <w:r>
              <w:rPr>
                <w:rFonts w:hint="eastAsia" w:cs="Times New Roman"/>
                <w:color w:val="auto"/>
                <w:lang w:val="en-US" w:eastAsia="zh-CN"/>
              </w:rPr>
              <w:t>生产车间</w:t>
            </w:r>
            <w:r>
              <w:rPr>
                <w:rFonts w:hint="eastAsia" w:cs="Times New Roman"/>
                <w:color w:val="auto"/>
              </w:rPr>
              <w:t>布置于远离声环境敏感目标屿边村的位置</w:t>
            </w:r>
            <w:r>
              <w:rPr>
                <w:rFonts w:hint="eastAsia" w:cs="Times New Roman"/>
                <w:color w:val="auto"/>
                <w:lang w:eastAsia="zh-CN"/>
              </w:rPr>
              <w:t>，</w:t>
            </w:r>
            <w:r>
              <w:rPr>
                <w:rFonts w:hint="eastAsia" w:cs="Times New Roman"/>
                <w:color w:val="auto"/>
              </w:rPr>
              <w:t>与屿边村的最近距离约为95米。项目</w:t>
            </w:r>
            <w:r>
              <w:rPr>
                <w:rFonts w:hint="eastAsia" w:cs="Times New Roman"/>
                <w:color w:val="auto"/>
                <w:lang w:val="en-US" w:eastAsia="zh-CN"/>
              </w:rPr>
              <w:t>经</w:t>
            </w:r>
            <w:r>
              <w:rPr>
                <w:rFonts w:hint="eastAsia" w:cs="Times New Roman"/>
                <w:color w:val="auto"/>
              </w:rPr>
              <w:t>采取基础减振、厂房隔声等降噪措施，结合</w:t>
            </w:r>
            <w:r>
              <w:rPr>
                <w:rFonts w:hint="eastAsia" w:cs="Times New Roman"/>
                <w:color w:val="auto"/>
                <w:lang w:val="en-US" w:eastAsia="zh-CN"/>
              </w:rPr>
              <w:t>生产车间</w:t>
            </w:r>
            <w:r>
              <w:rPr>
                <w:rFonts w:hint="eastAsia" w:cs="Times New Roman"/>
                <w:color w:val="auto"/>
              </w:rPr>
              <w:t>与敏感目标间的距离衰减效应，</w:t>
            </w:r>
            <w:r>
              <w:rPr>
                <w:rFonts w:hint="eastAsia" w:cs="Times New Roman"/>
                <w:color w:val="auto"/>
                <w:lang w:val="en-US" w:eastAsia="zh-CN"/>
              </w:rPr>
              <w:t>本项目</w:t>
            </w:r>
            <w:r>
              <w:rPr>
                <w:rFonts w:hint="eastAsia" w:cs="Times New Roman"/>
                <w:color w:val="auto"/>
              </w:rPr>
              <w:t>对周边声环境及敏感目标</w:t>
            </w:r>
            <w:r>
              <w:rPr>
                <w:rFonts w:hint="eastAsia" w:cs="Times New Roman"/>
                <w:color w:val="auto"/>
                <w:lang w:eastAsia="zh-CN"/>
              </w:rPr>
              <w:t>（</w:t>
            </w:r>
            <w:r>
              <w:rPr>
                <w:rFonts w:hint="eastAsia" w:cs="Times New Roman"/>
                <w:color w:val="auto"/>
              </w:rPr>
              <w:t>屿边村</w:t>
            </w:r>
            <w:r>
              <w:rPr>
                <w:rFonts w:hint="eastAsia" w:cs="Times New Roman"/>
                <w:color w:val="auto"/>
                <w:lang w:eastAsia="zh-CN"/>
              </w:rPr>
              <w:t>）</w:t>
            </w:r>
            <w:r>
              <w:rPr>
                <w:rFonts w:hint="eastAsia" w:cs="Times New Roman"/>
                <w:color w:val="auto"/>
                <w:lang w:val="en-US" w:eastAsia="zh-CN"/>
              </w:rPr>
              <w:t>的</w:t>
            </w:r>
            <w:r>
              <w:rPr>
                <w:rFonts w:hint="eastAsia" w:cs="Times New Roman"/>
                <w:color w:val="auto"/>
              </w:rPr>
              <w:t>影响较小。</w:t>
            </w:r>
          </w:p>
          <w:p>
            <w:pPr>
              <w:pStyle w:val="61"/>
              <w:rPr>
                <w:rFonts w:ascii="Times New Roman" w:hAnsi="Times New Roman" w:cs="Times New Roman"/>
                <w:color w:val="auto"/>
              </w:rPr>
            </w:pPr>
            <w:r>
              <w:rPr>
                <w:rFonts w:hint="eastAsia" w:ascii="Times New Roman" w:hAnsi="Times New Roman" w:cs="Times New Roman"/>
                <w:color w:val="auto"/>
              </w:rPr>
              <w:t>4.2.3.3运营期噪声防治措施</w:t>
            </w:r>
          </w:p>
          <w:p>
            <w:pPr>
              <w:adjustRightInd w:val="0"/>
              <w:snapToGrid w:val="0"/>
              <w:ind w:firstLine="480"/>
              <w:rPr>
                <w:bCs/>
                <w:color w:val="auto"/>
                <w:szCs w:val="21"/>
              </w:rPr>
            </w:pPr>
            <w:r>
              <w:rPr>
                <w:rFonts w:hint="eastAsia"/>
                <w:color w:val="auto"/>
              </w:rPr>
              <w:t>为确保本项目运营期间噪声污染得到有效控制，使厂界噪声稳定达标，同时保障周边声环境敏感目标（屿边村）的声环境质量满足相应标准要求，本环评要求建设单位必须采取以下污染防治措施</w:t>
            </w:r>
            <w:r>
              <w:rPr>
                <w:rFonts w:hint="eastAsia"/>
                <w:bCs/>
                <w:color w:val="auto"/>
                <w:szCs w:val="21"/>
              </w:rPr>
              <w:t>：</w:t>
            </w:r>
          </w:p>
          <w:p>
            <w:pPr>
              <w:adjustRightInd w:val="0"/>
              <w:snapToGrid w:val="0"/>
              <w:ind w:firstLine="480"/>
              <w:rPr>
                <w:bCs/>
                <w:color w:val="auto"/>
                <w:szCs w:val="21"/>
              </w:rPr>
            </w:pPr>
            <w:r>
              <w:rPr>
                <w:rFonts w:hint="eastAsia"/>
                <w:bCs/>
                <w:color w:val="auto"/>
                <w:szCs w:val="21"/>
              </w:rPr>
              <w:t>（1）选用低噪声设备</w:t>
            </w:r>
          </w:p>
          <w:p>
            <w:pPr>
              <w:adjustRightInd w:val="0"/>
              <w:snapToGrid w:val="0"/>
              <w:ind w:firstLine="480"/>
              <w:rPr>
                <w:bCs/>
                <w:color w:val="auto"/>
                <w:szCs w:val="21"/>
              </w:rPr>
            </w:pPr>
            <w:r>
              <w:rPr>
                <w:rFonts w:hint="eastAsia"/>
                <w:bCs/>
                <w:color w:val="auto"/>
                <w:szCs w:val="21"/>
              </w:rPr>
              <w:t>在满足生产工艺、产量和质量要求的前提下，优先选用具备低噪声特性的设备型号和成熟技术，从源头削减声源强度。</w:t>
            </w:r>
          </w:p>
          <w:p>
            <w:pPr>
              <w:adjustRightInd w:val="0"/>
              <w:snapToGrid w:val="0"/>
              <w:ind w:firstLine="480"/>
              <w:rPr>
                <w:bCs/>
                <w:color w:val="auto"/>
                <w:szCs w:val="21"/>
              </w:rPr>
            </w:pPr>
            <w:r>
              <w:rPr>
                <w:rFonts w:hint="eastAsia"/>
                <w:bCs/>
                <w:color w:val="auto"/>
                <w:szCs w:val="21"/>
              </w:rPr>
              <w:t>（2）隔振与减振</w:t>
            </w:r>
          </w:p>
          <w:p>
            <w:pPr>
              <w:adjustRightInd w:val="0"/>
              <w:snapToGrid w:val="0"/>
              <w:ind w:firstLine="480"/>
              <w:rPr>
                <w:bCs/>
                <w:color w:val="auto"/>
                <w:szCs w:val="21"/>
              </w:rPr>
            </w:pPr>
            <w:r>
              <w:rPr>
                <w:rFonts w:hint="eastAsia"/>
                <w:bCs/>
                <w:color w:val="auto"/>
                <w:szCs w:val="21"/>
              </w:rPr>
              <w:t>针对本项目连续挤压机、打头机、拉拔矫直一体机等以机械振动为主要噪声源的设备，设备基础与地基间避免刚性连接，需采用弹簧隔振器或高阻尼橡胶隔振垫实现弹性连接，以此有效阻断振动向建筑结构及周围环境的传递。</w:t>
            </w:r>
          </w:p>
          <w:p>
            <w:pPr>
              <w:adjustRightInd w:val="0"/>
              <w:snapToGrid w:val="0"/>
              <w:ind w:firstLine="480"/>
              <w:rPr>
                <w:bCs/>
                <w:color w:val="auto"/>
                <w:szCs w:val="21"/>
              </w:rPr>
            </w:pPr>
            <w:r>
              <w:rPr>
                <w:rFonts w:hint="eastAsia"/>
                <w:bCs/>
                <w:color w:val="auto"/>
                <w:szCs w:val="21"/>
              </w:rPr>
              <w:t>（3）控制噪声的传播途径</w:t>
            </w:r>
          </w:p>
          <w:p>
            <w:pPr>
              <w:adjustRightInd w:val="0"/>
              <w:snapToGrid w:val="0"/>
              <w:ind w:firstLine="480"/>
              <w:rPr>
                <w:rStyle w:val="34"/>
                <w:color w:val="auto"/>
              </w:rPr>
            </w:pPr>
            <w:r>
              <w:rPr>
                <w:rFonts w:hint="eastAsia"/>
                <w:bCs/>
                <w:color w:val="auto"/>
                <w:szCs w:val="21"/>
              </w:rPr>
              <w:t>平面布局优化方面，应将高噪声设备设置在相对远离厂界及敏感保护目标（屿边村）的区域，采用封闭式厂房结构，增强厂房整体隔声性能，充分利用建筑实体对噪声的阻隔与衰减作用，降低噪声向外传播强度。</w:t>
            </w:r>
          </w:p>
          <w:p>
            <w:pPr>
              <w:adjustRightInd w:val="0"/>
              <w:snapToGrid w:val="0"/>
              <w:ind w:left="480" w:leftChars="200" w:firstLine="0" w:firstLineChars="0"/>
              <w:rPr>
                <w:bCs/>
                <w:color w:val="auto"/>
                <w:szCs w:val="21"/>
              </w:rPr>
            </w:pPr>
            <w:r>
              <w:rPr>
                <w:rFonts w:hint="eastAsia"/>
                <w:bCs/>
                <w:color w:val="auto"/>
                <w:szCs w:val="21"/>
              </w:rPr>
              <w:t>（4）维护管理</w:t>
            </w:r>
            <w:r>
              <w:rPr>
                <w:rFonts w:hint="eastAsia"/>
                <w:bCs/>
                <w:color w:val="auto"/>
                <w:szCs w:val="21"/>
              </w:rPr>
              <w:br w:type="textWrapping"/>
            </w:r>
            <w:r>
              <w:rPr>
                <w:rFonts w:hint="eastAsia"/>
                <w:bCs/>
                <w:color w:val="auto"/>
                <w:szCs w:val="21"/>
              </w:rPr>
              <w:t>建立完善的设备日常维护管理制度，定期对生产设备进行检修与保养，及时更</w:t>
            </w:r>
          </w:p>
          <w:p>
            <w:pPr>
              <w:adjustRightInd w:val="0"/>
              <w:snapToGrid w:val="0"/>
              <w:ind w:firstLine="0" w:firstLineChars="0"/>
              <w:rPr>
                <w:bCs/>
                <w:color w:val="auto"/>
                <w:szCs w:val="21"/>
              </w:rPr>
            </w:pPr>
            <w:r>
              <w:rPr>
                <w:rFonts w:hint="eastAsia"/>
                <w:bCs/>
                <w:color w:val="auto"/>
                <w:szCs w:val="21"/>
              </w:rPr>
              <w:t>换老化、磨损部件，确保设备始终处于良好运转状态，避免因设备异常运行导致噪声值升高。</w:t>
            </w:r>
          </w:p>
          <w:p>
            <w:pPr>
              <w:adjustRightInd w:val="0"/>
              <w:snapToGrid w:val="0"/>
              <w:ind w:firstLine="480"/>
              <w:rPr>
                <w:bCs/>
                <w:color w:val="auto"/>
                <w:szCs w:val="21"/>
              </w:rPr>
            </w:pPr>
          </w:p>
          <w:p>
            <w:pPr>
              <w:adjustRightInd w:val="0"/>
              <w:snapToGrid w:val="0"/>
              <w:ind w:firstLine="480"/>
              <w:rPr>
                <w:bCs/>
                <w:color w:val="auto"/>
                <w:szCs w:val="21"/>
              </w:rPr>
            </w:pPr>
          </w:p>
          <w:p>
            <w:pPr>
              <w:adjustRightInd w:val="0"/>
              <w:snapToGrid w:val="0"/>
              <w:ind w:firstLine="480"/>
              <w:rPr>
                <w:bCs/>
                <w:color w:val="auto"/>
                <w:szCs w:val="21"/>
              </w:rPr>
            </w:pPr>
          </w:p>
          <w:p>
            <w:pPr>
              <w:adjustRightInd w:val="0"/>
              <w:snapToGrid w:val="0"/>
              <w:ind w:firstLine="480"/>
              <w:rPr>
                <w:bCs/>
                <w:color w:val="auto"/>
                <w:szCs w:val="21"/>
              </w:rPr>
            </w:pPr>
          </w:p>
          <w:p>
            <w:pPr>
              <w:adjustRightInd w:val="0"/>
              <w:snapToGrid w:val="0"/>
              <w:ind w:firstLine="480"/>
              <w:rPr>
                <w:bCs/>
                <w:color w:val="auto"/>
                <w:szCs w:val="21"/>
              </w:rPr>
            </w:pPr>
          </w:p>
          <w:p>
            <w:pPr>
              <w:adjustRightInd w:val="0"/>
              <w:snapToGrid w:val="0"/>
              <w:ind w:firstLine="480"/>
              <w:rPr>
                <w:bCs/>
                <w:color w:val="auto"/>
                <w:szCs w:val="21"/>
              </w:rPr>
            </w:pPr>
          </w:p>
          <w:p>
            <w:pPr>
              <w:adjustRightInd w:val="0"/>
              <w:snapToGrid w:val="0"/>
              <w:ind w:firstLine="480"/>
              <w:rPr>
                <w:bCs/>
                <w:color w:val="auto"/>
                <w:szCs w:val="21"/>
              </w:rPr>
            </w:pPr>
          </w:p>
          <w:p>
            <w:pPr>
              <w:adjustRightInd w:val="0"/>
              <w:snapToGrid w:val="0"/>
              <w:ind w:firstLine="480"/>
              <w:rPr>
                <w:bCs/>
                <w:color w:val="auto"/>
                <w:szCs w:val="21"/>
              </w:rPr>
            </w:pPr>
          </w:p>
          <w:p>
            <w:pPr>
              <w:adjustRightInd w:val="0"/>
              <w:snapToGrid w:val="0"/>
              <w:ind w:firstLine="480"/>
              <w:rPr>
                <w:bCs/>
                <w:color w:val="auto"/>
                <w:szCs w:val="21"/>
              </w:rPr>
            </w:pPr>
          </w:p>
          <w:p>
            <w:pPr>
              <w:adjustRightInd w:val="0"/>
              <w:snapToGrid w:val="0"/>
              <w:ind w:firstLine="480"/>
              <w:rPr>
                <w:bCs/>
                <w:color w:val="auto"/>
                <w:szCs w:val="21"/>
              </w:rPr>
            </w:pPr>
          </w:p>
          <w:p>
            <w:pPr>
              <w:adjustRightInd w:val="0"/>
              <w:snapToGrid w:val="0"/>
              <w:ind w:firstLine="480"/>
              <w:rPr>
                <w:bCs/>
                <w:color w:val="auto"/>
                <w:szCs w:val="21"/>
              </w:rPr>
            </w:pPr>
          </w:p>
          <w:p>
            <w:pPr>
              <w:adjustRightInd w:val="0"/>
              <w:snapToGrid w:val="0"/>
              <w:ind w:firstLine="480"/>
              <w:rPr>
                <w:bCs/>
                <w:color w:val="auto"/>
                <w:szCs w:val="21"/>
              </w:rPr>
            </w:pPr>
          </w:p>
          <w:p>
            <w:pPr>
              <w:pStyle w:val="56"/>
              <w:rPr>
                <w:rFonts w:cs="Times New Roman"/>
                <w:color w:val="auto"/>
              </w:rPr>
            </w:pPr>
            <w:bookmarkStart w:id="93" w:name="_Toc20531"/>
            <w:r>
              <w:rPr>
                <w:rFonts w:cs="Times New Roman"/>
                <w:color w:val="auto"/>
              </w:rPr>
              <w:t>4.2.4固体废物</w:t>
            </w:r>
            <w:r>
              <w:rPr>
                <w:rFonts w:hint="eastAsia" w:cs="Times New Roman"/>
                <w:color w:val="auto"/>
              </w:rPr>
              <w:t>环境</w:t>
            </w:r>
            <w:bookmarkEnd w:id="93"/>
          </w:p>
          <w:p>
            <w:pPr>
              <w:pStyle w:val="61"/>
              <w:rPr>
                <w:rFonts w:ascii="Times New Roman" w:hAnsi="Times New Roman" w:cs="Times New Roman"/>
                <w:color w:val="auto"/>
              </w:rPr>
            </w:pPr>
            <w:r>
              <w:rPr>
                <w:rFonts w:ascii="Times New Roman" w:hAnsi="Times New Roman" w:cs="Times New Roman"/>
                <w:color w:val="auto"/>
              </w:rPr>
              <w:t>4.2.4.1</w:t>
            </w:r>
            <w:r>
              <w:rPr>
                <w:rFonts w:hint="eastAsia" w:ascii="Times New Roman" w:hAnsi="Times New Roman" w:cs="Times New Roman"/>
                <w:color w:val="auto"/>
              </w:rPr>
              <w:t xml:space="preserve"> </w:t>
            </w:r>
            <w:r>
              <w:rPr>
                <w:rFonts w:ascii="Times New Roman" w:hAnsi="Times New Roman" w:cs="Times New Roman"/>
                <w:color w:val="auto"/>
              </w:rPr>
              <w:t>固体废物源强分析</w:t>
            </w:r>
          </w:p>
          <w:p>
            <w:pPr>
              <w:pStyle w:val="38"/>
              <w:ind w:firstLine="480"/>
              <w:rPr>
                <w:rFonts w:cs="Times New Roman"/>
                <w:color w:val="auto"/>
              </w:rPr>
            </w:pPr>
            <w:r>
              <w:rPr>
                <w:rFonts w:hint="eastAsia" w:cs="Times New Roman"/>
                <w:color w:val="auto"/>
              </w:rPr>
              <w:t>项目营运期固体废物主要包括一般工业固废、危险废物及生活垃圾。</w:t>
            </w:r>
          </w:p>
          <w:p>
            <w:pPr>
              <w:pStyle w:val="38"/>
              <w:ind w:firstLine="480"/>
              <w:rPr>
                <w:rFonts w:cs="Times New Roman"/>
                <w:color w:val="auto"/>
              </w:rPr>
            </w:pPr>
            <w:r>
              <w:rPr>
                <w:rFonts w:hint="eastAsia" w:cs="Times New Roman"/>
                <w:color w:val="auto"/>
              </w:rPr>
              <w:t>（1）一般工业固体废物</w:t>
            </w:r>
          </w:p>
          <w:p>
            <w:pPr>
              <w:pStyle w:val="128"/>
              <w:ind w:firstLine="480"/>
              <w:rPr>
                <w:color w:val="auto"/>
              </w:rPr>
            </w:pPr>
            <w:r>
              <w:rPr>
                <w:rFonts w:hint="eastAsia"/>
                <w:color w:val="auto"/>
              </w:rPr>
              <w:t>①废包装材料</w:t>
            </w:r>
          </w:p>
          <w:p>
            <w:pPr>
              <w:pStyle w:val="128"/>
              <w:ind w:firstLine="480"/>
              <w:rPr>
                <w:color w:val="auto"/>
              </w:rPr>
            </w:pPr>
            <w:r>
              <w:rPr>
                <w:rFonts w:hint="eastAsia"/>
                <w:color w:val="auto"/>
              </w:rPr>
              <w:t>废包装材料主要来源于原材料拆包过程。主要成分为纸、塑料或复合材料包装盒等，产生量约为0.5t/a，根据《固体废物分类与代码目录》（公告2024年第4号），废包装材料的固体废物类别为</w:t>
            </w:r>
            <w:r>
              <w:rPr>
                <w:color w:val="auto"/>
              </w:rPr>
              <w:t>SW17可再生类废物</w:t>
            </w:r>
            <w:r>
              <w:rPr>
                <w:rFonts w:hint="eastAsia"/>
                <w:color w:val="auto"/>
              </w:rPr>
              <w:t>，废物代码为</w:t>
            </w:r>
            <w:r>
              <w:rPr>
                <w:color w:val="auto"/>
              </w:rPr>
              <w:t>900-003-S17</w:t>
            </w:r>
            <w:r>
              <w:rPr>
                <w:rFonts w:hint="eastAsia"/>
                <w:color w:val="auto"/>
              </w:rPr>
              <w:t>。厂区设置一般工业固废暂存场所进行分类收集、贮存，定期外售给再生资源回收单位进行综合利用。</w:t>
            </w:r>
          </w:p>
          <w:p>
            <w:pPr>
              <w:pStyle w:val="128"/>
              <w:ind w:firstLine="480"/>
              <w:rPr>
                <w:color w:val="auto"/>
              </w:rPr>
            </w:pPr>
            <w:r>
              <w:rPr>
                <w:rFonts w:hint="eastAsia"/>
                <w:color w:val="auto"/>
              </w:rPr>
              <w:t>②废（铜）边角料及不合格品</w:t>
            </w:r>
          </w:p>
          <w:p>
            <w:pPr>
              <w:pStyle w:val="128"/>
              <w:ind w:firstLine="480"/>
              <w:rPr>
                <w:color w:val="auto"/>
              </w:rPr>
            </w:pPr>
            <w:r>
              <w:rPr>
                <w:rFonts w:hint="eastAsia"/>
                <w:color w:val="auto"/>
              </w:rPr>
              <w:t>废（铜）边角料及不合格品主要产生于铜材挤压、切割等加工工序以及产品检测环节，主要成分为金属。根据建设单位提供资料，废（铜）边角料及不合格品的产生量约为</w:t>
            </w:r>
            <w:r>
              <w:rPr>
                <w:rFonts w:hint="eastAsia"/>
                <w:color w:val="auto"/>
                <w:lang w:val="en-US" w:eastAsia="zh-CN"/>
              </w:rPr>
              <w:t>原料</w:t>
            </w:r>
            <w:r>
              <w:rPr>
                <w:rFonts w:hint="eastAsia"/>
                <w:color w:val="auto"/>
              </w:rPr>
              <w:t>的1‰，核算该固废产生量约为90t/a。根据《固体废物分类与代码目录》（公告2024年第4号），主要成分为金属铜屑，分类为SW17可再生类废物，废物代码为900-002-S17。厂区设置一般工业固废暂存场所进行分类收集、贮存，定期外售给再生资源回收单位进行综合利用。</w:t>
            </w:r>
          </w:p>
          <w:p>
            <w:pPr>
              <w:pStyle w:val="128"/>
              <w:ind w:firstLine="480"/>
              <w:rPr>
                <w:color w:val="auto"/>
              </w:rPr>
            </w:pPr>
            <w:r>
              <w:rPr>
                <w:rFonts w:hint="eastAsia"/>
                <w:color w:val="auto"/>
              </w:rPr>
              <w:t>③废模具</w:t>
            </w:r>
          </w:p>
          <w:p>
            <w:pPr>
              <w:pStyle w:val="128"/>
              <w:ind w:firstLine="480"/>
              <w:rPr>
                <w:color w:val="auto"/>
              </w:rPr>
            </w:pPr>
            <w:r>
              <w:rPr>
                <w:rFonts w:hint="eastAsia"/>
                <w:color w:val="auto"/>
              </w:rPr>
              <w:t>废模具来源于挤压机、拉丝机等设备的配套模具自然磨损、报废及更新。主要成分为金属（如钢）。根据建设单位提供的设备维护计划及经验数据，年更换约300个，废模具单个重量约35kg，则废模具产生量约为10.5t/a。根据《固体废物分类与代码目录》（公告2024年第4号），废模具的固体废物类别</w:t>
            </w:r>
            <w:r>
              <w:rPr>
                <w:color w:val="auto"/>
              </w:rPr>
              <w:t>SW59</w:t>
            </w:r>
            <w:r>
              <w:rPr>
                <w:rFonts w:hint="eastAsia"/>
                <w:color w:val="auto"/>
              </w:rPr>
              <w:t>其他工业固体废物，废物代码为</w:t>
            </w:r>
            <w:r>
              <w:rPr>
                <w:color w:val="auto"/>
              </w:rPr>
              <w:t>900-009-S59</w:t>
            </w:r>
            <w:r>
              <w:rPr>
                <w:rFonts w:hint="eastAsia"/>
                <w:color w:val="auto"/>
              </w:rPr>
              <w:t>。厂区设置一般工业固废暂存场所进行分类收集、贮存，由供应商定期回收处置。</w:t>
            </w:r>
          </w:p>
          <w:p>
            <w:pPr>
              <w:pStyle w:val="208"/>
              <w:ind w:firstLine="480"/>
              <w:rPr>
                <w:color w:val="auto"/>
              </w:rPr>
            </w:pPr>
            <w:r>
              <w:rPr>
                <w:color w:val="auto"/>
              </w:rPr>
              <w:t>（2）危险废物</w:t>
            </w:r>
          </w:p>
          <w:p>
            <w:pPr>
              <w:pStyle w:val="208"/>
              <w:ind w:firstLine="480"/>
              <w:rPr>
                <w:color w:val="auto"/>
              </w:rPr>
            </w:pPr>
            <w:r>
              <w:rPr>
                <w:color w:val="auto"/>
              </w:rPr>
              <w:t>对照《国家危险废物名录》（202</w:t>
            </w:r>
            <w:r>
              <w:rPr>
                <w:rFonts w:hint="eastAsia"/>
                <w:color w:val="auto"/>
              </w:rPr>
              <w:t>5</w:t>
            </w:r>
            <w:r>
              <w:rPr>
                <w:color w:val="auto"/>
              </w:rPr>
              <w:t>年版），本项目生产过程会产生以下危险废物，收集后分类暂存在危废</w:t>
            </w:r>
            <w:r>
              <w:rPr>
                <w:rFonts w:hint="eastAsia"/>
                <w:color w:val="auto"/>
              </w:rPr>
              <w:t>贮存库</w:t>
            </w:r>
            <w:r>
              <w:rPr>
                <w:color w:val="auto"/>
              </w:rPr>
              <w:t>，</w:t>
            </w:r>
            <w:r>
              <w:rPr>
                <w:rFonts w:hint="eastAsia"/>
                <w:color w:val="auto"/>
              </w:rPr>
              <w:t>分类、分区、标识贮存，并建立完善的出入库台账记录，</w:t>
            </w:r>
            <w:r>
              <w:rPr>
                <w:color w:val="auto"/>
              </w:rPr>
              <w:t>定期委托有危废处理资质的单位转运处置。</w:t>
            </w:r>
          </w:p>
          <w:p>
            <w:pPr>
              <w:ind w:firstLine="480"/>
              <w:rPr>
                <w:rFonts w:cs="Times New Roman"/>
                <w:color w:val="auto"/>
              </w:rPr>
            </w:pPr>
            <w:r>
              <w:rPr>
                <w:rFonts w:cs="Times New Roman"/>
                <w:color w:val="auto"/>
                <w:lang w:bidi="ar"/>
              </w:rPr>
              <w:t>①废拉丝液</w:t>
            </w:r>
          </w:p>
          <w:p>
            <w:pPr>
              <w:ind w:firstLine="480"/>
              <w:rPr>
                <w:rFonts w:cs="Times New Roman"/>
                <w:color w:val="auto"/>
                <w:lang w:bidi="ar"/>
              </w:rPr>
            </w:pPr>
            <w:r>
              <w:rPr>
                <w:rFonts w:cs="Times New Roman"/>
                <w:color w:val="auto"/>
                <w:lang w:bidi="ar"/>
              </w:rPr>
              <w:t>项目在拉拔、拉丝等工序使用的循环拉丝液，循环使用后因老化、污染</w:t>
            </w:r>
            <w:r>
              <w:rPr>
                <w:rFonts w:hint="eastAsia" w:cs="Times New Roman"/>
                <w:color w:val="auto"/>
                <w:lang w:bidi="ar"/>
              </w:rPr>
              <w:t>定期更换。</w:t>
            </w:r>
            <w:r>
              <w:rPr>
                <w:rFonts w:cs="Times New Roman"/>
                <w:color w:val="auto"/>
                <w:lang w:bidi="ar"/>
              </w:rPr>
              <w:t>主要含油分、</w:t>
            </w:r>
            <w:r>
              <w:rPr>
                <w:rFonts w:hint="eastAsia" w:cs="Times New Roman"/>
                <w:color w:val="auto"/>
                <w:lang w:bidi="ar"/>
              </w:rPr>
              <w:t>水分</w:t>
            </w:r>
            <w:r>
              <w:rPr>
                <w:rFonts w:cs="Times New Roman"/>
                <w:color w:val="auto"/>
                <w:lang w:bidi="ar"/>
              </w:rPr>
              <w:t>、铜屑等。</w:t>
            </w:r>
            <w:r>
              <w:rPr>
                <w:rFonts w:hint="eastAsia"/>
                <w:color w:val="auto"/>
              </w:rPr>
              <w:t>根据建设单位提供资料，</w:t>
            </w:r>
            <w:r>
              <w:rPr>
                <w:rFonts w:cs="Times New Roman"/>
                <w:color w:val="auto"/>
                <w:lang w:bidi="ar"/>
              </w:rPr>
              <w:t>项目共</w:t>
            </w:r>
            <w:r>
              <w:rPr>
                <w:rFonts w:hint="eastAsia" w:cs="Times New Roman"/>
                <w:color w:val="auto"/>
                <w:lang w:bidi="ar"/>
              </w:rPr>
              <w:t>4个拉丝液循环池，</w:t>
            </w:r>
            <w:r>
              <w:rPr>
                <w:rFonts w:cs="Times New Roman"/>
                <w:color w:val="auto"/>
                <w:lang w:bidi="ar"/>
              </w:rPr>
              <w:t>每年更换一次</w:t>
            </w:r>
            <w:r>
              <w:rPr>
                <w:rFonts w:hint="eastAsia" w:cs="Times New Roman"/>
                <w:color w:val="auto"/>
                <w:lang w:bidi="ar"/>
              </w:rPr>
              <w:t>，</w:t>
            </w:r>
            <w:r>
              <w:rPr>
                <w:rFonts w:cs="Times New Roman"/>
                <w:color w:val="auto"/>
                <w:lang w:bidi="ar"/>
              </w:rPr>
              <w:t>产生量约</w:t>
            </w:r>
            <w:r>
              <w:rPr>
                <w:rFonts w:hint="eastAsia" w:cs="Times New Roman"/>
                <w:color w:val="auto"/>
                <w:lang w:bidi="ar"/>
              </w:rPr>
              <w:t>31.8</w:t>
            </w:r>
            <w:r>
              <w:rPr>
                <w:rFonts w:cs="Times New Roman"/>
                <w:color w:val="auto"/>
                <w:lang w:bidi="ar"/>
              </w:rPr>
              <w:t>t/a。根据《国家危险废物名录》（2025年版），废拉丝液</w:t>
            </w:r>
            <w:r>
              <w:rPr>
                <w:rFonts w:hint="eastAsia" w:cs="Times New Roman"/>
                <w:color w:val="auto"/>
                <w:lang w:bidi="ar"/>
              </w:rPr>
              <w:t>废物类别为</w:t>
            </w:r>
            <w:r>
              <w:rPr>
                <w:rFonts w:cs="Times New Roman"/>
                <w:color w:val="auto"/>
                <w:lang w:bidi="ar"/>
              </w:rPr>
              <w:t>HW09油/水、烃/水混合物或乳化液，废物代码900-007-09</w:t>
            </w:r>
            <w:r>
              <w:rPr>
                <w:rFonts w:hint="eastAsia" w:cs="Times New Roman"/>
                <w:color w:val="auto"/>
                <w:lang w:bidi="ar"/>
              </w:rPr>
              <w:t>（</w:t>
            </w:r>
            <w:r>
              <w:rPr>
                <w:rFonts w:cs="Times New Roman"/>
                <w:color w:val="auto"/>
                <w:lang w:bidi="ar"/>
              </w:rPr>
              <w:t>其他工艺过程中产生的废弃的油/水、烃/水混合物或者乳化液</w:t>
            </w:r>
            <w:r>
              <w:rPr>
                <w:rFonts w:hint="eastAsia" w:cs="Times New Roman"/>
                <w:color w:val="auto"/>
                <w:lang w:bidi="ar"/>
              </w:rPr>
              <w:t>），</w:t>
            </w:r>
            <w:r>
              <w:rPr>
                <w:rFonts w:cs="Times New Roman"/>
                <w:color w:val="auto"/>
                <w:lang w:bidi="ar"/>
              </w:rPr>
              <w:t>定期交由有资质单位处置。</w:t>
            </w:r>
          </w:p>
          <w:p>
            <w:pPr>
              <w:ind w:firstLine="480"/>
              <w:rPr>
                <w:rFonts w:cs="Times New Roman"/>
                <w:color w:val="auto"/>
                <w:lang w:bidi="ar"/>
              </w:rPr>
            </w:pPr>
            <w:r>
              <w:rPr>
                <w:rFonts w:cs="Times New Roman"/>
                <w:color w:val="auto"/>
                <w:lang w:bidi="ar"/>
              </w:rPr>
              <w:t>②</w:t>
            </w:r>
            <w:r>
              <w:rPr>
                <w:color w:val="auto"/>
              </w:rPr>
              <w:t>沾有拉丝液的铜泥</w:t>
            </w:r>
          </w:p>
          <w:p>
            <w:pPr>
              <w:ind w:firstLine="480"/>
              <w:rPr>
                <w:rFonts w:cs="Times New Roman"/>
                <w:color w:val="auto"/>
                <w:lang w:bidi="ar"/>
              </w:rPr>
            </w:pPr>
            <w:r>
              <w:rPr>
                <w:rFonts w:cs="Times New Roman"/>
                <w:color w:val="auto"/>
                <w:lang w:bidi="ar"/>
              </w:rPr>
              <w:t>铜材在模具内摩擦产生的细碎铜屑混合于拉丝液中，经过滤装置析出形成含油（拉丝液）铜泥。</w:t>
            </w:r>
            <w:r>
              <w:rPr>
                <w:rFonts w:hint="eastAsia"/>
                <w:color w:val="auto"/>
              </w:rPr>
              <w:t>根据建设单位提供资料，</w:t>
            </w:r>
            <w:r>
              <w:rPr>
                <w:rFonts w:cs="Times New Roman"/>
                <w:color w:val="auto"/>
              </w:rPr>
              <w:t>铜泥</w:t>
            </w:r>
            <w:r>
              <w:rPr>
                <w:rFonts w:cs="Times New Roman"/>
                <w:color w:val="auto"/>
                <w:lang w:bidi="ar"/>
              </w:rPr>
              <w:t>产生量约为1.0t/a。根据《国家危险废物名录（2025年版）》的规定，铜泥</w:t>
            </w:r>
            <w:r>
              <w:rPr>
                <w:rFonts w:hint="eastAsia" w:cs="Times New Roman"/>
                <w:color w:val="auto"/>
                <w:lang w:bidi="ar"/>
              </w:rPr>
              <w:t>废物类别为</w:t>
            </w:r>
            <w:r>
              <w:rPr>
                <w:rFonts w:cs="Times New Roman"/>
                <w:color w:val="auto"/>
                <w:lang w:bidi="ar"/>
              </w:rPr>
              <w:t>HW08废矿物油与含矿物油废物，废物代码900-213-08</w:t>
            </w:r>
            <w:r>
              <w:rPr>
                <w:rFonts w:hint="eastAsia" w:cs="Times New Roman"/>
                <w:color w:val="auto"/>
                <w:lang w:bidi="ar"/>
              </w:rPr>
              <w:t>（</w:t>
            </w:r>
            <w:r>
              <w:rPr>
                <w:rFonts w:cs="Times New Roman"/>
                <w:color w:val="auto"/>
                <w:lang w:bidi="ar"/>
              </w:rPr>
              <w:t>废矿物油再生净化过程中产生的沉淀残渣、过滤残渣、废过滤吸附介质</w:t>
            </w:r>
            <w:r>
              <w:rPr>
                <w:rFonts w:hint="eastAsia" w:cs="Times New Roman"/>
                <w:color w:val="auto"/>
                <w:lang w:bidi="ar"/>
              </w:rPr>
              <w:t>）</w:t>
            </w:r>
            <w:r>
              <w:rPr>
                <w:rFonts w:hint="eastAsia" w:cs="Times New Roman"/>
                <w:color w:val="auto"/>
                <w:lang w:eastAsia="zh-CN" w:bidi="ar"/>
              </w:rPr>
              <w:t>，</w:t>
            </w:r>
            <w:r>
              <w:rPr>
                <w:rFonts w:cs="Times New Roman"/>
                <w:color w:val="auto"/>
                <w:lang w:bidi="ar"/>
              </w:rPr>
              <w:t>定期交由有资质单位处置。</w:t>
            </w:r>
          </w:p>
          <w:p>
            <w:pPr>
              <w:ind w:firstLine="480"/>
              <w:rPr>
                <w:rFonts w:cs="Times New Roman"/>
                <w:color w:val="auto"/>
                <w:lang w:bidi="ar"/>
              </w:rPr>
            </w:pPr>
            <w:r>
              <w:rPr>
                <w:rFonts w:hint="eastAsia" w:cs="Times New Roman"/>
                <w:color w:val="auto"/>
                <w:lang w:bidi="ar"/>
              </w:rPr>
              <w:t>③</w:t>
            </w:r>
            <w:r>
              <w:rPr>
                <w:rFonts w:cs="Times New Roman"/>
                <w:color w:val="auto"/>
                <w:lang w:bidi="ar"/>
              </w:rPr>
              <w:t>废毛毡（</w:t>
            </w:r>
            <w:r>
              <w:rPr>
                <w:rFonts w:hint="eastAsia"/>
                <w:color w:val="auto"/>
              </w:rPr>
              <w:t>沾染拉丝液的废毛毡</w:t>
            </w:r>
            <w:r>
              <w:rPr>
                <w:rFonts w:cs="Times New Roman"/>
                <w:color w:val="auto"/>
                <w:lang w:bidi="ar"/>
              </w:rPr>
              <w:t>）</w:t>
            </w:r>
          </w:p>
          <w:p>
            <w:pPr>
              <w:ind w:firstLine="480"/>
              <w:rPr>
                <w:rFonts w:cs="Times New Roman"/>
                <w:color w:val="auto"/>
                <w:lang w:bidi="ar"/>
              </w:rPr>
            </w:pPr>
            <w:r>
              <w:rPr>
                <w:rFonts w:cs="Times New Roman"/>
                <w:color w:val="auto"/>
                <w:lang w:bidi="ar"/>
              </w:rPr>
              <w:t>项目拉丝工序后，拉丝合格的铜线采用毛毡擦拭铜丝表面，根据建设单位提供资料，</w:t>
            </w:r>
            <w:r>
              <w:rPr>
                <w:rFonts w:hint="eastAsia" w:cs="Times New Roman"/>
                <w:color w:val="auto"/>
                <w:lang w:bidi="ar"/>
              </w:rPr>
              <w:t>本项目废毛毡（沾染拉丝液的废毛毡）产生量9t/a</w:t>
            </w:r>
            <w:r>
              <w:rPr>
                <w:rFonts w:cs="Times New Roman"/>
                <w:color w:val="auto"/>
                <w:lang w:bidi="ar"/>
              </w:rPr>
              <w:t>。根据《国家危险废物名录（2025年版）》的规定，废毛毡（含拉丝液）</w:t>
            </w:r>
            <w:r>
              <w:rPr>
                <w:rFonts w:hint="eastAsia" w:cs="Times New Roman"/>
                <w:color w:val="auto"/>
                <w:lang w:bidi="ar"/>
              </w:rPr>
              <w:t>废物类别为</w:t>
            </w:r>
            <w:r>
              <w:rPr>
                <w:rFonts w:cs="Times New Roman"/>
                <w:color w:val="auto"/>
                <w:lang w:bidi="ar"/>
              </w:rPr>
              <w:t>HW49其他废物，废物代码900-041-49</w:t>
            </w:r>
            <w:r>
              <w:rPr>
                <w:rFonts w:hint="eastAsia" w:cs="Times New Roman"/>
                <w:color w:val="auto"/>
                <w:lang w:bidi="ar"/>
              </w:rPr>
              <w:t>（</w:t>
            </w:r>
            <w:r>
              <w:rPr>
                <w:rFonts w:cs="Times New Roman"/>
                <w:color w:val="auto"/>
                <w:lang w:bidi="ar"/>
              </w:rPr>
              <w:t>含有或者沾染毒性、感染性危险废物的废弃的包装物、容器、过滤吸附介质</w:t>
            </w:r>
            <w:r>
              <w:rPr>
                <w:rFonts w:hint="eastAsia" w:cs="Times New Roman"/>
                <w:color w:val="auto"/>
                <w:lang w:bidi="ar"/>
              </w:rPr>
              <w:t>）</w:t>
            </w:r>
            <w:r>
              <w:rPr>
                <w:rFonts w:cs="Times New Roman"/>
                <w:color w:val="auto"/>
                <w:lang w:bidi="ar"/>
              </w:rPr>
              <w:t>。定期交由有资质单位处置。</w:t>
            </w:r>
          </w:p>
          <w:p>
            <w:pPr>
              <w:ind w:firstLine="480"/>
              <w:rPr>
                <w:rFonts w:cs="Times New Roman"/>
                <w:color w:val="auto"/>
              </w:rPr>
            </w:pPr>
            <w:r>
              <w:rPr>
                <w:rFonts w:hint="eastAsia" w:cs="Times New Roman"/>
                <w:color w:val="auto"/>
                <w:lang w:bidi="ar"/>
              </w:rPr>
              <w:t>④</w:t>
            </w:r>
            <w:r>
              <w:rPr>
                <w:rFonts w:cs="Times New Roman"/>
                <w:color w:val="auto"/>
                <w:lang w:bidi="ar"/>
              </w:rPr>
              <w:t>废液压油</w:t>
            </w:r>
          </w:p>
          <w:p>
            <w:pPr>
              <w:ind w:firstLine="480"/>
              <w:rPr>
                <w:rFonts w:cs="Times New Roman"/>
                <w:color w:val="auto"/>
                <w:lang w:bidi="ar"/>
              </w:rPr>
            </w:pPr>
            <w:r>
              <w:rPr>
                <w:rFonts w:cs="Times New Roman"/>
                <w:color w:val="auto"/>
                <w:lang w:bidi="ar"/>
              </w:rPr>
              <w:t>项目液压设备维护保养过程中产生的废油，根据建设单位提供资料，</w:t>
            </w:r>
            <w:r>
              <w:rPr>
                <w:rFonts w:hint="eastAsia" w:cs="Times New Roman"/>
                <w:color w:val="auto"/>
                <w:lang w:bidi="ar"/>
              </w:rPr>
              <w:t>项目年</w:t>
            </w:r>
            <w:r>
              <w:rPr>
                <w:rFonts w:cs="Times New Roman"/>
                <w:color w:val="auto"/>
                <w:lang w:bidi="ar"/>
              </w:rPr>
              <w:t>产生量</w:t>
            </w:r>
            <w:r>
              <w:rPr>
                <w:rFonts w:hint="eastAsia" w:cs="Times New Roman"/>
                <w:color w:val="auto"/>
                <w:lang w:bidi="ar"/>
              </w:rPr>
              <w:t>废液压油3.18</w:t>
            </w:r>
            <w:r>
              <w:rPr>
                <w:rFonts w:cs="Times New Roman"/>
                <w:color w:val="auto"/>
                <w:lang w:bidi="ar"/>
              </w:rPr>
              <w:t>t/a，根据《国家危险废物名录》（2025年版），废液压油</w:t>
            </w:r>
            <w:r>
              <w:rPr>
                <w:rFonts w:hint="eastAsia" w:cs="Times New Roman"/>
                <w:color w:val="auto"/>
                <w:lang w:bidi="ar"/>
              </w:rPr>
              <w:t>废物类别为</w:t>
            </w:r>
            <w:r>
              <w:rPr>
                <w:rFonts w:cs="Times New Roman"/>
                <w:color w:val="auto"/>
                <w:lang w:bidi="ar"/>
              </w:rPr>
              <w:t>HW08废矿物油与含矿物油废物，废物代码900-218-08</w:t>
            </w:r>
            <w:r>
              <w:rPr>
                <w:rFonts w:hint="eastAsia" w:cs="Times New Roman"/>
                <w:color w:val="auto"/>
                <w:lang w:bidi="ar"/>
              </w:rPr>
              <w:t>（</w:t>
            </w:r>
            <w:r>
              <w:rPr>
                <w:rFonts w:cs="Times New Roman"/>
                <w:color w:val="auto"/>
                <w:lang w:bidi="ar"/>
              </w:rPr>
              <w:t>液压设备维护、更换和拆解过程中产生的废液压油</w:t>
            </w:r>
            <w:r>
              <w:rPr>
                <w:rFonts w:hint="eastAsia" w:cs="Times New Roman"/>
                <w:color w:val="auto"/>
                <w:lang w:bidi="ar"/>
              </w:rPr>
              <w:t>）</w:t>
            </w:r>
            <w:r>
              <w:rPr>
                <w:rFonts w:cs="Times New Roman"/>
                <w:color w:val="auto"/>
                <w:lang w:bidi="ar"/>
              </w:rPr>
              <w:t>。定期交由有资质单位处置。</w:t>
            </w:r>
          </w:p>
          <w:p>
            <w:pPr>
              <w:ind w:firstLine="480"/>
              <w:rPr>
                <w:rFonts w:cs="Times New Roman"/>
                <w:color w:val="auto"/>
                <w:lang w:bidi="ar"/>
              </w:rPr>
            </w:pPr>
            <w:r>
              <w:rPr>
                <w:rFonts w:hint="eastAsia" w:cs="Times New Roman"/>
                <w:color w:val="auto"/>
                <w:lang w:bidi="ar"/>
              </w:rPr>
              <w:t>⑤</w:t>
            </w:r>
            <w:r>
              <w:rPr>
                <w:rFonts w:cs="Times New Roman"/>
                <w:color w:val="auto"/>
                <w:lang w:bidi="ar"/>
              </w:rPr>
              <w:t>废润滑油</w:t>
            </w:r>
          </w:p>
          <w:p>
            <w:pPr>
              <w:ind w:firstLine="480"/>
              <w:rPr>
                <w:rFonts w:cs="Times New Roman"/>
                <w:color w:val="auto"/>
                <w:lang w:bidi="ar"/>
              </w:rPr>
            </w:pPr>
            <w:r>
              <w:rPr>
                <w:rFonts w:cs="Times New Roman"/>
                <w:color w:val="auto"/>
                <w:lang w:bidi="ar"/>
              </w:rPr>
              <w:t>项目设备维护保养过程中产生的废润滑油。根据建设单位提供资料，</w:t>
            </w:r>
            <w:r>
              <w:rPr>
                <w:rFonts w:hint="eastAsia" w:cs="Times New Roman"/>
                <w:color w:val="auto"/>
                <w:lang w:bidi="ar"/>
              </w:rPr>
              <w:t>项目年</w:t>
            </w:r>
            <w:r>
              <w:rPr>
                <w:rFonts w:cs="Times New Roman"/>
                <w:color w:val="auto"/>
                <w:lang w:bidi="ar"/>
              </w:rPr>
              <w:t>产生废润滑油</w:t>
            </w:r>
            <w:r>
              <w:rPr>
                <w:rFonts w:hint="eastAsia" w:cs="Times New Roman"/>
                <w:color w:val="auto"/>
                <w:lang w:bidi="ar"/>
              </w:rPr>
              <w:t>0.34</w:t>
            </w:r>
            <w:r>
              <w:rPr>
                <w:rFonts w:cs="Times New Roman"/>
                <w:color w:val="auto"/>
                <w:lang w:bidi="ar"/>
              </w:rPr>
              <w:t>t/a。根据国家危险废物名录（2025年版），废润滑油</w:t>
            </w:r>
            <w:r>
              <w:rPr>
                <w:rFonts w:hint="eastAsia" w:cs="Times New Roman"/>
                <w:color w:val="auto"/>
                <w:lang w:bidi="ar"/>
              </w:rPr>
              <w:t>废物类别为</w:t>
            </w:r>
            <w:r>
              <w:rPr>
                <w:rFonts w:cs="Times New Roman"/>
                <w:color w:val="auto"/>
                <w:lang w:bidi="ar"/>
              </w:rPr>
              <w:t>HW08废矿物油与含矿物油废物，废物代码900-214-08</w:t>
            </w:r>
            <w:r>
              <w:rPr>
                <w:rFonts w:hint="eastAsia" w:cs="Times New Roman"/>
                <w:color w:val="auto"/>
                <w:lang w:bidi="ar"/>
              </w:rPr>
              <w:t>（</w:t>
            </w:r>
            <w:r>
              <w:rPr>
                <w:rFonts w:cs="Times New Roman"/>
                <w:color w:val="auto"/>
                <w:lang w:bidi="ar"/>
              </w:rPr>
              <w:t>车辆、轮船及其它机械维修过程中产生的废发动机油、制动器油、自动变速器油、齿轮油等废润滑油</w:t>
            </w:r>
            <w:r>
              <w:rPr>
                <w:rFonts w:hint="eastAsia" w:cs="Times New Roman"/>
                <w:color w:val="auto"/>
                <w:lang w:bidi="ar"/>
              </w:rPr>
              <w:t>）</w:t>
            </w:r>
            <w:r>
              <w:rPr>
                <w:rFonts w:cs="Times New Roman"/>
                <w:color w:val="auto"/>
                <w:lang w:bidi="ar"/>
              </w:rPr>
              <w:t>。定期交由有资质单位处置。</w:t>
            </w:r>
          </w:p>
          <w:p>
            <w:pPr>
              <w:ind w:firstLine="480"/>
              <w:rPr>
                <w:rFonts w:cs="Times New Roman"/>
                <w:color w:val="auto"/>
              </w:rPr>
            </w:pPr>
            <w:r>
              <w:rPr>
                <w:rFonts w:hint="eastAsia" w:cs="Times New Roman"/>
                <w:color w:val="auto"/>
                <w:lang w:bidi="ar"/>
              </w:rPr>
              <w:t>⑥</w:t>
            </w:r>
            <w:r>
              <w:rPr>
                <w:rFonts w:cs="Times New Roman"/>
                <w:color w:val="auto"/>
                <w:lang w:bidi="ar"/>
              </w:rPr>
              <w:t>废油桶（沾染废矿物油）</w:t>
            </w:r>
          </w:p>
          <w:p>
            <w:pPr>
              <w:pStyle w:val="128"/>
              <w:ind w:firstLine="480"/>
              <w:rPr>
                <w:rFonts w:cs="Times New Roman"/>
                <w:color w:val="auto"/>
                <w:lang w:bidi="ar"/>
              </w:rPr>
            </w:pPr>
            <w:r>
              <w:rPr>
                <w:rFonts w:hint="eastAsia" w:cs="Times New Roman"/>
                <w:color w:val="auto"/>
                <w:lang w:bidi="ar"/>
              </w:rPr>
              <w:t>项目使用的</w:t>
            </w:r>
            <w:r>
              <w:rPr>
                <w:rFonts w:cs="Times New Roman"/>
                <w:color w:val="auto"/>
                <w:lang w:bidi="ar"/>
              </w:rPr>
              <w:t>拉丝油、润滑油、液压油后产生的空桶（沾染废矿物油）</w:t>
            </w:r>
            <w:r>
              <w:rPr>
                <w:rFonts w:hint="eastAsia" w:cs="Times New Roman"/>
                <w:color w:val="auto"/>
                <w:lang w:bidi="ar"/>
              </w:rPr>
              <w:t>，</w:t>
            </w:r>
            <w:r>
              <w:rPr>
                <w:rFonts w:cs="Times New Roman"/>
                <w:color w:val="auto"/>
                <w:lang w:bidi="ar"/>
              </w:rPr>
              <w:t>200L标准桶自重按20kg计。废拉丝油桶</w:t>
            </w:r>
            <w:r>
              <w:rPr>
                <w:rFonts w:hint="eastAsia" w:cs="Times New Roman"/>
                <w:color w:val="auto"/>
                <w:lang w:bidi="ar"/>
              </w:rPr>
              <w:t>15</w:t>
            </w:r>
            <w:r>
              <w:rPr>
                <w:rFonts w:cs="Times New Roman"/>
                <w:color w:val="auto"/>
                <w:lang w:bidi="ar"/>
              </w:rPr>
              <w:t>个/a，废润滑油桶</w:t>
            </w:r>
            <w:r>
              <w:rPr>
                <w:rFonts w:hint="eastAsia" w:cs="Times New Roman"/>
                <w:color w:val="auto"/>
                <w:lang w:bidi="ar"/>
              </w:rPr>
              <w:t>19</w:t>
            </w:r>
            <w:r>
              <w:rPr>
                <w:rFonts w:cs="Times New Roman"/>
                <w:color w:val="auto"/>
                <w:lang w:bidi="ar"/>
              </w:rPr>
              <w:t>个/a，废液压油桶2个/a，共</w:t>
            </w:r>
            <w:r>
              <w:rPr>
                <w:rFonts w:hint="eastAsia" w:cs="Times New Roman"/>
                <w:color w:val="auto"/>
                <w:lang w:bidi="ar"/>
              </w:rPr>
              <w:t>36</w:t>
            </w:r>
            <w:r>
              <w:rPr>
                <w:rFonts w:cs="Times New Roman"/>
                <w:color w:val="auto"/>
                <w:lang w:bidi="ar"/>
              </w:rPr>
              <w:t>个/a，总重量约</w:t>
            </w:r>
            <w:r>
              <w:rPr>
                <w:rFonts w:hint="eastAsia" w:cs="Times New Roman"/>
                <w:color w:val="auto"/>
                <w:lang w:bidi="ar"/>
              </w:rPr>
              <w:t>0.72</w:t>
            </w:r>
            <w:r>
              <w:rPr>
                <w:rFonts w:cs="Times New Roman"/>
                <w:color w:val="auto"/>
                <w:lang w:bidi="ar"/>
              </w:rPr>
              <w:t>t/a。根据《国家危险废物管理名录》（202</w:t>
            </w:r>
            <w:r>
              <w:rPr>
                <w:rFonts w:hint="eastAsia" w:cs="Times New Roman"/>
                <w:color w:val="auto"/>
                <w:lang w:bidi="ar"/>
              </w:rPr>
              <w:t>5</w:t>
            </w:r>
            <w:r>
              <w:rPr>
                <w:rFonts w:cs="Times New Roman"/>
                <w:color w:val="auto"/>
                <w:lang w:bidi="ar"/>
              </w:rPr>
              <w:t>年版），废油桶</w:t>
            </w:r>
            <w:r>
              <w:rPr>
                <w:rFonts w:hint="eastAsia" w:cs="Times New Roman"/>
                <w:color w:val="auto"/>
                <w:lang w:bidi="ar"/>
              </w:rPr>
              <w:t>废物类别为</w:t>
            </w:r>
            <w:r>
              <w:rPr>
                <w:rFonts w:cs="Times New Roman"/>
                <w:color w:val="auto"/>
                <w:lang w:bidi="ar"/>
              </w:rPr>
              <w:t>HW08废矿物油与含矿物油废物，废物代码900-249-08</w:t>
            </w:r>
            <w:r>
              <w:rPr>
                <w:rFonts w:hint="eastAsia" w:cs="Times New Roman"/>
                <w:color w:val="auto"/>
                <w:lang w:bidi="ar"/>
              </w:rPr>
              <w:t>（</w:t>
            </w:r>
            <w:r>
              <w:rPr>
                <w:rFonts w:cs="Times New Roman"/>
                <w:color w:val="auto"/>
                <w:lang w:bidi="ar"/>
              </w:rPr>
              <w:t>其他生产、销售、使用过程中产生的废矿物油及沾染矿物油的废弃包装物</w:t>
            </w:r>
            <w:r>
              <w:rPr>
                <w:rFonts w:hint="eastAsia" w:cs="Times New Roman"/>
                <w:color w:val="auto"/>
                <w:lang w:bidi="ar"/>
              </w:rPr>
              <w:t>）</w:t>
            </w:r>
            <w:r>
              <w:rPr>
                <w:rFonts w:cs="Times New Roman"/>
                <w:color w:val="auto"/>
                <w:lang w:bidi="ar"/>
              </w:rPr>
              <w:t>。定期交由有资质单位处置。</w:t>
            </w:r>
          </w:p>
          <w:p>
            <w:pPr>
              <w:pStyle w:val="128"/>
              <w:ind w:firstLine="480"/>
              <w:rPr>
                <w:color w:val="auto"/>
              </w:rPr>
            </w:pPr>
            <w:r>
              <w:rPr>
                <w:rFonts w:hint="eastAsia"/>
                <w:color w:val="auto"/>
              </w:rPr>
              <w:t>（3）生活垃圾</w:t>
            </w:r>
          </w:p>
          <w:p>
            <w:pPr>
              <w:pStyle w:val="38"/>
              <w:ind w:firstLine="480"/>
              <w:rPr>
                <w:color w:val="auto"/>
              </w:rPr>
            </w:pPr>
            <w:r>
              <w:rPr>
                <w:rFonts w:hint="eastAsia"/>
                <w:color w:val="auto"/>
              </w:rPr>
              <w:t>本项目</w:t>
            </w:r>
            <w:r>
              <w:rPr>
                <w:rFonts w:hint="eastAsia" w:cs="Times New Roman"/>
                <w:color w:val="auto"/>
              </w:rPr>
              <w:t>定员25</w:t>
            </w:r>
            <w:r>
              <w:rPr>
                <w:rFonts w:cs="Times New Roman"/>
                <w:color w:val="auto"/>
              </w:rPr>
              <w:t>人</w:t>
            </w:r>
            <w:r>
              <w:rPr>
                <w:rFonts w:hint="eastAsia"/>
                <w:color w:val="auto"/>
              </w:rPr>
              <w:t>（其中住厂人数13人），员工办公、生活产生的垃圾，根据《社会区域类环境影响评价》（中国环境科学出版社，2009年）数据，不住厂职工K=0.5kg/人·天，住厂职工K=1.0kg/人·天，年工作300天，则生活垃圾产生量约5.7t/a（0.019t/d），分类收集于生活垃圾桶内，由当地环卫部门定期清运，纳入城市生活垃圾处理系统。</w:t>
            </w:r>
          </w:p>
          <w:p>
            <w:pPr>
              <w:pStyle w:val="38"/>
              <w:ind w:firstLine="480"/>
              <w:rPr>
                <w:color w:val="auto"/>
              </w:rPr>
            </w:pPr>
            <w:r>
              <w:rPr>
                <w:rFonts w:hint="eastAsia"/>
                <w:color w:val="auto"/>
              </w:rPr>
              <w:t>本项目固体废物产生及处置情况见表4.2-1</w:t>
            </w:r>
            <w:r>
              <w:rPr>
                <w:rFonts w:hint="eastAsia"/>
                <w:color w:val="auto"/>
                <w:lang w:val="en-US" w:eastAsia="zh-CN"/>
              </w:rPr>
              <w:t>4</w:t>
            </w:r>
            <w:r>
              <w:rPr>
                <w:rFonts w:hint="eastAsia"/>
                <w:color w:val="auto"/>
              </w:rPr>
              <w:t>。</w:t>
            </w:r>
          </w:p>
          <w:p>
            <w:pPr>
              <w:pStyle w:val="61"/>
              <w:rPr>
                <w:rFonts w:ascii="Times New Roman" w:hAnsi="Times New Roman" w:cs="Times New Roman"/>
                <w:color w:val="auto"/>
              </w:rPr>
            </w:pPr>
          </w:p>
          <w:p>
            <w:pPr>
              <w:pStyle w:val="61"/>
              <w:rPr>
                <w:rFonts w:ascii="Times New Roman" w:hAnsi="Times New Roman" w:cs="Times New Roman"/>
                <w:color w:val="auto"/>
              </w:rPr>
            </w:pPr>
          </w:p>
          <w:p>
            <w:pPr>
              <w:pStyle w:val="61"/>
              <w:rPr>
                <w:rFonts w:ascii="Times New Roman" w:hAnsi="Times New Roman" w:cs="Times New Roman"/>
                <w:color w:val="auto"/>
              </w:rPr>
            </w:pPr>
          </w:p>
          <w:p>
            <w:pPr>
              <w:pStyle w:val="38"/>
              <w:ind w:firstLine="480"/>
              <w:rPr>
                <w:rFonts w:cs="Times New Roman"/>
                <w:color w:val="auto"/>
              </w:rPr>
            </w:pPr>
          </w:p>
        </w:tc>
      </w:tr>
    </w:tbl>
    <w:p>
      <w:pPr>
        <w:ind w:firstLine="480"/>
        <w:rPr>
          <w:color w:val="auto"/>
        </w:rPr>
        <w:sectPr>
          <w:pgSz w:w="11906" w:h="16838"/>
          <w:pgMar w:top="1304" w:right="1304" w:bottom="1304" w:left="1587" w:header="737" w:footer="737" w:gutter="0"/>
          <w:pgBorders>
            <w:top w:val="none" w:sz="0" w:space="0"/>
            <w:left w:val="none" w:sz="0" w:space="0"/>
            <w:bottom w:val="none" w:sz="0" w:space="0"/>
            <w:right w:val="none" w:sz="0" w:space="0"/>
          </w:pgBorders>
          <w:cols w:space="720" w:num="1"/>
          <w:docGrid w:linePitch="312" w:charSpace="0"/>
        </w:sectPr>
      </w:pPr>
    </w:p>
    <w:tbl>
      <w:tblPr>
        <w:tblStyle w:val="27"/>
        <w:tblW w:w="507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4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11" w:hRule="atLeast"/>
          <w:jc w:val="center"/>
        </w:trPr>
        <w:tc>
          <w:tcPr>
            <w:tcW w:w="5000" w:type="pct"/>
            <w:tcMar>
              <w:left w:w="28" w:type="dxa"/>
              <w:right w:w="28" w:type="dxa"/>
            </w:tcMar>
          </w:tcPr>
          <w:p>
            <w:pPr>
              <w:pStyle w:val="37"/>
              <w:spacing w:line="360" w:lineRule="auto"/>
              <w:rPr>
                <w:color w:val="auto"/>
              </w:rPr>
            </w:pPr>
            <w:r>
              <w:rPr>
                <w:color w:val="auto"/>
              </w:rPr>
              <w:t>表4.</w:t>
            </w:r>
            <w:r>
              <w:rPr>
                <w:rFonts w:hint="eastAsia"/>
                <w:color w:val="auto"/>
                <w:lang w:val="en-US"/>
              </w:rPr>
              <w:t>2-1</w:t>
            </w:r>
            <w:r>
              <w:rPr>
                <w:rFonts w:hint="eastAsia"/>
                <w:color w:val="auto"/>
                <w:lang w:val="en-US" w:eastAsia="zh-CN"/>
              </w:rPr>
              <w:t>4</w:t>
            </w:r>
            <w:r>
              <w:rPr>
                <w:rFonts w:hint="eastAsia"/>
                <w:color w:val="auto"/>
                <w:lang w:val="en-US"/>
              </w:rPr>
              <w:t xml:space="preserve"> </w:t>
            </w:r>
            <w:r>
              <w:rPr>
                <w:color w:val="auto"/>
              </w:rPr>
              <w:t>项目固体废物产生及处置情况一览</w:t>
            </w:r>
          </w:p>
          <w:tbl>
            <w:tblPr>
              <w:tblStyle w:val="27"/>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40"/>
              <w:gridCol w:w="1732"/>
              <w:gridCol w:w="1980"/>
              <w:gridCol w:w="1578"/>
              <w:gridCol w:w="1227"/>
              <w:gridCol w:w="1178"/>
              <w:gridCol w:w="1165"/>
              <w:gridCol w:w="852"/>
              <w:gridCol w:w="809"/>
              <w:gridCol w:w="729"/>
              <w:gridCol w:w="858"/>
              <w:gridCol w:w="13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40" w:type="dxa"/>
                  <w:vAlign w:val="center"/>
                </w:tcPr>
                <w:p>
                  <w:pPr>
                    <w:pStyle w:val="36"/>
                    <w:rPr>
                      <w:color w:val="auto"/>
                    </w:rPr>
                  </w:pPr>
                  <w:r>
                    <w:rPr>
                      <w:color w:val="auto"/>
                    </w:rPr>
                    <w:t>序号</w:t>
                  </w:r>
                </w:p>
              </w:tc>
              <w:tc>
                <w:tcPr>
                  <w:tcW w:w="1732" w:type="dxa"/>
                  <w:vAlign w:val="center"/>
                </w:tcPr>
                <w:p>
                  <w:pPr>
                    <w:pStyle w:val="36"/>
                    <w:rPr>
                      <w:color w:val="auto"/>
                    </w:rPr>
                  </w:pPr>
                  <w:r>
                    <w:rPr>
                      <w:color w:val="auto"/>
                    </w:rPr>
                    <w:t>产生环节</w:t>
                  </w:r>
                </w:p>
              </w:tc>
              <w:tc>
                <w:tcPr>
                  <w:tcW w:w="1980" w:type="dxa"/>
                  <w:vAlign w:val="center"/>
                </w:tcPr>
                <w:p>
                  <w:pPr>
                    <w:pStyle w:val="36"/>
                    <w:rPr>
                      <w:color w:val="auto"/>
                    </w:rPr>
                  </w:pPr>
                  <w:r>
                    <w:rPr>
                      <w:color w:val="auto"/>
                    </w:rPr>
                    <w:t>固废名称</w:t>
                  </w:r>
                </w:p>
              </w:tc>
              <w:tc>
                <w:tcPr>
                  <w:tcW w:w="1578" w:type="dxa"/>
                  <w:vAlign w:val="center"/>
                </w:tcPr>
                <w:p>
                  <w:pPr>
                    <w:pStyle w:val="36"/>
                    <w:rPr>
                      <w:color w:val="auto"/>
                    </w:rPr>
                  </w:pPr>
                  <w:r>
                    <w:rPr>
                      <w:color w:val="auto"/>
                    </w:rPr>
                    <w:t>主要物质成分</w:t>
                  </w:r>
                </w:p>
              </w:tc>
              <w:tc>
                <w:tcPr>
                  <w:tcW w:w="1227" w:type="dxa"/>
                  <w:vAlign w:val="center"/>
                </w:tcPr>
                <w:p>
                  <w:pPr>
                    <w:pStyle w:val="36"/>
                    <w:rPr>
                      <w:color w:val="auto"/>
                    </w:rPr>
                  </w:pPr>
                  <w:r>
                    <w:rPr>
                      <w:color w:val="auto"/>
                    </w:rPr>
                    <w:t>属性</w:t>
                  </w:r>
                </w:p>
              </w:tc>
              <w:tc>
                <w:tcPr>
                  <w:tcW w:w="1178" w:type="dxa"/>
                  <w:vAlign w:val="center"/>
                </w:tcPr>
                <w:p>
                  <w:pPr>
                    <w:pStyle w:val="36"/>
                    <w:rPr>
                      <w:color w:val="auto"/>
                    </w:rPr>
                  </w:pPr>
                  <w:r>
                    <w:rPr>
                      <w:color w:val="auto"/>
                    </w:rPr>
                    <w:t>废物类别</w:t>
                  </w:r>
                </w:p>
              </w:tc>
              <w:tc>
                <w:tcPr>
                  <w:tcW w:w="1165" w:type="dxa"/>
                  <w:vAlign w:val="center"/>
                </w:tcPr>
                <w:p>
                  <w:pPr>
                    <w:pStyle w:val="36"/>
                    <w:rPr>
                      <w:color w:val="auto"/>
                    </w:rPr>
                  </w:pPr>
                  <w:r>
                    <w:rPr>
                      <w:color w:val="auto"/>
                    </w:rPr>
                    <w:t>废物代码</w:t>
                  </w:r>
                </w:p>
              </w:tc>
              <w:tc>
                <w:tcPr>
                  <w:tcW w:w="852" w:type="dxa"/>
                  <w:vAlign w:val="center"/>
                </w:tcPr>
                <w:p>
                  <w:pPr>
                    <w:pStyle w:val="36"/>
                    <w:rPr>
                      <w:color w:val="auto"/>
                    </w:rPr>
                  </w:pPr>
                  <w:r>
                    <w:rPr>
                      <w:color w:val="auto"/>
                    </w:rPr>
                    <w:t>产生量</w:t>
                  </w:r>
                </w:p>
                <w:p>
                  <w:pPr>
                    <w:pStyle w:val="36"/>
                    <w:rPr>
                      <w:color w:val="auto"/>
                    </w:rPr>
                  </w:pPr>
                  <w:r>
                    <w:rPr>
                      <w:color w:val="auto"/>
                    </w:rPr>
                    <w:t>t/a</w:t>
                  </w:r>
                </w:p>
              </w:tc>
              <w:tc>
                <w:tcPr>
                  <w:tcW w:w="809" w:type="dxa"/>
                  <w:vAlign w:val="center"/>
                </w:tcPr>
                <w:p>
                  <w:pPr>
                    <w:pStyle w:val="36"/>
                    <w:rPr>
                      <w:color w:val="auto"/>
                    </w:rPr>
                  </w:pPr>
                  <w:r>
                    <w:rPr>
                      <w:color w:val="auto"/>
                    </w:rPr>
                    <w:t>形态</w:t>
                  </w:r>
                </w:p>
              </w:tc>
              <w:tc>
                <w:tcPr>
                  <w:tcW w:w="729" w:type="dxa"/>
                  <w:vAlign w:val="center"/>
                </w:tcPr>
                <w:p>
                  <w:pPr>
                    <w:pStyle w:val="36"/>
                    <w:rPr>
                      <w:color w:val="auto"/>
                    </w:rPr>
                  </w:pPr>
                  <w:r>
                    <w:rPr>
                      <w:color w:val="auto"/>
                    </w:rPr>
                    <w:t>危险</w:t>
                  </w:r>
                </w:p>
                <w:p>
                  <w:pPr>
                    <w:pStyle w:val="36"/>
                    <w:rPr>
                      <w:color w:val="auto"/>
                    </w:rPr>
                  </w:pPr>
                  <w:r>
                    <w:rPr>
                      <w:color w:val="auto"/>
                    </w:rPr>
                    <w:t>特性</w:t>
                  </w:r>
                </w:p>
              </w:tc>
              <w:tc>
                <w:tcPr>
                  <w:tcW w:w="858" w:type="dxa"/>
                  <w:vAlign w:val="center"/>
                </w:tcPr>
                <w:p>
                  <w:pPr>
                    <w:pStyle w:val="36"/>
                    <w:rPr>
                      <w:color w:val="auto"/>
                    </w:rPr>
                  </w:pPr>
                  <w:r>
                    <w:rPr>
                      <w:color w:val="auto"/>
                    </w:rPr>
                    <w:t>储存</w:t>
                  </w:r>
                </w:p>
                <w:p>
                  <w:pPr>
                    <w:pStyle w:val="36"/>
                    <w:rPr>
                      <w:color w:val="auto"/>
                    </w:rPr>
                  </w:pPr>
                  <w:r>
                    <w:rPr>
                      <w:color w:val="auto"/>
                    </w:rPr>
                    <w:t>方式</w:t>
                  </w:r>
                </w:p>
              </w:tc>
              <w:tc>
                <w:tcPr>
                  <w:tcW w:w="1387" w:type="dxa"/>
                  <w:vAlign w:val="center"/>
                </w:tcPr>
                <w:p>
                  <w:pPr>
                    <w:pStyle w:val="36"/>
                    <w:rPr>
                      <w:color w:val="auto"/>
                    </w:rPr>
                  </w:pPr>
                  <w:r>
                    <w:rPr>
                      <w:color w:val="auto"/>
                    </w:rPr>
                    <w:t>处置方</w:t>
                  </w:r>
                </w:p>
                <w:p>
                  <w:pPr>
                    <w:pStyle w:val="36"/>
                    <w:rPr>
                      <w:color w:val="auto"/>
                    </w:rPr>
                  </w:pPr>
                  <w:r>
                    <w:rPr>
                      <w:color w:val="auto"/>
                    </w:rPr>
                    <w:t>式/去向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3" w:hRule="atLeast"/>
                <w:jc w:val="center"/>
              </w:trPr>
              <w:tc>
                <w:tcPr>
                  <w:tcW w:w="640" w:type="dxa"/>
                  <w:vAlign w:val="center"/>
                </w:tcPr>
                <w:p>
                  <w:pPr>
                    <w:pStyle w:val="36"/>
                    <w:rPr>
                      <w:color w:val="auto"/>
                    </w:rPr>
                  </w:pPr>
                  <w:r>
                    <w:rPr>
                      <w:color w:val="auto"/>
                    </w:rPr>
                    <w:t>1</w:t>
                  </w:r>
                </w:p>
              </w:tc>
              <w:tc>
                <w:tcPr>
                  <w:tcW w:w="1732" w:type="dxa"/>
                  <w:vAlign w:val="center"/>
                </w:tcPr>
                <w:p>
                  <w:pPr>
                    <w:pStyle w:val="36"/>
                    <w:rPr>
                      <w:color w:val="auto"/>
                    </w:rPr>
                  </w:pPr>
                  <w:r>
                    <w:rPr>
                      <w:rFonts w:hint="eastAsia"/>
                      <w:color w:val="auto"/>
                    </w:rPr>
                    <w:t>拉拔、冷轧、拉丝</w:t>
                  </w:r>
                </w:p>
              </w:tc>
              <w:tc>
                <w:tcPr>
                  <w:tcW w:w="1980" w:type="dxa"/>
                  <w:vAlign w:val="center"/>
                </w:tcPr>
                <w:p>
                  <w:pPr>
                    <w:pStyle w:val="36"/>
                    <w:rPr>
                      <w:color w:val="auto"/>
                    </w:rPr>
                  </w:pPr>
                  <w:bookmarkStart w:id="94" w:name="OLE_LINK2"/>
                  <w:r>
                    <w:rPr>
                      <w:color w:val="auto"/>
                    </w:rPr>
                    <w:t>废拉丝液</w:t>
                  </w:r>
                  <w:bookmarkEnd w:id="94"/>
                </w:p>
              </w:tc>
              <w:tc>
                <w:tcPr>
                  <w:tcW w:w="1578" w:type="dxa"/>
                  <w:vAlign w:val="center"/>
                </w:tcPr>
                <w:p>
                  <w:pPr>
                    <w:pStyle w:val="36"/>
                    <w:rPr>
                      <w:color w:val="auto"/>
                    </w:rPr>
                  </w:pPr>
                  <w:r>
                    <w:rPr>
                      <w:rFonts w:hint="eastAsia"/>
                      <w:color w:val="auto"/>
                    </w:rPr>
                    <w:t>矿物油、</w:t>
                  </w:r>
                  <w:r>
                    <w:rPr>
                      <w:rStyle w:val="34"/>
                      <w:rFonts w:hint="eastAsia"/>
                      <w:color w:val="auto"/>
                      <w:lang w:val="en-US" w:eastAsia="zh-CN"/>
                    </w:rPr>
                    <w:t>金属</w:t>
                  </w:r>
                </w:p>
              </w:tc>
              <w:tc>
                <w:tcPr>
                  <w:tcW w:w="1227" w:type="dxa"/>
                  <w:vMerge w:val="restart"/>
                  <w:vAlign w:val="center"/>
                </w:tcPr>
                <w:p>
                  <w:pPr>
                    <w:pStyle w:val="36"/>
                    <w:rPr>
                      <w:color w:val="auto"/>
                    </w:rPr>
                  </w:pPr>
                  <w:r>
                    <w:rPr>
                      <w:color w:val="auto"/>
                    </w:rPr>
                    <w:t>危险废物</w:t>
                  </w:r>
                </w:p>
              </w:tc>
              <w:tc>
                <w:tcPr>
                  <w:tcW w:w="1178" w:type="dxa"/>
                  <w:vAlign w:val="center"/>
                </w:tcPr>
                <w:p>
                  <w:pPr>
                    <w:pStyle w:val="36"/>
                    <w:rPr>
                      <w:color w:val="auto"/>
                    </w:rPr>
                  </w:pPr>
                  <w:r>
                    <w:rPr>
                      <w:rFonts w:hint="eastAsia"/>
                      <w:color w:val="auto"/>
                    </w:rPr>
                    <w:t>HW09</w:t>
                  </w:r>
                </w:p>
              </w:tc>
              <w:tc>
                <w:tcPr>
                  <w:tcW w:w="1165" w:type="dxa"/>
                  <w:vAlign w:val="center"/>
                </w:tcPr>
                <w:p>
                  <w:pPr>
                    <w:pStyle w:val="36"/>
                    <w:rPr>
                      <w:color w:val="auto"/>
                    </w:rPr>
                  </w:pPr>
                  <w:r>
                    <w:rPr>
                      <w:rFonts w:hint="eastAsia"/>
                      <w:color w:val="auto"/>
                    </w:rPr>
                    <w:t>900-007-09</w:t>
                  </w:r>
                </w:p>
              </w:tc>
              <w:tc>
                <w:tcPr>
                  <w:tcW w:w="852" w:type="dxa"/>
                  <w:vAlign w:val="center"/>
                </w:tcPr>
                <w:p>
                  <w:pPr>
                    <w:pStyle w:val="36"/>
                    <w:rPr>
                      <w:color w:val="auto"/>
                    </w:rPr>
                  </w:pPr>
                  <w:r>
                    <w:rPr>
                      <w:rFonts w:hint="eastAsia"/>
                      <w:color w:val="auto"/>
                    </w:rPr>
                    <w:t>31.8</w:t>
                  </w:r>
                </w:p>
              </w:tc>
              <w:tc>
                <w:tcPr>
                  <w:tcW w:w="809" w:type="dxa"/>
                  <w:vAlign w:val="center"/>
                </w:tcPr>
                <w:p>
                  <w:pPr>
                    <w:pStyle w:val="36"/>
                    <w:rPr>
                      <w:color w:val="auto"/>
                    </w:rPr>
                  </w:pPr>
                  <w:r>
                    <w:rPr>
                      <w:rFonts w:hint="eastAsia"/>
                      <w:color w:val="auto"/>
                    </w:rPr>
                    <w:t>液体</w:t>
                  </w:r>
                </w:p>
              </w:tc>
              <w:tc>
                <w:tcPr>
                  <w:tcW w:w="729" w:type="dxa"/>
                  <w:vAlign w:val="center"/>
                </w:tcPr>
                <w:p>
                  <w:pPr>
                    <w:pStyle w:val="36"/>
                    <w:rPr>
                      <w:color w:val="auto"/>
                    </w:rPr>
                  </w:pPr>
                  <w:r>
                    <w:rPr>
                      <w:color w:val="auto"/>
                    </w:rPr>
                    <w:t>T</w:t>
                  </w:r>
                </w:p>
              </w:tc>
              <w:tc>
                <w:tcPr>
                  <w:tcW w:w="858" w:type="dxa"/>
                  <w:vAlign w:val="center"/>
                </w:tcPr>
                <w:p>
                  <w:pPr>
                    <w:pStyle w:val="36"/>
                    <w:rPr>
                      <w:color w:val="auto"/>
                    </w:rPr>
                  </w:pPr>
                  <w:r>
                    <w:rPr>
                      <w:rFonts w:hint="eastAsia"/>
                      <w:color w:val="auto"/>
                    </w:rPr>
                    <w:t>拉丝液</w:t>
                  </w:r>
                </w:p>
                <w:p>
                  <w:pPr>
                    <w:pStyle w:val="36"/>
                    <w:rPr>
                      <w:color w:val="auto"/>
                    </w:rPr>
                  </w:pPr>
                  <w:r>
                    <w:rPr>
                      <w:rFonts w:hint="eastAsia"/>
                      <w:color w:val="auto"/>
                    </w:rPr>
                    <w:t>循环池</w:t>
                  </w:r>
                </w:p>
              </w:tc>
              <w:tc>
                <w:tcPr>
                  <w:tcW w:w="1387" w:type="dxa"/>
                  <w:vAlign w:val="center"/>
                </w:tcPr>
                <w:p>
                  <w:pPr>
                    <w:pStyle w:val="36"/>
                    <w:rPr>
                      <w:rFonts w:hint="default" w:eastAsia="宋体"/>
                      <w:color w:val="auto"/>
                      <w:lang w:val="en-US" w:eastAsia="zh-CN"/>
                    </w:rPr>
                  </w:pPr>
                  <w:r>
                    <w:rPr>
                      <w:color w:val="auto"/>
                    </w:rPr>
                    <w:t>委托</w:t>
                  </w:r>
                  <w:r>
                    <w:rPr>
                      <w:rFonts w:hint="eastAsia"/>
                      <w:color w:val="auto"/>
                      <w:lang w:val="en-US" w:eastAsia="zh-CN"/>
                    </w:rPr>
                    <w:t>有</w:t>
                  </w:r>
                  <w:r>
                    <w:rPr>
                      <w:color w:val="auto"/>
                    </w:rPr>
                    <w:t>资质单位</w:t>
                  </w:r>
                  <w:r>
                    <w:rPr>
                      <w:rFonts w:hint="eastAsia"/>
                      <w:color w:val="auto"/>
                      <w:lang w:val="en-US" w:eastAsia="zh-CN"/>
                    </w:rPr>
                    <w:t>收集后直接转运，不在厂内贮存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40" w:type="dxa"/>
                  <w:vAlign w:val="center"/>
                </w:tcPr>
                <w:p>
                  <w:pPr>
                    <w:pStyle w:val="36"/>
                    <w:rPr>
                      <w:color w:val="auto"/>
                    </w:rPr>
                  </w:pPr>
                  <w:r>
                    <w:rPr>
                      <w:color w:val="auto"/>
                    </w:rPr>
                    <w:t>2</w:t>
                  </w:r>
                </w:p>
              </w:tc>
              <w:tc>
                <w:tcPr>
                  <w:tcW w:w="1732" w:type="dxa"/>
                  <w:vAlign w:val="center"/>
                </w:tcPr>
                <w:p>
                  <w:pPr>
                    <w:pStyle w:val="36"/>
                    <w:rPr>
                      <w:color w:val="auto"/>
                    </w:rPr>
                  </w:pPr>
                  <w:r>
                    <w:rPr>
                      <w:rFonts w:hint="eastAsia"/>
                      <w:color w:val="auto"/>
                    </w:rPr>
                    <w:t>拉丝</w:t>
                  </w:r>
                </w:p>
              </w:tc>
              <w:tc>
                <w:tcPr>
                  <w:tcW w:w="1980" w:type="dxa"/>
                  <w:vAlign w:val="center"/>
                </w:tcPr>
                <w:p>
                  <w:pPr>
                    <w:pStyle w:val="36"/>
                    <w:rPr>
                      <w:color w:val="auto"/>
                    </w:rPr>
                  </w:pPr>
                  <w:r>
                    <w:rPr>
                      <w:color w:val="auto"/>
                    </w:rPr>
                    <w:t>沾有拉丝液的铜泥</w:t>
                  </w:r>
                </w:p>
              </w:tc>
              <w:tc>
                <w:tcPr>
                  <w:tcW w:w="1578" w:type="dxa"/>
                  <w:vAlign w:val="center"/>
                </w:tcPr>
                <w:p>
                  <w:pPr>
                    <w:pStyle w:val="36"/>
                    <w:rPr>
                      <w:color w:val="auto"/>
                    </w:rPr>
                  </w:pPr>
                  <w:r>
                    <w:rPr>
                      <w:rFonts w:hint="eastAsia"/>
                      <w:color w:val="auto"/>
                    </w:rPr>
                    <w:t>矿物油、</w:t>
                  </w:r>
                  <w:r>
                    <w:rPr>
                      <w:rStyle w:val="34"/>
                      <w:rFonts w:hint="eastAsia"/>
                      <w:color w:val="auto"/>
                      <w:lang w:val="en-US" w:eastAsia="zh-CN"/>
                    </w:rPr>
                    <w:t>金属</w:t>
                  </w:r>
                </w:p>
              </w:tc>
              <w:tc>
                <w:tcPr>
                  <w:tcW w:w="1227" w:type="dxa"/>
                  <w:vMerge w:val="continue"/>
                  <w:vAlign w:val="center"/>
                </w:tcPr>
                <w:p>
                  <w:pPr>
                    <w:pStyle w:val="36"/>
                    <w:rPr>
                      <w:color w:val="auto"/>
                    </w:rPr>
                  </w:pPr>
                </w:p>
              </w:tc>
              <w:tc>
                <w:tcPr>
                  <w:tcW w:w="1178" w:type="dxa"/>
                  <w:vAlign w:val="center"/>
                </w:tcPr>
                <w:p>
                  <w:pPr>
                    <w:pStyle w:val="36"/>
                    <w:rPr>
                      <w:color w:val="auto"/>
                    </w:rPr>
                  </w:pPr>
                  <w:r>
                    <w:rPr>
                      <w:rFonts w:hint="eastAsia"/>
                      <w:color w:val="auto"/>
                    </w:rPr>
                    <w:t>HW08</w:t>
                  </w:r>
                </w:p>
              </w:tc>
              <w:tc>
                <w:tcPr>
                  <w:tcW w:w="1165" w:type="dxa"/>
                  <w:vAlign w:val="center"/>
                </w:tcPr>
                <w:p>
                  <w:pPr>
                    <w:pStyle w:val="36"/>
                    <w:rPr>
                      <w:color w:val="auto"/>
                    </w:rPr>
                  </w:pPr>
                  <w:r>
                    <w:rPr>
                      <w:rFonts w:hint="eastAsia"/>
                      <w:color w:val="auto"/>
                    </w:rPr>
                    <w:t>900-213-08</w:t>
                  </w:r>
                </w:p>
              </w:tc>
              <w:tc>
                <w:tcPr>
                  <w:tcW w:w="852" w:type="dxa"/>
                  <w:vAlign w:val="center"/>
                </w:tcPr>
                <w:p>
                  <w:pPr>
                    <w:pStyle w:val="36"/>
                    <w:rPr>
                      <w:color w:val="auto"/>
                    </w:rPr>
                  </w:pPr>
                  <w:r>
                    <w:rPr>
                      <w:rFonts w:hint="eastAsia"/>
                      <w:color w:val="auto"/>
                    </w:rPr>
                    <w:t>1.0</w:t>
                  </w:r>
                </w:p>
              </w:tc>
              <w:tc>
                <w:tcPr>
                  <w:tcW w:w="809" w:type="dxa"/>
                  <w:vAlign w:val="center"/>
                </w:tcPr>
                <w:p>
                  <w:pPr>
                    <w:pStyle w:val="36"/>
                    <w:rPr>
                      <w:color w:val="auto"/>
                    </w:rPr>
                  </w:pPr>
                  <w:r>
                    <w:rPr>
                      <w:rFonts w:hint="eastAsia"/>
                      <w:color w:val="auto"/>
                    </w:rPr>
                    <w:t>固体</w:t>
                  </w:r>
                </w:p>
              </w:tc>
              <w:tc>
                <w:tcPr>
                  <w:tcW w:w="729" w:type="dxa"/>
                  <w:vAlign w:val="center"/>
                </w:tcPr>
                <w:p>
                  <w:pPr>
                    <w:pStyle w:val="36"/>
                    <w:rPr>
                      <w:color w:val="auto"/>
                    </w:rPr>
                  </w:pPr>
                  <w:r>
                    <w:rPr>
                      <w:color w:val="auto"/>
                    </w:rPr>
                    <w:t>T</w:t>
                  </w:r>
                  <w:r>
                    <w:rPr>
                      <w:rFonts w:hint="eastAsia"/>
                      <w:color w:val="auto"/>
                    </w:rPr>
                    <w:t>，</w:t>
                  </w:r>
                  <w:r>
                    <w:rPr>
                      <w:color w:val="auto"/>
                    </w:rPr>
                    <w:t>I</w:t>
                  </w:r>
                </w:p>
              </w:tc>
              <w:tc>
                <w:tcPr>
                  <w:tcW w:w="858" w:type="dxa"/>
                  <w:vMerge w:val="restart"/>
                  <w:vAlign w:val="center"/>
                </w:tcPr>
                <w:p>
                  <w:pPr>
                    <w:pStyle w:val="36"/>
                    <w:rPr>
                      <w:color w:val="auto"/>
                    </w:rPr>
                  </w:pPr>
                  <w:r>
                    <w:rPr>
                      <w:rFonts w:hint="eastAsia"/>
                      <w:color w:val="auto"/>
                    </w:rPr>
                    <w:t>危废</w:t>
                  </w:r>
                </w:p>
                <w:p>
                  <w:pPr>
                    <w:pStyle w:val="36"/>
                    <w:rPr>
                      <w:color w:val="auto"/>
                    </w:rPr>
                  </w:pPr>
                  <w:r>
                    <w:rPr>
                      <w:rFonts w:hint="eastAsia"/>
                      <w:color w:val="auto"/>
                    </w:rPr>
                    <w:t>贮存库</w:t>
                  </w:r>
                </w:p>
              </w:tc>
              <w:tc>
                <w:tcPr>
                  <w:tcW w:w="1387" w:type="dxa"/>
                  <w:vMerge w:val="restart"/>
                  <w:vAlign w:val="center"/>
                </w:tcPr>
                <w:p>
                  <w:pPr>
                    <w:pStyle w:val="36"/>
                    <w:rPr>
                      <w:color w:val="auto"/>
                    </w:rPr>
                  </w:pPr>
                  <w:r>
                    <w:rPr>
                      <w:color w:val="auto"/>
                    </w:rPr>
                    <w:t>委托</w:t>
                  </w:r>
                  <w:r>
                    <w:rPr>
                      <w:rFonts w:hint="eastAsia"/>
                      <w:color w:val="auto"/>
                      <w:lang w:val="en-US" w:eastAsia="zh-CN"/>
                    </w:rPr>
                    <w:t>有</w:t>
                  </w:r>
                  <w:r>
                    <w:rPr>
                      <w:color w:val="auto"/>
                    </w:rPr>
                    <w:t>资质单位转运处置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40" w:type="dxa"/>
                  <w:vAlign w:val="center"/>
                </w:tcPr>
                <w:p>
                  <w:pPr>
                    <w:pStyle w:val="36"/>
                    <w:rPr>
                      <w:color w:val="auto"/>
                    </w:rPr>
                  </w:pPr>
                  <w:r>
                    <w:rPr>
                      <w:color w:val="auto"/>
                    </w:rPr>
                    <w:t>3</w:t>
                  </w:r>
                </w:p>
              </w:tc>
              <w:tc>
                <w:tcPr>
                  <w:tcW w:w="1732" w:type="dxa"/>
                  <w:vAlign w:val="center"/>
                </w:tcPr>
                <w:p>
                  <w:pPr>
                    <w:pStyle w:val="36"/>
                    <w:rPr>
                      <w:color w:val="auto"/>
                    </w:rPr>
                  </w:pPr>
                  <w:r>
                    <w:rPr>
                      <w:rFonts w:hint="eastAsia"/>
                      <w:color w:val="auto"/>
                    </w:rPr>
                    <w:t>拉丝</w:t>
                  </w:r>
                </w:p>
              </w:tc>
              <w:tc>
                <w:tcPr>
                  <w:tcW w:w="1980" w:type="dxa"/>
                  <w:vAlign w:val="center"/>
                </w:tcPr>
                <w:p>
                  <w:pPr>
                    <w:pStyle w:val="36"/>
                    <w:rPr>
                      <w:color w:val="auto"/>
                    </w:rPr>
                  </w:pPr>
                  <w:r>
                    <w:rPr>
                      <w:rFonts w:hint="eastAsia"/>
                      <w:color w:val="auto"/>
                    </w:rPr>
                    <w:t>沾染拉丝液的废毛毡</w:t>
                  </w:r>
                </w:p>
              </w:tc>
              <w:tc>
                <w:tcPr>
                  <w:tcW w:w="1578" w:type="dxa"/>
                  <w:vAlign w:val="center"/>
                </w:tcPr>
                <w:p>
                  <w:pPr>
                    <w:pStyle w:val="36"/>
                    <w:rPr>
                      <w:color w:val="auto"/>
                    </w:rPr>
                  </w:pPr>
                  <w:r>
                    <w:rPr>
                      <w:rFonts w:hint="eastAsia"/>
                      <w:color w:val="auto"/>
                    </w:rPr>
                    <w:t>矿物油</w:t>
                  </w:r>
                </w:p>
              </w:tc>
              <w:tc>
                <w:tcPr>
                  <w:tcW w:w="1227" w:type="dxa"/>
                  <w:vMerge w:val="continue"/>
                  <w:vAlign w:val="center"/>
                </w:tcPr>
                <w:p>
                  <w:pPr>
                    <w:pStyle w:val="36"/>
                    <w:rPr>
                      <w:color w:val="auto"/>
                    </w:rPr>
                  </w:pPr>
                </w:p>
              </w:tc>
              <w:tc>
                <w:tcPr>
                  <w:tcW w:w="1178" w:type="dxa"/>
                  <w:vAlign w:val="center"/>
                </w:tcPr>
                <w:p>
                  <w:pPr>
                    <w:pStyle w:val="36"/>
                    <w:rPr>
                      <w:color w:val="auto"/>
                    </w:rPr>
                  </w:pPr>
                  <w:r>
                    <w:rPr>
                      <w:rFonts w:hint="eastAsia"/>
                      <w:color w:val="auto"/>
                    </w:rPr>
                    <w:t>HW49</w:t>
                  </w:r>
                </w:p>
              </w:tc>
              <w:tc>
                <w:tcPr>
                  <w:tcW w:w="1165" w:type="dxa"/>
                  <w:vAlign w:val="center"/>
                </w:tcPr>
                <w:p>
                  <w:pPr>
                    <w:pStyle w:val="36"/>
                    <w:rPr>
                      <w:color w:val="auto"/>
                    </w:rPr>
                  </w:pPr>
                  <w:r>
                    <w:rPr>
                      <w:rFonts w:hint="eastAsia"/>
                      <w:color w:val="auto"/>
                    </w:rPr>
                    <w:t>900-041-49</w:t>
                  </w:r>
                </w:p>
              </w:tc>
              <w:tc>
                <w:tcPr>
                  <w:tcW w:w="852" w:type="dxa"/>
                  <w:vAlign w:val="center"/>
                </w:tcPr>
                <w:p>
                  <w:pPr>
                    <w:pStyle w:val="36"/>
                    <w:rPr>
                      <w:color w:val="auto"/>
                    </w:rPr>
                  </w:pPr>
                  <w:r>
                    <w:rPr>
                      <w:rFonts w:hint="eastAsia"/>
                      <w:color w:val="auto"/>
                    </w:rPr>
                    <w:t>9.0</w:t>
                  </w:r>
                </w:p>
              </w:tc>
              <w:tc>
                <w:tcPr>
                  <w:tcW w:w="809" w:type="dxa"/>
                  <w:vAlign w:val="center"/>
                </w:tcPr>
                <w:p>
                  <w:pPr>
                    <w:pStyle w:val="36"/>
                    <w:rPr>
                      <w:color w:val="auto"/>
                    </w:rPr>
                  </w:pPr>
                  <w:r>
                    <w:rPr>
                      <w:rFonts w:hint="eastAsia"/>
                      <w:color w:val="auto"/>
                    </w:rPr>
                    <w:t>固、液体</w:t>
                  </w:r>
                </w:p>
              </w:tc>
              <w:tc>
                <w:tcPr>
                  <w:tcW w:w="729" w:type="dxa"/>
                  <w:vAlign w:val="center"/>
                </w:tcPr>
                <w:p>
                  <w:pPr>
                    <w:pStyle w:val="36"/>
                    <w:rPr>
                      <w:color w:val="auto"/>
                    </w:rPr>
                  </w:pPr>
                  <w:r>
                    <w:rPr>
                      <w:color w:val="auto"/>
                    </w:rPr>
                    <w:t>T/In</w:t>
                  </w:r>
                </w:p>
              </w:tc>
              <w:tc>
                <w:tcPr>
                  <w:tcW w:w="858" w:type="dxa"/>
                  <w:vMerge w:val="continue"/>
                  <w:vAlign w:val="center"/>
                </w:tcPr>
                <w:p>
                  <w:pPr>
                    <w:pStyle w:val="36"/>
                    <w:rPr>
                      <w:color w:val="auto"/>
                    </w:rPr>
                  </w:pPr>
                </w:p>
              </w:tc>
              <w:tc>
                <w:tcPr>
                  <w:tcW w:w="1387" w:type="dxa"/>
                  <w:vMerge w:val="continue"/>
                  <w:vAlign w:val="center"/>
                </w:tcPr>
                <w:p>
                  <w:pPr>
                    <w:pStyle w:val="36"/>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40" w:type="dxa"/>
                  <w:vAlign w:val="center"/>
                </w:tcPr>
                <w:p>
                  <w:pPr>
                    <w:pStyle w:val="36"/>
                    <w:rPr>
                      <w:color w:val="auto"/>
                    </w:rPr>
                  </w:pPr>
                  <w:r>
                    <w:rPr>
                      <w:color w:val="auto"/>
                    </w:rPr>
                    <w:t>4</w:t>
                  </w:r>
                </w:p>
              </w:tc>
              <w:tc>
                <w:tcPr>
                  <w:tcW w:w="1732" w:type="dxa"/>
                  <w:vAlign w:val="center"/>
                </w:tcPr>
                <w:p>
                  <w:pPr>
                    <w:pStyle w:val="36"/>
                    <w:rPr>
                      <w:color w:val="auto"/>
                    </w:rPr>
                  </w:pPr>
                  <w:r>
                    <w:rPr>
                      <w:rFonts w:hint="eastAsia"/>
                      <w:color w:val="auto"/>
                    </w:rPr>
                    <w:t>液压设备维护保养</w:t>
                  </w:r>
                </w:p>
              </w:tc>
              <w:tc>
                <w:tcPr>
                  <w:tcW w:w="1980" w:type="dxa"/>
                  <w:vAlign w:val="center"/>
                </w:tcPr>
                <w:p>
                  <w:pPr>
                    <w:pStyle w:val="36"/>
                    <w:rPr>
                      <w:color w:val="auto"/>
                    </w:rPr>
                  </w:pPr>
                  <w:r>
                    <w:rPr>
                      <w:rFonts w:hint="eastAsia"/>
                      <w:color w:val="auto"/>
                    </w:rPr>
                    <w:t>废液压油</w:t>
                  </w:r>
                </w:p>
              </w:tc>
              <w:tc>
                <w:tcPr>
                  <w:tcW w:w="1578" w:type="dxa"/>
                  <w:vAlign w:val="center"/>
                </w:tcPr>
                <w:p>
                  <w:pPr>
                    <w:pStyle w:val="36"/>
                    <w:rPr>
                      <w:color w:val="auto"/>
                    </w:rPr>
                  </w:pPr>
                  <w:r>
                    <w:rPr>
                      <w:rFonts w:hint="eastAsia"/>
                      <w:color w:val="auto"/>
                    </w:rPr>
                    <w:t>矿物油</w:t>
                  </w:r>
                </w:p>
              </w:tc>
              <w:tc>
                <w:tcPr>
                  <w:tcW w:w="1227" w:type="dxa"/>
                  <w:vMerge w:val="continue"/>
                  <w:vAlign w:val="center"/>
                </w:tcPr>
                <w:p>
                  <w:pPr>
                    <w:pStyle w:val="36"/>
                    <w:rPr>
                      <w:color w:val="auto"/>
                    </w:rPr>
                  </w:pPr>
                </w:p>
              </w:tc>
              <w:tc>
                <w:tcPr>
                  <w:tcW w:w="1178" w:type="dxa"/>
                  <w:vAlign w:val="center"/>
                </w:tcPr>
                <w:p>
                  <w:pPr>
                    <w:pStyle w:val="36"/>
                    <w:rPr>
                      <w:color w:val="auto"/>
                    </w:rPr>
                  </w:pPr>
                  <w:r>
                    <w:rPr>
                      <w:rFonts w:hint="eastAsia"/>
                      <w:color w:val="auto"/>
                    </w:rPr>
                    <w:t>HW08</w:t>
                  </w:r>
                </w:p>
              </w:tc>
              <w:tc>
                <w:tcPr>
                  <w:tcW w:w="1165" w:type="dxa"/>
                  <w:vAlign w:val="center"/>
                </w:tcPr>
                <w:p>
                  <w:pPr>
                    <w:pStyle w:val="36"/>
                    <w:rPr>
                      <w:color w:val="auto"/>
                    </w:rPr>
                  </w:pPr>
                  <w:r>
                    <w:rPr>
                      <w:rFonts w:hint="eastAsia"/>
                      <w:color w:val="auto"/>
                    </w:rPr>
                    <w:t>900-218-08</w:t>
                  </w:r>
                </w:p>
              </w:tc>
              <w:tc>
                <w:tcPr>
                  <w:tcW w:w="852" w:type="dxa"/>
                  <w:vAlign w:val="center"/>
                </w:tcPr>
                <w:p>
                  <w:pPr>
                    <w:pStyle w:val="36"/>
                    <w:rPr>
                      <w:color w:val="auto"/>
                    </w:rPr>
                  </w:pPr>
                  <w:r>
                    <w:rPr>
                      <w:rFonts w:hint="eastAsia"/>
                      <w:color w:val="auto"/>
                    </w:rPr>
                    <w:t>3.18</w:t>
                  </w:r>
                </w:p>
              </w:tc>
              <w:tc>
                <w:tcPr>
                  <w:tcW w:w="809" w:type="dxa"/>
                  <w:vAlign w:val="center"/>
                </w:tcPr>
                <w:p>
                  <w:pPr>
                    <w:pStyle w:val="36"/>
                    <w:rPr>
                      <w:color w:val="auto"/>
                    </w:rPr>
                  </w:pPr>
                  <w:r>
                    <w:rPr>
                      <w:rFonts w:hint="eastAsia"/>
                      <w:color w:val="auto"/>
                    </w:rPr>
                    <w:t>液体</w:t>
                  </w:r>
                </w:p>
              </w:tc>
              <w:tc>
                <w:tcPr>
                  <w:tcW w:w="729" w:type="dxa"/>
                  <w:vAlign w:val="center"/>
                </w:tcPr>
                <w:p>
                  <w:pPr>
                    <w:pStyle w:val="36"/>
                    <w:rPr>
                      <w:color w:val="auto"/>
                    </w:rPr>
                  </w:pPr>
                  <w:r>
                    <w:rPr>
                      <w:color w:val="auto"/>
                    </w:rPr>
                    <w:t>T，I</w:t>
                  </w:r>
                </w:p>
              </w:tc>
              <w:tc>
                <w:tcPr>
                  <w:tcW w:w="858" w:type="dxa"/>
                  <w:vMerge w:val="continue"/>
                  <w:vAlign w:val="center"/>
                </w:tcPr>
                <w:p>
                  <w:pPr>
                    <w:pStyle w:val="36"/>
                    <w:rPr>
                      <w:color w:val="auto"/>
                    </w:rPr>
                  </w:pPr>
                </w:p>
              </w:tc>
              <w:tc>
                <w:tcPr>
                  <w:tcW w:w="1387" w:type="dxa"/>
                  <w:vMerge w:val="continue"/>
                  <w:vAlign w:val="center"/>
                </w:tcPr>
                <w:p>
                  <w:pPr>
                    <w:pStyle w:val="36"/>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40" w:type="dxa"/>
                  <w:vAlign w:val="center"/>
                </w:tcPr>
                <w:p>
                  <w:pPr>
                    <w:pStyle w:val="36"/>
                    <w:rPr>
                      <w:color w:val="auto"/>
                    </w:rPr>
                  </w:pPr>
                  <w:r>
                    <w:rPr>
                      <w:color w:val="auto"/>
                    </w:rPr>
                    <w:t>5</w:t>
                  </w:r>
                </w:p>
              </w:tc>
              <w:tc>
                <w:tcPr>
                  <w:tcW w:w="1732" w:type="dxa"/>
                  <w:vAlign w:val="center"/>
                </w:tcPr>
                <w:p>
                  <w:pPr>
                    <w:pStyle w:val="36"/>
                    <w:rPr>
                      <w:color w:val="auto"/>
                    </w:rPr>
                  </w:pPr>
                  <w:r>
                    <w:rPr>
                      <w:rFonts w:hint="eastAsia"/>
                      <w:color w:val="auto"/>
                    </w:rPr>
                    <w:t>设备维护保养</w:t>
                  </w:r>
                </w:p>
              </w:tc>
              <w:tc>
                <w:tcPr>
                  <w:tcW w:w="1980" w:type="dxa"/>
                  <w:vAlign w:val="center"/>
                </w:tcPr>
                <w:p>
                  <w:pPr>
                    <w:pStyle w:val="36"/>
                    <w:rPr>
                      <w:color w:val="auto"/>
                    </w:rPr>
                  </w:pPr>
                  <w:r>
                    <w:rPr>
                      <w:rFonts w:hint="eastAsia"/>
                      <w:color w:val="auto"/>
                    </w:rPr>
                    <w:t>废润滑油</w:t>
                  </w:r>
                </w:p>
              </w:tc>
              <w:tc>
                <w:tcPr>
                  <w:tcW w:w="1578" w:type="dxa"/>
                  <w:vAlign w:val="center"/>
                </w:tcPr>
                <w:p>
                  <w:pPr>
                    <w:pStyle w:val="36"/>
                    <w:rPr>
                      <w:color w:val="auto"/>
                    </w:rPr>
                  </w:pPr>
                  <w:r>
                    <w:rPr>
                      <w:rFonts w:hint="eastAsia"/>
                      <w:color w:val="auto"/>
                    </w:rPr>
                    <w:t>矿物油</w:t>
                  </w:r>
                </w:p>
              </w:tc>
              <w:tc>
                <w:tcPr>
                  <w:tcW w:w="1227" w:type="dxa"/>
                  <w:vMerge w:val="continue"/>
                  <w:vAlign w:val="center"/>
                </w:tcPr>
                <w:p>
                  <w:pPr>
                    <w:pStyle w:val="36"/>
                    <w:rPr>
                      <w:color w:val="auto"/>
                    </w:rPr>
                  </w:pPr>
                </w:p>
              </w:tc>
              <w:tc>
                <w:tcPr>
                  <w:tcW w:w="1178" w:type="dxa"/>
                  <w:vAlign w:val="center"/>
                </w:tcPr>
                <w:p>
                  <w:pPr>
                    <w:pStyle w:val="36"/>
                    <w:rPr>
                      <w:color w:val="auto"/>
                    </w:rPr>
                  </w:pPr>
                  <w:r>
                    <w:rPr>
                      <w:rFonts w:hint="eastAsia"/>
                      <w:color w:val="auto"/>
                    </w:rPr>
                    <w:t>HW08</w:t>
                  </w:r>
                </w:p>
              </w:tc>
              <w:tc>
                <w:tcPr>
                  <w:tcW w:w="1165" w:type="dxa"/>
                  <w:vAlign w:val="center"/>
                </w:tcPr>
                <w:p>
                  <w:pPr>
                    <w:pStyle w:val="36"/>
                    <w:rPr>
                      <w:color w:val="auto"/>
                    </w:rPr>
                  </w:pPr>
                  <w:r>
                    <w:rPr>
                      <w:rFonts w:hint="eastAsia"/>
                      <w:color w:val="auto"/>
                    </w:rPr>
                    <w:t>900-214-08</w:t>
                  </w:r>
                </w:p>
              </w:tc>
              <w:tc>
                <w:tcPr>
                  <w:tcW w:w="852" w:type="dxa"/>
                  <w:vAlign w:val="center"/>
                </w:tcPr>
                <w:p>
                  <w:pPr>
                    <w:pStyle w:val="36"/>
                    <w:rPr>
                      <w:color w:val="auto"/>
                    </w:rPr>
                  </w:pPr>
                  <w:r>
                    <w:rPr>
                      <w:rFonts w:hint="eastAsia"/>
                      <w:color w:val="auto"/>
                    </w:rPr>
                    <w:t>0.34</w:t>
                  </w:r>
                </w:p>
              </w:tc>
              <w:tc>
                <w:tcPr>
                  <w:tcW w:w="809" w:type="dxa"/>
                  <w:vAlign w:val="center"/>
                </w:tcPr>
                <w:p>
                  <w:pPr>
                    <w:pStyle w:val="36"/>
                    <w:rPr>
                      <w:color w:val="auto"/>
                    </w:rPr>
                  </w:pPr>
                  <w:r>
                    <w:rPr>
                      <w:rFonts w:hint="eastAsia"/>
                      <w:color w:val="auto"/>
                    </w:rPr>
                    <w:t>液体</w:t>
                  </w:r>
                </w:p>
              </w:tc>
              <w:tc>
                <w:tcPr>
                  <w:tcW w:w="729" w:type="dxa"/>
                  <w:vAlign w:val="center"/>
                </w:tcPr>
                <w:p>
                  <w:pPr>
                    <w:pStyle w:val="36"/>
                    <w:rPr>
                      <w:color w:val="auto"/>
                    </w:rPr>
                  </w:pPr>
                  <w:r>
                    <w:rPr>
                      <w:color w:val="auto"/>
                    </w:rPr>
                    <w:t>T，I</w:t>
                  </w:r>
                </w:p>
              </w:tc>
              <w:tc>
                <w:tcPr>
                  <w:tcW w:w="858" w:type="dxa"/>
                  <w:vMerge w:val="continue"/>
                  <w:vAlign w:val="center"/>
                </w:tcPr>
                <w:p>
                  <w:pPr>
                    <w:pStyle w:val="36"/>
                    <w:rPr>
                      <w:color w:val="auto"/>
                    </w:rPr>
                  </w:pPr>
                </w:p>
              </w:tc>
              <w:tc>
                <w:tcPr>
                  <w:tcW w:w="1387" w:type="dxa"/>
                  <w:vMerge w:val="continue"/>
                  <w:vAlign w:val="center"/>
                </w:tcPr>
                <w:p>
                  <w:pPr>
                    <w:pStyle w:val="36"/>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7" w:hRule="atLeast"/>
                <w:jc w:val="center"/>
              </w:trPr>
              <w:tc>
                <w:tcPr>
                  <w:tcW w:w="640" w:type="dxa"/>
                  <w:vAlign w:val="center"/>
                </w:tcPr>
                <w:p>
                  <w:pPr>
                    <w:pStyle w:val="36"/>
                    <w:rPr>
                      <w:color w:val="auto"/>
                    </w:rPr>
                  </w:pPr>
                  <w:r>
                    <w:rPr>
                      <w:color w:val="auto"/>
                    </w:rPr>
                    <w:t>6</w:t>
                  </w:r>
                </w:p>
              </w:tc>
              <w:tc>
                <w:tcPr>
                  <w:tcW w:w="1732" w:type="dxa"/>
                  <w:vAlign w:val="center"/>
                </w:tcPr>
                <w:p>
                  <w:pPr>
                    <w:pStyle w:val="36"/>
                    <w:rPr>
                      <w:color w:val="auto"/>
                    </w:rPr>
                  </w:pPr>
                  <w:r>
                    <w:rPr>
                      <w:rFonts w:hint="eastAsia"/>
                      <w:color w:val="auto"/>
                    </w:rPr>
                    <w:t>拉丝油、润滑油、液压油产生的空桶</w:t>
                  </w:r>
                </w:p>
              </w:tc>
              <w:tc>
                <w:tcPr>
                  <w:tcW w:w="1980" w:type="dxa"/>
                  <w:vAlign w:val="center"/>
                </w:tcPr>
                <w:p>
                  <w:pPr>
                    <w:pStyle w:val="36"/>
                    <w:rPr>
                      <w:color w:val="auto"/>
                    </w:rPr>
                  </w:pPr>
                  <w:r>
                    <w:rPr>
                      <w:rFonts w:hint="eastAsia"/>
                      <w:color w:val="auto"/>
                    </w:rPr>
                    <w:t>废油桶</w:t>
                  </w:r>
                </w:p>
              </w:tc>
              <w:tc>
                <w:tcPr>
                  <w:tcW w:w="1578" w:type="dxa"/>
                  <w:vAlign w:val="center"/>
                </w:tcPr>
                <w:p>
                  <w:pPr>
                    <w:pStyle w:val="36"/>
                    <w:rPr>
                      <w:rFonts w:hint="default" w:eastAsia="宋体"/>
                      <w:color w:val="auto"/>
                      <w:lang w:val="en-US" w:eastAsia="zh-CN"/>
                    </w:rPr>
                  </w:pPr>
                  <w:r>
                    <w:rPr>
                      <w:rFonts w:hint="eastAsia"/>
                      <w:color w:val="auto"/>
                    </w:rPr>
                    <w:t>矿物油</w:t>
                  </w:r>
                  <w:r>
                    <w:rPr>
                      <w:rStyle w:val="34"/>
                      <w:rFonts w:hint="eastAsia"/>
                      <w:color w:val="auto"/>
                      <w:lang w:eastAsia="zh-CN"/>
                    </w:rPr>
                    <w:t>、</w:t>
                  </w:r>
                  <w:r>
                    <w:rPr>
                      <w:rStyle w:val="34"/>
                      <w:rFonts w:hint="eastAsia"/>
                      <w:color w:val="auto"/>
                      <w:lang w:val="en-US" w:eastAsia="zh-CN"/>
                    </w:rPr>
                    <w:t>金属</w:t>
                  </w:r>
                </w:p>
              </w:tc>
              <w:tc>
                <w:tcPr>
                  <w:tcW w:w="1227" w:type="dxa"/>
                  <w:vMerge w:val="continue"/>
                  <w:vAlign w:val="center"/>
                </w:tcPr>
                <w:p>
                  <w:pPr>
                    <w:pStyle w:val="36"/>
                    <w:rPr>
                      <w:color w:val="auto"/>
                    </w:rPr>
                  </w:pPr>
                </w:p>
              </w:tc>
              <w:tc>
                <w:tcPr>
                  <w:tcW w:w="1178" w:type="dxa"/>
                  <w:vAlign w:val="center"/>
                </w:tcPr>
                <w:p>
                  <w:pPr>
                    <w:pStyle w:val="36"/>
                    <w:rPr>
                      <w:color w:val="auto"/>
                    </w:rPr>
                  </w:pPr>
                  <w:r>
                    <w:rPr>
                      <w:rFonts w:hint="eastAsia"/>
                      <w:color w:val="auto"/>
                    </w:rPr>
                    <w:t>HW08</w:t>
                  </w:r>
                </w:p>
              </w:tc>
              <w:tc>
                <w:tcPr>
                  <w:tcW w:w="1165" w:type="dxa"/>
                  <w:vAlign w:val="center"/>
                </w:tcPr>
                <w:p>
                  <w:pPr>
                    <w:pStyle w:val="36"/>
                    <w:rPr>
                      <w:color w:val="auto"/>
                    </w:rPr>
                  </w:pPr>
                  <w:r>
                    <w:rPr>
                      <w:rFonts w:hint="eastAsia"/>
                      <w:color w:val="auto"/>
                    </w:rPr>
                    <w:t>900-249-08</w:t>
                  </w:r>
                </w:p>
              </w:tc>
              <w:tc>
                <w:tcPr>
                  <w:tcW w:w="852" w:type="dxa"/>
                  <w:vAlign w:val="center"/>
                </w:tcPr>
                <w:p>
                  <w:pPr>
                    <w:pStyle w:val="36"/>
                    <w:rPr>
                      <w:color w:val="auto"/>
                    </w:rPr>
                  </w:pPr>
                  <w:r>
                    <w:rPr>
                      <w:rFonts w:hint="eastAsia"/>
                      <w:color w:val="auto"/>
                    </w:rPr>
                    <w:t>0.72</w:t>
                  </w:r>
                </w:p>
              </w:tc>
              <w:tc>
                <w:tcPr>
                  <w:tcW w:w="809" w:type="dxa"/>
                  <w:vAlign w:val="center"/>
                </w:tcPr>
                <w:p>
                  <w:pPr>
                    <w:pStyle w:val="36"/>
                    <w:rPr>
                      <w:color w:val="auto"/>
                    </w:rPr>
                  </w:pPr>
                  <w:r>
                    <w:rPr>
                      <w:rFonts w:hint="eastAsia"/>
                      <w:color w:val="auto"/>
                    </w:rPr>
                    <w:t>固体</w:t>
                  </w:r>
                </w:p>
              </w:tc>
              <w:tc>
                <w:tcPr>
                  <w:tcW w:w="729" w:type="dxa"/>
                  <w:vAlign w:val="center"/>
                </w:tcPr>
                <w:p>
                  <w:pPr>
                    <w:pStyle w:val="36"/>
                    <w:rPr>
                      <w:color w:val="auto"/>
                    </w:rPr>
                  </w:pPr>
                  <w:r>
                    <w:rPr>
                      <w:color w:val="auto"/>
                    </w:rPr>
                    <w:t>T，I</w:t>
                  </w:r>
                </w:p>
              </w:tc>
              <w:tc>
                <w:tcPr>
                  <w:tcW w:w="858" w:type="dxa"/>
                  <w:vMerge w:val="continue"/>
                  <w:vAlign w:val="center"/>
                </w:tcPr>
                <w:p>
                  <w:pPr>
                    <w:pStyle w:val="36"/>
                    <w:rPr>
                      <w:color w:val="auto"/>
                    </w:rPr>
                  </w:pPr>
                </w:p>
              </w:tc>
              <w:tc>
                <w:tcPr>
                  <w:tcW w:w="1387" w:type="dxa"/>
                  <w:vMerge w:val="continue"/>
                  <w:vAlign w:val="center"/>
                </w:tcPr>
                <w:p>
                  <w:pPr>
                    <w:pStyle w:val="36"/>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9500" w:type="dxa"/>
                  <w:gridSpan w:val="7"/>
                  <w:vAlign w:val="center"/>
                </w:tcPr>
                <w:p>
                  <w:pPr>
                    <w:pStyle w:val="36"/>
                    <w:rPr>
                      <w:color w:val="auto"/>
                    </w:rPr>
                  </w:pPr>
                  <w:r>
                    <w:rPr>
                      <w:color w:val="auto"/>
                    </w:rPr>
                    <w:t>小计</w:t>
                  </w:r>
                </w:p>
              </w:tc>
              <w:tc>
                <w:tcPr>
                  <w:tcW w:w="852" w:type="dxa"/>
                  <w:vAlign w:val="center"/>
                </w:tcPr>
                <w:p>
                  <w:pPr>
                    <w:pStyle w:val="36"/>
                    <w:rPr>
                      <w:color w:val="auto"/>
                    </w:rPr>
                  </w:pPr>
                  <w:r>
                    <w:rPr>
                      <w:rFonts w:hint="eastAsia"/>
                      <w:color w:val="auto"/>
                    </w:rPr>
                    <w:t>46.04</w:t>
                  </w:r>
                </w:p>
              </w:tc>
              <w:tc>
                <w:tcPr>
                  <w:tcW w:w="3783" w:type="dxa"/>
                  <w:gridSpan w:val="4"/>
                  <w:vAlign w:val="center"/>
                </w:tcPr>
                <w:p>
                  <w:pPr>
                    <w:pStyle w:val="36"/>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40" w:type="dxa"/>
                  <w:vAlign w:val="center"/>
                </w:tcPr>
                <w:p>
                  <w:pPr>
                    <w:pStyle w:val="36"/>
                    <w:rPr>
                      <w:color w:val="auto"/>
                    </w:rPr>
                  </w:pPr>
                  <w:r>
                    <w:rPr>
                      <w:color w:val="auto"/>
                    </w:rPr>
                    <w:t>7</w:t>
                  </w:r>
                </w:p>
              </w:tc>
              <w:tc>
                <w:tcPr>
                  <w:tcW w:w="1732" w:type="dxa"/>
                  <w:vAlign w:val="center"/>
                </w:tcPr>
                <w:p>
                  <w:pPr>
                    <w:pStyle w:val="36"/>
                    <w:rPr>
                      <w:color w:val="auto"/>
                    </w:rPr>
                  </w:pPr>
                  <w:r>
                    <w:rPr>
                      <w:color w:val="auto"/>
                    </w:rPr>
                    <w:t>原料包装</w:t>
                  </w:r>
                </w:p>
              </w:tc>
              <w:tc>
                <w:tcPr>
                  <w:tcW w:w="1980" w:type="dxa"/>
                  <w:vAlign w:val="center"/>
                </w:tcPr>
                <w:p>
                  <w:pPr>
                    <w:pStyle w:val="36"/>
                    <w:rPr>
                      <w:color w:val="auto"/>
                    </w:rPr>
                  </w:pPr>
                  <w:r>
                    <w:rPr>
                      <w:rFonts w:hint="eastAsia"/>
                      <w:color w:val="auto"/>
                    </w:rPr>
                    <w:t>废包装材料</w:t>
                  </w:r>
                </w:p>
              </w:tc>
              <w:tc>
                <w:tcPr>
                  <w:tcW w:w="1578" w:type="dxa"/>
                  <w:vAlign w:val="center"/>
                </w:tcPr>
                <w:p>
                  <w:pPr>
                    <w:pStyle w:val="36"/>
                    <w:rPr>
                      <w:color w:val="auto"/>
                    </w:rPr>
                  </w:pPr>
                  <w:r>
                    <w:rPr>
                      <w:color w:val="auto"/>
                    </w:rPr>
                    <w:t>废纸、塑料等</w:t>
                  </w:r>
                </w:p>
              </w:tc>
              <w:tc>
                <w:tcPr>
                  <w:tcW w:w="1227" w:type="dxa"/>
                  <w:vMerge w:val="restart"/>
                  <w:vAlign w:val="center"/>
                </w:tcPr>
                <w:p>
                  <w:pPr>
                    <w:pStyle w:val="36"/>
                    <w:rPr>
                      <w:color w:val="auto"/>
                    </w:rPr>
                  </w:pPr>
                  <w:r>
                    <w:rPr>
                      <w:color w:val="auto"/>
                    </w:rPr>
                    <w:t>一般工业</w:t>
                  </w:r>
                </w:p>
                <w:p>
                  <w:pPr>
                    <w:pStyle w:val="36"/>
                    <w:rPr>
                      <w:color w:val="auto"/>
                    </w:rPr>
                  </w:pPr>
                  <w:r>
                    <w:rPr>
                      <w:color w:val="auto"/>
                    </w:rPr>
                    <w:t>固体废物</w:t>
                  </w:r>
                </w:p>
              </w:tc>
              <w:tc>
                <w:tcPr>
                  <w:tcW w:w="1178" w:type="dxa"/>
                  <w:vAlign w:val="center"/>
                </w:tcPr>
                <w:p>
                  <w:pPr>
                    <w:pStyle w:val="36"/>
                    <w:rPr>
                      <w:color w:val="auto"/>
                    </w:rPr>
                  </w:pPr>
                  <w:r>
                    <w:rPr>
                      <w:color w:val="auto"/>
                    </w:rPr>
                    <w:t>SW17</w:t>
                  </w:r>
                </w:p>
              </w:tc>
              <w:tc>
                <w:tcPr>
                  <w:tcW w:w="1165" w:type="dxa"/>
                  <w:vAlign w:val="center"/>
                </w:tcPr>
                <w:p>
                  <w:pPr>
                    <w:pStyle w:val="36"/>
                    <w:rPr>
                      <w:color w:val="auto"/>
                    </w:rPr>
                  </w:pPr>
                  <w:r>
                    <w:rPr>
                      <w:rFonts w:hint="eastAsia"/>
                      <w:color w:val="auto"/>
                    </w:rPr>
                    <w:t>900-003-S17</w:t>
                  </w:r>
                </w:p>
              </w:tc>
              <w:tc>
                <w:tcPr>
                  <w:tcW w:w="852" w:type="dxa"/>
                  <w:vAlign w:val="center"/>
                </w:tcPr>
                <w:p>
                  <w:pPr>
                    <w:pStyle w:val="36"/>
                    <w:rPr>
                      <w:color w:val="auto"/>
                    </w:rPr>
                  </w:pPr>
                  <w:r>
                    <w:rPr>
                      <w:rFonts w:hint="eastAsia"/>
                      <w:color w:val="auto"/>
                    </w:rPr>
                    <w:t>0.5</w:t>
                  </w:r>
                </w:p>
              </w:tc>
              <w:tc>
                <w:tcPr>
                  <w:tcW w:w="809" w:type="dxa"/>
                  <w:vAlign w:val="center"/>
                </w:tcPr>
                <w:p>
                  <w:pPr>
                    <w:pStyle w:val="36"/>
                    <w:rPr>
                      <w:color w:val="auto"/>
                    </w:rPr>
                  </w:pPr>
                  <w:r>
                    <w:rPr>
                      <w:color w:val="auto"/>
                    </w:rPr>
                    <w:t>固体</w:t>
                  </w:r>
                </w:p>
              </w:tc>
              <w:tc>
                <w:tcPr>
                  <w:tcW w:w="729" w:type="dxa"/>
                  <w:vAlign w:val="center"/>
                </w:tcPr>
                <w:p>
                  <w:pPr>
                    <w:pStyle w:val="36"/>
                    <w:rPr>
                      <w:color w:val="auto"/>
                    </w:rPr>
                  </w:pPr>
                  <w:r>
                    <w:rPr>
                      <w:color w:val="auto"/>
                    </w:rPr>
                    <w:t>/</w:t>
                  </w:r>
                </w:p>
              </w:tc>
              <w:tc>
                <w:tcPr>
                  <w:tcW w:w="858" w:type="dxa"/>
                  <w:vMerge w:val="restart"/>
                  <w:vAlign w:val="center"/>
                </w:tcPr>
                <w:p>
                  <w:pPr>
                    <w:pStyle w:val="36"/>
                    <w:rPr>
                      <w:color w:val="auto"/>
                    </w:rPr>
                  </w:pPr>
                  <w:r>
                    <w:rPr>
                      <w:rFonts w:hint="eastAsia"/>
                      <w:color w:val="auto"/>
                    </w:rPr>
                    <w:t>一般</w:t>
                  </w:r>
                </w:p>
                <w:p>
                  <w:pPr>
                    <w:pStyle w:val="36"/>
                    <w:rPr>
                      <w:color w:val="auto"/>
                    </w:rPr>
                  </w:pPr>
                  <w:r>
                    <w:rPr>
                      <w:rFonts w:hint="eastAsia"/>
                      <w:color w:val="auto"/>
                    </w:rPr>
                    <w:t>固废间</w:t>
                  </w:r>
                </w:p>
              </w:tc>
              <w:tc>
                <w:tcPr>
                  <w:tcW w:w="1387" w:type="dxa"/>
                  <w:vMerge w:val="restart"/>
                  <w:vAlign w:val="center"/>
                </w:tcPr>
                <w:p>
                  <w:pPr>
                    <w:pStyle w:val="36"/>
                    <w:rPr>
                      <w:color w:val="auto"/>
                    </w:rPr>
                  </w:pPr>
                  <w:r>
                    <w:rPr>
                      <w:color w:val="auto"/>
                    </w:rPr>
                    <w:t>出售回收利用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40" w:type="dxa"/>
                  <w:vAlign w:val="center"/>
                </w:tcPr>
                <w:p>
                  <w:pPr>
                    <w:pStyle w:val="36"/>
                    <w:rPr>
                      <w:color w:val="auto"/>
                    </w:rPr>
                  </w:pPr>
                  <w:r>
                    <w:rPr>
                      <w:color w:val="auto"/>
                    </w:rPr>
                    <w:t>8</w:t>
                  </w:r>
                </w:p>
              </w:tc>
              <w:tc>
                <w:tcPr>
                  <w:tcW w:w="1732" w:type="dxa"/>
                  <w:vAlign w:val="center"/>
                </w:tcPr>
                <w:p>
                  <w:pPr>
                    <w:pStyle w:val="36"/>
                    <w:rPr>
                      <w:color w:val="auto"/>
                    </w:rPr>
                  </w:pPr>
                  <w:r>
                    <w:rPr>
                      <w:rFonts w:hint="eastAsia"/>
                      <w:color w:val="auto"/>
                    </w:rPr>
                    <w:t>挤压、切割等加工工序以及产品检测</w:t>
                  </w:r>
                </w:p>
              </w:tc>
              <w:tc>
                <w:tcPr>
                  <w:tcW w:w="1980" w:type="dxa"/>
                  <w:vAlign w:val="center"/>
                </w:tcPr>
                <w:p>
                  <w:pPr>
                    <w:pStyle w:val="36"/>
                    <w:rPr>
                      <w:color w:val="auto"/>
                    </w:rPr>
                  </w:pPr>
                  <w:r>
                    <w:rPr>
                      <w:rFonts w:hint="eastAsia"/>
                      <w:color w:val="auto"/>
                    </w:rPr>
                    <w:t>废（铜）边角料</w:t>
                  </w:r>
                </w:p>
                <w:p>
                  <w:pPr>
                    <w:pStyle w:val="36"/>
                    <w:rPr>
                      <w:color w:val="auto"/>
                    </w:rPr>
                  </w:pPr>
                  <w:r>
                    <w:rPr>
                      <w:rFonts w:hint="eastAsia"/>
                      <w:color w:val="auto"/>
                    </w:rPr>
                    <w:t>及不合格品</w:t>
                  </w:r>
                </w:p>
              </w:tc>
              <w:tc>
                <w:tcPr>
                  <w:tcW w:w="1578" w:type="dxa"/>
                  <w:vAlign w:val="center"/>
                </w:tcPr>
                <w:p>
                  <w:pPr>
                    <w:pStyle w:val="36"/>
                    <w:rPr>
                      <w:color w:val="auto"/>
                    </w:rPr>
                  </w:pPr>
                  <w:r>
                    <w:rPr>
                      <w:rStyle w:val="34"/>
                      <w:rFonts w:hint="eastAsia"/>
                      <w:color w:val="auto"/>
                      <w:lang w:val="en-US" w:eastAsia="zh-CN"/>
                    </w:rPr>
                    <w:t>金属</w:t>
                  </w:r>
                </w:p>
              </w:tc>
              <w:tc>
                <w:tcPr>
                  <w:tcW w:w="1227" w:type="dxa"/>
                  <w:vMerge w:val="continue"/>
                  <w:vAlign w:val="center"/>
                </w:tcPr>
                <w:p>
                  <w:pPr>
                    <w:pStyle w:val="36"/>
                    <w:rPr>
                      <w:color w:val="auto"/>
                    </w:rPr>
                  </w:pPr>
                </w:p>
              </w:tc>
              <w:tc>
                <w:tcPr>
                  <w:tcW w:w="1178" w:type="dxa"/>
                  <w:vAlign w:val="center"/>
                </w:tcPr>
                <w:p>
                  <w:pPr>
                    <w:pStyle w:val="36"/>
                    <w:rPr>
                      <w:color w:val="auto"/>
                    </w:rPr>
                  </w:pPr>
                  <w:r>
                    <w:rPr>
                      <w:color w:val="auto"/>
                    </w:rPr>
                    <w:t>SW17</w:t>
                  </w:r>
                </w:p>
              </w:tc>
              <w:tc>
                <w:tcPr>
                  <w:tcW w:w="1165" w:type="dxa"/>
                  <w:vAlign w:val="center"/>
                </w:tcPr>
                <w:p>
                  <w:pPr>
                    <w:pStyle w:val="36"/>
                    <w:rPr>
                      <w:color w:val="auto"/>
                    </w:rPr>
                  </w:pPr>
                  <w:r>
                    <w:rPr>
                      <w:rFonts w:hint="eastAsia"/>
                      <w:color w:val="auto"/>
                    </w:rPr>
                    <w:t>900-002-S17</w:t>
                  </w:r>
                </w:p>
              </w:tc>
              <w:tc>
                <w:tcPr>
                  <w:tcW w:w="852" w:type="dxa"/>
                  <w:vAlign w:val="center"/>
                </w:tcPr>
                <w:p>
                  <w:pPr>
                    <w:pStyle w:val="36"/>
                    <w:rPr>
                      <w:color w:val="auto"/>
                    </w:rPr>
                  </w:pPr>
                  <w:r>
                    <w:rPr>
                      <w:rFonts w:hint="eastAsia"/>
                      <w:color w:val="auto"/>
                    </w:rPr>
                    <w:t>90</w:t>
                  </w:r>
                </w:p>
              </w:tc>
              <w:tc>
                <w:tcPr>
                  <w:tcW w:w="809" w:type="dxa"/>
                  <w:vAlign w:val="center"/>
                </w:tcPr>
                <w:p>
                  <w:pPr>
                    <w:pStyle w:val="36"/>
                    <w:rPr>
                      <w:color w:val="auto"/>
                    </w:rPr>
                  </w:pPr>
                  <w:r>
                    <w:rPr>
                      <w:color w:val="auto"/>
                    </w:rPr>
                    <w:t>固体</w:t>
                  </w:r>
                </w:p>
              </w:tc>
              <w:tc>
                <w:tcPr>
                  <w:tcW w:w="729" w:type="dxa"/>
                  <w:vAlign w:val="center"/>
                </w:tcPr>
                <w:p>
                  <w:pPr>
                    <w:pStyle w:val="36"/>
                    <w:rPr>
                      <w:color w:val="auto"/>
                    </w:rPr>
                  </w:pPr>
                  <w:r>
                    <w:rPr>
                      <w:color w:val="auto"/>
                    </w:rPr>
                    <w:t>/</w:t>
                  </w:r>
                </w:p>
              </w:tc>
              <w:tc>
                <w:tcPr>
                  <w:tcW w:w="858" w:type="dxa"/>
                  <w:vMerge w:val="continue"/>
                  <w:vAlign w:val="center"/>
                </w:tcPr>
                <w:p>
                  <w:pPr>
                    <w:pStyle w:val="36"/>
                    <w:rPr>
                      <w:color w:val="auto"/>
                    </w:rPr>
                  </w:pPr>
                </w:p>
              </w:tc>
              <w:tc>
                <w:tcPr>
                  <w:tcW w:w="1387" w:type="dxa"/>
                  <w:vMerge w:val="continue"/>
                  <w:vAlign w:val="center"/>
                </w:tcPr>
                <w:p>
                  <w:pPr>
                    <w:pStyle w:val="36"/>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40" w:type="dxa"/>
                  <w:vAlign w:val="center"/>
                </w:tcPr>
                <w:p>
                  <w:pPr>
                    <w:pStyle w:val="36"/>
                    <w:rPr>
                      <w:color w:val="auto"/>
                    </w:rPr>
                  </w:pPr>
                  <w:r>
                    <w:rPr>
                      <w:rFonts w:hint="eastAsia"/>
                      <w:color w:val="auto"/>
                    </w:rPr>
                    <w:t>9</w:t>
                  </w:r>
                </w:p>
              </w:tc>
              <w:tc>
                <w:tcPr>
                  <w:tcW w:w="1732" w:type="dxa"/>
                  <w:vAlign w:val="center"/>
                </w:tcPr>
                <w:p>
                  <w:pPr>
                    <w:pStyle w:val="36"/>
                    <w:rPr>
                      <w:color w:val="auto"/>
                    </w:rPr>
                  </w:pPr>
                  <w:r>
                    <w:rPr>
                      <w:rFonts w:hint="eastAsia"/>
                      <w:color w:val="auto"/>
                    </w:rPr>
                    <w:t>挤压机、拉丝机等</w:t>
                  </w:r>
                </w:p>
              </w:tc>
              <w:tc>
                <w:tcPr>
                  <w:tcW w:w="1980" w:type="dxa"/>
                  <w:vAlign w:val="center"/>
                </w:tcPr>
                <w:p>
                  <w:pPr>
                    <w:pStyle w:val="36"/>
                    <w:rPr>
                      <w:color w:val="auto"/>
                    </w:rPr>
                  </w:pPr>
                  <w:r>
                    <w:rPr>
                      <w:rFonts w:hint="eastAsia"/>
                      <w:color w:val="auto"/>
                    </w:rPr>
                    <w:t>废模具</w:t>
                  </w:r>
                </w:p>
              </w:tc>
              <w:tc>
                <w:tcPr>
                  <w:tcW w:w="1578" w:type="dxa"/>
                  <w:vAlign w:val="center"/>
                </w:tcPr>
                <w:p>
                  <w:pPr>
                    <w:pStyle w:val="36"/>
                    <w:rPr>
                      <w:color w:val="auto"/>
                    </w:rPr>
                  </w:pPr>
                  <w:r>
                    <w:rPr>
                      <w:rFonts w:hint="eastAsia"/>
                      <w:color w:val="auto"/>
                    </w:rPr>
                    <w:t>金属</w:t>
                  </w:r>
                </w:p>
              </w:tc>
              <w:tc>
                <w:tcPr>
                  <w:tcW w:w="1227" w:type="dxa"/>
                  <w:vMerge w:val="continue"/>
                  <w:vAlign w:val="center"/>
                </w:tcPr>
                <w:p>
                  <w:pPr>
                    <w:pStyle w:val="36"/>
                    <w:rPr>
                      <w:color w:val="auto"/>
                    </w:rPr>
                  </w:pPr>
                </w:p>
              </w:tc>
              <w:tc>
                <w:tcPr>
                  <w:tcW w:w="1178" w:type="dxa"/>
                  <w:vAlign w:val="center"/>
                </w:tcPr>
                <w:p>
                  <w:pPr>
                    <w:pStyle w:val="36"/>
                    <w:rPr>
                      <w:color w:val="auto"/>
                    </w:rPr>
                  </w:pPr>
                  <w:r>
                    <w:rPr>
                      <w:color w:val="auto"/>
                    </w:rPr>
                    <w:t>SW</w:t>
                  </w:r>
                  <w:r>
                    <w:rPr>
                      <w:rFonts w:hint="eastAsia"/>
                      <w:color w:val="auto"/>
                    </w:rPr>
                    <w:t>59</w:t>
                  </w:r>
                </w:p>
              </w:tc>
              <w:tc>
                <w:tcPr>
                  <w:tcW w:w="1165" w:type="dxa"/>
                  <w:vAlign w:val="center"/>
                </w:tcPr>
                <w:p>
                  <w:pPr>
                    <w:pStyle w:val="36"/>
                    <w:rPr>
                      <w:color w:val="auto"/>
                    </w:rPr>
                  </w:pPr>
                  <w:r>
                    <w:rPr>
                      <w:color w:val="auto"/>
                    </w:rPr>
                    <w:t>900-009-S59</w:t>
                  </w:r>
                </w:p>
              </w:tc>
              <w:tc>
                <w:tcPr>
                  <w:tcW w:w="852" w:type="dxa"/>
                  <w:vAlign w:val="center"/>
                </w:tcPr>
                <w:p>
                  <w:pPr>
                    <w:pStyle w:val="36"/>
                    <w:rPr>
                      <w:color w:val="auto"/>
                    </w:rPr>
                  </w:pPr>
                  <w:r>
                    <w:rPr>
                      <w:rFonts w:hint="eastAsia"/>
                      <w:color w:val="auto"/>
                    </w:rPr>
                    <w:t>10.5</w:t>
                  </w:r>
                </w:p>
              </w:tc>
              <w:tc>
                <w:tcPr>
                  <w:tcW w:w="809" w:type="dxa"/>
                  <w:vAlign w:val="center"/>
                </w:tcPr>
                <w:p>
                  <w:pPr>
                    <w:pStyle w:val="36"/>
                    <w:rPr>
                      <w:color w:val="auto"/>
                    </w:rPr>
                  </w:pPr>
                  <w:r>
                    <w:rPr>
                      <w:color w:val="auto"/>
                    </w:rPr>
                    <w:t>固体</w:t>
                  </w:r>
                </w:p>
              </w:tc>
              <w:tc>
                <w:tcPr>
                  <w:tcW w:w="729" w:type="dxa"/>
                  <w:vAlign w:val="center"/>
                </w:tcPr>
                <w:p>
                  <w:pPr>
                    <w:pStyle w:val="36"/>
                    <w:rPr>
                      <w:color w:val="auto"/>
                    </w:rPr>
                  </w:pPr>
                  <w:r>
                    <w:rPr>
                      <w:color w:val="auto"/>
                    </w:rPr>
                    <w:t>/</w:t>
                  </w:r>
                </w:p>
              </w:tc>
              <w:tc>
                <w:tcPr>
                  <w:tcW w:w="858" w:type="dxa"/>
                  <w:vAlign w:val="center"/>
                </w:tcPr>
                <w:p>
                  <w:pPr>
                    <w:pStyle w:val="36"/>
                    <w:rPr>
                      <w:color w:val="auto"/>
                    </w:rPr>
                  </w:pPr>
                  <w:r>
                    <w:rPr>
                      <w:rFonts w:hint="eastAsia"/>
                      <w:color w:val="auto"/>
                    </w:rPr>
                    <w:t>一般</w:t>
                  </w:r>
                </w:p>
                <w:p>
                  <w:pPr>
                    <w:pStyle w:val="36"/>
                    <w:rPr>
                      <w:color w:val="auto"/>
                    </w:rPr>
                  </w:pPr>
                  <w:r>
                    <w:rPr>
                      <w:rFonts w:hint="eastAsia"/>
                      <w:color w:val="auto"/>
                    </w:rPr>
                    <w:t>固废间</w:t>
                  </w:r>
                </w:p>
              </w:tc>
              <w:tc>
                <w:tcPr>
                  <w:tcW w:w="1387" w:type="dxa"/>
                  <w:vAlign w:val="center"/>
                </w:tcPr>
                <w:p>
                  <w:pPr>
                    <w:pStyle w:val="36"/>
                    <w:rPr>
                      <w:color w:val="auto"/>
                    </w:rPr>
                  </w:pPr>
                  <w:r>
                    <w:rPr>
                      <w:color w:val="auto"/>
                    </w:rPr>
                    <w:t>供应商</w:t>
                  </w:r>
                  <w:r>
                    <w:rPr>
                      <w:rFonts w:hint="eastAsia"/>
                      <w:color w:val="auto"/>
                    </w:rPr>
                    <w:t>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40" w:type="dxa"/>
                  <w:vAlign w:val="center"/>
                </w:tcPr>
                <w:p>
                  <w:pPr>
                    <w:pStyle w:val="36"/>
                    <w:rPr>
                      <w:color w:val="auto"/>
                    </w:rPr>
                  </w:pPr>
                  <w:r>
                    <w:rPr>
                      <w:rFonts w:hint="eastAsia"/>
                      <w:color w:val="auto"/>
                    </w:rPr>
                    <w:t>10</w:t>
                  </w:r>
                </w:p>
              </w:tc>
              <w:tc>
                <w:tcPr>
                  <w:tcW w:w="1732" w:type="dxa"/>
                  <w:vAlign w:val="center"/>
                </w:tcPr>
                <w:p>
                  <w:pPr>
                    <w:pStyle w:val="36"/>
                    <w:rPr>
                      <w:color w:val="auto"/>
                    </w:rPr>
                  </w:pPr>
                  <w:r>
                    <w:rPr>
                      <w:color w:val="auto"/>
                    </w:rPr>
                    <w:t>日常办公</w:t>
                  </w:r>
                </w:p>
              </w:tc>
              <w:tc>
                <w:tcPr>
                  <w:tcW w:w="1980" w:type="dxa"/>
                  <w:vAlign w:val="center"/>
                </w:tcPr>
                <w:p>
                  <w:pPr>
                    <w:pStyle w:val="36"/>
                    <w:rPr>
                      <w:color w:val="auto"/>
                    </w:rPr>
                  </w:pPr>
                  <w:r>
                    <w:rPr>
                      <w:color w:val="auto"/>
                    </w:rPr>
                    <w:t>生活垃圾</w:t>
                  </w:r>
                </w:p>
              </w:tc>
              <w:tc>
                <w:tcPr>
                  <w:tcW w:w="1578" w:type="dxa"/>
                  <w:vAlign w:val="center"/>
                </w:tcPr>
                <w:p>
                  <w:pPr>
                    <w:pStyle w:val="36"/>
                    <w:rPr>
                      <w:color w:val="auto"/>
                    </w:rPr>
                  </w:pPr>
                  <w:r>
                    <w:rPr>
                      <w:color w:val="auto"/>
                    </w:rPr>
                    <w:t>/</w:t>
                  </w:r>
                </w:p>
              </w:tc>
              <w:tc>
                <w:tcPr>
                  <w:tcW w:w="1227" w:type="dxa"/>
                  <w:vAlign w:val="center"/>
                </w:tcPr>
                <w:p>
                  <w:pPr>
                    <w:pStyle w:val="36"/>
                    <w:rPr>
                      <w:color w:val="auto"/>
                    </w:rPr>
                  </w:pPr>
                  <w:r>
                    <w:rPr>
                      <w:color w:val="auto"/>
                    </w:rPr>
                    <w:t>生活垃圾</w:t>
                  </w:r>
                </w:p>
              </w:tc>
              <w:tc>
                <w:tcPr>
                  <w:tcW w:w="1178" w:type="dxa"/>
                  <w:vAlign w:val="center"/>
                </w:tcPr>
                <w:p>
                  <w:pPr>
                    <w:pStyle w:val="36"/>
                    <w:rPr>
                      <w:color w:val="auto"/>
                    </w:rPr>
                  </w:pPr>
                  <w:r>
                    <w:rPr>
                      <w:color w:val="auto"/>
                    </w:rPr>
                    <w:t>/</w:t>
                  </w:r>
                </w:p>
              </w:tc>
              <w:tc>
                <w:tcPr>
                  <w:tcW w:w="1165" w:type="dxa"/>
                  <w:vAlign w:val="center"/>
                </w:tcPr>
                <w:p>
                  <w:pPr>
                    <w:pStyle w:val="36"/>
                    <w:rPr>
                      <w:color w:val="auto"/>
                    </w:rPr>
                  </w:pPr>
                  <w:r>
                    <w:rPr>
                      <w:color w:val="auto"/>
                    </w:rPr>
                    <w:t>/</w:t>
                  </w:r>
                </w:p>
              </w:tc>
              <w:tc>
                <w:tcPr>
                  <w:tcW w:w="852" w:type="dxa"/>
                  <w:vAlign w:val="center"/>
                </w:tcPr>
                <w:p>
                  <w:pPr>
                    <w:pStyle w:val="36"/>
                    <w:rPr>
                      <w:color w:val="auto"/>
                    </w:rPr>
                  </w:pPr>
                  <w:r>
                    <w:rPr>
                      <w:rFonts w:hint="eastAsia"/>
                      <w:color w:val="auto"/>
                    </w:rPr>
                    <w:t>5.7</w:t>
                  </w:r>
                </w:p>
              </w:tc>
              <w:tc>
                <w:tcPr>
                  <w:tcW w:w="809" w:type="dxa"/>
                  <w:vAlign w:val="center"/>
                </w:tcPr>
                <w:p>
                  <w:pPr>
                    <w:pStyle w:val="36"/>
                    <w:rPr>
                      <w:color w:val="auto"/>
                    </w:rPr>
                  </w:pPr>
                  <w:r>
                    <w:rPr>
                      <w:color w:val="auto"/>
                    </w:rPr>
                    <w:t>固体</w:t>
                  </w:r>
                </w:p>
              </w:tc>
              <w:tc>
                <w:tcPr>
                  <w:tcW w:w="729" w:type="dxa"/>
                  <w:vAlign w:val="center"/>
                </w:tcPr>
                <w:p>
                  <w:pPr>
                    <w:pStyle w:val="36"/>
                    <w:rPr>
                      <w:color w:val="auto"/>
                    </w:rPr>
                  </w:pPr>
                  <w:r>
                    <w:rPr>
                      <w:color w:val="auto"/>
                    </w:rPr>
                    <w:t>/</w:t>
                  </w:r>
                </w:p>
              </w:tc>
              <w:tc>
                <w:tcPr>
                  <w:tcW w:w="858" w:type="dxa"/>
                  <w:vAlign w:val="center"/>
                </w:tcPr>
                <w:p>
                  <w:pPr>
                    <w:pStyle w:val="36"/>
                    <w:rPr>
                      <w:color w:val="auto"/>
                    </w:rPr>
                  </w:pPr>
                  <w:r>
                    <w:rPr>
                      <w:color w:val="auto"/>
                    </w:rPr>
                    <w:t>垃圾桶</w:t>
                  </w:r>
                </w:p>
              </w:tc>
              <w:tc>
                <w:tcPr>
                  <w:tcW w:w="1387" w:type="dxa"/>
                  <w:vAlign w:val="center"/>
                </w:tcPr>
                <w:p>
                  <w:pPr>
                    <w:pStyle w:val="36"/>
                    <w:rPr>
                      <w:color w:val="auto"/>
                    </w:rPr>
                  </w:pPr>
                  <w:r>
                    <w:rPr>
                      <w:color w:val="auto"/>
                    </w:rPr>
                    <w:t>环卫部门清运</w:t>
                  </w:r>
                </w:p>
              </w:tc>
            </w:tr>
          </w:tbl>
          <w:p>
            <w:pPr>
              <w:ind w:firstLine="482"/>
              <w:jc w:val="center"/>
              <w:rPr>
                <w:b/>
                <w:bCs/>
                <w:color w:val="auto"/>
              </w:rPr>
            </w:pPr>
          </w:p>
          <w:p>
            <w:pPr>
              <w:pStyle w:val="38"/>
              <w:ind w:firstLine="480"/>
              <w:jc w:val="center"/>
              <w:rPr>
                <w:color w:val="auto"/>
              </w:rPr>
            </w:pPr>
          </w:p>
        </w:tc>
      </w:tr>
    </w:tbl>
    <w:p>
      <w:pPr>
        <w:pStyle w:val="59"/>
        <w:rPr>
          <w:rFonts w:cs="Times New Roman"/>
          <w:snapToGrid w:val="0"/>
          <w:color w:val="auto"/>
        </w:rPr>
        <w:sectPr>
          <w:pgSz w:w="16838" w:h="11906" w:orient="landscape"/>
          <w:pgMar w:top="1587" w:right="1304" w:bottom="1304" w:left="1304" w:header="737" w:footer="737" w:gutter="0"/>
          <w:pgBorders>
            <w:top w:val="none" w:sz="0" w:space="0"/>
            <w:left w:val="none" w:sz="0" w:space="0"/>
            <w:bottom w:val="none" w:sz="0" w:space="0"/>
            <w:right w:val="none" w:sz="0" w:space="0"/>
          </w:pgBorders>
          <w:cols w:space="720" w:num="1"/>
          <w:docGrid w:linePitch="312" w:charSpace="0"/>
        </w:sectPr>
      </w:pPr>
    </w:p>
    <w:tbl>
      <w:tblPr>
        <w:tblStyle w:val="2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2"/>
        <w:gridCol w:w="862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3309" w:hRule="atLeast"/>
          <w:jc w:val="center"/>
        </w:trPr>
        <w:tc>
          <w:tcPr>
            <w:tcW w:w="196" w:type="pct"/>
            <w:tcMar>
              <w:left w:w="28" w:type="dxa"/>
              <w:right w:w="28" w:type="dxa"/>
            </w:tcMar>
            <w:vAlign w:val="center"/>
          </w:tcPr>
          <w:p>
            <w:pPr>
              <w:pStyle w:val="36"/>
              <w:rPr>
                <w:rFonts w:cs="Times New Roman"/>
                <w:color w:val="auto"/>
                <w:sz w:val="24"/>
                <w:szCs w:val="24"/>
              </w:rPr>
            </w:pPr>
            <w:r>
              <w:rPr>
                <w:rFonts w:cs="Times New Roman"/>
                <w:color w:val="auto"/>
                <w:sz w:val="24"/>
                <w:szCs w:val="24"/>
              </w:rPr>
              <w:t>运营</w:t>
            </w:r>
          </w:p>
          <w:p>
            <w:pPr>
              <w:pStyle w:val="36"/>
              <w:rPr>
                <w:rFonts w:cs="Times New Roman"/>
                <w:color w:val="auto"/>
                <w:sz w:val="24"/>
                <w:szCs w:val="24"/>
              </w:rPr>
            </w:pPr>
            <w:r>
              <w:rPr>
                <w:rFonts w:cs="Times New Roman"/>
                <w:color w:val="auto"/>
                <w:sz w:val="24"/>
                <w:szCs w:val="24"/>
              </w:rPr>
              <w:t>期环</w:t>
            </w:r>
          </w:p>
          <w:p>
            <w:pPr>
              <w:pStyle w:val="36"/>
              <w:rPr>
                <w:rFonts w:cs="Times New Roman"/>
                <w:color w:val="auto"/>
                <w:sz w:val="24"/>
                <w:szCs w:val="24"/>
              </w:rPr>
            </w:pPr>
            <w:r>
              <w:rPr>
                <w:rFonts w:cs="Times New Roman"/>
                <w:color w:val="auto"/>
                <w:sz w:val="24"/>
                <w:szCs w:val="24"/>
              </w:rPr>
              <w:t>境影</w:t>
            </w:r>
          </w:p>
          <w:p>
            <w:pPr>
              <w:pStyle w:val="36"/>
              <w:rPr>
                <w:rFonts w:cs="Times New Roman"/>
                <w:color w:val="auto"/>
                <w:sz w:val="24"/>
                <w:szCs w:val="24"/>
              </w:rPr>
            </w:pPr>
            <w:r>
              <w:rPr>
                <w:rFonts w:cs="Times New Roman"/>
                <w:color w:val="auto"/>
                <w:sz w:val="24"/>
                <w:szCs w:val="24"/>
              </w:rPr>
              <w:t>响和</w:t>
            </w:r>
          </w:p>
          <w:p>
            <w:pPr>
              <w:pStyle w:val="36"/>
              <w:rPr>
                <w:rFonts w:cs="Times New Roman"/>
                <w:color w:val="auto"/>
                <w:sz w:val="24"/>
                <w:szCs w:val="24"/>
              </w:rPr>
            </w:pPr>
            <w:r>
              <w:rPr>
                <w:rFonts w:cs="Times New Roman"/>
                <w:color w:val="auto"/>
                <w:sz w:val="24"/>
                <w:szCs w:val="24"/>
              </w:rPr>
              <w:t>保护</w:t>
            </w:r>
          </w:p>
          <w:p>
            <w:pPr>
              <w:pStyle w:val="36"/>
              <w:rPr>
                <w:rFonts w:cs="Times New Roman"/>
                <w:color w:val="auto"/>
              </w:rPr>
            </w:pPr>
            <w:r>
              <w:rPr>
                <w:rFonts w:cs="Times New Roman"/>
                <w:color w:val="auto"/>
                <w:sz w:val="24"/>
                <w:szCs w:val="24"/>
              </w:rPr>
              <w:t>措施</w:t>
            </w:r>
          </w:p>
        </w:tc>
        <w:tc>
          <w:tcPr>
            <w:tcW w:w="4804" w:type="pct"/>
          </w:tcPr>
          <w:p>
            <w:pPr>
              <w:pStyle w:val="61"/>
              <w:rPr>
                <w:rFonts w:ascii="Times New Roman" w:hAnsi="Times New Roman" w:cs="Times New Roman"/>
                <w:color w:val="auto"/>
              </w:rPr>
            </w:pPr>
            <w:r>
              <w:rPr>
                <w:rFonts w:ascii="Times New Roman" w:hAnsi="Times New Roman" w:cs="Times New Roman"/>
                <w:color w:val="auto"/>
              </w:rPr>
              <w:t>4.2.4.</w:t>
            </w:r>
            <w:r>
              <w:rPr>
                <w:rFonts w:hint="eastAsia" w:ascii="Times New Roman" w:hAnsi="Times New Roman" w:cs="Times New Roman"/>
                <w:color w:val="auto"/>
              </w:rPr>
              <w:t xml:space="preserve">2 </w:t>
            </w:r>
            <w:r>
              <w:rPr>
                <w:rFonts w:ascii="Times New Roman" w:hAnsi="Times New Roman" w:cs="Times New Roman"/>
                <w:color w:val="auto"/>
              </w:rPr>
              <w:t>固体废物管理要求</w:t>
            </w:r>
          </w:p>
          <w:p>
            <w:pPr>
              <w:pStyle w:val="38"/>
              <w:ind w:firstLine="480"/>
              <w:rPr>
                <w:rFonts w:cs="Times New Roman"/>
                <w:color w:val="auto"/>
              </w:rPr>
            </w:pPr>
            <w:r>
              <w:rPr>
                <w:rFonts w:hint="eastAsia" w:cs="Times New Roman"/>
                <w:color w:val="auto"/>
              </w:rPr>
              <w:t>（1）</w:t>
            </w:r>
            <w:r>
              <w:rPr>
                <w:color w:val="auto"/>
              </w:rPr>
              <w:t>一般工业固体废物</w:t>
            </w:r>
            <w:r>
              <w:rPr>
                <w:rFonts w:hint="eastAsia" w:cs="Times New Roman"/>
                <w:color w:val="auto"/>
              </w:rPr>
              <w:t>贮存及管理要求</w:t>
            </w:r>
          </w:p>
          <w:p>
            <w:pPr>
              <w:ind w:firstLine="480"/>
              <w:rPr>
                <w:rFonts w:hint="eastAsia" w:eastAsia="宋体"/>
                <w:color w:val="auto"/>
                <w:lang w:eastAsia="zh-CN"/>
              </w:rPr>
            </w:pPr>
            <w:r>
              <w:rPr>
                <w:rFonts w:hint="eastAsia"/>
                <w:color w:val="auto"/>
              </w:rPr>
              <w:t>项目在1#厂房、3#厂房分别设置1个一般工业固体废物暂存间（每个25m</w:t>
            </w:r>
            <w:r>
              <w:rPr>
                <w:rFonts w:hint="eastAsia"/>
                <w:color w:val="auto"/>
                <w:vertAlign w:val="superscript"/>
              </w:rPr>
              <w:t>2</w:t>
            </w:r>
            <w:r>
              <w:rPr>
                <w:rFonts w:hint="eastAsia"/>
                <w:color w:val="auto"/>
              </w:rPr>
              <w:t>，共占地50m</w:t>
            </w:r>
            <w:r>
              <w:rPr>
                <w:rFonts w:hint="eastAsia"/>
                <w:color w:val="auto"/>
                <w:vertAlign w:val="superscript"/>
              </w:rPr>
              <w:t>2</w:t>
            </w:r>
            <w:r>
              <w:rPr>
                <w:rFonts w:hint="eastAsia"/>
                <w:color w:val="auto"/>
              </w:rPr>
              <w:t>）暂存一般固废</w:t>
            </w:r>
            <w:r>
              <w:rPr>
                <w:rFonts w:hint="eastAsia"/>
                <w:color w:val="auto"/>
                <w:lang w:eastAsia="zh-CN"/>
              </w:rPr>
              <w:t>。</w:t>
            </w:r>
          </w:p>
          <w:p>
            <w:pPr>
              <w:tabs>
                <w:tab w:val="left" w:pos="1980"/>
                <w:tab w:val="left" w:pos="3825"/>
                <w:tab w:val="left" w:pos="4680"/>
              </w:tabs>
              <w:ind w:firstLine="480"/>
              <w:rPr>
                <w:color w:val="auto"/>
              </w:rPr>
            </w:pPr>
            <w:r>
              <w:rPr>
                <w:color w:val="auto"/>
              </w:rPr>
              <w:t>根据国家《一般工业固体废物贮存、处置场污染控制标准》（GB</w:t>
            </w:r>
            <w:r>
              <w:rPr>
                <w:rFonts w:hint="eastAsia"/>
                <w:color w:val="auto"/>
              </w:rPr>
              <w:t xml:space="preserve"> </w:t>
            </w:r>
            <w:r>
              <w:rPr>
                <w:color w:val="auto"/>
              </w:rPr>
              <w:t>18599-2020）一般工业固体废物的贮存和管理应做到</w:t>
            </w:r>
            <w:r>
              <w:rPr>
                <w:rFonts w:hint="eastAsia"/>
                <w:color w:val="auto"/>
              </w:rPr>
              <w:t>：</w:t>
            </w:r>
          </w:p>
          <w:p>
            <w:pPr>
              <w:tabs>
                <w:tab w:val="left" w:pos="1980"/>
                <w:tab w:val="left" w:pos="3825"/>
                <w:tab w:val="left" w:pos="4680"/>
              </w:tabs>
              <w:ind w:firstLine="480"/>
              <w:rPr>
                <w:color w:val="auto"/>
              </w:rPr>
            </w:pPr>
            <w:r>
              <w:rPr>
                <w:rFonts w:hint="eastAsia" w:ascii="宋体" w:hAnsi="宋体"/>
                <w:color w:val="auto"/>
              </w:rPr>
              <w:t>①</w:t>
            </w:r>
            <w:r>
              <w:rPr>
                <w:color w:val="auto"/>
              </w:rPr>
              <w:t>一般工业固体废物应按Ⅰ类和Ⅱ类废物分别储存，建立分类收集房。不允许将危险废物和生活垃圾混入。</w:t>
            </w:r>
          </w:p>
          <w:p>
            <w:pPr>
              <w:tabs>
                <w:tab w:val="left" w:pos="1980"/>
                <w:tab w:val="left" w:pos="3825"/>
                <w:tab w:val="left" w:pos="4680"/>
              </w:tabs>
              <w:ind w:firstLine="480"/>
              <w:rPr>
                <w:color w:val="auto"/>
              </w:rPr>
            </w:pPr>
            <w:r>
              <w:rPr>
                <w:rFonts w:hint="eastAsia" w:ascii="宋体" w:hAnsi="宋体"/>
                <w:color w:val="auto"/>
              </w:rPr>
              <w:t>②</w:t>
            </w:r>
            <w:r>
              <w:rPr>
                <w:color w:val="auto"/>
              </w:rPr>
              <w:t>尽量将可利用的一般工业固体废物回收、利用。</w:t>
            </w:r>
          </w:p>
          <w:p>
            <w:pPr>
              <w:tabs>
                <w:tab w:val="left" w:pos="1980"/>
                <w:tab w:val="left" w:pos="3825"/>
                <w:tab w:val="left" w:pos="4680"/>
              </w:tabs>
              <w:ind w:firstLine="480"/>
              <w:rPr>
                <w:color w:val="auto"/>
              </w:rPr>
            </w:pPr>
            <w:r>
              <w:rPr>
                <w:rFonts w:hint="eastAsia" w:ascii="宋体" w:hAnsi="宋体"/>
                <w:color w:val="auto"/>
              </w:rPr>
              <w:t>③</w:t>
            </w:r>
            <w:r>
              <w:rPr>
                <w:color w:val="auto"/>
              </w:rPr>
              <w:t>临时储存地点必须建有雨棚，不允许露天堆放，以防止雨水冲刷，雨水应通过场地四周导流渠流向雨水排放管；临时堆放场地为水泥铺设地面，以防渗漏。</w:t>
            </w:r>
          </w:p>
          <w:p>
            <w:pPr>
              <w:tabs>
                <w:tab w:val="left" w:pos="1980"/>
                <w:tab w:val="left" w:pos="3825"/>
                <w:tab w:val="left" w:pos="4680"/>
              </w:tabs>
              <w:ind w:firstLine="480"/>
              <w:rPr>
                <w:b/>
                <w:color w:val="auto"/>
              </w:rPr>
            </w:pPr>
            <w:r>
              <w:rPr>
                <w:rFonts w:hint="eastAsia" w:ascii="宋体" w:hAnsi="宋体"/>
                <w:color w:val="auto"/>
              </w:rPr>
              <w:t>④</w:t>
            </w:r>
            <w:r>
              <w:rPr>
                <w:color w:val="auto"/>
              </w:rPr>
              <w:t>为加强管理监督，贮存、处置场所地应按《环境保护图形标志－固体废物贮存（处置）场所》（GB</w:t>
            </w:r>
            <w:r>
              <w:rPr>
                <w:rFonts w:hint="eastAsia"/>
                <w:color w:val="auto"/>
              </w:rPr>
              <w:t xml:space="preserve"> </w:t>
            </w:r>
            <w:r>
              <w:rPr>
                <w:color w:val="auto"/>
              </w:rPr>
              <w:t>15562.2-1995）（含2023修改单）设置环境保护图形标志。</w:t>
            </w:r>
          </w:p>
          <w:p>
            <w:pPr>
              <w:pStyle w:val="38"/>
              <w:ind w:firstLine="480"/>
              <w:rPr>
                <w:rFonts w:cs="Times New Roman"/>
                <w:color w:val="auto"/>
              </w:rPr>
            </w:pPr>
            <w:r>
              <w:rPr>
                <w:rFonts w:hint="eastAsia" w:cs="Times New Roman"/>
                <w:color w:val="auto"/>
              </w:rPr>
              <w:t>（2）危险废物的贮存及管理要求</w:t>
            </w:r>
          </w:p>
          <w:p>
            <w:pPr>
              <w:pStyle w:val="38"/>
              <w:ind w:firstLine="480"/>
              <w:rPr>
                <w:color w:val="auto"/>
              </w:rPr>
            </w:pPr>
            <w:r>
              <w:rPr>
                <w:rFonts w:hint="eastAsia"/>
                <w:color w:val="auto"/>
              </w:rPr>
              <w:t>项目在1#厂房、3#厂房分别设置1个危废贮存库（每个25m</w:t>
            </w:r>
            <w:r>
              <w:rPr>
                <w:rFonts w:hint="eastAsia"/>
                <w:color w:val="auto"/>
                <w:vertAlign w:val="superscript"/>
              </w:rPr>
              <w:t>2</w:t>
            </w:r>
            <w:r>
              <w:rPr>
                <w:rFonts w:hint="eastAsia"/>
                <w:color w:val="auto"/>
              </w:rPr>
              <w:t>，共占地50m</w:t>
            </w:r>
            <w:r>
              <w:rPr>
                <w:rFonts w:hint="eastAsia"/>
                <w:color w:val="auto"/>
                <w:vertAlign w:val="superscript"/>
              </w:rPr>
              <w:t>2</w:t>
            </w:r>
            <w:r>
              <w:rPr>
                <w:rFonts w:hint="eastAsia"/>
                <w:color w:val="auto"/>
              </w:rPr>
              <w:t>）暂存危险废物，定期委托有资质的单位集中处置。危废贮存库</w:t>
            </w:r>
            <w:r>
              <w:rPr>
                <w:color w:val="auto"/>
              </w:rPr>
              <w:t>地面按照《危险废物贮存污染控制标准》（GB</w:t>
            </w:r>
            <w:r>
              <w:rPr>
                <w:rFonts w:hint="eastAsia"/>
                <w:color w:val="auto"/>
              </w:rPr>
              <w:t xml:space="preserve"> </w:t>
            </w:r>
            <w:r>
              <w:rPr>
                <w:color w:val="auto"/>
              </w:rPr>
              <w:t>18597-2023）要求进行防渗防腐处理，并按照《危险废物识别标志设置技术规范》（HJ</w:t>
            </w:r>
            <w:r>
              <w:rPr>
                <w:rFonts w:hint="eastAsia"/>
                <w:color w:val="auto"/>
              </w:rPr>
              <w:t xml:space="preserve"> </w:t>
            </w:r>
            <w:r>
              <w:rPr>
                <w:color w:val="auto"/>
              </w:rPr>
              <w:t>1276</w:t>
            </w:r>
            <w:r>
              <w:rPr>
                <w:rFonts w:hint="eastAsia"/>
                <w:color w:val="auto"/>
              </w:rPr>
              <w:t>-</w:t>
            </w:r>
            <w:r>
              <w:rPr>
                <w:color w:val="auto"/>
              </w:rPr>
              <w:t>2022）规定设置危险废物的标识。</w:t>
            </w:r>
          </w:p>
          <w:p>
            <w:pPr>
              <w:pStyle w:val="37"/>
              <w:spacing w:line="360" w:lineRule="auto"/>
              <w:rPr>
                <w:color w:val="auto"/>
              </w:rPr>
            </w:pPr>
            <w:r>
              <w:rPr>
                <w:color w:val="auto"/>
              </w:rPr>
              <w:t>表4</w:t>
            </w:r>
            <w:r>
              <w:rPr>
                <w:rFonts w:hint="eastAsia"/>
                <w:color w:val="auto"/>
                <w:lang w:val="en-US"/>
              </w:rPr>
              <w:t>.2-1</w:t>
            </w:r>
            <w:r>
              <w:rPr>
                <w:rFonts w:hint="eastAsia"/>
                <w:color w:val="auto"/>
                <w:lang w:val="en-US" w:eastAsia="zh-CN"/>
              </w:rPr>
              <w:t>5</w:t>
            </w:r>
            <w:r>
              <w:rPr>
                <w:color w:val="auto"/>
              </w:rPr>
              <w:t xml:space="preserve">  危险废物贮存场所基本情况一览表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1"/>
              <w:gridCol w:w="1495"/>
              <w:gridCol w:w="882"/>
              <w:gridCol w:w="1014"/>
              <w:gridCol w:w="890"/>
              <w:gridCol w:w="927"/>
              <w:gridCol w:w="847"/>
              <w:gridCol w:w="859"/>
              <w:gridCol w:w="8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dxa"/>
                  <w:tcBorders>
                    <w:tl2br w:val="nil"/>
                    <w:tr2bl w:val="nil"/>
                  </w:tcBorders>
                  <w:vAlign w:val="center"/>
                </w:tcPr>
                <w:p>
                  <w:pPr>
                    <w:pStyle w:val="36"/>
                    <w:rPr>
                      <w:color w:val="auto"/>
                    </w:rPr>
                  </w:pPr>
                  <w:r>
                    <w:rPr>
                      <w:rFonts w:hint="eastAsia"/>
                      <w:color w:val="auto"/>
                    </w:rPr>
                    <w:t>序号</w:t>
                  </w:r>
                </w:p>
              </w:tc>
              <w:tc>
                <w:tcPr>
                  <w:tcW w:w="1495" w:type="dxa"/>
                  <w:tcBorders>
                    <w:tl2br w:val="nil"/>
                    <w:tr2bl w:val="nil"/>
                  </w:tcBorders>
                  <w:vAlign w:val="center"/>
                </w:tcPr>
                <w:p>
                  <w:pPr>
                    <w:pStyle w:val="36"/>
                    <w:rPr>
                      <w:color w:val="auto"/>
                    </w:rPr>
                  </w:pPr>
                  <w:r>
                    <w:rPr>
                      <w:color w:val="auto"/>
                    </w:rPr>
                    <w:t>名称</w:t>
                  </w:r>
                </w:p>
              </w:tc>
              <w:tc>
                <w:tcPr>
                  <w:tcW w:w="882" w:type="dxa"/>
                  <w:tcBorders>
                    <w:tl2br w:val="nil"/>
                    <w:tr2bl w:val="nil"/>
                  </w:tcBorders>
                  <w:vAlign w:val="center"/>
                </w:tcPr>
                <w:p>
                  <w:pPr>
                    <w:pStyle w:val="36"/>
                    <w:rPr>
                      <w:color w:val="auto"/>
                    </w:rPr>
                  </w:pPr>
                  <w:r>
                    <w:rPr>
                      <w:color w:val="auto"/>
                    </w:rPr>
                    <w:t>产生量</w:t>
                  </w:r>
                </w:p>
                <w:p>
                  <w:pPr>
                    <w:pStyle w:val="36"/>
                    <w:rPr>
                      <w:color w:val="auto"/>
                    </w:rPr>
                  </w:pPr>
                  <w:r>
                    <w:rPr>
                      <w:color w:val="auto"/>
                    </w:rPr>
                    <w:t>(t/a)</w:t>
                  </w:r>
                </w:p>
              </w:tc>
              <w:tc>
                <w:tcPr>
                  <w:tcW w:w="1014" w:type="dxa"/>
                  <w:tcBorders>
                    <w:tl2br w:val="nil"/>
                    <w:tr2bl w:val="nil"/>
                  </w:tcBorders>
                  <w:vAlign w:val="center"/>
                </w:tcPr>
                <w:p>
                  <w:pPr>
                    <w:pStyle w:val="36"/>
                    <w:rPr>
                      <w:color w:val="auto"/>
                    </w:rPr>
                  </w:pPr>
                  <w:r>
                    <w:rPr>
                      <w:color w:val="auto"/>
                    </w:rPr>
                    <w:t>产废</w:t>
                  </w:r>
                </w:p>
                <w:p>
                  <w:pPr>
                    <w:pStyle w:val="36"/>
                    <w:rPr>
                      <w:color w:val="auto"/>
                    </w:rPr>
                  </w:pPr>
                  <w:r>
                    <w:rPr>
                      <w:color w:val="auto"/>
                    </w:rPr>
                    <w:t>周期</w:t>
                  </w:r>
                </w:p>
              </w:tc>
              <w:tc>
                <w:tcPr>
                  <w:tcW w:w="890" w:type="dxa"/>
                  <w:tcBorders>
                    <w:tl2br w:val="nil"/>
                    <w:tr2bl w:val="nil"/>
                  </w:tcBorders>
                  <w:vAlign w:val="center"/>
                </w:tcPr>
                <w:p>
                  <w:pPr>
                    <w:pStyle w:val="36"/>
                    <w:rPr>
                      <w:color w:val="auto"/>
                    </w:rPr>
                  </w:pPr>
                  <w:r>
                    <w:rPr>
                      <w:color w:val="auto"/>
                    </w:rPr>
                    <w:t>储存</w:t>
                  </w:r>
                </w:p>
                <w:p>
                  <w:pPr>
                    <w:pStyle w:val="36"/>
                    <w:rPr>
                      <w:color w:val="auto"/>
                    </w:rPr>
                  </w:pPr>
                  <w:r>
                    <w:rPr>
                      <w:color w:val="auto"/>
                    </w:rPr>
                    <w:t>周期</w:t>
                  </w:r>
                </w:p>
              </w:tc>
              <w:tc>
                <w:tcPr>
                  <w:tcW w:w="927" w:type="dxa"/>
                  <w:tcBorders>
                    <w:tl2br w:val="nil"/>
                    <w:tr2bl w:val="nil"/>
                  </w:tcBorders>
                  <w:vAlign w:val="center"/>
                </w:tcPr>
                <w:p>
                  <w:pPr>
                    <w:pStyle w:val="36"/>
                    <w:rPr>
                      <w:color w:val="auto"/>
                    </w:rPr>
                  </w:pPr>
                  <w:r>
                    <w:rPr>
                      <w:color w:val="auto"/>
                    </w:rPr>
                    <w:t>贮存</w:t>
                  </w:r>
                </w:p>
                <w:p>
                  <w:pPr>
                    <w:pStyle w:val="36"/>
                    <w:rPr>
                      <w:color w:val="auto"/>
                    </w:rPr>
                  </w:pPr>
                  <w:r>
                    <w:rPr>
                      <w:color w:val="auto"/>
                    </w:rPr>
                    <w:t>方式</w:t>
                  </w:r>
                </w:p>
              </w:tc>
              <w:tc>
                <w:tcPr>
                  <w:tcW w:w="847" w:type="dxa"/>
                  <w:tcBorders>
                    <w:tl2br w:val="nil"/>
                    <w:tr2bl w:val="nil"/>
                  </w:tcBorders>
                  <w:vAlign w:val="center"/>
                </w:tcPr>
                <w:p>
                  <w:pPr>
                    <w:pStyle w:val="36"/>
                    <w:rPr>
                      <w:color w:val="auto"/>
                    </w:rPr>
                  </w:pPr>
                  <w:r>
                    <w:rPr>
                      <w:color w:val="auto"/>
                    </w:rPr>
                    <w:t>位置</w:t>
                  </w:r>
                </w:p>
              </w:tc>
              <w:tc>
                <w:tcPr>
                  <w:tcW w:w="859" w:type="dxa"/>
                  <w:tcBorders>
                    <w:tl2br w:val="nil"/>
                    <w:tr2bl w:val="nil"/>
                  </w:tcBorders>
                  <w:vAlign w:val="center"/>
                </w:tcPr>
                <w:p>
                  <w:pPr>
                    <w:pStyle w:val="36"/>
                    <w:rPr>
                      <w:color w:val="auto"/>
                    </w:rPr>
                  </w:pPr>
                  <w:r>
                    <w:rPr>
                      <w:color w:val="auto"/>
                    </w:rPr>
                    <w:t>面积</w:t>
                  </w:r>
                </w:p>
              </w:tc>
              <w:tc>
                <w:tcPr>
                  <w:tcW w:w="827" w:type="dxa"/>
                  <w:tcBorders>
                    <w:tl2br w:val="nil"/>
                    <w:tr2bl w:val="nil"/>
                  </w:tcBorders>
                  <w:vAlign w:val="center"/>
                </w:tcPr>
                <w:p>
                  <w:pPr>
                    <w:pStyle w:val="36"/>
                    <w:rPr>
                      <w:color w:val="auto"/>
                    </w:rPr>
                  </w:pPr>
                  <w:r>
                    <w:rPr>
                      <w:color w:val="auto"/>
                    </w:rPr>
                    <w:t>贮存</w:t>
                  </w:r>
                </w:p>
                <w:p>
                  <w:pPr>
                    <w:pStyle w:val="36"/>
                    <w:rPr>
                      <w:color w:val="auto"/>
                    </w:rPr>
                  </w:pPr>
                  <w:r>
                    <w:rPr>
                      <w:color w:val="auto"/>
                    </w:rPr>
                    <w:t>能力</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dxa"/>
                  <w:tcBorders>
                    <w:tl2br w:val="nil"/>
                    <w:tr2bl w:val="nil"/>
                  </w:tcBorders>
                  <w:vAlign w:val="center"/>
                </w:tcPr>
                <w:p>
                  <w:pPr>
                    <w:pStyle w:val="36"/>
                    <w:rPr>
                      <w:color w:val="auto"/>
                    </w:rPr>
                  </w:pPr>
                  <w:r>
                    <w:rPr>
                      <w:rFonts w:hint="eastAsia"/>
                      <w:color w:val="auto"/>
                    </w:rPr>
                    <w:t>1</w:t>
                  </w:r>
                </w:p>
              </w:tc>
              <w:tc>
                <w:tcPr>
                  <w:tcW w:w="1495" w:type="dxa"/>
                  <w:tcBorders>
                    <w:tl2br w:val="nil"/>
                    <w:tr2bl w:val="nil"/>
                  </w:tcBorders>
                  <w:vAlign w:val="center"/>
                </w:tcPr>
                <w:p>
                  <w:pPr>
                    <w:pStyle w:val="36"/>
                    <w:rPr>
                      <w:color w:val="auto"/>
                    </w:rPr>
                  </w:pPr>
                  <w:r>
                    <w:rPr>
                      <w:color w:val="auto"/>
                    </w:rPr>
                    <w:t>沾有拉丝液的铜泥</w:t>
                  </w:r>
                </w:p>
              </w:tc>
              <w:tc>
                <w:tcPr>
                  <w:tcW w:w="882" w:type="dxa"/>
                  <w:tcBorders>
                    <w:tl2br w:val="nil"/>
                    <w:tr2bl w:val="nil"/>
                  </w:tcBorders>
                  <w:vAlign w:val="center"/>
                </w:tcPr>
                <w:p>
                  <w:pPr>
                    <w:pStyle w:val="36"/>
                    <w:rPr>
                      <w:color w:val="auto"/>
                    </w:rPr>
                  </w:pPr>
                  <w:r>
                    <w:rPr>
                      <w:rFonts w:hint="eastAsia"/>
                      <w:color w:val="auto"/>
                    </w:rPr>
                    <w:t>1.0</w:t>
                  </w:r>
                </w:p>
              </w:tc>
              <w:tc>
                <w:tcPr>
                  <w:tcW w:w="1014" w:type="dxa"/>
                  <w:tcBorders>
                    <w:tl2br w:val="nil"/>
                    <w:tr2bl w:val="nil"/>
                  </w:tcBorders>
                  <w:vAlign w:val="center"/>
                </w:tcPr>
                <w:p>
                  <w:pPr>
                    <w:pStyle w:val="36"/>
                    <w:rPr>
                      <w:color w:val="auto"/>
                    </w:rPr>
                  </w:pPr>
                  <w:r>
                    <w:rPr>
                      <w:rFonts w:hint="eastAsia"/>
                      <w:color w:val="auto"/>
                    </w:rPr>
                    <w:t>每月</w:t>
                  </w:r>
                </w:p>
              </w:tc>
              <w:tc>
                <w:tcPr>
                  <w:tcW w:w="890" w:type="dxa"/>
                  <w:vMerge w:val="restart"/>
                  <w:tcBorders>
                    <w:tl2br w:val="nil"/>
                    <w:tr2bl w:val="nil"/>
                  </w:tcBorders>
                  <w:vAlign w:val="center"/>
                </w:tcPr>
                <w:p>
                  <w:pPr>
                    <w:pStyle w:val="36"/>
                    <w:rPr>
                      <w:color w:val="auto"/>
                    </w:rPr>
                  </w:pPr>
                  <w:r>
                    <w:rPr>
                      <w:rFonts w:hint="eastAsia"/>
                      <w:color w:val="auto"/>
                    </w:rPr>
                    <w:t>1年</w:t>
                  </w:r>
                </w:p>
              </w:tc>
              <w:tc>
                <w:tcPr>
                  <w:tcW w:w="927" w:type="dxa"/>
                  <w:tcBorders>
                    <w:tl2br w:val="nil"/>
                    <w:tr2bl w:val="nil"/>
                  </w:tcBorders>
                  <w:vAlign w:val="center"/>
                </w:tcPr>
                <w:p>
                  <w:pPr>
                    <w:pStyle w:val="36"/>
                    <w:rPr>
                      <w:color w:val="auto"/>
                    </w:rPr>
                  </w:pPr>
                  <w:r>
                    <w:rPr>
                      <w:color w:val="auto"/>
                    </w:rPr>
                    <w:t>桶装</w:t>
                  </w:r>
                </w:p>
              </w:tc>
              <w:tc>
                <w:tcPr>
                  <w:tcW w:w="847" w:type="dxa"/>
                  <w:vMerge w:val="restart"/>
                  <w:tcBorders>
                    <w:tl2br w:val="nil"/>
                    <w:tr2bl w:val="nil"/>
                  </w:tcBorders>
                  <w:vAlign w:val="center"/>
                </w:tcPr>
                <w:p>
                  <w:pPr>
                    <w:pStyle w:val="36"/>
                    <w:rPr>
                      <w:color w:val="auto"/>
                    </w:rPr>
                  </w:pPr>
                  <w:r>
                    <w:rPr>
                      <w:rFonts w:hint="eastAsia"/>
                      <w:color w:val="auto"/>
                    </w:rPr>
                    <w:t>1#、3#厂房内危废库</w:t>
                  </w:r>
                </w:p>
              </w:tc>
              <w:tc>
                <w:tcPr>
                  <w:tcW w:w="859" w:type="dxa"/>
                  <w:vMerge w:val="restart"/>
                  <w:tcBorders>
                    <w:tl2br w:val="nil"/>
                    <w:tr2bl w:val="nil"/>
                  </w:tcBorders>
                  <w:vAlign w:val="center"/>
                </w:tcPr>
                <w:p>
                  <w:pPr>
                    <w:pStyle w:val="36"/>
                    <w:rPr>
                      <w:color w:val="auto"/>
                    </w:rPr>
                  </w:pPr>
                  <w:r>
                    <w:rPr>
                      <w:rFonts w:hint="eastAsia"/>
                      <w:color w:val="auto"/>
                    </w:rPr>
                    <w:t>50</w:t>
                  </w:r>
                  <w:r>
                    <w:rPr>
                      <w:color w:val="auto"/>
                    </w:rPr>
                    <w:t>m</w:t>
                  </w:r>
                  <w:r>
                    <w:rPr>
                      <w:color w:val="auto"/>
                      <w:vertAlign w:val="superscript"/>
                    </w:rPr>
                    <w:t>2</w:t>
                  </w:r>
                </w:p>
              </w:tc>
              <w:tc>
                <w:tcPr>
                  <w:tcW w:w="827" w:type="dxa"/>
                  <w:vMerge w:val="restart"/>
                  <w:tcBorders>
                    <w:tl2br w:val="nil"/>
                    <w:tr2bl w:val="nil"/>
                  </w:tcBorders>
                  <w:vAlign w:val="center"/>
                </w:tcPr>
                <w:p>
                  <w:pPr>
                    <w:pStyle w:val="36"/>
                    <w:rPr>
                      <w:color w:val="auto"/>
                    </w:rPr>
                  </w:pPr>
                  <w:r>
                    <w:rPr>
                      <w:rFonts w:hint="eastAsia"/>
                      <w:color w:val="auto"/>
                    </w:rPr>
                    <w:t>100</w:t>
                  </w:r>
                  <w:r>
                    <w:rPr>
                      <w:color w:val="auto"/>
                    </w:rPr>
                    <w:t>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dxa"/>
                  <w:tcBorders>
                    <w:tl2br w:val="nil"/>
                    <w:tr2bl w:val="nil"/>
                  </w:tcBorders>
                  <w:vAlign w:val="center"/>
                </w:tcPr>
                <w:p>
                  <w:pPr>
                    <w:pStyle w:val="36"/>
                    <w:rPr>
                      <w:color w:val="auto"/>
                    </w:rPr>
                  </w:pPr>
                  <w:r>
                    <w:rPr>
                      <w:rFonts w:hint="eastAsia"/>
                      <w:color w:val="auto"/>
                    </w:rPr>
                    <w:t>2</w:t>
                  </w:r>
                </w:p>
              </w:tc>
              <w:tc>
                <w:tcPr>
                  <w:tcW w:w="1495" w:type="dxa"/>
                  <w:tcBorders>
                    <w:tl2br w:val="nil"/>
                    <w:tr2bl w:val="nil"/>
                  </w:tcBorders>
                  <w:vAlign w:val="center"/>
                </w:tcPr>
                <w:p>
                  <w:pPr>
                    <w:pStyle w:val="36"/>
                    <w:rPr>
                      <w:color w:val="auto"/>
                    </w:rPr>
                  </w:pPr>
                  <w:r>
                    <w:rPr>
                      <w:rFonts w:hint="eastAsia"/>
                      <w:color w:val="auto"/>
                    </w:rPr>
                    <w:t>废毛毡</w:t>
                  </w:r>
                </w:p>
                <w:p>
                  <w:pPr>
                    <w:pStyle w:val="36"/>
                    <w:rPr>
                      <w:color w:val="auto"/>
                    </w:rPr>
                  </w:pPr>
                  <w:r>
                    <w:rPr>
                      <w:rFonts w:hint="eastAsia"/>
                      <w:color w:val="auto"/>
                    </w:rPr>
                    <w:t>（含拉丝液）</w:t>
                  </w:r>
                </w:p>
              </w:tc>
              <w:tc>
                <w:tcPr>
                  <w:tcW w:w="882" w:type="dxa"/>
                  <w:tcBorders>
                    <w:tl2br w:val="nil"/>
                    <w:tr2bl w:val="nil"/>
                  </w:tcBorders>
                  <w:vAlign w:val="center"/>
                </w:tcPr>
                <w:p>
                  <w:pPr>
                    <w:pStyle w:val="36"/>
                    <w:rPr>
                      <w:color w:val="auto"/>
                    </w:rPr>
                  </w:pPr>
                  <w:r>
                    <w:rPr>
                      <w:rFonts w:hint="eastAsia"/>
                      <w:color w:val="auto"/>
                    </w:rPr>
                    <w:t>9.0</w:t>
                  </w:r>
                </w:p>
              </w:tc>
              <w:tc>
                <w:tcPr>
                  <w:tcW w:w="1014" w:type="dxa"/>
                  <w:tcBorders>
                    <w:tl2br w:val="nil"/>
                    <w:tr2bl w:val="nil"/>
                  </w:tcBorders>
                  <w:vAlign w:val="center"/>
                </w:tcPr>
                <w:p>
                  <w:pPr>
                    <w:pStyle w:val="36"/>
                    <w:rPr>
                      <w:color w:val="auto"/>
                    </w:rPr>
                  </w:pPr>
                  <w:r>
                    <w:rPr>
                      <w:rFonts w:hint="eastAsia"/>
                      <w:color w:val="auto"/>
                    </w:rPr>
                    <w:t>每天</w:t>
                  </w:r>
                </w:p>
              </w:tc>
              <w:tc>
                <w:tcPr>
                  <w:tcW w:w="890" w:type="dxa"/>
                  <w:vMerge w:val="continue"/>
                  <w:tcBorders>
                    <w:tl2br w:val="nil"/>
                    <w:tr2bl w:val="nil"/>
                  </w:tcBorders>
                  <w:vAlign w:val="center"/>
                </w:tcPr>
                <w:p>
                  <w:pPr>
                    <w:pStyle w:val="36"/>
                    <w:rPr>
                      <w:color w:val="auto"/>
                    </w:rPr>
                  </w:pPr>
                </w:p>
              </w:tc>
              <w:tc>
                <w:tcPr>
                  <w:tcW w:w="927" w:type="dxa"/>
                  <w:tcBorders>
                    <w:tl2br w:val="nil"/>
                    <w:tr2bl w:val="nil"/>
                  </w:tcBorders>
                  <w:vAlign w:val="center"/>
                </w:tcPr>
                <w:p>
                  <w:pPr>
                    <w:pStyle w:val="36"/>
                    <w:rPr>
                      <w:color w:val="auto"/>
                    </w:rPr>
                  </w:pPr>
                  <w:r>
                    <w:rPr>
                      <w:color w:val="auto"/>
                    </w:rPr>
                    <w:t>桶装</w:t>
                  </w:r>
                </w:p>
              </w:tc>
              <w:tc>
                <w:tcPr>
                  <w:tcW w:w="847" w:type="dxa"/>
                  <w:vMerge w:val="continue"/>
                  <w:tcBorders>
                    <w:tl2br w:val="nil"/>
                    <w:tr2bl w:val="nil"/>
                  </w:tcBorders>
                  <w:vAlign w:val="center"/>
                </w:tcPr>
                <w:p>
                  <w:pPr>
                    <w:pStyle w:val="36"/>
                    <w:rPr>
                      <w:color w:val="auto"/>
                    </w:rPr>
                  </w:pPr>
                </w:p>
              </w:tc>
              <w:tc>
                <w:tcPr>
                  <w:tcW w:w="859" w:type="dxa"/>
                  <w:vMerge w:val="continue"/>
                  <w:tcBorders>
                    <w:tl2br w:val="nil"/>
                    <w:tr2bl w:val="nil"/>
                  </w:tcBorders>
                  <w:vAlign w:val="center"/>
                </w:tcPr>
                <w:p>
                  <w:pPr>
                    <w:pStyle w:val="36"/>
                    <w:rPr>
                      <w:color w:val="auto"/>
                    </w:rPr>
                  </w:pPr>
                </w:p>
              </w:tc>
              <w:tc>
                <w:tcPr>
                  <w:tcW w:w="827" w:type="dxa"/>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dxa"/>
                  <w:tcBorders>
                    <w:tl2br w:val="nil"/>
                    <w:tr2bl w:val="nil"/>
                  </w:tcBorders>
                  <w:vAlign w:val="center"/>
                </w:tcPr>
                <w:p>
                  <w:pPr>
                    <w:pStyle w:val="36"/>
                    <w:rPr>
                      <w:color w:val="auto"/>
                    </w:rPr>
                  </w:pPr>
                  <w:r>
                    <w:rPr>
                      <w:rFonts w:hint="eastAsia"/>
                      <w:color w:val="auto"/>
                    </w:rPr>
                    <w:t>3</w:t>
                  </w:r>
                </w:p>
              </w:tc>
              <w:tc>
                <w:tcPr>
                  <w:tcW w:w="1495" w:type="dxa"/>
                  <w:tcBorders>
                    <w:tl2br w:val="nil"/>
                    <w:tr2bl w:val="nil"/>
                  </w:tcBorders>
                  <w:vAlign w:val="center"/>
                </w:tcPr>
                <w:p>
                  <w:pPr>
                    <w:pStyle w:val="36"/>
                    <w:rPr>
                      <w:color w:val="auto"/>
                    </w:rPr>
                  </w:pPr>
                  <w:r>
                    <w:rPr>
                      <w:rFonts w:hint="eastAsia"/>
                      <w:color w:val="auto"/>
                    </w:rPr>
                    <w:t>废液压油</w:t>
                  </w:r>
                </w:p>
              </w:tc>
              <w:tc>
                <w:tcPr>
                  <w:tcW w:w="882" w:type="dxa"/>
                  <w:tcBorders>
                    <w:tl2br w:val="nil"/>
                    <w:tr2bl w:val="nil"/>
                  </w:tcBorders>
                  <w:vAlign w:val="center"/>
                </w:tcPr>
                <w:p>
                  <w:pPr>
                    <w:pStyle w:val="36"/>
                    <w:rPr>
                      <w:color w:val="auto"/>
                    </w:rPr>
                  </w:pPr>
                  <w:r>
                    <w:rPr>
                      <w:rFonts w:hint="eastAsia"/>
                      <w:color w:val="auto"/>
                    </w:rPr>
                    <w:t>3.18</w:t>
                  </w:r>
                </w:p>
              </w:tc>
              <w:tc>
                <w:tcPr>
                  <w:tcW w:w="1014" w:type="dxa"/>
                  <w:tcBorders>
                    <w:tl2br w:val="nil"/>
                    <w:tr2bl w:val="nil"/>
                  </w:tcBorders>
                  <w:vAlign w:val="center"/>
                </w:tcPr>
                <w:p>
                  <w:pPr>
                    <w:pStyle w:val="36"/>
                    <w:rPr>
                      <w:color w:val="auto"/>
                    </w:rPr>
                  </w:pPr>
                  <w:r>
                    <w:rPr>
                      <w:rFonts w:hint="eastAsia"/>
                      <w:color w:val="auto"/>
                    </w:rPr>
                    <w:t>季度</w:t>
                  </w:r>
                </w:p>
              </w:tc>
              <w:tc>
                <w:tcPr>
                  <w:tcW w:w="890" w:type="dxa"/>
                  <w:vMerge w:val="continue"/>
                  <w:tcBorders>
                    <w:tl2br w:val="nil"/>
                    <w:tr2bl w:val="nil"/>
                  </w:tcBorders>
                  <w:vAlign w:val="center"/>
                </w:tcPr>
                <w:p>
                  <w:pPr>
                    <w:pStyle w:val="36"/>
                    <w:rPr>
                      <w:color w:val="auto"/>
                    </w:rPr>
                  </w:pPr>
                </w:p>
              </w:tc>
              <w:tc>
                <w:tcPr>
                  <w:tcW w:w="927" w:type="dxa"/>
                  <w:tcBorders>
                    <w:tl2br w:val="nil"/>
                    <w:tr2bl w:val="nil"/>
                  </w:tcBorders>
                  <w:vAlign w:val="center"/>
                </w:tcPr>
                <w:p>
                  <w:pPr>
                    <w:pStyle w:val="36"/>
                    <w:rPr>
                      <w:color w:val="auto"/>
                    </w:rPr>
                  </w:pPr>
                  <w:r>
                    <w:rPr>
                      <w:color w:val="auto"/>
                    </w:rPr>
                    <w:t>桶装</w:t>
                  </w:r>
                </w:p>
              </w:tc>
              <w:tc>
                <w:tcPr>
                  <w:tcW w:w="847" w:type="dxa"/>
                  <w:vMerge w:val="continue"/>
                  <w:tcBorders>
                    <w:tl2br w:val="nil"/>
                    <w:tr2bl w:val="nil"/>
                  </w:tcBorders>
                  <w:vAlign w:val="center"/>
                </w:tcPr>
                <w:p>
                  <w:pPr>
                    <w:pStyle w:val="36"/>
                    <w:rPr>
                      <w:color w:val="auto"/>
                    </w:rPr>
                  </w:pPr>
                </w:p>
              </w:tc>
              <w:tc>
                <w:tcPr>
                  <w:tcW w:w="859" w:type="dxa"/>
                  <w:vMerge w:val="continue"/>
                  <w:tcBorders>
                    <w:tl2br w:val="nil"/>
                    <w:tr2bl w:val="nil"/>
                  </w:tcBorders>
                  <w:vAlign w:val="center"/>
                </w:tcPr>
                <w:p>
                  <w:pPr>
                    <w:pStyle w:val="36"/>
                    <w:rPr>
                      <w:color w:val="auto"/>
                    </w:rPr>
                  </w:pPr>
                </w:p>
              </w:tc>
              <w:tc>
                <w:tcPr>
                  <w:tcW w:w="827" w:type="dxa"/>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dxa"/>
                  <w:tcBorders>
                    <w:tl2br w:val="nil"/>
                    <w:tr2bl w:val="nil"/>
                  </w:tcBorders>
                  <w:vAlign w:val="center"/>
                </w:tcPr>
                <w:p>
                  <w:pPr>
                    <w:pStyle w:val="36"/>
                    <w:rPr>
                      <w:color w:val="auto"/>
                    </w:rPr>
                  </w:pPr>
                  <w:r>
                    <w:rPr>
                      <w:rFonts w:hint="eastAsia"/>
                      <w:color w:val="auto"/>
                    </w:rPr>
                    <w:t>4</w:t>
                  </w:r>
                </w:p>
              </w:tc>
              <w:tc>
                <w:tcPr>
                  <w:tcW w:w="1495" w:type="dxa"/>
                  <w:tcBorders>
                    <w:tl2br w:val="nil"/>
                    <w:tr2bl w:val="nil"/>
                  </w:tcBorders>
                  <w:vAlign w:val="center"/>
                </w:tcPr>
                <w:p>
                  <w:pPr>
                    <w:pStyle w:val="36"/>
                    <w:rPr>
                      <w:color w:val="auto"/>
                    </w:rPr>
                  </w:pPr>
                  <w:r>
                    <w:rPr>
                      <w:rFonts w:hint="eastAsia"/>
                      <w:color w:val="auto"/>
                    </w:rPr>
                    <w:t>废润滑油</w:t>
                  </w:r>
                </w:p>
              </w:tc>
              <w:tc>
                <w:tcPr>
                  <w:tcW w:w="882" w:type="dxa"/>
                  <w:tcBorders>
                    <w:tl2br w:val="nil"/>
                    <w:tr2bl w:val="nil"/>
                  </w:tcBorders>
                  <w:vAlign w:val="center"/>
                </w:tcPr>
                <w:p>
                  <w:pPr>
                    <w:pStyle w:val="36"/>
                    <w:rPr>
                      <w:color w:val="auto"/>
                    </w:rPr>
                  </w:pPr>
                  <w:r>
                    <w:rPr>
                      <w:rFonts w:hint="eastAsia"/>
                      <w:color w:val="auto"/>
                    </w:rPr>
                    <w:t>0.34</w:t>
                  </w:r>
                </w:p>
              </w:tc>
              <w:tc>
                <w:tcPr>
                  <w:tcW w:w="1014" w:type="dxa"/>
                  <w:tcBorders>
                    <w:tl2br w:val="nil"/>
                    <w:tr2bl w:val="nil"/>
                  </w:tcBorders>
                  <w:vAlign w:val="center"/>
                </w:tcPr>
                <w:p>
                  <w:pPr>
                    <w:pStyle w:val="36"/>
                    <w:rPr>
                      <w:color w:val="auto"/>
                    </w:rPr>
                  </w:pPr>
                  <w:r>
                    <w:rPr>
                      <w:rFonts w:hint="eastAsia"/>
                      <w:color w:val="auto"/>
                    </w:rPr>
                    <w:t>季度</w:t>
                  </w:r>
                </w:p>
              </w:tc>
              <w:tc>
                <w:tcPr>
                  <w:tcW w:w="890" w:type="dxa"/>
                  <w:vMerge w:val="continue"/>
                  <w:tcBorders>
                    <w:tl2br w:val="nil"/>
                    <w:tr2bl w:val="nil"/>
                  </w:tcBorders>
                  <w:vAlign w:val="center"/>
                </w:tcPr>
                <w:p>
                  <w:pPr>
                    <w:pStyle w:val="36"/>
                    <w:rPr>
                      <w:color w:val="auto"/>
                    </w:rPr>
                  </w:pPr>
                </w:p>
              </w:tc>
              <w:tc>
                <w:tcPr>
                  <w:tcW w:w="927" w:type="dxa"/>
                  <w:tcBorders>
                    <w:tl2br w:val="nil"/>
                    <w:tr2bl w:val="nil"/>
                  </w:tcBorders>
                  <w:vAlign w:val="center"/>
                </w:tcPr>
                <w:p>
                  <w:pPr>
                    <w:pStyle w:val="36"/>
                    <w:rPr>
                      <w:color w:val="auto"/>
                    </w:rPr>
                  </w:pPr>
                  <w:r>
                    <w:rPr>
                      <w:color w:val="auto"/>
                    </w:rPr>
                    <w:t>桶装</w:t>
                  </w:r>
                </w:p>
              </w:tc>
              <w:tc>
                <w:tcPr>
                  <w:tcW w:w="847" w:type="dxa"/>
                  <w:vMerge w:val="continue"/>
                  <w:tcBorders>
                    <w:tl2br w:val="nil"/>
                    <w:tr2bl w:val="nil"/>
                  </w:tcBorders>
                  <w:vAlign w:val="center"/>
                </w:tcPr>
                <w:p>
                  <w:pPr>
                    <w:pStyle w:val="36"/>
                    <w:rPr>
                      <w:color w:val="auto"/>
                    </w:rPr>
                  </w:pPr>
                </w:p>
              </w:tc>
              <w:tc>
                <w:tcPr>
                  <w:tcW w:w="859" w:type="dxa"/>
                  <w:vMerge w:val="continue"/>
                  <w:tcBorders>
                    <w:tl2br w:val="nil"/>
                    <w:tr2bl w:val="nil"/>
                  </w:tcBorders>
                  <w:vAlign w:val="center"/>
                </w:tcPr>
                <w:p>
                  <w:pPr>
                    <w:pStyle w:val="36"/>
                    <w:rPr>
                      <w:color w:val="auto"/>
                    </w:rPr>
                  </w:pPr>
                </w:p>
              </w:tc>
              <w:tc>
                <w:tcPr>
                  <w:tcW w:w="827" w:type="dxa"/>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1" w:type="dxa"/>
                  <w:tcBorders>
                    <w:tl2br w:val="nil"/>
                    <w:tr2bl w:val="nil"/>
                  </w:tcBorders>
                  <w:vAlign w:val="center"/>
                </w:tcPr>
                <w:p>
                  <w:pPr>
                    <w:pStyle w:val="36"/>
                    <w:rPr>
                      <w:color w:val="auto"/>
                    </w:rPr>
                  </w:pPr>
                  <w:r>
                    <w:rPr>
                      <w:rFonts w:hint="eastAsia"/>
                      <w:color w:val="auto"/>
                    </w:rPr>
                    <w:t>5</w:t>
                  </w:r>
                </w:p>
              </w:tc>
              <w:tc>
                <w:tcPr>
                  <w:tcW w:w="1495" w:type="dxa"/>
                  <w:tcBorders>
                    <w:tl2br w:val="nil"/>
                    <w:tr2bl w:val="nil"/>
                  </w:tcBorders>
                  <w:vAlign w:val="center"/>
                </w:tcPr>
                <w:p>
                  <w:pPr>
                    <w:pStyle w:val="36"/>
                    <w:rPr>
                      <w:color w:val="auto"/>
                    </w:rPr>
                  </w:pPr>
                  <w:r>
                    <w:rPr>
                      <w:rFonts w:hint="eastAsia"/>
                      <w:color w:val="auto"/>
                    </w:rPr>
                    <w:t>废油桶</w:t>
                  </w:r>
                </w:p>
              </w:tc>
              <w:tc>
                <w:tcPr>
                  <w:tcW w:w="882" w:type="dxa"/>
                  <w:tcBorders>
                    <w:tl2br w:val="nil"/>
                    <w:tr2bl w:val="nil"/>
                  </w:tcBorders>
                  <w:vAlign w:val="center"/>
                </w:tcPr>
                <w:p>
                  <w:pPr>
                    <w:pStyle w:val="36"/>
                    <w:rPr>
                      <w:color w:val="auto"/>
                    </w:rPr>
                  </w:pPr>
                  <w:r>
                    <w:rPr>
                      <w:rFonts w:hint="eastAsia"/>
                      <w:color w:val="auto"/>
                    </w:rPr>
                    <w:t>0.72</w:t>
                  </w:r>
                </w:p>
              </w:tc>
              <w:tc>
                <w:tcPr>
                  <w:tcW w:w="1014" w:type="dxa"/>
                  <w:tcBorders>
                    <w:tl2br w:val="nil"/>
                    <w:tr2bl w:val="nil"/>
                  </w:tcBorders>
                  <w:vAlign w:val="center"/>
                </w:tcPr>
                <w:p>
                  <w:pPr>
                    <w:pStyle w:val="36"/>
                    <w:rPr>
                      <w:color w:val="auto"/>
                    </w:rPr>
                  </w:pPr>
                  <w:r>
                    <w:rPr>
                      <w:rFonts w:hint="eastAsia"/>
                      <w:color w:val="auto"/>
                    </w:rPr>
                    <w:t>季度</w:t>
                  </w:r>
                </w:p>
              </w:tc>
              <w:tc>
                <w:tcPr>
                  <w:tcW w:w="890" w:type="dxa"/>
                  <w:vMerge w:val="continue"/>
                  <w:tcBorders>
                    <w:tl2br w:val="nil"/>
                    <w:tr2bl w:val="nil"/>
                  </w:tcBorders>
                  <w:vAlign w:val="center"/>
                </w:tcPr>
                <w:p>
                  <w:pPr>
                    <w:pStyle w:val="36"/>
                    <w:rPr>
                      <w:color w:val="auto"/>
                    </w:rPr>
                  </w:pPr>
                </w:p>
              </w:tc>
              <w:tc>
                <w:tcPr>
                  <w:tcW w:w="927" w:type="dxa"/>
                  <w:tcBorders>
                    <w:tl2br w:val="nil"/>
                    <w:tr2bl w:val="nil"/>
                  </w:tcBorders>
                  <w:vAlign w:val="center"/>
                </w:tcPr>
                <w:p>
                  <w:pPr>
                    <w:pStyle w:val="36"/>
                    <w:rPr>
                      <w:color w:val="auto"/>
                    </w:rPr>
                  </w:pPr>
                  <w:r>
                    <w:rPr>
                      <w:rFonts w:hint="eastAsia"/>
                      <w:color w:val="auto"/>
                    </w:rPr>
                    <w:t>/</w:t>
                  </w:r>
                </w:p>
              </w:tc>
              <w:tc>
                <w:tcPr>
                  <w:tcW w:w="847" w:type="dxa"/>
                  <w:vMerge w:val="continue"/>
                  <w:tcBorders>
                    <w:tl2br w:val="nil"/>
                    <w:tr2bl w:val="nil"/>
                  </w:tcBorders>
                  <w:vAlign w:val="center"/>
                </w:tcPr>
                <w:p>
                  <w:pPr>
                    <w:pStyle w:val="36"/>
                    <w:rPr>
                      <w:color w:val="auto"/>
                    </w:rPr>
                  </w:pPr>
                </w:p>
              </w:tc>
              <w:tc>
                <w:tcPr>
                  <w:tcW w:w="859" w:type="dxa"/>
                  <w:vMerge w:val="continue"/>
                  <w:tcBorders>
                    <w:tl2br w:val="nil"/>
                    <w:tr2bl w:val="nil"/>
                  </w:tcBorders>
                  <w:vAlign w:val="center"/>
                </w:tcPr>
                <w:p>
                  <w:pPr>
                    <w:pStyle w:val="36"/>
                    <w:rPr>
                      <w:color w:val="auto"/>
                    </w:rPr>
                  </w:pPr>
                </w:p>
              </w:tc>
              <w:tc>
                <w:tcPr>
                  <w:tcW w:w="827" w:type="dxa"/>
                  <w:vMerge w:val="continue"/>
                  <w:tcBorders>
                    <w:tl2br w:val="nil"/>
                    <w:tr2bl w:val="nil"/>
                  </w:tcBorders>
                  <w:vAlign w:val="center"/>
                </w:tcPr>
                <w:p>
                  <w:pPr>
                    <w:pStyle w:val="36"/>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6" w:type="dxa"/>
                  <w:gridSpan w:val="2"/>
                  <w:tcBorders>
                    <w:tl2br w:val="nil"/>
                    <w:tr2bl w:val="nil"/>
                  </w:tcBorders>
                  <w:vAlign w:val="center"/>
                </w:tcPr>
                <w:p>
                  <w:pPr>
                    <w:pStyle w:val="36"/>
                    <w:rPr>
                      <w:color w:val="auto"/>
                    </w:rPr>
                  </w:pPr>
                  <w:r>
                    <w:rPr>
                      <w:color w:val="auto"/>
                    </w:rPr>
                    <w:t>合计</w:t>
                  </w:r>
                </w:p>
              </w:tc>
              <w:tc>
                <w:tcPr>
                  <w:tcW w:w="882" w:type="dxa"/>
                  <w:tcBorders>
                    <w:tl2br w:val="nil"/>
                    <w:tr2bl w:val="nil"/>
                  </w:tcBorders>
                  <w:vAlign w:val="center"/>
                </w:tcPr>
                <w:p>
                  <w:pPr>
                    <w:pStyle w:val="36"/>
                    <w:rPr>
                      <w:color w:val="auto"/>
                    </w:rPr>
                  </w:pPr>
                  <w:r>
                    <w:rPr>
                      <w:rFonts w:hint="eastAsia"/>
                      <w:color w:val="auto"/>
                    </w:rPr>
                    <w:t>14.14</w:t>
                  </w:r>
                </w:p>
              </w:tc>
              <w:tc>
                <w:tcPr>
                  <w:tcW w:w="1014" w:type="dxa"/>
                  <w:tcBorders>
                    <w:tl2br w:val="nil"/>
                    <w:tr2bl w:val="nil"/>
                  </w:tcBorders>
                  <w:vAlign w:val="center"/>
                </w:tcPr>
                <w:p>
                  <w:pPr>
                    <w:pStyle w:val="36"/>
                    <w:rPr>
                      <w:color w:val="auto"/>
                    </w:rPr>
                  </w:pPr>
                  <w:r>
                    <w:rPr>
                      <w:color w:val="auto"/>
                    </w:rPr>
                    <w:t>/</w:t>
                  </w:r>
                </w:p>
              </w:tc>
              <w:tc>
                <w:tcPr>
                  <w:tcW w:w="890" w:type="dxa"/>
                  <w:tcBorders>
                    <w:tl2br w:val="nil"/>
                    <w:tr2bl w:val="nil"/>
                  </w:tcBorders>
                  <w:vAlign w:val="center"/>
                </w:tcPr>
                <w:p>
                  <w:pPr>
                    <w:pStyle w:val="36"/>
                    <w:rPr>
                      <w:color w:val="auto"/>
                    </w:rPr>
                  </w:pPr>
                  <w:r>
                    <w:rPr>
                      <w:color w:val="auto"/>
                    </w:rPr>
                    <w:t>/</w:t>
                  </w:r>
                </w:p>
              </w:tc>
              <w:tc>
                <w:tcPr>
                  <w:tcW w:w="927" w:type="dxa"/>
                  <w:tcBorders>
                    <w:tl2br w:val="nil"/>
                    <w:tr2bl w:val="nil"/>
                  </w:tcBorders>
                  <w:vAlign w:val="center"/>
                </w:tcPr>
                <w:p>
                  <w:pPr>
                    <w:pStyle w:val="36"/>
                    <w:rPr>
                      <w:color w:val="auto"/>
                    </w:rPr>
                  </w:pPr>
                  <w:r>
                    <w:rPr>
                      <w:color w:val="auto"/>
                    </w:rPr>
                    <w:t>/</w:t>
                  </w:r>
                </w:p>
              </w:tc>
              <w:tc>
                <w:tcPr>
                  <w:tcW w:w="847" w:type="dxa"/>
                  <w:tcBorders>
                    <w:tl2br w:val="nil"/>
                    <w:tr2bl w:val="nil"/>
                  </w:tcBorders>
                  <w:vAlign w:val="center"/>
                </w:tcPr>
                <w:p>
                  <w:pPr>
                    <w:pStyle w:val="36"/>
                    <w:rPr>
                      <w:color w:val="auto"/>
                    </w:rPr>
                  </w:pPr>
                  <w:r>
                    <w:rPr>
                      <w:color w:val="auto"/>
                    </w:rPr>
                    <w:t>/</w:t>
                  </w:r>
                </w:p>
              </w:tc>
              <w:tc>
                <w:tcPr>
                  <w:tcW w:w="859" w:type="dxa"/>
                  <w:tcBorders>
                    <w:tl2br w:val="nil"/>
                    <w:tr2bl w:val="nil"/>
                  </w:tcBorders>
                  <w:vAlign w:val="center"/>
                </w:tcPr>
                <w:p>
                  <w:pPr>
                    <w:pStyle w:val="36"/>
                    <w:rPr>
                      <w:color w:val="auto"/>
                    </w:rPr>
                  </w:pPr>
                  <w:r>
                    <w:rPr>
                      <w:color w:val="auto"/>
                    </w:rPr>
                    <w:t>/</w:t>
                  </w:r>
                </w:p>
              </w:tc>
              <w:tc>
                <w:tcPr>
                  <w:tcW w:w="827" w:type="dxa"/>
                  <w:tcBorders>
                    <w:tl2br w:val="nil"/>
                    <w:tr2bl w:val="nil"/>
                  </w:tcBorders>
                  <w:vAlign w:val="center"/>
                </w:tcPr>
                <w:p>
                  <w:pPr>
                    <w:pStyle w:val="36"/>
                    <w:rPr>
                      <w:color w:val="auto"/>
                    </w:rPr>
                  </w:pPr>
                  <w:r>
                    <w:rPr>
                      <w:color w:val="auto"/>
                    </w:rPr>
                    <w:t>/</w:t>
                  </w:r>
                </w:p>
              </w:tc>
            </w:tr>
          </w:tbl>
          <w:p>
            <w:pPr>
              <w:tabs>
                <w:tab w:val="left" w:pos="1980"/>
                <w:tab w:val="left" w:pos="3825"/>
                <w:tab w:val="left" w:pos="4680"/>
              </w:tabs>
              <w:ind w:firstLine="480"/>
              <w:rPr>
                <w:color w:val="auto"/>
              </w:rPr>
            </w:pPr>
            <w:r>
              <w:rPr>
                <w:color w:val="auto"/>
              </w:rPr>
              <w:t>根据国家《危险废物贮存污染控制标准》（GB18597-2023）的要求，危险废物的贮存和管理应做到：</w:t>
            </w:r>
          </w:p>
          <w:p>
            <w:pPr>
              <w:tabs>
                <w:tab w:val="left" w:pos="1980"/>
                <w:tab w:val="left" w:pos="3825"/>
                <w:tab w:val="left" w:pos="4680"/>
              </w:tabs>
              <w:ind w:firstLine="480"/>
              <w:rPr>
                <w:color w:val="auto"/>
              </w:rPr>
            </w:pPr>
            <w:r>
              <w:rPr>
                <w:color w:val="auto"/>
              </w:rPr>
              <w:t>1）贮存设施污染控制一般要求</w:t>
            </w:r>
          </w:p>
          <w:p>
            <w:pPr>
              <w:tabs>
                <w:tab w:val="left" w:pos="1980"/>
                <w:tab w:val="left" w:pos="3825"/>
                <w:tab w:val="left" w:pos="4680"/>
              </w:tabs>
              <w:ind w:firstLine="480"/>
              <w:rPr>
                <w:color w:val="auto"/>
              </w:rPr>
            </w:pPr>
            <w:r>
              <w:rPr>
                <w:color w:val="auto"/>
              </w:rPr>
              <w:fldChar w:fldCharType="begin"/>
            </w:r>
            <w:r>
              <w:rPr>
                <w:color w:val="auto"/>
              </w:rPr>
              <w:instrText xml:space="preserve"> = 1 \* GB3 </w:instrText>
            </w:r>
            <w:r>
              <w:rPr>
                <w:color w:val="auto"/>
              </w:rPr>
              <w:fldChar w:fldCharType="separate"/>
            </w:r>
            <w:r>
              <w:rPr>
                <w:rFonts w:hint="eastAsia"/>
                <w:color w:val="auto"/>
              </w:rPr>
              <w:t>①</w:t>
            </w:r>
            <w:r>
              <w:rPr>
                <w:color w:val="auto"/>
              </w:rPr>
              <w:fldChar w:fldCharType="end"/>
            </w:r>
            <w:r>
              <w:rPr>
                <w:color w:val="auto"/>
              </w:rPr>
              <w:t xml:space="preserve"> 贮存设施应根据危险废物的形态、物理化学性质、包装形式和污染物迁移途径，采取必要的防风、防晒、防雨、防漏、防渗、防腐以及其他环境污染防治措施，不应露天堆放危险废物。</w:t>
            </w:r>
          </w:p>
          <w:p>
            <w:pPr>
              <w:tabs>
                <w:tab w:val="left" w:pos="1980"/>
                <w:tab w:val="left" w:pos="3825"/>
                <w:tab w:val="left" w:pos="4680"/>
              </w:tabs>
              <w:ind w:firstLine="480"/>
              <w:rPr>
                <w:color w:val="auto"/>
              </w:rPr>
            </w:pPr>
            <w:r>
              <w:rPr>
                <w:color w:val="auto"/>
              </w:rPr>
              <w:fldChar w:fldCharType="begin"/>
            </w:r>
            <w:r>
              <w:rPr>
                <w:color w:val="auto"/>
              </w:rPr>
              <w:instrText xml:space="preserve"> = 2 \* GB3 </w:instrText>
            </w:r>
            <w:r>
              <w:rPr>
                <w:color w:val="auto"/>
              </w:rPr>
              <w:fldChar w:fldCharType="separate"/>
            </w:r>
            <w:r>
              <w:rPr>
                <w:rFonts w:hint="eastAsia"/>
                <w:color w:val="auto"/>
              </w:rPr>
              <w:t>②</w:t>
            </w:r>
            <w:r>
              <w:rPr>
                <w:color w:val="auto"/>
              </w:rPr>
              <w:fldChar w:fldCharType="end"/>
            </w:r>
            <w:r>
              <w:rPr>
                <w:color w:val="auto"/>
              </w:rPr>
              <w:t>贮存设施应根据危险废物的类别、数量、形态、物理化学性质和污染防治等要求设置必要的贮存分区，避免不相容的危险废物接触、混合。</w:t>
            </w:r>
          </w:p>
          <w:p>
            <w:pPr>
              <w:tabs>
                <w:tab w:val="left" w:pos="1980"/>
                <w:tab w:val="left" w:pos="3825"/>
                <w:tab w:val="left" w:pos="4680"/>
              </w:tabs>
              <w:ind w:firstLine="480"/>
              <w:rPr>
                <w:color w:val="auto"/>
              </w:rPr>
            </w:pPr>
            <w:r>
              <w:rPr>
                <w:color w:val="auto"/>
              </w:rPr>
              <w:fldChar w:fldCharType="begin"/>
            </w:r>
            <w:r>
              <w:rPr>
                <w:color w:val="auto"/>
              </w:rPr>
              <w:instrText xml:space="preserve"> = 3 \* GB3 </w:instrText>
            </w:r>
            <w:r>
              <w:rPr>
                <w:color w:val="auto"/>
              </w:rPr>
              <w:fldChar w:fldCharType="separate"/>
            </w:r>
            <w:r>
              <w:rPr>
                <w:rFonts w:hint="eastAsia"/>
                <w:color w:val="auto"/>
              </w:rPr>
              <w:t>③</w:t>
            </w:r>
            <w:r>
              <w:rPr>
                <w:color w:val="auto"/>
              </w:rPr>
              <w:fldChar w:fldCharType="end"/>
            </w:r>
            <w:r>
              <w:rPr>
                <w:color w:val="auto"/>
              </w:rPr>
              <w:t>贮存设施或贮存分区内地面、墙面裙脚、堵截泄漏的围堰、接触危险废物的隔板和墙体等应采用坚固的材料建造，表面无裂缝。</w:t>
            </w:r>
          </w:p>
          <w:p>
            <w:pPr>
              <w:tabs>
                <w:tab w:val="left" w:pos="1980"/>
                <w:tab w:val="left" w:pos="3825"/>
                <w:tab w:val="left" w:pos="4680"/>
              </w:tabs>
              <w:ind w:firstLine="480"/>
              <w:rPr>
                <w:color w:val="auto"/>
              </w:rPr>
            </w:pPr>
            <w:r>
              <w:rPr>
                <w:color w:val="auto"/>
              </w:rPr>
              <w:fldChar w:fldCharType="begin"/>
            </w:r>
            <w:r>
              <w:rPr>
                <w:color w:val="auto"/>
              </w:rPr>
              <w:instrText xml:space="preserve"> = 4 \* GB3 </w:instrText>
            </w:r>
            <w:r>
              <w:rPr>
                <w:color w:val="auto"/>
              </w:rPr>
              <w:fldChar w:fldCharType="separate"/>
            </w:r>
            <w:r>
              <w:rPr>
                <w:rFonts w:hint="eastAsia"/>
                <w:color w:val="auto"/>
              </w:rPr>
              <w:t>④</w:t>
            </w:r>
            <w:r>
              <w:rPr>
                <w:color w:val="auto"/>
              </w:rPr>
              <w:fldChar w:fldCharType="end"/>
            </w:r>
            <w:r>
              <w:rPr>
                <w:color w:val="auto"/>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color w:val="auto"/>
                <w:vertAlign w:val="superscript"/>
              </w:rPr>
              <w:t>-7</w:t>
            </w:r>
            <w:r>
              <w:rPr>
                <w:color w:val="auto"/>
              </w:rPr>
              <w:t>cm/s），或至少2mm厚高密度聚乙烯膜等人工防渗材料（渗透系数不大于10</w:t>
            </w:r>
            <w:r>
              <w:rPr>
                <w:color w:val="auto"/>
                <w:vertAlign w:val="superscript"/>
              </w:rPr>
              <w:t>-10</w:t>
            </w:r>
            <w:r>
              <w:rPr>
                <w:color w:val="auto"/>
              </w:rPr>
              <w:t>cm/s），或其他防渗性能等效的材料。</w:t>
            </w:r>
          </w:p>
          <w:p>
            <w:pPr>
              <w:tabs>
                <w:tab w:val="left" w:pos="1980"/>
                <w:tab w:val="left" w:pos="3825"/>
                <w:tab w:val="left" w:pos="4680"/>
              </w:tabs>
              <w:ind w:firstLine="480"/>
              <w:rPr>
                <w:color w:val="auto"/>
              </w:rPr>
            </w:pPr>
            <w:r>
              <w:rPr>
                <w:color w:val="auto"/>
              </w:rPr>
              <w:fldChar w:fldCharType="begin"/>
            </w:r>
            <w:r>
              <w:rPr>
                <w:color w:val="auto"/>
              </w:rPr>
              <w:instrText xml:space="preserve"> = 5 \* GB3 </w:instrText>
            </w:r>
            <w:r>
              <w:rPr>
                <w:color w:val="auto"/>
              </w:rPr>
              <w:fldChar w:fldCharType="separate"/>
            </w:r>
            <w:r>
              <w:rPr>
                <w:rFonts w:hint="eastAsia"/>
                <w:color w:val="auto"/>
              </w:rPr>
              <w:t>⑤</w:t>
            </w:r>
            <w:r>
              <w:rPr>
                <w:color w:val="auto"/>
              </w:rPr>
              <w:fldChar w:fldCharType="end"/>
            </w:r>
            <w:r>
              <w:rPr>
                <w:color w:val="auto"/>
              </w:rPr>
              <w:t>同一贮存设施宜采用相同的防渗、防腐工艺（包括防渗、防腐结构或材料），防渗、防腐材料应覆盖所有可能与废物及其渗滤液、渗漏液等接触的构筑物表面；采用不同防渗、防腐工艺应分别建设贮存分区。</w:t>
            </w:r>
          </w:p>
          <w:p>
            <w:pPr>
              <w:tabs>
                <w:tab w:val="left" w:pos="1980"/>
                <w:tab w:val="left" w:pos="3825"/>
                <w:tab w:val="left" w:pos="4680"/>
              </w:tabs>
              <w:ind w:firstLine="480"/>
              <w:rPr>
                <w:color w:val="auto"/>
              </w:rPr>
            </w:pPr>
            <w:r>
              <w:rPr>
                <w:color w:val="auto"/>
              </w:rPr>
              <w:fldChar w:fldCharType="begin"/>
            </w:r>
            <w:r>
              <w:rPr>
                <w:color w:val="auto"/>
              </w:rPr>
              <w:instrText xml:space="preserve"> = 6 \* GB3 </w:instrText>
            </w:r>
            <w:r>
              <w:rPr>
                <w:color w:val="auto"/>
              </w:rPr>
              <w:fldChar w:fldCharType="separate"/>
            </w:r>
            <w:r>
              <w:rPr>
                <w:rFonts w:hint="eastAsia"/>
                <w:color w:val="auto"/>
              </w:rPr>
              <w:t>⑥</w:t>
            </w:r>
            <w:r>
              <w:rPr>
                <w:color w:val="auto"/>
              </w:rPr>
              <w:fldChar w:fldCharType="end"/>
            </w:r>
            <w:r>
              <w:rPr>
                <w:color w:val="auto"/>
              </w:rPr>
              <w:t>贮存设施应采取技术和管理措施防止无关人员进入。</w:t>
            </w:r>
          </w:p>
          <w:p>
            <w:pPr>
              <w:ind w:firstLine="480"/>
              <w:rPr>
                <w:color w:val="auto"/>
              </w:rPr>
            </w:pPr>
            <w:r>
              <w:rPr>
                <w:color w:val="auto"/>
              </w:rPr>
              <w:t>2）容器和包装物污染控制要求</w:t>
            </w:r>
          </w:p>
          <w:p>
            <w:pPr>
              <w:ind w:firstLine="566" w:firstLineChars="236"/>
              <w:rPr>
                <w:color w:val="auto"/>
              </w:rPr>
            </w:pPr>
            <w:r>
              <w:rPr>
                <w:rFonts w:hint="eastAsia" w:ascii="宋体" w:hAnsi="宋体"/>
                <w:color w:val="auto"/>
              </w:rPr>
              <w:t>①</w:t>
            </w:r>
            <w:r>
              <w:rPr>
                <w:color w:val="auto"/>
              </w:rPr>
              <w:t>容器和包装物材质、内衬应与盛装的危险废物相容。</w:t>
            </w:r>
          </w:p>
          <w:p>
            <w:pPr>
              <w:ind w:firstLine="566" w:firstLineChars="236"/>
              <w:rPr>
                <w:color w:val="auto"/>
              </w:rPr>
            </w:pPr>
            <w:r>
              <w:rPr>
                <w:rFonts w:hint="eastAsia" w:ascii="宋体" w:hAnsi="宋体"/>
                <w:color w:val="auto"/>
              </w:rPr>
              <w:t>②</w:t>
            </w:r>
            <w:r>
              <w:rPr>
                <w:color w:val="auto"/>
              </w:rPr>
              <w:t>针对不同类别、形态、物理化学性质的危险废物，其容器和包装物应满足相应的防渗、防漏、防腐和强度等要求。</w:t>
            </w:r>
          </w:p>
          <w:p>
            <w:pPr>
              <w:ind w:firstLine="566" w:firstLineChars="236"/>
              <w:rPr>
                <w:color w:val="auto"/>
              </w:rPr>
            </w:pPr>
            <w:r>
              <w:rPr>
                <w:rFonts w:hint="eastAsia" w:ascii="宋体" w:hAnsi="宋体"/>
                <w:color w:val="auto"/>
              </w:rPr>
              <w:t>③</w:t>
            </w:r>
            <w:r>
              <w:rPr>
                <w:color w:val="auto"/>
              </w:rPr>
              <w:t>硬质容器和包装物及其支护结构堆叠码放时不应有明显变形，无破损泄漏。</w:t>
            </w:r>
          </w:p>
          <w:p>
            <w:pPr>
              <w:ind w:firstLine="566" w:firstLineChars="236"/>
              <w:rPr>
                <w:color w:val="auto"/>
              </w:rPr>
            </w:pPr>
            <w:r>
              <w:rPr>
                <w:rFonts w:hint="eastAsia" w:ascii="宋体" w:hAnsi="宋体"/>
                <w:color w:val="auto"/>
              </w:rPr>
              <w:t>④</w:t>
            </w:r>
            <w:r>
              <w:rPr>
                <w:color w:val="auto"/>
              </w:rPr>
              <w:t>柔性容器和包装物堆叠码放时应封口严密，无破损泄漏。</w:t>
            </w:r>
          </w:p>
          <w:p>
            <w:pPr>
              <w:ind w:firstLine="566" w:firstLineChars="236"/>
              <w:rPr>
                <w:color w:val="auto"/>
              </w:rPr>
            </w:pPr>
            <w:r>
              <w:rPr>
                <w:rFonts w:hint="eastAsia" w:ascii="宋体" w:hAnsi="宋体"/>
                <w:color w:val="auto"/>
              </w:rPr>
              <w:t>⑤</w:t>
            </w:r>
            <w:r>
              <w:rPr>
                <w:color w:val="auto"/>
              </w:rPr>
              <w:t>使用容器盛装液态、半固态危险废物时，容器内部应留有适当的空间，以适应因温度变化等可能引发的收缩和膨胀，防止其导致容器渗漏或永久变形。</w:t>
            </w:r>
          </w:p>
          <w:p>
            <w:pPr>
              <w:ind w:firstLine="566" w:firstLineChars="236"/>
              <w:rPr>
                <w:color w:val="auto"/>
              </w:rPr>
            </w:pPr>
            <w:r>
              <w:rPr>
                <w:rFonts w:hint="eastAsia" w:ascii="宋体" w:hAnsi="宋体"/>
                <w:color w:val="auto"/>
              </w:rPr>
              <w:t>⑥</w:t>
            </w:r>
            <w:r>
              <w:rPr>
                <w:color w:val="auto"/>
              </w:rPr>
              <w:t>容器和包装物外表面应保持清洁。</w:t>
            </w:r>
          </w:p>
          <w:p>
            <w:pPr>
              <w:ind w:firstLine="480"/>
              <w:rPr>
                <w:color w:val="auto"/>
              </w:rPr>
            </w:pPr>
            <w:r>
              <w:rPr>
                <w:color w:val="auto"/>
              </w:rPr>
              <w:t>3）贮存设施运行环境管理要求</w:t>
            </w:r>
          </w:p>
          <w:p>
            <w:pPr>
              <w:ind w:firstLine="566" w:firstLineChars="236"/>
              <w:rPr>
                <w:color w:val="auto"/>
              </w:rPr>
            </w:pPr>
            <w:r>
              <w:rPr>
                <w:rFonts w:hint="eastAsia" w:ascii="宋体" w:hAnsi="宋体"/>
                <w:color w:val="auto"/>
              </w:rPr>
              <w:t>①</w:t>
            </w:r>
            <w:r>
              <w:rPr>
                <w:color w:val="auto"/>
              </w:rPr>
              <w:t>危险废物存入贮存设施前应对危险废物类别和特性与危险废物标签等危险废物识别标志的一致性进行核验，不一致的或类别、特性不明的不应存入。</w:t>
            </w:r>
          </w:p>
          <w:p>
            <w:pPr>
              <w:ind w:firstLine="566" w:firstLineChars="236"/>
              <w:rPr>
                <w:color w:val="auto"/>
              </w:rPr>
            </w:pPr>
            <w:r>
              <w:rPr>
                <w:rFonts w:hint="eastAsia" w:ascii="宋体" w:hAnsi="宋体"/>
                <w:color w:val="auto"/>
              </w:rPr>
              <w:t>②</w:t>
            </w:r>
            <w:r>
              <w:rPr>
                <w:color w:val="auto"/>
              </w:rPr>
              <w:t>应定期检查危险废物的贮存状况，及时清理贮存设施地面，更换破损泄漏的危险废物贮存容器和包装物，保证堆存危险废物的防雨、防风、防扬尘等设施功能完好。</w:t>
            </w:r>
          </w:p>
          <w:p>
            <w:pPr>
              <w:ind w:firstLine="566" w:firstLineChars="236"/>
              <w:rPr>
                <w:color w:val="auto"/>
              </w:rPr>
            </w:pPr>
            <w:r>
              <w:rPr>
                <w:rFonts w:hint="eastAsia" w:ascii="宋体" w:hAnsi="宋体"/>
                <w:color w:val="auto"/>
              </w:rPr>
              <w:t>③</w:t>
            </w:r>
            <w:r>
              <w:rPr>
                <w:color w:val="auto"/>
              </w:rPr>
              <w:t>作业设备及车辆等结束作业离开贮存设施时，应对其残留的危险废物进行清理，清理的废物或清洗废水应收集处理。</w:t>
            </w:r>
          </w:p>
          <w:p>
            <w:pPr>
              <w:ind w:firstLine="566" w:firstLineChars="236"/>
              <w:rPr>
                <w:color w:val="auto"/>
              </w:rPr>
            </w:pPr>
            <w:r>
              <w:rPr>
                <w:rFonts w:hint="eastAsia" w:ascii="宋体" w:hAnsi="宋体"/>
                <w:color w:val="auto"/>
              </w:rPr>
              <w:t>④</w:t>
            </w:r>
            <w:r>
              <w:rPr>
                <w:color w:val="auto"/>
              </w:rPr>
              <w:t>贮存设施运行期间，应按国家有关标准和规定建立危险废物管理台账并保存。</w:t>
            </w:r>
          </w:p>
          <w:p>
            <w:pPr>
              <w:ind w:firstLine="566" w:firstLineChars="236"/>
              <w:rPr>
                <w:color w:val="auto"/>
              </w:rPr>
            </w:pPr>
            <w:r>
              <w:rPr>
                <w:rFonts w:hint="eastAsia" w:ascii="宋体" w:hAnsi="宋体"/>
                <w:color w:val="auto"/>
              </w:rPr>
              <w:t>⑤</w:t>
            </w:r>
            <w:r>
              <w:rPr>
                <w:color w:val="auto"/>
              </w:rPr>
              <w:t>贮存设施所有者或运营者应建立贮存设施环境管理制度、管理人员岗位职责制度、设施运行操作制度、人员岗位培训制度等。</w:t>
            </w:r>
          </w:p>
          <w:p>
            <w:pPr>
              <w:ind w:firstLine="566" w:firstLineChars="236"/>
              <w:rPr>
                <w:color w:val="auto"/>
              </w:rPr>
            </w:pPr>
            <w:r>
              <w:rPr>
                <w:rFonts w:hint="eastAsia" w:ascii="宋体" w:hAnsi="宋体"/>
                <w:color w:val="auto"/>
              </w:rPr>
              <w:t>⑥</w:t>
            </w:r>
            <w:r>
              <w:rPr>
                <w:color w:val="auto"/>
              </w:rPr>
              <w:t>贮存设施所有者或运营者应依据国家土壤和地下水污染防治的有关规定， 结合贮存设施特点建立土壤和地下水污染隐患排查制度，并定期开展隐患排查； 发现隐患应及时采取措施消除隐患，并建立档案。</w:t>
            </w:r>
          </w:p>
          <w:p>
            <w:pPr>
              <w:ind w:firstLine="566" w:firstLineChars="236"/>
              <w:rPr>
                <w:color w:val="auto"/>
              </w:rPr>
            </w:pPr>
            <w:r>
              <w:rPr>
                <w:rFonts w:hint="eastAsia" w:ascii="宋体" w:hAnsi="宋体"/>
                <w:color w:val="auto"/>
              </w:rPr>
              <w:t>⑦</w:t>
            </w:r>
            <w:r>
              <w:rPr>
                <w:color w:val="auto"/>
              </w:rPr>
              <w:t>贮存设施所有者或运营者应建立贮存设施全部档案，包括设计、施工、验收、运行、监测和环境应急等，应按国家有关档案管理的法律法规进行整理和归档。</w:t>
            </w:r>
          </w:p>
          <w:p>
            <w:pPr>
              <w:ind w:firstLine="480"/>
              <w:rPr>
                <w:color w:val="auto"/>
              </w:rPr>
            </w:pPr>
            <w:r>
              <w:rPr>
                <w:color w:val="auto"/>
              </w:rPr>
              <w:t>4）贮存点环境管理要求</w:t>
            </w:r>
          </w:p>
          <w:p>
            <w:pPr>
              <w:ind w:firstLine="566" w:firstLineChars="236"/>
              <w:rPr>
                <w:color w:val="auto"/>
              </w:rPr>
            </w:pPr>
            <w:r>
              <w:rPr>
                <w:rFonts w:hint="eastAsia" w:ascii="宋体" w:hAnsi="宋体"/>
                <w:color w:val="auto"/>
              </w:rPr>
              <w:t>①</w:t>
            </w:r>
            <w:r>
              <w:rPr>
                <w:color w:val="auto"/>
              </w:rPr>
              <w:t>贮存点应具有固定的区域边界，并应采取与其他区域进行隔离的措施。</w:t>
            </w:r>
          </w:p>
          <w:p>
            <w:pPr>
              <w:ind w:firstLine="566" w:firstLineChars="236"/>
              <w:rPr>
                <w:color w:val="auto"/>
              </w:rPr>
            </w:pPr>
            <w:r>
              <w:rPr>
                <w:rFonts w:hint="eastAsia" w:ascii="宋体" w:hAnsi="宋体"/>
                <w:color w:val="auto"/>
              </w:rPr>
              <w:t>②</w:t>
            </w:r>
            <w:r>
              <w:rPr>
                <w:color w:val="auto"/>
              </w:rPr>
              <w:t>贮存点应采取防风、防雨、防晒和防止危险废物流失、扬散等措施。</w:t>
            </w:r>
          </w:p>
          <w:p>
            <w:pPr>
              <w:ind w:firstLine="566" w:firstLineChars="236"/>
              <w:rPr>
                <w:color w:val="auto"/>
              </w:rPr>
            </w:pPr>
            <w:r>
              <w:rPr>
                <w:rFonts w:hint="eastAsia" w:ascii="宋体" w:hAnsi="宋体"/>
                <w:color w:val="auto"/>
              </w:rPr>
              <w:t>③</w:t>
            </w:r>
            <w:r>
              <w:rPr>
                <w:color w:val="auto"/>
              </w:rPr>
              <w:t>贮存点贮存的危险废物应置于容器或包装物中，不应直接散堆。</w:t>
            </w:r>
          </w:p>
          <w:p>
            <w:pPr>
              <w:ind w:firstLine="566" w:firstLineChars="236"/>
              <w:rPr>
                <w:color w:val="auto"/>
              </w:rPr>
            </w:pPr>
            <w:r>
              <w:rPr>
                <w:rFonts w:hint="eastAsia" w:ascii="宋体" w:hAnsi="宋体"/>
                <w:color w:val="auto"/>
              </w:rPr>
              <w:t>④</w:t>
            </w:r>
            <w:r>
              <w:rPr>
                <w:color w:val="auto"/>
              </w:rPr>
              <w:t>贮存点应根据危险废物的形态、物理化学性质、包装形式等，采取防渗、防漏等污染防治措施或采用具有相应功能的装置。</w:t>
            </w:r>
          </w:p>
          <w:p>
            <w:pPr>
              <w:ind w:firstLine="566" w:firstLineChars="236"/>
              <w:rPr>
                <w:color w:val="auto"/>
              </w:rPr>
            </w:pPr>
            <w:r>
              <w:rPr>
                <w:rFonts w:hint="eastAsia" w:ascii="宋体" w:hAnsi="宋体"/>
                <w:color w:val="auto"/>
              </w:rPr>
              <w:t>⑤</w:t>
            </w:r>
            <w:r>
              <w:rPr>
                <w:color w:val="auto"/>
              </w:rPr>
              <w:t>贮存点应及时清运贮存的危险废物，实时贮存量不应超过</w:t>
            </w:r>
            <w:r>
              <w:rPr>
                <w:rFonts w:hint="eastAsia"/>
                <w:color w:val="auto"/>
              </w:rPr>
              <w:t>3</w:t>
            </w:r>
            <w:r>
              <w:rPr>
                <w:color w:val="auto"/>
              </w:rPr>
              <w:t>吨。</w:t>
            </w:r>
          </w:p>
          <w:p>
            <w:pPr>
              <w:ind w:firstLine="480"/>
              <w:rPr>
                <w:color w:val="auto"/>
              </w:rPr>
            </w:pPr>
            <w:r>
              <w:rPr>
                <w:color w:val="auto"/>
              </w:rPr>
              <w:t>5）其他管理要求</w:t>
            </w:r>
          </w:p>
          <w:p>
            <w:pPr>
              <w:ind w:firstLine="566" w:firstLineChars="236"/>
              <w:rPr>
                <w:color w:val="auto"/>
              </w:rPr>
            </w:pPr>
            <w:r>
              <w:rPr>
                <w:rFonts w:hint="eastAsia" w:ascii="宋体" w:hAnsi="宋体"/>
                <w:color w:val="auto"/>
              </w:rPr>
              <w:t>①</w:t>
            </w:r>
            <w:r>
              <w:rPr>
                <w:color w:val="auto"/>
              </w:rPr>
              <w:t>贮存设施或场所、容器和包装物应按 HJ</w:t>
            </w:r>
            <w:r>
              <w:rPr>
                <w:rFonts w:hint="eastAsia"/>
                <w:color w:val="auto"/>
              </w:rPr>
              <w:t xml:space="preserve"> </w:t>
            </w:r>
            <w:r>
              <w:rPr>
                <w:color w:val="auto"/>
              </w:rPr>
              <w:t>1276 要求设置危险废物贮存设施或场所标志、危险废物贮存分区标志和危险废物标签等危险废物识别标志。</w:t>
            </w:r>
          </w:p>
          <w:p>
            <w:pPr>
              <w:ind w:firstLine="566" w:firstLineChars="236"/>
              <w:rPr>
                <w:color w:val="auto"/>
              </w:rPr>
            </w:pPr>
            <w:r>
              <w:rPr>
                <w:rFonts w:hint="eastAsia" w:ascii="宋体" w:hAnsi="宋体"/>
                <w:color w:val="auto"/>
              </w:rPr>
              <w:t>②</w:t>
            </w:r>
            <w:r>
              <w:rPr>
                <w:color w:val="auto"/>
              </w:rPr>
              <w:t>HJ</w:t>
            </w:r>
            <w:r>
              <w:rPr>
                <w:rFonts w:hint="eastAsia"/>
                <w:color w:val="auto"/>
              </w:rPr>
              <w:t xml:space="preserve"> </w:t>
            </w:r>
            <w:r>
              <w:rPr>
                <w:color w:val="auto"/>
              </w:rPr>
              <w:t>1259 规定的危险废物环境重点监管单位，应采用电子地磅、电子标签、电子管理台账等技术手段对危险废物贮存过程进行信息化管理，确保数据完整、真实、准确；采用视频监控的应确保监控画面清晰，视频记录保存时间至少为3个月。</w:t>
            </w:r>
          </w:p>
          <w:p>
            <w:pPr>
              <w:ind w:firstLine="566" w:firstLineChars="236"/>
              <w:rPr>
                <w:color w:val="auto"/>
              </w:rPr>
            </w:pPr>
            <w:r>
              <w:rPr>
                <w:rFonts w:hint="eastAsia" w:ascii="宋体" w:hAnsi="宋体"/>
                <w:color w:val="auto"/>
              </w:rPr>
              <w:t>③</w:t>
            </w:r>
            <w:r>
              <w:rPr>
                <w:color w:val="auto"/>
              </w:rPr>
              <w:t>贮存设施退役时，所有者或运营者应依法履行环境保护责任，退役前应妥善处理处置贮存设施内剩余的危险废物，并对贮存设施进行清理，消除污染；还应依据土壤污染防治相关法律法规履行场地环境风险防控责任。</w:t>
            </w:r>
          </w:p>
          <w:p>
            <w:pPr>
              <w:ind w:firstLine="566" w:firstLineChars="236"/>
              <w:rPr>
                <w:color w:val="auto"/>
              </w:rPr>
            </w:pPr>
            <w:r>
              <w:rPr>
                <w:rFonts w:hint="eastAsia" w:ascii="宋体" w:hAnsi="宋体"/>
                <w:color w:val="auto"/>
              </w:rPr>
              <w:t>④</w:t>
            </w:r>
            <w:r>
              <w:rPr>
                <w:color w:val="auto"/>
              </w:rPr>
              <w:t>在常温常压下易爆、易燃及排出有毒气体的危险废物应进行预处理，使之稳定后贮存，否则应按易爆、易燃危险品贮存。</w:t>
            </w:r>
          </w:p>
          <w:p>
            <w:pPr>
              <w:ind w:firstLine="566" w:firstLineChars="236"/>
              <w:rPr>
                <w:rFonts w:hint="eastAsia" w:ascii="宋体" w:hAnsi="宋体"/>
                <w:color w:val="auto"/>
              </w:rPr>
            </w:pPr>
            <w:r>
              <w:rPr>
                <w:rFonts w:hint="eastAsia" w:ascii="宋体" w:hAnsi="宋体"/>
                <w:color w:val="auto"/>
              </w:rPr>
              <w:t>（二）危险废物申报制度</w:t>
            </w:r>
          </w:p>
          <w:p>
            <w:pPr>
              <w:ind w:firstLine="566" w:firstLineChars="236"/>
              <w:rPr>
                <w:rFonts w:hint="eastAsia" w:ascii="宋体" w:hAnsi="宋体"/>
                <w:color w:val="auto"/>
              </w:rPr>
            </w:pPr>
            <w:r>
              <w:rPr>
                <w:rFonts w:hint="eastAsia" w:ascii="宋体" w:hAnsi="宋体"/>
                <w:color w:val="auto"/>
              </w:rPr>
              <w:t>根据《中华人民共和国固体废物污染环境防治法》及生态环境部门对危险废物规范化管理工作实施方案的要求，建设单位应做好危险废物的申报登记工作。具体如下：</w:t>
            </w:r>
          </w:p>
          <w:p>
            <w:pPr>
              <w:ind w:firstLine="566" w:firstLineChars="236"/>
              <w:rPr>
                <w:rFonts w:hint="eastAsia" w:ascii="宋体" w:hAnsi="宋体"/>
                <w:color w:val="auto"/>
              </w:rPr>
            </w:pPr>
            <w:r>
              <w:rPr>
                <w:rFonts w:hint="eastAsia" w:ascii="宋体" w:hAnsi="宋体"/>
                <w:color w:val="auto"/>
              </w:rPr>
              <w:t>①落实危险废物的申报登记措施和责任，由专人负责通过“固体废物管理信息系统”做好危险废物的申报登记工作；</w:t>
            </w:r>
          </w:p>
          <w:p>
            <w:pPr>
              <w:ind w:firstLine="566" w:firstLineChars="236"/>
              <w:rPr>
                <w:rFonts w:hint="eastAsia" w:ascii="宋体" w:hAnsi="宋体"/>
                <w:color w:val="auto"/>
              </w:rPr>
            </w:pPr>
            <w:r>
              <w:rPr>
                <w:rFonts w:hint="eastAsia" w:ascii="宋体" w:hAnsi="宋体"/>
                <w:color w:val="auto"/>
              </w:rPr>
              <w:t>②必须在每年规定的日期前通过“固体废物管理信息系统”如实申报上年度危险废物利用及处置情况，并按规定先通过网上申报，经生态环境部门审核同意后，逐级上报；</w:t>
            </w:r>
          </w:p>
          <w:p>
            <w:pPr>
              <w:ind w:firstLine="566" w:firstLineChars="236"/>
              <w:rPr>
                <w:rFonts w:hint="eastAsia" w:ascii="宋体" w:hAnsi="宋体"/>
                <w:color w:val="auto"/>
              </w:rPr>
            </w:pPr>
            <w:r>
              <w:rPr>
                <w:rFonts w:hint="eastAsia" w:ascii="宋体" w:hAnsi="宋体"/>
                <w:color w:val="auto"/>
              </w:rPr>
              <w:t>③危险废物申报登记负责人必须提高认识，认真负责，申报登记数据必须以台账数据为基础如实申报，不得虚漏报、瞒报。违反危险废物的申报登记制度规定的按公司制度处罚，情节严重的追究相关法律责任。</w:t>
            </w:r>
          </w:p>
          <w:p>
            <w:pPr>
              <w:pStyle w:val="61"/>
              <w:rPr>
                <w:rFonts w:ascii="Times New Roman" w:hAnsi="Times New Roman" w:cs="Times New Roman"/>
                <w:color w:val="auto"/>
              </w:rPr>
            </w:pPr>
            <w:r>
              <w:rPr>
                <w:rFonts w:ascii="Times New Roman" w:hAnsi="Times New Roman" w:cs="Times New Roman"/>
                <w:color w:val="auto"/>
              </w:rPr>
              <w:t>4.2.4.</w:t>
            </w:r>
            <w:r>
              <w:rPr>
                <w:rFonts w:hint="eastAsia" w:ascii="Times New Roman" w:hAnsi="Times New Roman" w:cs="Times New Roman"/>
                <w:color w:val="auto"/>
              </w:rPr>
              <w:t xml:space="preserve">3 </w:t>
            </w:r>
            <w:r>
              <w:rPr>
                <w:rFonts w:ascii="Times New Roman" w:hAnsi="Times New Roman" w:cs="Times New Roman"/>
                <w:color w:val="auto"/>
              </w:rPr>
              <w:t>固体废物</w:t>
            </w:r>
            <w:r>
              <w:rPr>
                <w:rFonts w:hint="eastAsia" w:ascii="Times New Roman" w:hAnsi="Times New Roman" w:cs="Times New Roman"/>
                <w:color w:val="auto"/>
              </w:rPr>
              <w:t>环境影响分析</w:t>
            </w:r>
          </w:p>
          <w:p>
            <w:pPr>
              <w:pStyle w:val="38"/>
              <w:ind w:firstLine="480"/>
              <w:rPr>
                <w:color w:val="auto"/>
              </w:rPr>
            </w:pPr>
            <w:r>
              <w:rPr>
                <w:rFonts w:hint="eastAsia"/>
                <w:color w:val="auto"/>
              </w:rPr>
              <w:t>建设单位认真落实固体废物处置措施，保证各种固体废物得到妥善处置，项目产生的各种固体废物对环境的影响可得到有效的控制，可避免项目产生的固体废物对环境造成二次污染。</w:t>
            </w:r>
          </w:p>
          <w:p>
            <w:pPr>
              <w:pStyle w:val="56"/>
              <w:ind w:firstLine="480" w:firstLineChars="200"/>
              <w:rPr>
                <w:rFonts w:eastAsia="宋体"/>
                <w:color w:val="auto"/>
                <w:sz w:val="24"/>
                <w:szCs w:val="24"/>
              </w:rPr>
            </w:pPr>
          </w:p>
          <w:p>
            <w:pPr>
              <w:pStyle w:val="56"/>
              <w:ind w:firstLine="480" w:firstLineChars="200"/>
              <w:rPr>
                <w:rFonts w:eastAsia="宋体"/>
                <w:color w:val="auto"/>
                <w:sz w:val="24"/>
                <w:szCs w:val="24"/>
              </w:rPr>
            </w:pPr>
          </w:p>
          <w:p>
            <w:pPr>
              <w:pStyle w:val="56"/>
              <w:ind w:firstLine="480" w:firstLineChars="200"/>
              <w:rPr>
                <w:rFonts w:eastAsia="宋体"/>
                <w:color w:val="auto"/>
                <w:sz w:val="24"/>
                <w:szCs w:val="24"/>
              </w:rPr>
            </w:pPr>
          </w:p>
          <w:p>
            <w:pPr>
              <w:pStyle w:val="56"/>
              <w:ind w:firstLine="480" w:firstLineChars="200"/>
              <w:rPr>
                <w:rFonts w:eastAsia="宋体"/>
                <w:color w:val="auto"/>
                <w:sz w:val="24"/>
                <w:szCs w:val="24"/>
              </w:rPr>
            </w:pPr>
          </w:p>
          <w:p>
            <w:pPr>
              <w:pStyle w:val="56"/>
              <w:ind w:firstLine="480" w:firstLineChars="200"/>
              <w:rPr>
                <w:rFonts w:eastAsia="宋体"/>
                <w:color w:val="auto"/>
                <w:sz w:val="24"/>
                <w:szCs w:val="24"/>
              </w:rPr>
            </w:pPr>
          </w:p>
          <w:p>
            <w:pPr>
              <w:pStyle w:val="56"/>
              <w:ind w:firstLine="480" w:firstLineChars="200"/>
              <w:rPr>
                <w:rFonts w:eastAsia="宋体"/>
                <w:color w:val="auto"/>
                <w:sz w:val="24"/>
                <w:szCs w:val="24"/>
              </w:rPr>
            </w:pPr>
          </w:p>
          <w:p>
            <w:pPr>
              <w:pStyle w:val="56"/>
              <w:ind w:firstLine="480" w:firstLineChars="200"/>
              <w:rPr>
                <w:rFonts w:eastAsia="宋体"/>
                <w:color w:val="auto"/>
                <w:sz w:val="24"/>
                <w:szCs w:val="24"/>
              </w:rPr>
            </w:pPr>
          </w:p>
          <w:p>
            <w:pPr>
              <w:pStyle w:val="56"/>
              <w:ind w:firstLine="480" w:firstLineChars="200"/>
              <w:rPr>
                <w:rFonts w:eastAsia="宋体"/>
                <w:color w:val="auto"/>
                <w:sz w:val="24"/>
                <w:szCs w:val="24"/>
              </w:rPr>
            </w:pPr>
          </w:p>
          <w:p>
            <w:pPr>
              <w:pStyle w:val="56"/>
              <w:rPr>
                <w:rFonts w:cs="Times New Roman"/>
                <w:color w:val="auto"/>
              </w:rPr>
            </w:pPr>
            <w:bookmarkStart w:id="95" w:name="_Toc17087"/>
            <w:r>
              <w:rPr>
                <w:rFonts w:cs="Times New Roman"/>
                <w:color w:val="auto"/>
              </w:rPr>
              <w:t>4.2.</w:t>
            </w:r>
            <w:r>
              <w:rPr>
                <w:rFonts w:hint="eastAsia" w:cs="Times New Roman"/>
                <w:color w:val="auto"/>
              </w:rPr>
              <w:t>5</w:t>
            </w:r>
            <w:r>
              <w:rPr>
                <w:rFonts w:cs="Times New Roman"/>
                <w:color w:val="auto"/>
              </w:rPr>
              <w:t>土壤和地下水环境影响分析</w:t>
            </w:r>
            <w:bookmarkEnd w:id="95"/>
          </w:p>
          <w:p>
            <w:pPr>
              <w:pStyle w:val="38"/>
              <w:ind w:firstLine="480"/>
              <w:rPr>
                <w:color w:val="auto"/>
              </w:rPr>
            </w:pPr>
            <w:r>
              <w:rPr>
                <w:rFonts w:hint="eastAsia"/>
                <w:color w:val="auto"/>
              </w:rPr>
              <w:t>本</w:t>
            </w:r>
            <w:r>
              <w:rPr>
                <w:color w:val="auto"/>
              </w:rPr>
              <w:t>项目分区防渗划分见下表4</w:t>
            </w:r>
            <w:r>
              <w:rPr>
                <w:rFonts w:hint="eastAsia"/>
                <w:color w:val="auto"/>
              </w:rPr>
              <w:t>.2-1</w:t>
            </w:r>
            <w:r>
              <w:rPr>
                <w:rFonts w:hint="eastAsia"/>
                <w:color w:val="auto"/>
                <w:lang w:val="en-US" w:eastAsia="zh-CN"/>
              </w:rPr>
              <w:t>6</w:t>
            </w:r>
            <w:r>
              <w:rPr>
                <w:color w:val="auto"/>
              </w:rPr>
              <w:t>。</w:t>
            </w:r>
          </w:p>
          <w:p>
            <w:pPr>
              <w:pStyle w:val="37"/>
              <w:rPr>
                <w:color w:val="auto"/>
              </w:rPr>
            </w:pPr>
            <w:r>
              <w:rPr>
                <w:color w:val="auto"/>
              </w:rPr>
              <w:t>表4</w:t>
            </w:r>
            <w:r>
              <w:rPr>
                <w:rFonts w:hint="eastAsia"/>
                <w:color w:val="auto"/>
                <w:lang w:val="en-US"/>
              </w:rPr>
              <w:t>.2-1</w:t>
            </w:r>
            <w:r>
              <w:rPr>
                <w:rFonts w:hint="eastAsia"/>
                <w:color w:val="auto"/>
                <w:lang w:val="en-US" w:eastAsia="zh-CN"/>
              </w:rPr>
              <w:t>6</w:t>
            </w:r>
            <w:r>
              <w:rPr>
                <w:rFonts w:hint="eastAsia"/>
                <w:color w:val="auto"/>
                <w:lang w:val="en-US"/>
              </w:rPr>
              <w:t xml:space="preserve"> </w:t>
            </w:r>
            <w:r>
              <w:rPr>
                <w:color w:val="auto"/>
              </w:rPr>
              <w:t>分区防渗划分一览表</w:t>
            </w:r>
          </w:p>
          <w:p>
            <w:pPr>
              <w:spacing w:line="129" w:lineRule="exact"/>
              <w:ind w:firstLine="480"/>
              <w:rPr>
                <w:color w:val="auto"/>
              </w:rPr>
            </w:pPr>
          </w:p>
          <w:tbl>
            <w:tblPr>
              <w:tblStyle w:val="27"/>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51"/>
              <w:gridCol w:w="2393"/>
              <w:gridCol w:w="483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8" w:hRule="atLeast"/>
                <w:jc w:val="center"/>
              </w:trPr>
              <w:tc>
                <w:tcPr>
                  <w:tcW w:w="1151" w:type="dxa"/>
                  <w:tcBorders>
                    <w:tl2br w:val="nil"/>
                    <w:tr2bl w:val="nil"/>
                  </w:tcBorders>
                  <w:vAlign w:val="center"/>
                </w:tcPr>
                <w:p>
                  <w:pPr>
                    <w:pStyle w:val="36"/>
                    <w:rPr>
                      <w:rFonts w:eastAsia="Times New Roman"/>
                      <w:color w:val="auto"/>
                    </w:rPr>
                  </w:pPr>
                  <w:r>
                    <w:rPr>
                      <w:rFonts w:eastAsia="Times New Roman"/>
                      <w:color w:val="auto"/>
                    </w:rPr>
                    <w:t>防渗分区</w:t>
                  </w:r>
                </w:p>
              </w:tc>
              <w:tc>
                <w:tcPr>
                  <w:tcW w:w="2393" w:type="dxa"/>
                  <w:tcBorders>
                    <w:tl2br w:val="nil"/>
                    <w:tr2bl w:val="nil"/>
                  </w:tcBorders>
                  <w:vAlign w:val="center"/>
                </w:tcPr>
                <w:p>
                  <w:pPr>
                    <w:pStyle w:val="36"/>
                    <w:rPr>
                      <w:rFonts w:eastAsia="Times New Roman"/>
                      <w:color w:val="auto"/>
                    </w:rPr>
                  </w:pPr>
                  <w:r>
                    <w:rPr>
                      <w:rFonts w:eastAsia="Times New Roman"/>
                      <w:color w:val="auto"/>
                    </w:rPr>
                    <w:t>厂内分区</w:t>
                  </w:r>
                </w:p>
              </w:tc>
              <w:tc>
                <w:tcPr>
                  <w:tcW w:w="4835" w:type="dxa"/>
                  <w:tcBorders>
                    <w:tl2br w:val="nil"/>
                    <w:tr2bl w:val="nil"/>
                  </w:tcBorders>
                  <w:vAlign w:val="center"/>
                </w:tcPr>
                <w:p>
                  <w:pPr>
                    <w:pStyle w:val="36"/>
                    <w:rPr>
                      <w:rFonts w:eastAsia="Times New Roman"/>
                      <w:color w:val="auto"/>
                    </w:rPr>
                  </w:pPr>
                  <w:r>
                    <w:rPr>
                      <w:rFonts w:hint="eastAsia" w:eastAsia="Times New Roman"/>
                      <w:color w:val="auto"/>
                    </w:rPr>
                    <w:t>防渗要求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94" w:hRule="atLeast"/>
                <w:jc w:val="center"/>
              </w:trPr>
              <w:tc>
                <w:tcPr>
                  <w:tcW w:w="1151" w:type="dxa"/>
                  <w:tcBorders>
                    <w:tl2br w:val="nil"/>
                    <w:tr2bl w:val="nil"/>
                  </w:tcBorders>
                  <w:vAlign w:val="center"/>
                </w:tcPr>
                <w:p>
                  <w:pPr>
                    <w:pStyle w:val="36"/>
                    <w:rPr>
                      <w:rFonts w:eastAsia="Times New Roman"/>
                      <w:color w:val="auto"/>
                    </w:rPr>
                  </w:pPr>
                  <w:r>
                    <w:rPr>
                      <w:rFonts w:eastAsia="Times New Roman"/>
                      <w:color w:val="auto"/>
                    </w:rPr>
                    <w:t>重点防渗区</w:t>
                  </w:r>
                </w:p>
              </w:tc>
              <w:tc>
                <w:tcPr>
                  <w:tcW w:w="2393" w:type="dxa"/>
                  <w:tcBorders>
                    <w:tl2br w:val="nil"/>
                    <w:tr2bl w:val="nil"/>
                  </w:tcBorders>
                  <w:vAlign w:val="center"/>
                </w:tcPr>
                <w:p>
                  <w:pPr>
                    <w:pStyle w:val="36"/>
                    <w:rPr>
                      <w:rFonts w:eastAsia="Times New Roman"/>
                      <w:color w:val="auto"/>
                    </w:rPr>
                  </w:pPr>
                  <w:r>
                    <w:rPr>
                      <w:rFonts w:hint="eastAsia" w:eastAsia="Times New Roman"/>
                      <w:color w:val="auto"/>
                    </w:rPr>
                    <w:t>辅料仓库（拉丝油及机油等存储区）、拉丝液循环水池、危废贮存库</w:t>
                  </w:r>
                </w:p>
              </w:tc>
              <w:tc>
                <w:tcPr>
                  <w:tcW w:w="4835" w:type="dxa"/>
                  <w:tcBorders>
                    <w:tl2br w:val="nil"/>
                    <w:tr2bl w:val="nil"/>
                  </w:tcBorders>
                  <w:vAlign w:val="center"/>
                </w:tcPr>
                <w:p>
                  <w:pPr>
                    <w:pStyle w:val="36"/>
                    <w:jc w:val="left"/>
                    <w:rPr>
                      <w:rFonts w:eastAsia="Times New Roman"/>
                      <w:color w:val="auto"/>
                    </w:rPr>
                  </w:pPr>
                  <w:r>
                    <w:rPr>
                      <w:rFonts w:hint="eastAsia" w:eastAsia="Times New Roman"/>
                      <w:color w:val="auto"/>
                    </w:rPr>
                    <w:t>按照《环境影响评价技术导则地下水环境》（HJ 610-2016），防渗层防渗等级应等效于厚度不小于6.0m的黏土防渗层，防渗系数≤10</w:t>
                  </w:r>
                  <w:r>
                    <w:rPr>
                      <w:rFonts w:hint="eastAsia" w:eastAsia="Times New Roman"/>
                      <w:color w:val="auto"/>
                      <w:vertAlign w:val="superscript"/>
                    </w:rPr>
                    <w:t>-7</w:t>
                  </w:r>
                  <w:r>
                    <w:rPr>
                      <w:rFonts w:hint="eastAsia" w:eastAsia="Times New Roman"/>
                      <w:color w:val="auto"/>
                    </w:rPr>
                    <w:t>cm/s。或按照《危险废物贮存污染控制标准》（GB18597-2023）的要求进行防渗设计，即防渗层为至少1m厚黏土层（渗透系数≤10</w:t>
                  </w:r>
                  <w:r>
                    <w:rPr>
                      <w:rFonts w:hint="eastAsia" w:eastAsia="Times New Roman"/>
                      <w:color w:val="auto"/>
                      <w:vertAlign w:val="superscript"/>
                    </w:rPr>
                    <w:t>-7</w:t>
                  </w:r>
                  <w:r>
                    <w:rPr>
                      <w:rFonts w:hint="eastAsia" w:eastAsia="Times New Roman"/>
                      <w:color w:val="auto"/>
                    </w:rPr>
                    <w:t>cm/s，或2mm厚高密度聚乙烯，或至少2mm厚的其他人工材料，渗透系数≤10</w:t>
                  </w:r>
                  <w:r>
                    <w:rPr>
                      <w:rFonts w:hint="eastAsia" w:eastAsia="Times New Roman"/>
                      <w:color w:val="auto"/>
                      <w:vertAlign w:val="superscript"/>
                    </w:rPr>
                    <w:t>-10</w:t>
                  </w:r>
                  <w:r>
                    <w:rPr>
                      <w:rFonts w:hint="eastAsia" w:eastAsia="Times New Roman"/>
                      <w:color w:val="auto"/>
                    </w:rPr>
                    <w:t>cm/s）。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94" w:hRule="atLeast"/>
                <w:jc w:val="center"/>
              </w:trPr>
              <w:tc>
                <w:tcPr>
                  <w:tcW w:w="1151" w:type="dxa"/>
                  <w:tcBorders>
                    <w:tl2br w:val="nil"/>
                    <w:tr2bl w:val="nil"/>
                  </w:tcBorders>
                  <w:vAlign w:val="center"/>
                </w:tcPr>
                <w:p>
                  <w:pPr>
                    <w:pStyle w:val="36"/>
                    <w:rPr>
                      <w:rFonts w:eastAsia="Times New Roman"/>
                      <w:color w:val="auto"/>
                    </w:rPr>
                  </w:pPr>
                  <w:r>
                    <w:rPr>
                      <w:rFonts w:eastAsia="Times New Roman"/>
                      <w:color w:val="auto"/>
                    </w:rPr>
                    <w:t>一般防渗区</w:t>
                  </w:r>
                </w:p>
              </w:tc>
              <w:tc>
                <w:tcPr>
                  <w:tcW w:w="2393" w:type="dxa"/>
                  <w:tcBorders>
                    <w:tl2br w:val="nil"/>
                    <w:tr2bl w:val="nil"/>
                  </w:tcBorders>
                  <w:vAlign w:val="center"/>
                </w:tcPr>
                <w:p>
                  <w:pPr>
                    <w:pStyle w:val="36"/>
                    <w:rPr>
                      <w:rFonts w:eastAsia="Times New Roman"/>
                      <w:color w:val="auto"/>
                    </w:rPr>
                  </w:pPr>
                  <w:r>
                    <w:rPr>
                      <w:rFonts w:hint="eastAsia" w:eastAsia="Times New Roman"/>
                      <w:color w:val="auto"/>
                    </w:rPr>
                    <w:t>一般固废暂存间、循环冷却水池、生产车间重点防渗区域外的生产区。</w:t>
                  </w:r>
                </w:p>
              </w:tc>
              <w:tc>
                <w:tcPr>
                  <w:tcW w:w="4835" w:type="dxa"/>
                  <w:tcBorders>
                    <w:tl2br w:val="nil"/>
                    <w:tr2bl w:val="nil"/>
                  </w:tcBorders>
                  <w:vAlign w:val="center"/>
                </w:tcPr>
                <w:p>
                  <w:pPr>
                    <w:pStyle w:val="36"/>
                    <w:jc w:val="left"/>
                    <w:rPr>
                      <w:rFonts w:eastAsia="Times New Roman"/>
                      <w:color w:val="auto"/>
                    </w:rPr>
                  </w:pPr>
                  <w:r>
                    <w:rPr>
                      <w:rFonts w:hint="eastAsia" w:eastAsia="Times New Roman"/>
                      <w:color w:val="auto"/>
                    </w:rPr>
                    <w:t>按照《环境影响评价技术导则地下水环境》（HJ 610-2016），防渗层防渗等级应等效于厚度不小于1.5m的黏土防渗层，防渗系数≤10</w:t>
                  </w:r>
                  <w:r>
                    <w:rPr>
                      <w:rFonts w:hint="eastAsia" w:eastAsia="Times New Roman"/>
                      <w:color w:val="auto"/>
                      <w:vertAlign w:val="superscript"/>
                    </w:rPr>
                    <w:t>-7</w:t>
                  </w:r>
                  <w:r>
                    <w:rPr>
                      <w:rFonts w:hint="eastAsia" w:eastAsia="Times New Roman"/>
                      <w:color w:val="auto"/>
                    </w:rPr>
                    <w:t>cm/s。或按照《一般工业固体废物贮存和填埋污染控制标准》（GB18599-2020）Ⅱ类场进行设计，防渗层渗透系数不应大于1.0×10</w:t>
                  </w:r>
                  <w:r>
                    <w:rPr>
                      <w:rFonts w:hint="eastAsia" w:eastAsia="Times New Roman"/>
                      <w:color w:val="auto"/>
                      <w:vertAlign w:val="superscript"/>
                    </w:rPr>
                    <w:t>-7</w:t>
                  </w:r>
                  <w:r>
                    <w:rPr>
                      <w:rFonts w:hint="eastAsia" w:eastAsia="Times New Roman"/>
                      <w:color w:val="auto"/>
                    </w:rPr>
                    <w:t>cm/s，防渗性能至少相当于1.5mm高密度聚乙烯膜的防渗性能。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31" w:hRule="atLeast"/>
                <w:jc w:val="center"/>
              </w:trPr>
              <w:tc>
                <w:tcPr>
                  <w:tcW w:w="1151" w:type="dxa"/>
                  <w:tcBorders>
                    <w:tl2br w:val="nil"/>
                    <w:tr2bl w:val="nil"/>
                  </w:tcBorders>
                  <w:vAlign w:val="center"/>
                </w:tcPr>
                <w:p>
                  <w:pPr>
                    <w:pStyle w:val="36"/>
                    <w:rPr>
                      <w:rFonts w:eastAsia="Times New Roman"/>
                      <w:color w:val="auto"/>
                    </w:rPr>
                  </w:pPr>
                  <w:r>
                    <w:rPr>
                      <w:rFonts w:eastAsia="Times New Roman"/>
                      <w:color w:val="auto"/>
                    </w:rPr>
                    <w:t>简单防渗区</w:t>
                  </w:r>
                </w:p>
              </w:tc>
              <w:tc>
                <w:tcPr>
                  <w:tcW w:w="2393" w:type="dxa"/>
                  <w:tcBorders>
                    <w:tl2br w:val="nil"/>
                    <w:tr2bl w:val="nil"/>
                  </w:tcBorders>
                  <w:vAlign w:val="center"/>
                </w:tcPr>
                <w:p>
                  <w:pPr>
                    <w:pStyle w:val="36"/>
                    <w:rPr>
                      <w:rFonts w:eastAsia="Times New Roman"/>
                      <w:color w:val="auto"/>
                    </w:rPr>
                  </w:pPr>
                  <w:r>
                    <w:rPr>
                      <w:rFonts w:eastAsia="Times New Roman"/>
                      <w:color w:val="auto"/>
                    </w:rPr>
                    <w:t>办公区</w:t>
                  </w:r>
                </w:p>
              </w:tc>
              <w:tc>
                <w:tcPr>
                  <w:tcW w:w="4835" w:type="dxa"/>
                  <w:tcBorders>
                    <w:tl2br w:val="nil"/>
                    <w:tr2bl w:val="nil"/>
                  </w:tcBorders>
                  <w:vAlign w:val="center"/>
                </w:tcPr>
                <w:p>
                  <w:pPr>
                    <w:pStyle w:val="36"/>
                    <w:rPr>
                      <w:rFonts w:eastAsia="Times New Roman"/>
                      <w:color w:val="auto"/>
                    </w:rPr>
                  </w:pPr>
                  <w:r>
                    <w:rPr>
                      <w:rFonts w:eastAsia="Times New Roman"/>
                      <w:color w:val="auto"/>
                    </w:rPr>
                    <w:t>一般地面硬化</w:t>
                  </w:r>
                </w:p>
              </w:tc>
            </w:tr>
          </w:tbl>
          <w:p>
            <w:pPr>
              <w:ind w:firstLine="480"/>
              <w:rPr>
                <w:color w:val="auto"/>
              </w:rPr>
            </w:pPr>
            <w:r>
              <w:rPr>
                <w:rFonts w:hint="eastAsia" w:ascii="宋体" w:hAnsi="宋体"/>
                <w:color w:val="auto"/>
                <w:lang w:bidi="ar"/>
              </w:rPr>
              <w:t>本项目通过采取严格的防渗措施后，对可能产生地下水、土壤影响的污染途径进行了有效预防，在确保各项防渗措施得以落实，并加强维护的前提下，项目对地下水、土壤环境影响较小。</w:t>
            </w:r>
          </w:p>
          <w:p>
            <w:pPr>
              <w:pStyle w:val="56"/>
              <w:rPr>
                <w:rFonts w:cs="Times New Roman"/>
                <w:color w:val="auto"/>
              </w:rPr>
            </w:pPr>
            <w:bookmarkStart w:id="96" w:name="_Toc19957"/>
            <w:r>
              <w:rPr>
                <w:rFonts w:cs="Times New Roman"/>
                <w:color w:val="auto"/>
              </w:rPr>
              <w:t>4.2.</w:t>
            </w:r>
            <w:r>
              <w:rPr>
                <w:rFonts w:hint="eastAsia" w:cs="Times New Roman"/>
                <w:color w:val="auto"/>
              </w:rPr>
              <w:t>6生态</w:t>
            </w:r>
            <w:bookmarkEnd w:id="96"/>
          </w:p>
          <w:p>
            <w:pPr>
              <w:ind w:firstLine="480"/>
              <w:rPr>
                <w:rFonts w:cs="Times New Roman"/>
                <w:color w:val="auto"/>
              </w:rPr>
            </w:pPr>
            <w:r>
              <w:rPr>
                <w:rFonts w:hint="eastAsia" w:cs="Times New Roman"/>
                <w:color w:val="auto"/>
              </w:rPr>
              <w:t>项目用地范围内无生态环境保护目标。</w:t>
            </w:r>
          </w:p>
          <w:p>
            <w:pPr>
              <w:pStyle w:val="56"/>
              <w:rPr>
                <w:rFonts w:cs="Times New Roman"/>
                <w:color w:val="auto"/>
              </w:rPr>
            </w:pPr>
            <w:bookmarkStart w:id="97" w:name="_Toc26932"/>
            <w:r>
              <w:rPr>
                <w:rFonts w:cs="Times New Roman"/>
                <w:color w:val="auto"/>
              </w:rPr>
              <w:t>4.2.</w:t>
            </w:r>
            <w:r>
              <w:rPr>
                <w:rFonts w:hint="eastAsia" w:cs="Times New Roman"/>
                <w:color w:val="auto"/>
              </w:rPr>
              <w:t>7环境风险</w:t>
            </w:r>
            <w:bookmarkEnd w:id="97"/>
          </w:p>
          <w:p>
            <w:pPr>
              <w:pStyle w:val="61"/>
              <w:ind w:firstLine="480" w:firstLineChars="200"/>
              <w:rPr>
                <w:rFonts w:hint="eastAsia" w:ascii="宋体" w:hAnsi="宋体" w:eastAsia="宋体"/>
                <w:bCs w:val="0"/>
                <w:color w:val="auto"/>
                <w:kern w:val="0"/>
                <w:lang w:bidi="ar"/>
              </w:rPr>
            </w:pPr>
            <w:r>
              <w:rPr>
                <w:rFonts w:hint="eastAsia" w:ascii="宋体" w:hAnsi="宋体" w:eastAsia="宋体"/>
                <w:bCs w:val="0"/>
                <w:color w:val="auto"/>
                <w:kern w:val="0"/>
                <w:lang w:bidi="ar"/>
              </w:rPr>
              <w:t>根据《建设项目环境影响报告表编制技术指南（污染影响类）（试行）》中具体编制要求“明确有毒有害和易燃易爆等风险物质和风险源分布及可能影响途径，并提出相应环境风险防范措施”。</w:t>
            </w:r>
          </w:p>
          <w:p>
            <w:pPr>
              <w:pStyle w:val="61"/>
              <w:rPr>
                <w:rFonts w:ascii="Times New Roman" w:hAnsi="Times New Roman" w:cs="Times New Roman"/>
                <w:color w:val="auto"/>
              </w:rPr>
            </w:pPr>
            <w:r>
              <w:rPr>
                <w:rFonts w:ascii="Times New Roman" w:hAnsi="Times New Roman" w:cs="Times New Roman"/>
                <w:color w:val="auto"/>
              </w:rPr>
              <w:t>4.2.</w:t>
            </w:r>
            <w:r>
              <w:rPr>
                <w:rFonts w:hint="eastAsia" w:ascii="Times New Roman" w:hAnsi="Times New Roman" w:cs="Times New Roman"/>
                <w:color w:val="auto"/>
              </w:rPr>
              <w:t>7</w:t>
            </w:r>
            <w:r>
              <w:rPr>
                <w:rFonts w:ascii="Times New Roman" w:hAnsi="Times New Roman" w:cs="Times New Roman"/>
                <w:color w:val="auto"/>
              </w:rPr>
              <w:t>.1</w:t>
            </w:r>
            <w:r>
              <w:rPr>
                <w:rFonts w:hint="eastAsia" w:ascii="Times New Roman" w:hAnsi="Times New Roman" w:cs="Times New Roman"/>
                <w:color w:val="auto"/>
              </w:rPr>
              <w:t>风险源分布和风险识别</w:t>
            </w:r>
          </w:p>
          <w:p>
            <w:pPr>
              <w:ind w:firstLine="480"/>
              <w:rPr>
                <w:rFonts w:cs="Times New Roman"/>
                <w:color w:val="auto"/>
                <w:lang w:bidi="ar"/>
              </w:rPr>
            </w:pPr>
            <w:r>
              <w:rPr>
                <w:rFonts w:cs="Times New Roman"/>
                <w:color w:val="auto"/>
                <w:lang w:bidi="ar"/>
              </w:rPr>
              <w:t>（1）风险物质识别和风险源分布</w:t>
            </w:r>
          </w:p>
          <w:p>
            <w:pPr>
              <w:pStyle w:val="61"/>
              <w:ind w:firstLine="480" w:firstLineChars="200"/>
              <w:rPr>
                <w:rFonts w:ascii="Times New Roman" w:hAnsi="Times New Roman" w:eastAsia="宋体" w:cs="Times New Roman"/>
                <w:bCs w:val="0"/>
                <w:color w:val="auto"/>
                <w:kern w:val="0"/>
                <w:lang w:bidi="ar"/>
              </w:rPr>
            </w:pPr>
            <w:r>
              <w:rPr>
                <w:rFonts w:hint="eastAsia" w:ascii="Times New Roman" w:hAnsi="Times New Roman" w:eastAsia="宋体" w:cs="Times New Roman"/>
                <w:bCs w:val="0"/>
                <w:color w:val="auto"/>
                <w:kern w:val="0"/>
                <w:lang w:bidi="ar"/>
              </w:rPr>
              <w:t>根据《危险化学品重大危险源辨识》（GB18218-2018）、《建设项目环境风险评价技术导则》（HJ/T169-2018）和《化学品分类和标签规范第18部分：急性毒性》（GB30000.18-2013），</w:t>
            </w:r>
            <w:r>
              <w:rPr>
                <w:rFonts w:ascii="Times New Roman" w:hAnsi="Times New Roman" w:eastAsia="宋体" w:cs="Times New Roman"/>
                <w:bCs w:val="0"/>
                <w:color w:val="auto"/>
                <w:kern w:val="0"/>
                <w:lang w:bidi="ar"/>
              </w:rPr>
              <w:t>全厂风险物质为拉丝油</w:t>
            </w:r>
            <w:r>
              <w:rPr>
                <w:rFonts w:hint="eastAsia" w:ascii="Times New Roman" w:hAnsi="Times New Roman" w:eastAsia="宋体" w:cs="Times New Roman"/>
                <w:bCs w:val="0"/>
                <w:color w:val="auto"/>
                <w:kern w:val="0"/>
                <w:lang w:bidi="ar"/>
              </w:rPr>
              <w:t>（石油、菜油、邻甲酚-d8）</w:t>
            </w:r>
            <w:r>
              <w:rPr>
                <w:rFonts w:ascii="Times New Roman" w:hAnsi="Times New Roman" w:eastAsia="宋体" w:cs="Times New Roman"/>
                <w:bCs w:val="0"/>
                <w:color w:val="auto"/>
                <w:kern w:val="0"/>
                <w:lang w:bidi="ar"/>
              </w:rPr>
              <w:t>、机油、液压油、拉丝液及危险废物</w:t>
            </w:r>
            <w:r>
              <w:rPr>
                <w:rFonts w:hint="eastAsia" w:ascii="Times New Roman" w:hAnsi="Times New Roman" w:eastAsia="宋体" w:cs="Times New Roman"/>
                <w:bCs w:val="0"/>
                <w:color w:val="auto"/>
                <w:kern w:val="0"/>
                <w:lang w:bidi="ar"/>
              </w:rPr>
              <w:t>，</w:t>
            </w:r>
            <w:r>
              <w:rPr>
                <w:rFonts w:ascii="Times New Roman" w:hAnsi="Times New Roman" w:eastAsia="宋体" w:cs="Times New Roman"/>
                <w:bCs w:val="0"/>
                <w:color w:val="auto"/>
                <w:kern w:val="0"/>
                <w:lang w:bidi="ar"/>
              </w:rPr>
              <w:t>风险物质判定详见表4.2-</w:t>
            </w:r>
            <w:r>
              <w:rPr>
                <w:rFonts w:hint="eastAsia" w:ascii="Times New Roman" w:hAnsi="Times New Roman" w:eastAsia="宋体" w:cs="Times New Roman"/>
                <w:bCs w:val="0"/>
                <w:color w:val="auto"/>
                <w:kern w:val="0"/>
                <w:lang w:bidi="ar"/>
              </w:rPr>
              <w:t>1</w:t>
            </w:r>
            <w:r>
              <w:rPr>
                <w:rFonts w:hint="eastAsia" w:ascii="Times New Roman" w:hAnsi="Times New Roman" w:eastAsia="宋体" w:cs="Times New Roman"/>
                <w:bCs w:val="0"/>
                <w:color w:val="auto"/>
                <w:kern w:val="0"/>
                <w:lang w:val="en-US" w:eastAsia="zh-CN" w:bidi="ar"/>
              </w:rPr>
              <w:t>7</w:t>
            </w:r>
            <w:r>
              <w:rPr>
                <w:rFonts w:hint="eastAsia" w:ascii="Times New Roman" w:hAnsi="Times New Roman" w:eastAsia="宋体" w:cs="Times New Roman"/>
                <w:bCs w:val="0"/>
                <w:color w:val="auto"/>
                <w:kern w:val="0"/>
                <w:lang w:bidi="ar"/>
              </w:rPr>
              <w:t>~</w:t>
            </w:r>
            <w:r>
              <w:rPr>
                <w:rFonts w:ascii="Times New Roman" w:hAnsi="Times New Roman" w:eastAsia="宋体" w:cs="Times New Roman"/>
                <w:bCs w:val="0"/>
                <w:color w:val="auto"/>
                <w:kern w:val="0"/>
                <w:lang w:bidi="ar"/>
              </w:rPr>
              <w:t>表4.2-</w:t>
            </w:r>
            <w:r>
              <w:rPr>
                <w:rFonts w:hint="eastAsia" w:ascii="Times New Roman" w:hAnsi="Times New Roman" w:eastAsia="宋体" w:cs="Times New Roman"/>
                <w:bCs w:val="0"/>
                <w:color w:val="auto"/>
                <w:kern w:val="0"/>
                <w:lang w:val="en-US" w:eastAsia="zh-CN" w:bidi="ar"/>
              </w:rPr>
              <w:t>18</w:t>
            </w:r>
            <w:r>
              <w:rPr>
                <w:rFonts w:ascii="Times New Roman" w:hAnsi="Times New Roman" w:eastAsia="宋体" w:cs="Times New Roman"/>
                <w:bCs w:val="0"/>
                <w:color w:val="auto"/>
                <w:kern w:val="0"/>
                <w:lang w:bidi="ar"/>
              </w:rPr>
              <w:t>。</w:t>
            </w:r>
          </w:p>
          <w:p>
            <w:pPr>
              <w:pStyle w:val="37"/>
              <w:rPr>
                <w:color w:val="auto"/>
              </w:rPr>
            </w:pPr>
          </w:p>
          <w:p>
            <w:pPr>
              <w:pStyle w:val="37"/>
              <w:rPr>
                <w:color w:val="auto"/>
              </w:rPr>
            </w:pPr>
          </w:p>
          <w:p>
            <w:pPr>
              <w:pStyle w:val="37"/>
              <w:rPr>
                <w:color w:val="auto"/>
                <w:lang w:val="en-US"/>
              </w:rPr>
            </w:pPr>
            <w:r>
              <w:rPr>
                <w:color w:val="auto"/>
              </w:rPr>
              <w:t>表</w:t>
            </w:r>
            <w:r>
              <w:rPr>
                <w:rFonts w:hint="eastAsia"/>
                <w:color w:val="auto"/>
                <w:lang w:val="en-US"/>
              </w:rPr>
              <w:t>4.2</w:t>
            </w:r>
            <w:r>
              <w:rPr>
                <w:color w:val="auto"/>
              </w:rPr>
              <w:t>-</w:t>
            </w:r>
            <w:r>
              <w:rPr>
                <w:rFonts w:hint="eastAsia"/>
                <w:color w:val="auto"/>
                <w:lang w:val="en-US"/>
              </w:rPr>
              <w:t>1</w:t>
            </w:r>
            <w:r>
              <w:rPr>
                <w:rFonts w:hint="eastAsia"/>
                <w:color w:val="auto"/>
                <w:lang w:val="en-US" w:eastAsia="zh-CN"/>
              </w:rPr>
              <w:t>7</w:t>
            </w:r>
            <w:r>
              <w:rPr>
                <w:color w:val="auto"/>
              </w:rPr>
              <w:t xml:space="preserve">  </w:t>
            </w:r>
            <w:r>
              <w:rPr>
                <w:rFonts w:hint="eastAsia"/>
                <w:color w:val="auto"/>
              </w:rPr>
              <w:t>铜拉丝油</w:t>
            </w:r>
            <w:r>
              <w:rPr>
                <w:rFonts w:hint="eastAsia"/>
                <w:color w:val="auto"/>
                <w:lang w:val="en-US"/>
              </w:rPr>
              <w:t>风险物质识别</w:t>
            </w:r>
          </w:p>
          <w:tbl>
            <w:tblPr>
              <w:tblStyle w:val="27"/>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2252"/>
              <w:gridCol w:w="1349"/>
              <w:gridCol w:w="1099"/>
              <w:gridCol w:w="1500"/>
              <w:gridCol w:w="10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pPr>
                    <w:pStyle w:val="36"/>
                    <w:rPr>
                      <w:color w:val="auto"/>
                    </w:rPr>
                  </w:pPr>
                  <w:r>
                    <w:rPr>
                      <w:rFonts w:hint="eastAsia"/>
                      <w:color w:val="auto"/>
                    </w:rPr>
                    <w:t>名称</w:t>
                  </w:r>
                </w:p>
              </w:tc>
              <w:tc>
                <w:tcPr>
                  <w:tcW w:w="1342" w:type="pct"/>
                  <w:vAlign w:val="center"/>
                </w:tcPr>
                <w:p>
                  <w:pPr>
                    <w:pStyle w:val="36"/>
                    <w:rPr>
                      <w:color w:val="auto"/>
                    </w:rPr>
                  </w:pPr>
                  <w:r>
                    <w:rPr>
                      <w:rFonts w:hint="eastAsia"/>
                      <w:color w:val="auto"/>
                    </w:rPr>
                    <w:t>组成</w:t>
                  </w:r>
                  <w:r>
                    <w:rPr>
                      <w:color w:val="auto"/>
                    </w:rPr>
                    <w:t>成分</w:t>
                  </w:r>
                </w:p>
              </w:tc>
              <w:tc>
                <w:tcPr>
                  <w:tcW w:w="805" w:type="pct"/>
                  <w:tcBorders>
                    <w:right w:val="single" w:color="000000" w:sz="2" w:space="0"/>
                  </w:tcBorders>
                  <w:vAlign w:val="center"/>
                </w:tcPr>
                <w:p>
                  <w:pPr>
                    <w:pStyle w:val="36"/>
                    <w:rPr>
                      <w:color w:val="auto"/>
                    </w:rPr>
                  </w:pPr>
                  <w:r>
                    <w:rPr>
                      <w:rFonts w:hint="eastAsia"/>
                      <w:color w:val="auto"/>
                    </w:rPr>
                    <w:t>CAS号</w:t>
                  </w:r>
                </w:p>
              </w:tc>
              <w:tc>
                <w:tcPr>
                  <w:tcW w:w="656" w:type="pct"/>
                  <w:tcBorders>
                    <w:left w:val="single" w:color="000000" w:sz="2" w:space="0"/>
                  </w:tcBorders>
                  <w:vAlign w:val="center"/>
                </w:tcPr>
                <w:p>
                  <w:pPr>
                    <w:pStyle w:val="36"/>
                    <w:rPr>
                      <w:color w:val="auto"/>
                    </w:rPr>
                  </w:pPr>
                  <w:r>
                    <w:rPr>
                      <w:rFonts w:hint="eastAsia"/>
                      <w:color w:val="auto"/>
                    </w:rPr>
                    <w:t>急性毒性类别</w:t>
                  </w:r>
                </w:p>
              </w:tc>
              <w:tc>
                <w:tcPr>
                  <w:tcW w:w="894" w:type="pct"/>
                  <w:tcBorders>
                    <w:left w:val="single" w:color="auto" w:sz="4" w:space="0"/>
                  </w:tcBorders>
                  <w:vAlign w:val="center"/>
                </w:tcPr>
                <w:p>
                  <w:pPr>
                    <w:pStyle w:val="36"/>
                    <w:rPr>
                      <w:color w:val="auto"/>
                    </w:rPr>
                  </w:pPr>
                  <w:r>
                    <w:rPr>
                      <w:rFonts w:hint="eastAsia"/>
                      <w:color w:val="auto"/>
                    </w:rPr>
                    <w:t>是否属于环境风险物质</w:t>
                  </w:r>
                </w:p>
              </w:tc>
              <w:tc>
                <w:tcPr>
                  <w:tcW w:w="654" w:type="pct"/>
                  <w:tcBorders>
                    <w:left w:val="single" w:color="auto" w:sz="4" w:space="0"/>
                  </w:tcBorders>
                  <w:vAlign w:val="center"/>
                </w:tcPr>
                <w:p>
                  <w:pPr>
                    <w:pStyle w:val="36"/>
                    <w:rPr>
                      <w:color w:val="auto"/>
                    </w:rPr>
                  </w:pPr>
                  <w:r>
                    <w:rPr>
                      <w:color w:val="auto"/>
                    </w:rPr>
                    <w:t>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Merge w:val="restart"/>
                  <w:vAlign w:val="center"/>
                </w:tcPr>
                <w:p>
                  <w:pPr>
                    <w:pStyle w:val="36"/>
                    <w:rPr>
                      <w:color w:val="auto"/>
                    </w:rPr>
                  </w:pPr>
                  <w:r>
                    <w:rPr>
                      <w:rFonts w:hint="eastAsia"/>
                      <w:color w:val="auto"/>
                    </w:rPr>
                    <w:t>铜拉丝油</w:t>
                  </w:r>
                </w:p>
              </w:tc>
              <w:tc>
                <w:tcPr>
                  <w:tcW w:w="1342" w:type="pct"/>
                  <w:vAlign w:val="center"/>
                </w:tcPr>
                <w:p>
                  <w:pPr>
                    <w:pStyle w:val="36"/>
                    <w:rPr>
                      <w:color w:val="auto"/>
                    </w:rPr>
                  </w:pPr>
                  <w:r>
                    <w:rPr>
                      <w:rFonts w:hint="eastAsia"/>
                      <w:color w:val="auto"/>
                    </w:rPr>
                    <w:t>石油</w:t>
                  </w:r>
                </w:p>
              </w:tc>
              <w:tc>
                <w:tcPr>
                  <w:tcW w:w="805" w:type="pct"/>
                  <w:tcBorders>
                    <w:right w:val="single" w:color="000000" w:sz="2" w:space="0"/>
                  </w:tcBorders>
                  <w:vAlign w:val="center"/>
                </w:tcPr>
                <w:p>
                  <w:pPr>
                    <w:pStyle w:val="36"/>
                    <w:rPr>
                      <w:color w:val="auto"/>
                    </w:rPr>
                  </w:pPr>
                  <w:r>
                    <w:rPr>
                      <w:rFonts w:hint="eastAsia"/>
                      <w:color w:val="auto"/>
                    </w:rPr>
                    <w:t>8002-05-9</w:t>
                  </w:r>
                </w:p>
              </w:tc>
              <w:tc>
                <w:tcPr>
                  <w:tcW w:w="656" w:type="pct"/>
                  <w:tcBorders>
                    <w:left w:val="single" w:color="000000" w:sz="2" w:space="0"/>
                  </w:tcBorders>
                  <w:vAlign w:val="center"/>
                </w:tcPr>
                <w:p>
                  <w:pPr>
                    <w:pStyle w:val="36"/>
                    <w:rPr>
                      <w:color w:val="auto"/>
                    </w:rPr>
                  </w:pPr>
                  <w:r>
                    <w:rPr>
                      <w:rFonts w:hint="eastAsia"/>
                      <w:color w:val="auto"/>
                    </w:rPr>
                    <w:t>油类物质</w:t>
                  </w:r>
                </w:p>
              </w:tc>
              <w:tc>
                <w:tcPr>
                  <w:tcW w:w="894" w:type="pct"/>
                  <w:tcBorders>
                    <w:left w:val="single" w:color="auto" w:sz="4" w:space="0"/>
                  </w:tcBorders>
                  <w:vAlign w:val="center"/>
                </w:tcPr>
                <w:p>
                  <w:pPr>
                    <w:pStyle w:val="36"/>
                    <w:rPr>
                      <w:color w:val="auto"/>
                    </w:rPr>
                  </w:pPr>
                  <w:r>
                    <w:rPr>
                      <w:rFonts w:hint="eastAsia"/>
                      <w:color w:val="auto"/>
                    </w:rPr>
                    <w:t>是</w:t>
                  </w:r>
                </w:p>
              </w:tc>
              <w:tc>
                <w:tcPr>
                  <w:tcW w:w="654" w:type="pct"/>
                  <w:tcBorders>
                    <w:left w:val="single" w:color="auto" w:sz="4" w:space="0"/>
                  </w:tcBorders>
                  <w:vAlign w:val="center"/>
                </w:tcPr>
                <w:p>
                  <w:pPr>
                    <w:pStyle w:val="36"/>
                    <w:rPr>
                      <w:color w:val="auto"/>
                    </w:rPr>
                  </w:pPr>
                  <w:r>
                    <w:rPr>
                      <w:rFonts w:hint="eastAsia"/>
                      <w:color w:val="auto"/>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646" w:type="pct"/>
                  <w:vMerge w:val="continue"/>
                  <w:vAlign w:val="center"/>
                </w:tcPr>
                <w:p>
                  <w:pPr>
                    <w:pStyle w:val="36"/>
                    <w:rPr>
                      <w:color w:val="auto"/>
                    </w:rPr>
                  </w:pPr>
                </w:p>
              </w:tc>
              <w:tc>
                <w:tcPr>
                  <w:tcW w:w="1342" w:type="pct"/>
                  <w:vAlign w:val="center"/>
                </w:tcPr>
                <w:p>
                  <w:pPr>
                    <w:pStyle w:val="36"/>
                    <w:rPr>
                      <w:color w:val="auto"/>
                    </w:rPr>
                  </w:pPr>
                  <w:r>
                    <w:rPr>
                      <w:rFonts w:hint="eastAsia"/>
                      <w:color w:val="auto"/>
                    </w:rPr>
                    <w:t>水</w:t>
                  </w:r>
                </w:p>
              </w:tc>
              <w:tc>
                <w:tcPr>
                  <w:tcW w:w="805" w:type="pct"/>
                  <w:tcBorders>
                    <w:right w:val="single" w:color="000000" w:sz="2" w:space="0"/>
                  </w:tcBorders>
                  <w:vAlign w:val="center"/>
                </w:tcPr>
                <w:p>
                  <w:pPr>
                    <w:pStyle w:val="36"/>
                    <w:rPr>
                      <w:color w:val="auto"/>
                    </w:rPr>
                  </w:pPr>
                  <w:r>
                    <w:rPr>
                      <w:rFonts w:hint="eastAsia"/>
                      <w:color w:val="auto"/>
                    </w:rPr>
                    <w:t>7732-18-5</w:t>
                  </w:r>
                </w:p>
              </w:tc>
              <w:tc>
                <w:tcPr>
                  <w:tcW w:w="656" w:type="pct"/>
                  <w:tcBorders>
                    <w:left w:val="single" w:color="000000" w:sz="2" w:space="0"/>
                  </w:tcBorders>
                  <w:vAlign w:val="center"/>
                </w:tcPr>
                <w:p>
                  <w:pPr>
                    <w:pStyle w:val="36"/>
                    <w:rPr>
                      <w:color w:val="auto"/>
                    </w:rPr>
                  </w:pPr>
                  <w:r>
                    <w:rPr>
                      <w:rFonts w:hint="eastAsia"/>
                      <w:color w:val="auto"/>
                    </w:rPr>
                    <w:t>/</w:t>
                  </w:r>
                </w:p>
              </w:tc>
              <w:tc>
                <w:tcPr>
                  <w:tcW w:w="894" w:type="pct"/>
                  <w:tcBorders>
                    <w:left w:val="single" w:color="auto" w:sz="4" w:space="0"/>
                  </w:tcBorders>
                  <w:vAlign w:val="center"/>
                </w:tcPr>
                <w:p>
                  <w:pPr>
                    <w:pStyle w:val="36"/>
                    <w:rPr>
                      <w:color w:val="auto"/>
                    </w:rPr>
                  </w:pPr>
                  <w:r>
                    <w:rPr>
                      <w:rFonts w:hint="eastAsia"/>
                      <w:color w:val="auto"/>
                    </w:rPr>
                    <w:t>否</w:t>
                  </w:r>
                </w:p>
              </w:tc>
              <w:tc>
                <w:tcPr>
                  <w:tcW w:w="654" w:type="pct"/>
                  <w:tcBorders>
                    <w:left w:val="single" w:color="auto" w:sz="4" w:space="0"/>
                  </w:tcBorders>
                  <w:vAlign w:val="center"/>
                </w:tcPr>
                <w:p>
                  <w:pPr>
                    <w:pStyle w:val="36"/>
                    <w:rPr>
                      <w:color w:val="auto"/>
                    </w:rPr>
                  </w:pPr>
                  <w:r>
                    <w:rPr>
                      <w:rFonts w:hint="eastAsia"/>
                      <w:color w:val="auto"/>
                    </w:rPr>
                    <w:t>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Merge w:val="continue"/>
                  <w:vAlign w:val="center"/>
                </w:tcPr>
                <w:p>
                  <w:pPr>
                    <w:pStyle w:val="36"/>
                    <w:rPr>
                      <w:color w:val="auto"/>
                    </w:rPr>
                  </w:pPr>
                </w:p>
              </w:tc>
              <w:tc>
                <w:tcPr>
                  <w:tcW w:w="1342" w:type="pct"/>
                  <w:vAlign w:val="center"/>
                </w:tcPr>
                <w:p>
                  <w:pPr>
                    <w:pStyle w:val="36"/>
                    <w:rPr>
                      <w:color w:val="auto"/>
                    </w:rPr>
                  </w:pPr>
                  <w:r>
                    <w:rPr>
                      <w:rFonts w:hint="eastAsia"/>
                      <w:color w:val="auto"/>
                    </w:rPr>
                    <w:t>Fatty acid methyl esters（混合脂肪酸甲酯）</w:t>
                  </w:r>
                </w:p>
              </w:tc>
              <w:tc>
                <w:tcPr>
                  <w:tcW w:w="805" w:type="pct"/>
                  <w:tcBorders>
                    <w:right w:val="single" w:color="000000" w:sz="2" w:space="0"/>
                  </w:tcBorders>
                  <w:vAlign w:val="center"/>
                </w:tcPr>
                <w:p>
                  <w:pPr>
                    <w:pStyle w:val="36"/>
                    <w:rPr>
                      <w:color w:val="auto"/>
                    </w:rPr>
                  </w:pPr>
                  <w:r>
                    <w:rPr>
                      <w:rFonts w:hint="eastAsia"/>
                      <w:color w:val="auto"/>
                    </w:rPr>
                    <w:t>71076-49-8</w:t>
                  </w:r>
                </w:p>
              </w:tc>
              <w:tc>
                <w:tcPr>
                  <w:tcW w:w="656" w:type="pct"/>
                  <w:tcBorders>
                    <w:left w:val="single" w:color="000000" w:sz="2" w:space="0"/>
                  </w:tcBorders>
                  <w:vAlign w:val="center"/>
                </w:tcPr>
                <w:p>
                  <w:pPr>
                    <w:pStyle w:val="36"/>
                    <w:rPr>
                      <w:color w:val="auto"/>
                    </w:rPr>
                  </w:pPr>
                  <w:r>
                    <w:rPr>
                      <w:rFonts w:hint="eastAsia"/>
                      <w:color w:val="auto"/>
                    </w:rPr>
                    <w:t>类别5</w:t>
                  </w:r>
                </w:p>
              </w:tc>
              <w:tc>
                <w:tcPr>
                  <w:tcW w:w="894" w:type="pct"/>
                  <w:tcBorders>
                    <w:left w:val="single" w:color="auto" w:sz="4" w:space="0"/>
                  </w:tcBorders>
                  <w:vAlign w:val="center"/>
                </w:tcPr>
                <w:p>
                  <w:pPr>
                    <w:pStyle w:val="36"/>
                    <w:rPr>
                      <w:color w:val="auto"/>
                    </w:rPr>
                  </w:pPr>
                  <w:r>
                    <w:rPr>
                      <w:rFonts w:hint="eastAsia"/>
                      <w:color w:val="auto"/>
                    </w:rPr>
                    <w:t>否</w:t>
                  </w:r>
                </w:p>
              </w:tc>
              <w:tc>
                <w:tcPr>
                  <w:tcW w:w="654" w:type="pct"/>
                  <w:tcBorders>
                    <w:left w:val="single" w:color="auto" w:sz="4" w:space="0"/>
                  </w:tcBorders>
                  <w:vAlign w:val="center"/>
                </w:tcPr>
                <w:p>
                  <w:pPr>
                    <w:pStyle w:val="36"/>
                    <w:rPr>
                      <w:color w:val="auto"/>
                    </w:rPr>
                  </w:pPr>
                  <w:r>
                    <w:rPr>
                      <w:rFonts w:hint="eastAsia"/>
                      <w:color w:val="auto"/>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646" w:type="pct"/>
                  <w:vMerge w:val="continue"/>
                  <w:vAlign w:val="center"/>
                </w:tcPr>
                <w:p>
                  <w:pPr>
                    <w:pStyle w:val="36"/>
                    <w:rPr>
                      <w:color w:val="auto"/>
                    </w:rPr>
                  </w:pPr>
                </w:p>
              </w:tc>
              <w:tc>
                <w:tcPr>
                  <w:tcW w:w="1342" w:type="pct"/>
                  <w:vAlign w:val="center"/>
                </w:tcPr>
                <w:p>
                  <w:pPr>
                    <w:pStyle w:val="36"/>
                    <w:rPr>
                      <w:color w:val="auto"/>
                    </w:rPr>
                  </w:pPr>
                  <w:r>
                    <w:rPr>
                      <w:rFonts w:hint="eastAsia"/>
                      <w:color w:val="auto"/>
                    </w:rPr>
                    <w:t>菜油</w:t>
                  </w:r>
                </w:p>
              </w:tc>
              <w:tc>
                <w:tcPr>
                  <w:tcW w:w="805" w:type="pct"/>
                  <w:tcBorders>
                    <w:right w:val="single" w:color="000000" w:sz="2" w:space="0"/>
                  </w:tcBorders>
                  <w:vAlign w:val="center"/>
                </w:tcPr>
                <w:p>
                  <w:pPr>
                    <w:pStyle w:val="36"/>
                    <w:rPr>
                      <w:color w:val="auto"/>
                    </w:rPr>
                  </w:pPr>
                  <w:r>
                    <w:rPr>
                      <w:rFonts w:hint="eastAsia"/>
                      <w:color w:val="auto"/>
                    </w:rPr>
                    <w:t>8002-13-9</w:t>
                  </w:r>
                </w:p>
              </w:tc>
              <w:tc>
                <w:tcPr>
                  <w:tcW w:w="656" w:type="pct"/>
                  <w:tcBorders>
                    <w:left w:val="single" w:color="000000" w:sz="2" w:space="0"/>
                  </w:tcBorders>
                  <w:vAlign w:val="center"/>
                </w:tcPr>
                <w:p>
                  <w:pPr>
                    <w:pStyle w:val="36"/>
                    <w:rPr>
                      <w:color w:val="auto"/>
                    </w:rPr>
                  </w:pPr>
                  <w:r>
                    <w:rPr>
                      <w:rFonts w:hint="eastAsia"/>
                      <w:color w:val="auto"/>
                    </w:rPr>
                    <w:t>油类物质</w:t>
                  </w:r>
                </w:p>
              </w:tc>
              <w:tc>
                <w:tcPr>
                  <w:tcW w:w="894" w:type="pct"/>
                  <w:tcBorders>
                    <w:left w:val="single" w:color="auto" w:sz="4" w:space="0"/>
                  </w:tcBorders>
                  <w:vAlign w:val="center"/>
                </w:tcPr>
                <w:p>
                  <w:pPr>
                    <w:pStyle w:val="36"/>
                    <w:rPr>
                      <w:color w:val="auto"/>
                    </w:rPr>
                  </w:pPr>
                  <w:r>
                    <w:rPr>
                      <w:rFonts w:hint="eastAsia"/>
                      <w:color w:val="auto"/>
                    </w:rPr>
                    <w:t>是</w:t>
                  </w:r>
                </w:p>
              </w:tc>
              <w:tc>
                <w:tcPr>
                  <w:tcW w:w="654" w:type="pct"/>
                  <w:tcBorders>
                    <w:left w:val="single" w:color="auto" w:sz="4" w:space="0"/>
                  </w:tcBorders>
                  <w:vAlign w:val="center"/>
                </w:tcPr>
                <w:p>
                  <w:pPr>
                    <w:pStyle w:val="36"/>
                    <w:rPr>
                      <w:color w:val="auto"/>
                    </w:rPr>
                  </w:pPr>
                  <w:r>
                    <w:rPr>
                      <w:rFonts w:hint="eastAsia"/>
                      <w:color w:val="auto"/>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Merge w:val="continue"/>
                  <w:vAlign w:val="center"/>
                </w:tcPr>
                <w:p>
                  <w:pPr>
                    <w:pStyle w:val="36"/>
                    <w:rPr>
                      <w:color w:val="auto"/>
                    </w:rPr>
                  </w:pPr>
                </w:p>
              </w:tc>
              <w:tc>
                <w:tcPr>
                  <w:tcW w:w="1342" w:type="pct"/>
                  <w:vAlign w:val="center"/>
                </w:tcPr>
                <w:p>
                  <w:pPr>
                    <w:pStyle w:val="36"/>
                    <w:rPr>
                      <w:color w:val="auto"/>
                    </w:rPr>
                  </w:pPr>
                  <w:r>
                    <w:rPr>
                      <w:rFonts w:hint="eastAsia"/>
                      <w:color w:val="auto"/>
                    </w:rPr>
                    <w:t xml:space="preserve">十二烷基苯磺酸钠 </w:t>
                  </w:r>
                </w:p>
              </w:tc>
              <w:tc>
                <w:tcPr>
                  <w:tcW w:w="805" w:type="pct"/>
                  <w:tcBorders>
                    <w:right w:val="single" w:color="000000" w:sz="2" w:space="0"/>
                  </w:tcBorders>
                  <w:vAlign w:val="center"/>
                </w:tcPr>
                <w:p>
                  <w:pPr>
                    <w:pStyle w:val="36"/>
                    <w:rPr>
                      <w:color w:val="auto"/>
                    </w:rPr>
                  </w:pPr>
                  <w:r>
                    <w:rPr>
                      <w:rFonts w:hint="eastAsia"/>
                      <w:color w:val="auto"/>
                    </w:rPr>
                    <w:t>25155-30-0</w:t>
                  </w:r>
                </w:p>
              </w:tc>
              <w:tc>
                <w:tcPr>
                  <w:tcW w:w="656" w:type="pct"/>
                  <w:tcBorders>
                    <w:left w:val="single" w:color="000000" w:sz="2" w:space="0"/>
                  </w:tcBorders>
                  <w:vAlign w:val="center"/>
                </w:tcPr>
                <w:p>
                  <w:pPr>
                    <w:pStyle w:val="36"/>
                    <w:rPr>
                      <w:color w:val="auto"/>
                    </w:rPr>
                  </w:pPr>
                  <w:r>
                    <w:rPr>
                      <w:rFonts w:hint="eastAsia"/>
                      <w:color w:val="auto"/>
                    </w:rPr>
                    <w:t>类别4</w:t>
                  </w:r>
                </w:p>
              </w:tc>
              <w:tc>
                <w:tcPr>
                  <w:tcW w:w="894" w:type="pct"/>
                  <w:tcBorders>
                    <w:left w:val="single" w:color="auto" w:sz="4" w:space="0"/>
                  </w:tcBorders>
                  <w:vAlign w:val="center"/>
                </w:tcPr>
                <w:p>
                  <w:pPr>
                    <w:pStyle w:val="36"/>
                    <w:rPr>
                      <w:color w:val="auto"/>
                    </w:rPr>
                  </w:pPr>
                  <w:r>
                    <w:rPr>
                      <w:rFonts w:hint="eastAsia"/>
                      <w:color w:val="auto"/>
                    </w:rPr>
                    <w:t>否</w:t>
                  </w:r>
                </w:p>
              </w:tc>
              <w:tc>
                <w:tcPr>
                  <w:tcW w:w="654" w:type="pct"/>
                  <w:tcBorders>
                    <w:left w:val="single" w:color="auto" w:sz="4" w:space="0"/>
                  </w:tcBorders>
                  <w:vAlign w:val="center"/>
                </w:tcPr>
                <w:p>
                  <w:pPr>
                    <w:pStyle w:val="36"/>
                    <w:rPr>
                      <w:color w:val="auto"/>
                    </w:rPr>
                  </w:pPr>
                  <w:r>
                    <w:rPr>
                      <w:rFonts w:hint="eastAsia"/>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646" w:type="pct"/>
                  <w:vMerge w:val="continue"/>
                  <w:vAlign w:val="center"/>
                </w:tcPr>
                <w:p>
                  <w:pPr>
                    <w:pStyle w:val="36"/>
                    <w:rPr>
                      <w:color w:val="auto"/>
                    </w:rPr>
                  </w:pPr>
                </w:p>
              </w:tc>
              <w:tc>
                <w:tcPr>
                  <w:tcW w:w="1342" w:type="pct"/>
                  <w:vAlign w:val="center"/>
                </w:tcPr>
                <w:p>
                  <w:pPr>
                    <w:pStyle w:val="36"/>
                    <w:rPr>
                      <w:color w:val="auto"/>
                    </w:rPr>
                  </w:pPr>
                  <w:r>
                    <w:rPr>
                      <w:rFonts w:hint="eastAsia"/>
                      <w:color w:val="auto"/>
                    </w:rPr>
                    <w:t>o-Cresol-d8</w:t>
                  </w:r>
                </w:p>
                <w:p>
                  <w:pPr>
                    <w:pStyle w:val="36"/>
                    <w:rPr>
                      <w:color w:val="auto"/>
                    </w:rPr>
                  </w:pPr>
                  <w:r>
                    <w:rPr>
                      <w:rFonts w:hint="eastAsia"/>
                      <w:color w:val="auto"/>
                    </w:rPr>
                    <w:t>（邻甲酚-d8）</w:t>
                  </w:r>
                </w:p>
              </w:tc>
              <w:tc>
                <w:tcPr>
                  <w:tcW w:w="805" w:type="pct"/>
                  <w:tcBorders>
                    <w:right w:val="single" w:color="000000" w:sz="2" w:space="0"/>
                  </w:tcBorders>
                  <w:vAlign w:val="center"/>
                </w:tcPr>
                <w:p>
                  <w:pPr>
                    <w:pStyle w:val="36"/>
                    <w:rPr>
                      <w:color w:val="auto"/>
                    </w:rPr>
                  </w:pPr>
                  <w:r>
                    <w:rPr>
                      <w:rFonts w:hint="eastAsia"/>
                      <w:color w:val="auto"/>
                    </w:rPr>
                    <w:t>203645-65-2</w:t>
                  </w:r>
                </w:p>
              </w:tc>
              <w:tc>
                <w:tcPr>
                  <w:tcW w:w="656" w:type="pct"/>
                  <w:tcBorders>
                    <w:left w:val="single" w:color="000000" w:sz="2" w:space="0"/>
                  </w:tcBorders>
                  <w:vAlign w:val="center"/>
                </w:tcPr>
                <w:p>
                  <w:pPr>
                    <w:pStyle w:val="36"/>
                    <w:rPr>
                      <w:color w:val="auto"/>
                    </w:rPr>
                  </w:pPr>
                  <w:r>
                    <w:rPr>
                      <w:rFonts w:hint="eastAsia"/>
                      <w:color w:val="auto"/>
                    </w:rPr>
                    <w:t>类别3</w:t>
                  </w:r>
                </w:p>
              </w:tc>
              <w:tc>
                <w:tcPr>
                  <w:tcW w:w="894" w:type="pct"/>
                  <w:tcBorders>
                    <w:left w:val="single" w:color="auto" w:sz="4" w:space="0"/>
                  </w:tcBorders>
                  <w:vAlign w:val="center"/>
                </w:tcPr>
                <w:p>
                  <w:pPr>
                    <w:pStyle w:val="36"/>
                    <w:rPr>
                      <w:color w:val="auto"/>
                    </w:rPr>
                  </w:pPr>
                  <w:r>
                    <w:rPr>
                      <w:rFonts w:hint="eastAsia"/>
                      <w:color w:val="auto"/>
                    </w:rPr>
                    <w:t>是</w:t>
                  </w:r>
                </w:p>
              </w:tc>
              <w:tc>
                <w:tcPr>
                  <w:tcW w:w="654" w:type="pct"/>
                  <w:tcBorders>
                    <w:left w:val="single" w:color="auto" w:sz="4" w:space="0"/>
                  </w:tcBorders>
                  <w:vAlign w:val="center"/>
                </w:tcPr>
                <w:p>
                  <w:pPr>
                    <w:pStyle w:val="36"/>
                    <w:rPr>
                      <w:color w:val="auto"/>
                    </w:rPr>
                  </w:pPr>
                  <w:r>
                    <w:rPr>
                      <w:rFonts w:hint="eastAsia"/>
                      <w:color w:val="auto"/>
                    </w:rPr>
                    <w:t>1%</w:t>
                  </w:r>
                </w:p>
              </w:tc>
            </w:tr>
          </w:tbl>
          <w:p>
            <w:pPr>
              <w:pStyle w:val="37"/>
              <w:rPr>
                <w:color w:val="auto"/>
              </w:rPr>
            </w:pPr>
            <w:r>
              <w:rPr>
                <w:color w:val="auto"/>
              </w:rPr>
              <w:t>表</w:t>
            </w:r>
            <w:r>
              <w:rPr>
                <w:rFonts w:hint="eastAsia"/>
                <w:color w:val="auto"/>
                <w:lang w:val="en-US"/>
              </w:rPr>
              <w:t>4.2</w:t>
            </w:r>
            <w:r>
              <w:rPr>
                <w:color w:val="auto"/>
              </w:rPr>
              <w:t>-</w:t>
            </w:r>
            <w:r>
              <w:rPr>
                <w:rFonts w:hint="eastAsia"/>
                <w:color w:val="auto"/>
                <w:lang w:val="en-US"/>
              </w:rPr>
              <w:t>1</w:t>
            </w:r>
            <w:r>
              <w:rPr>
                <w:rFonts w:hint="eastAsia"/>
                <w:color w:val="auto"/>
                <w:lang w:val="en-US" w:eastAsia="zh-CN"/>
              </w:rPr>
              <w:t>8</w:t>
            </w:r>
            <w:r>
              <w:rPr>
                <w:rFonts w:hint="eastAsia"/>
                <w:color w:val="auto"/>
                <w:lang w:val="en-US"/>
              </w:rPr>
              <w:t xml:space="preserve"> 本项目风险物质一览表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82"/>
              <w:gridCol w:w="637"/>
              <w:gridCol w:w="1450"/>
              <w:gridCol w:w="1199"/>
              <w:gridCol w:w="1049"/>
              <w:gridCol w:w="1189"/>
              <w:gridCol w:w="1173"/>
              <w:gridCol w:w="11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7" w:type="pct"/>
                  <w:tcBorders>
                    <w:tl2br w:val="nil"/>
                    <w:tr2bl w:val="nil"/>
                  </w:tcBorders>
                  <w:vAlign w:val="center"/>
                </w:tcPr>
                <w:p>
                  <w:pPr>
                    <w:pStyle w:val="36"/>
                    <w:ind w:left="-72" w:leftChars="-30" w:right="-72" w:rightChars="-30"/>
                    <w:rPr>
                      <w:color w:val="auto"/>
                    </w:rPr>
                  </w:pPr>
                  <w:r>
                    <w:rPr>
                      <w:color w:val="auto"/>
                    </w:rPr>
                    <w:t>序号</w:t>
                  </w:r>
                </w:p>
              </w:tc>
              <w:tc>
                <w:tcPr>
                  <w:tcW w:w="1245" w:type="pct"/>
                  <w:gridSpan w:val="2"/>
                  <w:tcBorders>
                    <w:tl2br w:val="nil"/>
                    <w:tr2bl w:val="nil"/>
                  </w:tcBorders>
                  <w:vAlign w:val="center"/>
                </w:tcPr>
                <w:p>
                  <w:pPr>
                    <w:pStyle w:val="36"/>
                    <w:ind w:left="-72" w:leftChars="-30" w:right="-72" w:rightChars="-30"/>
                    <w:rPr>
                      <w:color w:val="auto"/>
                    </w:rPr>
                  </w:pPr>
                  <w:r>
                    <w:rPr>
                      <w:rFonts w:hint="eastAsia"/>
                      <w:color w:val="auto"/>
                    </w:rPr>
                    <w:t>危险物质</w:t>
                  </w:r>
                  <w:r>
                    <w:rPr>
                      <w:color w:val="auto"/>
                    </w:rPr>
                    <w:t>名称</w:t>
                  </w:r>
                </w:p>
              </w:tc>
              <w:tc>
                <w:tcPr>
                  <w:tcW w:w="715" w:type="pct"/>
                  <w:tcBorders>
                    <w:tl2br w:val="nil"/>
                    <w:tr2bl w:val="nil"/>
                  </w:tcBorders>
                  <w:vAlign w:val="center"/>
                </w:tcPr>
                <w:p>
                  <w:pPr>
                    <w:pStyle w:val="36"/>
                    <w:ind w:left="-72" w:leftChars="-30" w:right="-72" w:rightChars="-30"/>
                    <w:rPr>
                      <w:color w:val="auto"/>
                    </w:rPr>
                  </w:pPr>
                  <w:r>
                    <w:rPr>
                      <w:rFonts w:hint="eastAsia"/>
                      <w:color w:val="auto"/>
                    </w:rPr>
                    <w:t>分布位置</w:t>
                  </w:r>
                </w:p>
              </w:tc>
              <w:tc>
                <w:tcPr>
                  <w:tcW w:w="626" w:type="pct"/>
                  <w:tcBorders>
                    <w:tl2br w:val="nil"/>
                    <w:tr2bl w:val="nil"/>
                  </w:tcBorders>
                  <w:vAlign w:val="center"/>
                </w:tcPr>
                <w:p>
                  <w:pPr>
                    <w:pStyle w:val="36"/>
                    <w:ind w:left="-72" w:leftChars="-30" w:right="-72" w:rightChars="-30"/>
                    <w:rPr>
                      <w:color w:val="auto"/>
                    </w:rPr>
                  </w:pPr>
                  <w:r>
                    <w:rPr>
                      <w:rFonts w:hint="eastAsia"/>
                      <w:color w:val="auto"/>
                    </w:rPr>
                    <w:t>危险成分</w:t>
                  </w:r>
                </w:p>
              </w:tc>
              <w:tc>
                <w:tcPr>
                  <w:tcW w:w="709" w:type="pct"/>
                  <w:tcBorders>
                    <w:tl2br w:val="nil"/>
                    <w:tr2bl w:val="nil"/>
                  </w:tcBorders>
                  <w:vAlign w:val="center"/>
                </w:tcPr>
                <w:p>
                  <w:pPr>
                    <w:pStyle w:val="36"/>
                    <w:ind w:left="-72" w:leftChars="-30" w:right="-72" w:rightChars="-30"/>
                    <w:rPr>
                      <w:color w:val="auto"/>
                    </w:rPr>
                  </w:pPr>
                  <w:r>
                    <w:rPr>
                      <w:rFonts w:hint="eastAsia"/>
                      <w:color w:val="auto"/>
                    </w:rPr>
                    <w:t>最大贮存量（t）</w:t>
                  </w:r>
                </w:p>
              </w:tc>
              <w:tc>
                <w:tcPr>
                  <w:tcW w:w="696" w:type="pct"/>
                  <w:tcBorders>
                    <w:tl2br w:val="nil"/>
                    <w:tr2bl w:val="nil"/>
                  </w:tcBorders>
                  <w:vAlign w:val="center"/>
                </w:tcPr>
                <w:p>
                  <w:pPr>
                    <w:pStyle w:val="36"/>
                    <w:ind w:left="-72" w:leftChars="-30" w:right="-72" w:rightChars="-30"/>
                    <w:rPr>
                      <w:color w:val="auto"/>
                    </w:rPr>
                  </w:pPr>
                  <w:r>
                    <w:rPr>
                      <w:rFonts w:hint="eastAsia"/>
                      <w:color w:val="auto"/>
                    </w:rPr>
                    <w:t>临界量</w:t>
                  </w:r>
                </w:p>
                <w:p>
                  <w:pPr>
                    <w:pStyle w:val="36"/>
                    <w:ind w:left="-72" w:leftChars="-30" w:right="-72" w:rightChars="-30"/>
                    <w:rPr>
                      <w:color w:val="auto"/>
                    </w:rPr>
                  </w:pPr>
                  <w:r>
                    <w:rPr>
                      <w:rFonts w:hint="eastAsia"/>
                      <w:color w:val="auto"/>
                    </w:rPr>
                    <w:t>（t）</w:t>
                  </w:r>
                </w:p>
              </w:tc>
              <w:tc>
                <w:tcPr>
                  <w:tcW w:w="657" w:type="pct"/>
                  <w:tcBorders>
                    <w:tl2br w:val="nil"/>
                    <w:tr2bl w:val="nil"/>
                  </w:tcBorders>
                  <w:vAlign w:val="center"/>
                </w:tcPr>
                <w:p>
                  <w:pPr>
                    <w:pStyle w:val="36"/>
                    <w:ind w:left="-72" w:leftChars="-30" w:right="-72" w:rightChars="-30"/>
                    <w:rPr>
                      <w:color w:val="auto"/>
                    </w:rPr>
                  </w:pPr>
                  <w:r>
                    <w:rPr>
                      <w:color w:val="auto"/>
                    </w:rPr>
                    <w:object>
                      <v:shape id="_x0000_i1051" o:spt="75" type="#_x0000_t75" style="height:27.6pt;width:13.8pt;" o:ole="t" filled="f" o:preferrelative="t" stroked="f" coordsize="21600,21600">
                        <v:path/>
                        <v:fill on="f" focussize="0,0"/>
                        <v:stroke on="f" joinstyle="miter"/>
                        <v:imagedata r:id="rId49" o:title=""/>
                        <o:lock v:ext="edit" aspectratio="t"/>
                        <w10:wrap type="none"/>
                        <w10:anchorlock/>
                      </v:shape>
                      <o:OLEObject Type="Embed" ProgID="Equation.3" ShapeID="_x0000_i1051" DrawAspect="Content" ObjectID="_1468075725" r:id="rId48">
                        <o:LockedField>false</o:LockedField>
                      </o:OLEObject>
                    </w:objec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7" w:type="pct"/>
                  <w:tcBorders>
                    <w:tl2br w:val="nil"/>
                    <w:tr2bl w:val="nil"/>
                  </w:tcBorders>
                  <w:vAlign w:val="center"/>
                </w:tcPr>
                <w:p>
                  <w:pPr>
                    <w:pStyle w:val="36"/>
                    <w:ind w:left="-72" w:leftChars="-30" w:right="-72" w:rightChars="-30"/>
                    <w:rPr>
                      <w:color w:val="auto"/>
                    </w:rPr>
                  </w:pPr>
                  <w:r>
                    <w:rPr>
                      <w:rFonts w:hint="eastAsia"/>
                      <w:color w:val="auto"/>
                    </w:rPr>
                    <w:t>1</w:t>
                  </w:r>
                </w:p>
              </w:tc>
              <w:tc>
                <w:tcPr>
                  <w:tcW w:w="1245" w:type="pct"/>
                  <w:gridSpan w:val="2"/>
                  <w:tcBorders>
                    <w:tl2br w:val="nil"/>
                    <w:tr2bl w:val="nil"/>
                  </w:tcBorders>
                  <w:vAlign w:val="center"/>
                </w:tcPr>
                <w:p>
                  <w:pPr>
                    <w:pStyle w:val="36"/>
                    <w:rPr>
                      <w:color w:val="auto"/>
                    </w:rPr>
                  </w:pPr>
                  <w:r>
                    <w:rPr>
                      <w:rFonts w:hint="eastAsia"/>
                      <w:color w:val="auto"/>
                    </w:rPr>
                    <w:t>润滑油</w:t>
                  </w:r>
                </w:p>
              </w:tc>
              <w:tc>
                <w:tcPr>
                  <w:tcW w:w="715" w:type="pct"/>
                  <w:tcBorders>
                    <w:tl2br w:val="nil"/>
                    <w:tr2bl w:val="nil"/>
                  </w:tcBorders>
                  <w:vAlign w:val="center"/>
                </w:tcPr>
                <w:p>
                  <w:pPr>
                    <w:pStyle w:val="36"/>
                    <w:ind w:left="-72" w:leftChars="-30" w:right="-72" w:rightChars="-30"/>
                    <w:rPr>
                      <w:color w:val="auto"/>
                    </w:rPr>
                  </w:pPr>
                  <w:r>
                    <w:rPr>
                      <w:rFonts w:hint="eastAsia"/>
                      <w:color w:val="auto"/>
                    </w:rPr>
                    <w:t>辅料仓库</w:t>
                  </w:r>
                </w:p>
              </w:tc>
              <w:tc>
                <w:tcPr>
                  <w:tcW w:w="626" w:type="pct"/>
                  <w:tcBorders>
                    <w:tl2br w:val="nil"/>
                    <w:tr2bl w:val="nil"/>
                  </w:tcBorders>
                  <w:vAlign w:val="center"/>
                </w:tcPr>
                <w:p>
                  <w:pPr>
                    <w:pStyle w:val="36"/>
                    <w:ind w:left="-72" w:leftChars="-30" w:right="-72" w:rightChars="-30"/>
                    <w:rPr>
                      <w:color w:val="auto"/>
                    </w:rPr>
                  </w:pPr>
                  <w:r>
                    <w:rPr>
                      <w:color w:val="auto"/>
                    </w:rPr>
                    <w:t>油类物质</w:t>
                  </w:r>
                </w:p>
              </w:tc>
              <w:tc>
                <w:tcPr>
                  <w:tcW w:w="709" w:type="pct"/>
                  <w:tcBorders>
                    <w:tl2br w:val="nil"/>
                    <w:tr2bl w:val="nil"/>
                  </w:tcBorders>
                  <w:vAlign w:val="center"/>
                </w:tcPr>
                <w:p>
                  <w:pPr>
                    <w:pStyle w:val="36"/>
                    <w:ind w:left="-72" w:leftChars="-30" w:right="-72" w:rightChars="-30"/>
                    <w:rPr>
                      <w:color w:val="auto"/>
                    </w:rPr>
                  </w:pPr>
                  <w:r>
                    <w:rPr>
                      <w:rFonts w:hint="eastAsia"/>
                      <w:color w:val="auto"/>
                    </w:rPr>
                    <w:t>0.17</w:t>
                  </w:r>
                </w:p>
              </w:tc>
              <w:tc>
                <w:tcPr>
                  <w:tcW w:w="696" w:type="pct"/>
                  <w:tcBorders>
                    <w:tl2br w:val="nil"/>
                    <w:tr2bl w:val="nil"/>
                  </w:tcBorders>
                  <w:vAlign w:val="center"/>
                </w:tcPr>
                <w:p>
                  <w:pPr>
                    <w:pStyle w:val="36"/>
                    <w:ind w:left="-72" w:leftChars="-30" w:right="-72" w:rightChars="-30"/>
                    <w:rPr>
                      <w:color w:val="auto"/>
                    </w:rPr>
                  </w:pPr>
                  <w:r>
                    <w:rPr>
                      <w:rFonts w:hint="eastAsia"/>
                      <w:color w:val="auto"/>
                    </w:rPr>
                    <w:t>2500</w:t>
                  </w:r>
                </w:p>
              </w:tc>
              <w:tc>
                <w:tcPr>
                  <w:tcW w:w="657" w:type="pct"/>
                  <w:tcBorders>
                    <w:tl2br w:val="nil"/>
                    <w:tr2bl w:val="nil"/>
                  </w:tcBorders>
                  <w:vAlign w:val="center"/>
                </w:tcPr>
                <w:p>
                  <w:pPr>
                    <w:pStyle w:val="36"/>
                    <w:ind w:left="-72" w:leftChars="-30" w:right="-72" w:rightChars="-30"/>
                    <w:rPr>
                      <w:color w:val="auto"/>
                    </w:rPr>
                  </w:pPr>
                  <w:r>
                    <w:rPr>
                      <w:rFonts w:hint="eastAsia"/>
                      <w:color w:val="auto"/>
                    </w:rPr>
                    <w:t>0.000068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7" w:type="pct"/>
                  <w:tcBorders>
                    <w:tl2br w:val="nil"/>
                    <w:tr2bl w:val="nil"/>
                  </w:tcBorders>
                  <w:vAlign w:val="center"/>
                </w:tcPr>
                <w:p>
                  <w:pPr>
                    <w:pStyle w:val="36"/>
                    <w:ind w:left="-72" w:leftChars="-30" w:right="-72" w:rightChars="-30"/>
                    <w:rPr>
                      <w:color w:val="auto"/>
                    </w:rPr>
                  </w:pPr>
                  <w:r>
                    <w:rPr>
                      <w:rFonts w:hint="eastAsia"/>
                      <w:color w:val="auto"/>
                    </w:rPr>
                    <w:t>2</w:t>
                  </w:r>
                </w:p>
              </w:tc>
              <w:tc>
                <w:tcPr>
                  <w:tcW w:w="1245" w:type="pct"/>
                  <w:gridSpan w:val="2"/>
                  <w:tcBorders>
                    <w:tl2br w:val="nil"/>
                    <w:tr2bl w:val="nil"/>
                  </w:tcBorders>
                  <w:vAlign w:val="center"/>
                </w:tcPr>
                <w:p>
                  <w:pPr>
                    <w:pStyle w:val="36"/>
                    <w:rPr>
                      <w:color w:val="auto"/>
                    </w:rPr>
                  </w:pPr>
                  <w:r>
                    <w:rPr>
                      <w:rFonts w:hint="eastAsia"/>
                      <w:color w:val="auto"/>
                    </w:rPr>
                    <w:t>液压油</w:t>
                  </w:r>
                </w:p>
              </w:tc>
              <w:tc>
                <w:tcPr>
                  <w:tcW w:w="715" w:type="pct"/>
                  <w:tcBorders>
                    <w:tl2br w:val="nil"/>
                    <w:tr2bl w:val="nil"/>
                  </w:tcBorders>
                  <w:vAlign w:val="center"/>
                </w:tcPr>
                <w:p>
                  <w:pPr>
                    <w:pStyle w:val="36"/>
                    <w:ind w:left="-72" w:leftChars="-30" w:right="-72" w:rightChars="-30"/>
                    <w:rPr>
                      <w:color w:val="auto"/>
                    </w:rPr>
                  </w:pPr>
                  <w:r>
                    <w:rPr>
                      <w:rFonts w:hint="eastAsia"/>
                      <w:color w:val="auto"/>
                    </w:rPr>
                    <w:t>辅料仓库</w:t>
                  </w:r>
                </w:p>
              </w:tc>
              <w:tc>
                <w:tcPr>
                  <w:tcW w:w="626" w:type="pct"/>
                  <w:tcBorders>
                    <w:tl2br w:val="nil"/>
                    <w:tr2bl w:val="nil"/>
                  </w:tcBorders>
                  <w:vAlign w:val="center"/>
                </w:tcPr>
                <w:p>
                  <w:pPr>
                    <w:pStyle w:val="36"/>
                    <w:ind w:left="-72" w:leftChars="-30" w:right="-72" w:rightChars="-30"/>
                    <w:rPr>
                      <w:color w:val="auto"/>
                    </w:rPr>
                  </w:pPr>
                  <w:r>
                    <w:rPr>
                      <w:color w:val="auto"/>
                    </w:rPr>
                    <w:t>油类物质</w:t>
                  </w:r>
                </w:p>
              </w:tc>
              <w:tc>
                <w:tcPr>
                  <w:tcW w:w="709" w:type="pct"/>
                  <w:tcBorders>
                    <w:tl2br w:val="nil"/>
                    <w:tr2bl w:val="nil"/>
                  </w:tcBorders>
                  <w:vAlign w:val="center"/>
                </w:tcPr>
                <w:p>
                  <w:pPr>
                    <w:pStyle w:val="36"/>
                    <w:ind w:left="-72" w:leftChars="-30" w:right="-72" w:rightChars="-30"/>
                    <w:rPr>
                      <w:color w:val="auto"/>
                    </w:rPr>
                  </w:pPr>
                  <w:r>
                    <w:rPr>
                      <w:rFonts w:hint="eastAsia"/>
                      <w:color w:val="auto"/>
                    </w:rPr>
                    <w:t>0.85</w:t>
                  </w:r>
                </w:p>
              </w:tc>
              <w:tc>
                <w:tcPr>
                  <w:tcW w:w="696" w:type="pct"/>
                  <w:tcBorders>
                    <w:tl2br w:val="nil"/>
                    <w:tr2bl w:val="nil"/>
                  </w:tcBorders>
                  <w:vAlign w:val="center"/>
                </w:tcPr>
                <w:p>
                  <w:pPr>
                    <w:pStyle w:val="36"/>
                    <w:ind w:left="-72" w:leftChars="-30" w:right="-72" w:rightChars="-30"/>
                    <w:rPr>
                      <w:color w:val="auto"/>
                    </w:rPr>
                  </w:pPr>
                  <w:r>
                    <w:rPr>
                      <w:rFonts w:hint="eastAsia"/>
                      <w:color w:val="auto"/>
                    </w:rPr>
                    <w:t>2500</w:t>
                  </w:r>
                </w:p>
              </w:tc>
              <w:tc>
                <w:tcPr>
                  <w:tcW w:w="657" w:type="pct"/>
                  <w:tcBorders>
                    <w:tl2br w:val="nil"/>
                    <w:tr2bl w:val="nil"/>
                  </w:tcBorders>
                  <w:vAlign w:val="center"/>
                </w:tcPr>
                <w:p>
                  <w:pPr>
                    <w:pStyle w:val="36"/>
                    <w:ind w:left="-72" w:leftChars="-30" w:right="-72" w:rightChars="-30"/>
                    <w:rPr>
                      <w:color w:val="auto"/>
                    </w:rPr>
                  </w:pPr>
                  <w:r>
                    <w:rPr>
                      <w:rFonts w:hint="eastAsia"/>
                      <w:color w:val="auto"/>
                    </w:rPr>
                    <w:t>0.00034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7" w:type="pct"/>
                  <w:tcBorders>
                    <w:tl2br w:val="nil"/>
                    <w:tr2bl w:val="nil"/>
                  </w:tcBorders>
                  <w:vAlign w:val="center"/>
                </w:tcPr>
                <w:p>
                  <w:pPr>
                    <w:pStyle w:val="36"/>
                    <w:ind w:left="-72" w:leftChars="-30" w:right="-72" w:rightChars="-30"/>
                    <w:rPr>
                      <w:color w:val="auto"/>
                    </w:rPr>
                  </w:pPr>
                  <w:r>
                    <w:rPr>
                      <w:rFonts w:hint="eastAsia"/>
                      <w:color w:val="auto"/>
                    </w:rPr>
                    <w:t>3</w:t>
                  </w:r>
                </w:p>
              </w:tc>
              <w:tc>
                <w:tcPr>
                  <w:tcW w:w="380" w:type="pct"/>
                  <w:vMerge w:val="restart"/>
                  <w:tcBorders>
                    <w:tl2br w:val="nil"/>
                    <w:tr2bl w:val="nil"/>
                  </w:tcBorders>
                  <w:vAlign w:val="center"/>
                </w:tcPr>
                <w:p>
                  <w:pPr>
                    <w:pStyle w:val="36"/>
                    <w:rPr>
                      <w:color w:val="auto"/>
                    </w:rPr>
                  </w:pPr>
                  <w:r>
                    <w:rPr>
                      <w:rFonts w:hint="eastAsia"/>
                      <w:color w:val="auto"/>
                    </w:rPr>
                    <w:t>拉</w:t>
                  </w:r>
                </w:p>
                <w:p>
                  <w:pPr>
                    <w:pStyle w:val="36"/>
                    <w:rPr>
                      <w:color w:val="auto"/>
                    </w:rPr>
                  </w:pPr>
                  <w:r>
                    <w:rPr>
                      <w:rFonts w:hint="eastAsia"/>
                      <w:color w:val="auto"/>
                    </w:rPr>
                    <w:t>丝</w:t>
                  </w:r>
                </w:p>
                <w:p>
                  <w:pPr>
                    <w:pStyle w:val="36"/>
                    <w:rPr>
                      <w:color w:val="auto"/>
                    </w:rPr>
                  </w:pPr>
                  <w:r>
                    <w:rPr>
                      <w:rFonts w:hint="eastAsia"/>
                      <w:color w:val="auto"/>
                    </w:rPr>
                    <w:t>油</w:t>
                  </w:r>
                </w:p>
              </w:tc>
              <w:tc>
                <w:tcPr>
                  <w:tcW w:w="864" w:type="pct"/>
                  <w:tcBorders>
                    <w:tl2br w:val="nil"/>
                    <w:tr2bl w:val="nil"/>
                  </w:tcBorders>
                  <w:vAlign w:val="center"/>
                </w:tcPr>
                <w:p>
                  <w:pPr>
                    <w:pStyle w:val="36"/>
                    <w:rPr>
                      <w:color w:val="auto"/>
                    </w:rPr>
                  </w:pPr>
                  <w:r>
                    <w:rPr>
                      <w:rFonts w:hint="eastAsia"/>
                      <w:color w:val="auto"/>
                    </w:rPr>
                    <w:t>石油</w:t>
                  </w:r>
                </w:p>
              </w:tc>
              <w:tc>
                <w:tcPr>
                  <w:tcW w:w="715" w:type="pct"/>
                  <w:tcBorders>
                    <w:tl2br w:val="nil"/>
                    <w:tr2bl w:val="nil"/>
                  </w:tcBorders>
                  <w:vAlign w:val="center"/>
                </w:tcPr>
                <w:p>
                  <w:pPr>
                    <w:pStyle w:val="36"/>
                    <w:ind w:left="-72" w:leftChars="-30" w:right="-72" w:rightChars="-30"/>
                    <w:rPr>
                      <w:color w:val="auto"/>
                    </w:rPr>
                  </w:pPr>
                  <w:r>
                    <w:rPr>
                      <w:rFonts w:hint="eastAsia"/>
                      <w:color w:val="auto"/>
                    </w:rPr>
                    <w:t>辅料仓库</w:t>
                  </w:r>
                </w:p>
              </w:tc>
              <w:tc>
                <w:tcPr>
                  <w:tcW w:w="626" w:type="pct"/>
                  <w:tcBorders>
                    <w:tl2br w:val="nil"/>
                    <w:tr2bl w:val="nil"/>
                  </w:tcBorders>
                  <w:vAlign w:val="center"/>
                </w:tcPr>
                <w:p>
                  <w:pPr>
                    <w:pStyle w:val="36"/>
                    <w:ind w:left="-72" w:leftChars="-30" w:right="-72" w:rightChars="-30"/>
                    <w:rPr>
                      <w:color w:val="auto"/>
                    </w:rPr>
                  </w:pPr>
                  <w:r>
                    <w:rPr>
                      <w:color w:val="auto"/>
                    </w:rPr>
                    <w:t>油类物质</w:t>
                  </w:r>
                </w:p>
              </w:tc>
              <w:tc>
                <w:tcPr>
                  <w:tcW w:w="709" w:type="pct"/>
                  <w:tcBorders>
                    <w:tl2br w:val="nil"/>
                    <w:tr2bl w:val="nil"/>
                  </w:tcBorders>
                  <w:vAlign w:val="center"/>
                </w:tcPr>
                <w:p>
                  <w:pPr>
                    <w:pStyle w:val="36"/>
                    <w:ind w:left="-72" w:leftChars="-30" w:right="-72" w:rightChars="-30"/>
                    <w:rPr>
                      <w:color w:val="auto"/>
                    </w:rPr>
                  </w:pPr>
                  <w:r>
                    <w:rPr>
                      <w:rFonts w:hint="eastAsia"/>
                      <w:color w:val="auto"/>
                    </w:rPr>
                    <w:t>0.26</w:t>
                  </w:r>
                </w:p>
              </w:tc>
              <w:tc>
                <w:tcPr>
                  <w:tcW w:w="696" w:type="pct"/>
                  <w:tcBorders>
                    <w:tl2br w:val="nil"/>
                    <w:tr2bl w:val="nil"/>
                  </w:tcBorders>
                  <w:vAlign w:val="center"/>
                </w:tcPr>
                <w:p>
                  <w:pPr>
                    <w:pStyle w:val="36"/>
                    <w:ind w:left="-72" w:leftChars="-30" w:right="-72" w:rightChars="-30"/>
                    <w:rPr>
                      <w:color w:val="auto"/>
                    </w:rPr>
                  </w:pPr>
                  <w:r>
                    <w:rPr>
                      <w:rFonts w:hint="eastAsia"/>
                      <w:color w:val="auto"/>
                    </w:rPr>
                    <w:t>2500</w:t>
                  </w:r>
                </w:p>
              </w:tc>
              <w:tc>
                <w:tcPr>
                  <w:tcW w:w="657" w:type="pct"/>
                  <w:tcBorders>
                    <w:tl2br w:val="nil"/>
                    <w:tr2bl w:val="nil"/>
                  </w:tcBorders>
                  <w:vAlign w:val="center"/>
                </w:tcPr>
                <w:p>
                  <w:pPr>
                    <w:pStyle w:val="36"/>
                    <w:ind w:left="-72" w:leftChars="-30" w:right="-72" w:rightChars="-30"/>
                    <w:rPr>
                      <w:color w:val="auto"/>
                    </w:rPr>
                  </w:pPr>
                  <w:r>
                    <w:rPr>
                      <w:rFonts w:hint="eastAsia"/>
                      <w:color w:val="auto"/>
                    </w:rPr>
                    <w:t>0.000104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7" w:type="pct"/>
                  <w:tcBorders>
                    <w:tl2br w:val="nil"/>
                    <w:tr2bl w:val="nil"/>
                  </w:tcBorders>
                  <w:vAlign w:val="center"/>
                </w:tcPr>
                <w:p>
                  <w:pPr>
                    <w:pStyle w:val="36"/>
                    <w:ind w:left="-72" w:leftChars="-30" w:right="-72" w:rightChars="-30"/>
                    <w:rPr>
                      <w:color w:val="auto"/>
                    </w:rPr>
                  </w:pPr>
                  <w:r>
                    <w:rPr>
                      <w:rFonts w:hint="eastAsia"/>
                      <w:color w:val="auto"/>
                    </w:rPr>
                    <w:t>4</w:t>
                  </w:r>
                </w:p>
              </w:tc>
              <w:tc>
                <w:tcPr>
                  <w:tcW w:w="380" w:type="pct"/>
                  <w:vMerge w:val="continue"/>
                  <w:tcBorders>
                    <w:tl2br w:val="nil"/>
                    <w:tr2bl w:val="nil"/>
                  </w:tcBorders>
                  <w:vAlign w:val="center"/>
                </w:tcPr>
                <w:p>
                  <w:pPr>
                    <w:pStyle w:val="36"/>
                    <w:rPr>
                      <w:color w:val="auto"/>
                    </w:rPr>
                  </w:pPr>
                </w:p>
              </w:tc>
              <w:tc>
                <w:tcPr>
                  <w:tcW w:w="864" w:type="pct"/>
                  <w:tcBorders>
                    <w:tl2br w:val="nil"/>
                    <w:tr2bl w:val="nil"/>
                  </w:tcBorders>
                  <w:vAlign w:val="center"/>
                </w:tcPr>
                <w:p>
                  <w:pPr>
                    <w:pStyle w:val="36"/>
                    <w:rPr>
                      <w:color w:val="auto"/>
                    </w:rPr>
                  </w:pPr>
                  <w:r>
                    <w:rPr>
                      <w:rFonts w:hint="eastAsia"/>
                      <w:color w:val="auto"/>
                    </w:rPr>
                    <w:t>菜油</w:t>
                  </w:r>
                </w:p>
              </w:tc>
              <w:tc>
                <w:tcPr>
                  <w:tcW w:w="715" w:type="pct"/>
                  <w:tcBorders>
                    <w:tl2br w:val="nil"/>
                    <w:tr2bl w:val="nil"/>
                  </w:tcBorders>
                  <w:vAlign w:val="center"/>
                </w:tcPr>
                <w:p>
                  <w:pPr>
                    <w:pStyle w:val="36"/>
                    <w:ind w:left="-72" w:leftChars="-30" w:right="-72" w:rightChars="-30"/>
                    <w:rPr>
                      <w:color w:val="auto"/>
                    </w:rPr>
                  </w:pPr>
                  <w:r>
                    <w:rPr>
                      <w:rFonts w:hint="eastAsia"/>
                      <w:color w:val="auto"/>
                    </w:rPr>
                    <w:t>辅料仓库</w:t>
                  </w:r>
                </w:p>
              </w:tc>
              <w:tc>
                <w:tcPr>
                  <w:tcW w:w="626" w:type="pct"/>
                  <w:tcBorders>
                    <w:tl2br w:val="nil"/>
                    <w:tr2bl w:val="nil"/>
                  </w:tcBorders>
                  <w:vAlign w:val="center"/>
                </w:tcPr>
                <w:p>
                  <w:pPr>
                    <w:pStyle w:val="36"/>
                    <w:ind w:left="-72" w:leftChars="-30" w:right="-72" w:rightChars="-30"/>
                    <w:rPr>
                      <w:color w:val="auto"/>
                    </w:rPr>
                  </w:pPr>
                  <w:r>
                    <w:rPr>
                      <w:color w:val="auto"/>
                    </w:rPr>
                    <w:t>油类物质</w:t>
                  </w:r>
                </w:p>
              </w:tc>
              <w:tc>
                <w:tcPr>
                  <w:tcW w:w="709" w:type="pct"/>
                  <w:tcBorders>
                    <w:tl2br w:val="nil"/>
                    <w:tr2bl w:val="nil"/>
                  </w:tcBorders>
                  <w:vAlign w:val="center"/>
                </w:tcPr>
                <w:p>
                  <w:pPr>
                    <w:pStyle w:val="36"/>
                    <w:ind w:left="-72" w:leftChars="-30" w:right="-72" w:rightChars="-30"/>
                    <w:rPr>
                      <w:color w:val="auto"/>
                    </w:rPr>
                  </w:pPr>
                  <w:r>
                    <w:rPr>
                      <w:rFonts w:hint="eastAsia"/>
                      <w:color w:val="auto"/>
                    </w:rPr>
                    <w:t>0.13</w:t>
                  </w:r>
                </w:p>
              </w:tc>
              <w:tc>
                <w:tcPr>
                  <w:tcW w:w="696" w:type="pct"/>
                  <w:tcBorders>
                    <w:tl2br w:val="nil"/>
                    <w:tr2bl w:val="nil"/>
                  </w:tcBorders>
                  <w:vAlign w:val="center"/>
                </w:tcPr>
                <w:p>
                  <w:pPr>
                    <w:pStyle w:val="36"/>
                    <w:ind w:left="-72" w:leftChars="-30" w:right="-72" w:rightChars="-30"/>
                    <w:rPr>
                      <w:color w:val="auto"/>
                    </w:rPr>
                  </w:pPr>
                  <w:r>
                    <w:rPr>
                      <w:rFonts w:hint="eastAsia"/>
                      <w:color w:val="auto"/>
                    </w:rPr>
                    <w:t>2500</w:t>
                  </w:r>
                </w:p>
              </w:tc>
              <w:tc>
                <w:tcPr>
                  <w:tcW w:w="657" w:type="pct"/>
                  <w:tcBorders>
                    <w:tl2br w:val="nil"/>
                    <w:tr2bl w:val="nil"/>
                  </w:tcBorders>
                  <w:vAlign w:val="center"/>
                </w:tcPr>
                <w:p>
                  <w:pPr>
                    <w:pStyle w:val="36"/>
                    <w:ind w:left="-72" w:leftChars="-30" w:right="-72" w:rightChars="-30"/>
                    <w:rPr>
                      <w:color w:val="auto"/>
                    </w:rPr>
                  </w:pPr>
                  <w:r>
                    <w:rPr>
                      <w:rFonts w:hint="eastAsia"/>
                      <w:color w:val="auto"/>
                    </w:rPr>
                    <w:t>0.000052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7" w:type="pct"/>
                  <w:tcBorders>
                    <w:tl2br w:val="nil"/>
                    <w:tr2bl w:val="nil"/>
                  </w:tcBorders>
                  <w:vAlign w:val="center"/>
                </w:tcPr>
                <w:p>
                  <w:pPr>
                    <w:pStyle w:val="36"/>
                    <w:ind w:left="-72" w:leftChars="-30" w:right="-72" w:rightChars="-30"/>
                    <w:rPr>
                      <w:color w:val="auto"/>
                    </w:rPr>
                  </w:pPr>
                  <w:r>
                    <w:rPr>
                      <w:rFonts w:hint="eastAsia"/>
                      <w:color w:val="auto"/>
                    </w:rPr>
                    <w:t>5</w:t>
                  </w:r>
                </w:p>
              </w:tc>
              <w:tc>
                <w:tcPr>
                  <w:tcW w:w="380" w:type="pct"/>
                  <w:vMerge w:val="continue"/>
                  <w:tcBorders>
                    <w:tl2br w:val="nil"/>
                    <w:tr2bl w:val="nil"/>
                  </w:tcBorders>
                  <w:vAlign w:val="center"/>
                </w:tcPr>
                <w:p>
                  <w:pPr>
                    <w:pStyle w:val="36"/>
                    <w:rPr>
                      <w:color w:val="auto"/>
                    </w:rPr>
                  </w:pPr>
                </w:p>
              </w:tc>
              <w:tc>
                <w:tcPr>
                  <w:tcW w:w="864" w:type="pct"/>
                  <w:tcBorders>
                    <w:tl2br w:val="nil"/>
                    <w:tr2bl w:val="nil"/>
                  </w:tcBorders>
                  <w:vAlign w:val="center"/>
                </w:tcPr>
                <w:p>
                  <w:pPr>
                    <w:pStyle w:val="36"/>
                    <w:rPr>
                      <w:color w:val="auto"/>
                    </w:rPr>
                  </w:pPr>
                  <w:r>
                    <w:rPr>
                      <w:rFonts w:hint="eastAsia"/>
                      <w:color w:val="auto"/>
                    </w:rPr>
                    <w:t>o-Cresol-d8</w:t>
                  </w:r>
                </w:p>
                <w:p>
                  <w:pPr>
                    <w:pStyle w:val="36"/>
                    <w:rPr>
                      <w:color w:val="auto"/>
                    </w:rPr>
                  </w:pPr>
                  <w:r>
                    <w:rPr>
                      <w:rFonts w:hint="eastAsia"/>
                      <w:color w:val="auto"/>
                    </w:rPr>
                    <w:t>（邻甲酚-d8）</w:t>
                  </w:r>
                </w:p>
              </w:tc>
              <w:tc>
                <w:tcPr>
                  <w:tcW w:w="715" w:type="pct"/>
                  <w:tcBorders>
                    <w:tl2br w:val="nil"/>
                    <w:tr2bl w:val="nil"/>
                  </w:tcBorders>
                  <w:vAlign w:val="center"/>
                </w:tcPr>
                <w:p>
                  <w:pPr>
                    <w:pStyle w:val="36"/>
                    <w:ind w:left="-72" w:leftChars="-30" w:right="-72" w:rightChars="-30"/>
                    <w:rPr>
                      <w:color w:val="auto"/>
                    </w:rPr>
                  </w:pPr>
                  <w:r>
                    <w:rPr>
                      <w:rFonts w:hint="eastAsia"/>
                      <w:color w:val="auto"/>
                    </w:rPr>
                    <w:t>辅料仓库</w:t>
                  </w:r>
                </w:p>
              </w:tc>
              <w:tc>
                <w:tcPr>
                  <w:tcW w:w="626" w:type="pct"/>
                  <w:tcBorders>
                    <w:tl2br w:val="nil"/>
                    <w:tr2bl w:val="nil"/>
                  </w:tcBorders>
                  <w:vAlign w:val="center"/>
                </w:tcPr>
                <w:p>
                  <w:pPr>
                    <w:pStyle w:val="36"/>
                    <w:ind w:left="-72" w:leftChars="-30" w:right="-72" w:rightChars="-30"/>
                    <w:rPr>
                      <w:color w:val="auto"/>
                    </w:rPr>
                  </w:pPr>
                  <w:r>
                    <w:rPr>
                      <w:rFonts w:hint="eastAsia"/>
                      <w:color w:val="auto"/>
                    </w:rPr>
                    <w:t>毒性</w:t>
                  </w:r>
                </w:p>
              </w:tc>
              <w:tc>
                <w:tcPr>
                  <w:tcW w:w="709" w:type="pct"/>
                  <w:tcBorders>
                    <w:tl2br w:val="nil"/>
                    <w:tr2bl w:val="nil"/>
                  </w:tcBorders>
                  <w:vAlign w:val="center"/>
                </w:tcPr>
                <w:p>
                  <w:pPr>
                    <w:pStyle w:val="36"/>
                    <w:ind w:left="-72" w:leftChars="-30" w:right="-72" w:rightChars="-30"/>
                    <w:rPr>
                      <w:color w:val="auto"/>
                    </w:rPr>
                  </w:pPr>
                  <w:r>
                    <w:rPr>
                      <w:rFonts w:hint="eastAsia"/>
                      <w:color w:val="auto"/>
                    </w:rPr>
                    <w:t>0.0085</w:t>
                  </w:r>
                </w:p>
              </w:tc>
              <w:tc>
                <w:tcPr>
                  <w:tcW w:w="696" w:type="pct"/>
                  <w:tcBorders>
                    <w:tl2br w:val="nil"/>
                    <w:tr2bl w:val="nil"/>
                  </w:tcBorders>
                  <w:vAlign w:val="center"/>
                </w:tcPr>
                <w:p>
                  <w:pPr>
                    <w:pStyle w:val="36"/>
                    <w:ind w:left="-72" w:leftChars="-30" w:right="-72" w:rightChars="-30"/>
                    <w:rPr>
                      <w:color w:val="auto"/>
                    </w:rPr>
                  </w:pPr>
                  <w:r>
                    <w:rPr>
                      <w:rFonts w:hint="eastAsia"/>
                      <w:color w:val="auto"/>
                    </w:rPr>
                    <w:t>50</w:t>
                  </w:r>
                </w:p>
              </w:tc>
              <w:tc>
                <w:tcPr>
                  <w:tcW w:w="657" w:type="pct"/>
                  <w:tcBorders>
                    <w:tl2br w:val="nil"/>
                    <w:tr2bl w:val="nil"/>
                  </w:tcBorders>
                  <w:vAlign w:val="center"/>
                </w:tcPr>
                <w:p>
                  <w:pPr>
                    <w:pStyle w:val="36"/>
                    <w:ind w:left="-72" w:leftChars="-30" w:right="-72" w:rightChars="-30"/>
                    <w:rPr>
                      <w:color w:val="auto"/>
                    </w:rPr>
                  </w:pPr>
                  <w:r>
                    <w:rPr>
                      <w:rFonts w:hint="eastAsia"/>
                      <w:color w:val="auto"/>
                    </w:rPr>
                    <w:t>0.00017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7" w:type="pct"/>
                  <w:tcBorders>
                    <w:tl2br w:val="nil"/>
                    <w:tr2bl w:val="nil"/>
                  </w:tcBorders>
                  <w:vAlign w:val="center"/>
                </w:tcPr>
                <w:p>
                  <w:pPr>
                    <w:pStyle w:val="36"/>
                    <w:ind w:left="-72" w:leftChars="-30" w:right="-72" w:rightChars="-30"/>
                    <w:rPr>
                      <w:color w:val="auto"/>
                    </w:rPr>
                  </w:pPr>
                  <w:r>
                    <w:rPr>
                      <w:rFonts w:hint="eastAsia"/>
                      <w:color w:val="auto"/>
                    </w:rPr>
                    <w:t>6</w:t>
                  </w:r>
                </w:p>
              </w:tc>
              <w:tc>
                <w:tcPr>
                  <w:tcW w:w="1245" w:type="pct"/>
                  <w:gridSpan w:val="2"/>
                  <w:tcBorders>
                    <w:tl2br w:val="nil"/>
                    <w:tr2bl w:val="nil"/>
                  </w:tcBorders>
                  <w:vAlign w:val="center"/>
                </w:tcPr>
                <w:p>
                  <w:pPr>
                    <w:pStyle w:val="36"/>
                    <w:rPr>
                      <w:color w:val="auto"/>
                    </w:rPr>
                  </w:pPr>
                  <w:r>
                    <w:rPr>
                      <w:rFonts w:hint="eastAsia"/>
                      <w:color w:val="auto"/>
                    </w:rPr>
                    <w:t>废拉丝液</w:t>
                  </w:r>
                </w:p>
              </w:tc>
              <w:tc>
                <w:tcPr>
                  <w:tcW w:w="715" w:type="pct"/>
                  <w:tcBorders>
                    <w:tl2br w:val="nil"/>
                    <w:tr2bl w:val="nil"/>
                  </w:tcBorders>
                  <w:vAlign w:val="center"/>
                </w:tcPr>
                <w:p>
                  <w:pPr>
                    <w:pStyle w:val="36"/>
                    <w:ind w:left="-72" w:leftChars="-30" w:right="-72" w:rightChars="-30"/>
                    <w:rPr>
                      <w:color w:val="auto"/>
                    </w:rPr>
                  </w:pPr>
                  <w:r>
                    <w:rPr>
                      <w:rFonts w:hint="eastAsia"/>
                      <w:color w:val="auto"/>
                    </w:rPr>
                    <w:t>拉丝液循环水池</w:t>
                  </w:r>
                </w:p>
              </w:tc>
              <w:tc>
                <w:tcPr>
                  <w:tcW w:w="626" w:type="pct"/>
                  <w:tcBorders>
                    <w:tl2br w:val="nil"/>
                    <w:tr2bl w:val="nil"/>
                  </w:tcBorders>
                  <w:vAlign w:val="center"/>
                </w:tcPr>
                <w:p>
                  <w:pPr>
                    <w:pStyle w:val="36"/>
                    <w:ind w:left="-72" w:leftChars="-30" w:right="-72" w:rightChars="-30"/>
                    <w:rPr>
                      <w:color w:val="auto"/>
                    </w:rPr>
                  </w:pPr>
                  <w:r>
                    <w:rPr>
                      <w:rFonts w:hint="eastAsia"/>
                      <w:color w:val="auto"/>
                    </w:rPr>
                    <w:t>毒性</w:t>
                  </w:r>
                </w:p>
              </w:tc>
              <w:tc>
                <w:tcPr>
                  <w:tcW w:w="709" w:type="pct"/>
                  <w:tcBorders>
                    <w:tl2br w:val="nil"/>
                    <w:tr2bl w:val="nil"/>
                  </w:tcBorders>
                  <w:vAlign w:val="center"/>
                </w:tcPr>
                <w:p>
                  <w:pPr>
                    <w:pStyle w:val="36"/>
                    <w:ind w:left="-72" w:leftChars="-30" w:right="-72" w:rightChars="-30"/>
                    <w:rPr>
                      <w:color w:val="auto"/>
                    </w:rPr>
                  </w:pPr>
                  <w:r>
                    <w:rPr>
                      <w:rFonts w:hint="eastAsia"/>
                      <w:color w:val="auto"/>
                    </w:rPr>
                    <w:t>31.8</w:t>
                  </w:r>
                </w:p>
              </w:tc>
              <w:tc>
                <w:tcPr>
                  <w:tcW w:w="696" w:type="pct"/>
                  <w:tcBorders>
                    <w:tl2br w:val="nil"/>
                    <w:tr2bl w:val="nil"/>
                  </w:tcBorders>
                  <w:vAlign w:val="center"/>
                </w:tcPr>
                <w:p>
                  <w:pPr>
                    <w:pStyle w:val="36"/>
                    <w:ind w:left="-72" w:leftChars="-30" w:right="-72" w:rightChars="-30"/>
                    <w:rPr>
                      <w:color w:val="auto"/>
                    </w:rPr>
                  </w:pPr>
                  <w:r>
                    <w:rPr>
                      <w:rFonts w:hint="eastAsia"/>
                      <w:color w:val="auto"/>
                    </w:rPr>
                    <w:t>50</w:t>
                  </w:r>
                </w:p>
              </w:tc>
              <w:tc>
                <w:tcPr>
                  <w:tcW w:w="657" w:type="pct"/>
                  <w:tcBorders>
                    <w:tl2br w:val="nil"/>
                    <w:tr2bl w:val="nil"/>
                  </w:tcBorders>
                  <w:vAlign w:val="center"/>
                </w:tcPr>
                <w:p>
                  <w:pPr>
                    <w:pStyle w:val="36"/>
                    <w:ind w:left="-72" w:leftChars="-30" w:right="-72" w:rightChars="-30"/>
                    <w:rPr>
                      <w:color w:val="auto"/>
                    </w:rPr>
                  </w:pPr>
                  <w:r>
                    <w:rPr>
                      <w:rFonts w:hint="eastAsia"/>
                      <w:color w:val="auto"/>
                    </w:rPr>
                    <w:t>0.636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7" w:type="pct"/>
                  <w:tcBorders>
                    <w:tl2br w:val="nil"/>
                    <w:tr2bl w:val="nil"/>
                  </w:tcBorders>
                  <w:vAlign w:val="center"/>
                </w:tcPr>
                <w:p>
                  <w:pPr>
                    <w:pStyle w:val="36"/>
                    <w:ind w:left="-72" w:leftChars="-30" w:right="-72" w:rightChars="-30"/>
                    <w:rPr>
                      <w:color w:val="auto"/>
                    </w:rPr>
                  </w:pPr>
                  <w:r>
                    <w:rPr>
                      <w:rFonts w:hint="eastAsia"/>
                      <w:color w:val="auto"/>
                    </w:rPr>
                    <w:t>7</w:t>
                  </w:r>
                </w:p>
              </w:tc>
              <w:tc>
                <w:tcPr>
                  <w:tcW w:w="1245" w:type="pct"/>
                  <w:gridSpan w:val="2"/>
                  <w:tcBorders>
                    <w:tl2br w:val="nil"/>
                    <w:tr2bl w:val="nil"/>
                  </w:tcBorders>
                  <w:vAlign w:val="center"/>
                </w:tcPr>
                <w:p>
                  <w:pPr>
                    <w:pStyle w:val="36"/>
                    <w:rPr>
                      <w:color w:val="auto"/>
                    </w:rPr>
                  </w:pPr>
                  <w:r>
                    <w:rPr>
                      <w:rFonts w:hint="eastAsia"/>
                      <w:color w:val="auto"/>
                    </w:rPr>
                    <w:t>废毛毡</w:t>
                  </w:r>
                </w:p>
                <w:p>
                  <w:pPr>
                    <w:pStyle w:val="36"/>
                    <w:rPr>
                      <w:color w:val="auto"/>
                    </w:rPr>
                  </w:pPr>
                  <w:r>
                    <w:rPr>
                      <w:rFonts w:hint="eastAsia"/>
                      <w:color w:val="auto"/>
                    </w:rPr>
                    <w:t>（含拉丝液）</w:t>
                  </w:r>
                </w:p>
              </w:tc>
              <w:tc>
                <w:tcPr>
                  <w:tcW w:w="715" w:type="pct"/>
                  <w:tcBorders>
                    <w:tl2br w:val="nil"/>
                    <w:tr2bl w:val="nil"/>
                  </w:tcBorders>
                  <w:vAlign w:val="center"/>
                </w:tcPr>
                <w:p>
                  <w:pPr>
                    <w:pStyle w:val="36"/>
                    <w:ind w:left="-72" w:leftChars="-30" w:right="-72" w:rightChars="-30"/>
                    <w:rPr>
                      <w:color w:val="auto"/>
                    </w:rPr>
                  </w:pPr>
                  <w:r>
                    <w:rPr>
                      <w:rFonts w:hint="eastAsia"/>
                      <w:color w:val="auto"/>
                    </w:rPr>
                    <w:t>危废贮存库</w:t>
                  </w:r>
                </w:p>
              </w:tc>
              <w:tc>
                <w:tcPr>
                  <w:tcW w:w="626" w:type="pct"/>
                  <w:tcBorders>
                    <w:tl2br w:val="nil"/>
                    <w:tr2bl w:val="nil"/>
                  </w:tcBorders>
                  <w:vAlign w:val="center"/>
                </w:tcPr>
                <w:p>
                  <w:pPr>
                    <w:pStyle w:val="36"/>
                    <w:ind w:left="-72" w:leftChars="-30" w:right="-72" w:rightChars="-30"/>
                    <w:rPr>
                      <w:color w:val="auto"/>
                    </w:rPr>
                  </w:pPr>
                  <w:r>
                    <w:rPr>
                      <w:rFonts w:hint="eastAsia"/>
                      <w:color w:val="auto"/>
                    </w:rPr>
                    <w:t>毒性</w:t>
                  </w:r>
                </w:p>
              </w:tc>
              <w:tc>
                <w:tcPr>
                  <w:tcW w:w="709" w:type="pct"/>
                  <w:tcBorders>
                    <w:tl2br w:val="nil"/>
                    <w:tr2bl w:val="nil"/>
                  </w:tcBorders>
                  <w:vAlign w:val="center"/>
                </w:tcPr>
                <w:p>
                  <w:pPr>
                    <w:pStyle w:val="36"/>
                    <w:ind w:left="-72" w:leftChars="-30" w:right="-72" w:rightChars="-30"/>
                    <w:rPr>
                      <w:color w:val="auto"/>
                    </w:rPr>
                  </w:pPr>
                  <w:r>
                    <w:rPr>
                      <w:rFonts w:hint="eastAsia"/>
                      <w:color w:val="auto"/>
                    </w:rPr>
                    <w:t>7</w:t>
                  </w:r>
                </w:p>
              </w:tc>
              <w:tc>
                <w:tcPr>
                  <w:tcW w:w="696" w:type="pct"/>
                  <w:tcBorders>
                    <w:tl2br w:val="nil"/>
                    <w:tr2bl w:val="nil"/>
                  </w:tcBorders>
                  <w:vAlign w:val="center"/>
                </w:tcPr>
                <w:p>
                  <w:pPr>
                    <w:pStyle w:val="36"/>
                    <w:ind w:left="-72" w:leftChars="-30" w:right="-72" w:rightChars="-30"/>
                    <w:rPr>
                      <w:color w:val="auto"/>
                    </w:rPr>
                  </w:pPr>
                  <w:r>
                    <w:rPr>
                      <w:rFonts w:hint="eastAsia"/>
                      <w:color w:val="auto"/>
                    </w:rPr>
                    <w:t>50</w:t>
                  </w:r>
                </w:p>
              </w:tc>
              <w:tc>
                <w:tcPr>
                  <w:tcW w:w="657" w:type="pct"/>
                  <w:tcBorders>
                    <w:tl2br w:val="nil"/>
                    <w:tr2bl w:val="nil"/>
                  </w:tcBorders>
                  <w:vAlign w:val="center"/>
                </w:tcPr>
                <w:p>
                  <w:pPr>
                    <w:pStyle w:val="36"/>
                    <w:ind w:left="-72" w:leftChars="-30" w:right="-72" w:rightChars="-30"/>
                    <w:rPr>
                      <w:color w:val="auto"/>
                    </w:rPr>
                  </w:pPr>
                  <w:r>
                    <w:rPr>
                      <w:rFonts w:hint="eastAsia"/>
                      <w:color w:val="auto"/>
                    </w:rPr>
                    <w:t>0.14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7" w:type="pct"/>
                  <w:tcBorders>
                    <w:tl2br w:val="nil"/>
                    <w:tr2bl w:val="nil"/>
                  </w:tcBorders>
                  <w:vAlign w:val="center"/>
                </w:tcPr>
                <w:p>
                  <w:pPr>
                    <w:pStyle w:val="36"/>
                    <w:ind w:left="-72" w:leftChars="-30" w:right="-72" w:rightChars="-30"/>
                    <w:rPr>
                      <w:color w:val="auto"/>
                    </w:rPr>
                  </w:pPr>
                  <w:r>
                    <w:rPr>
                      <w:rFonts w:hint="eastAsia"/>
                      <w:color w:val="auto"/>
                    </w:rPr>
                    <w:t>8</w:t>
                  </w:r>
                </w:p>
              </w:tc>
              <w:tc>
                <w:tcPr>
                  <w:tcW w:w="1245" w:type="pct"/>
                  <w:gridSpan w:val="2"/>
                  <w:tcBorders>
                    <w:tl2br w:val="nil"/>
                    <w:tr2bl w:val="nil"/>
                  </w:tcBorders>
                  <w:vAlign w:val="center"/>
                </w:tcPr>
                <w:p>
                  <w:pPr>
                    <w:pStyle w:val="36"/>
                    <w:rPr>
                      <w:color w:val="auto"/>
                    </w:rPr>
                  </w:pPr>
                  <w:r>
                    <w:rPr>
                      <w:rFonts w:hint="eastAsia"/>
                      <w:color w:val="auto"/>
                    </w:rPr>
                    <w:t>废液压油</w:t>
                  </w:r>
                </w:p>
              </w:tc>
              <w:tc>
                <w:tcPr>
                  <w:tcW w:w="715" w:type="pct"/>
                  <w:tcBorders>
                    <w:tl2br w:val="nil"/>
                    <w:tr2bl w:val="nil"/>
                  </w:tcBorders>
                  <w:vAlign w:val="center"/>
                </w:tcPr>
                <w:p>
                  <w:pPr>
                    <w:pStyle w:val="36"/>
                    <w:ind w:left="-72" w:leftChars="-30" w:right="-72" w:rightChars="-30"/>
                    <w:rPr>
                      <w:color w:val="auto"/>
                    </w:rPr>
                  </w:pPr>
                  <w:r>
                    <w:rPr>
                      <w:rFonts w:hint="eastAsia"/>
                      <w:color w:val="auto"/>
                    </w:rPr>
                    <w:t>危废贮存库</w:t>
                  </w:r>
                </w:p>
              </w:tc>
              <w:tc>
                <w:tcPr>
                  <w:tcW w:w="626" w:type="pct"/>
                  <w:tcBorders>
                    <w:tl2br w:val="nil"/>
                    <w:tr2bl w:val="nil"/>
                  </w:tcBorders>
                  <w:vAlign w:val="center"/>
                </w:tcPr>
                <w:p>
                  <w:pPr>
                    <w:pStyle w:val="36"/>
                    <w:ind w:left="-72" w:leftChars="-30" w:right="-72" w:rightChars="-30"/>
                    <w:rPr>
                      <w:color w:val="auto"/>
                    </w:rPr>
                  </w:pPr>
                  <w:r>
                    <w:rPr>
                      <w:color w:val="auto"/>
                    </w:rPr>
                    <w:t>油类物质</w:t>
                  </w:r>
                </w:p>
              </w:tc>
              <w:tc>
                <w:tcPr>
                  <w:tcW w:w="709" w:type="pct"/>
                  <w:tcBorders>
                    <w:tl2br w:val="nil"/>
                    <w:tr2bl w:val="nil"/>
                  </w:tcBorders>
                  <w:vAlign w:val="center"/>
                </w:tcPr>
                <w:p>
                  <w:pPr>
                    <w:pStyle w:val="36"/>
                    <w:rPr>
                      <w:color w:val="auto"/>
                    </w:rPr>
                  </w:pPr>
                  <w:r>
                    <w:rPr>
                      <w:rFonts w:hint="eastAsia"/>
                      <w:color w:val="auto"/>
                    </w:rPr>
                    <w:t>0.80</w:t>
                  </w:r>
                </w:p>
              </w:tc>
              <w:tc>
                <w:tcPr>
                  <w:tcW w:w="696" w:type="pct"/>
                  <w:tcBorders>
                    <w:tl2br w:val="nil"/>
                    <w:tr2bl w:val="nil"/>
                  </w:tcBorders>
                  <w:vAlign w:val="center"/>
                </w:tcPr>
                <w:p>
                  <w:pPr>
                    <w:pStyle w:val="36"/>
                    <w:ind w:left="-72" w:leftChars="-30" w:right="-72" w:rightChars="-30"/>
                    <w:rPr>
                      <w:color w:val="auto"/>
                    </w:rPr>
                  </w:pPr>
                  <w:r>
                    <w:rPr>
                      <w:rFonts w:hint="eastAsia"/>
                      <w:color w:val="auto"/>
                    </w:rPr>
                    <w:t>2500</w:t>
                  </w:r>
                </w:p>
              </w:tc>
              <w:tc>
                <w:tcPr>
                  <w:tcW w:w="657" w:type="pct"/>
                  <w:tcBorders>
                    <w:tl2br w:val="nil"/>
                    <w:tr2bl w:val="nil"/>
                  </w:tcBorders>
                  <w:vAlign w:val="center"/>
                </w:tcPr>
                <w:p>
                  <w:pPr>
                    <w:pStyle w:val="36"/>
                    <w:ind w:left="-72" w:leftChars="-30" w:right="-72" w:rightChars="-30"/>
                    <w:rPr>
                      <w:color w:val="auto"/>
                    </w:rPr>
                  </w:pPr>
                  <w:r>
                    <w:rPr>
                      <w:rFonts w:hint="eastAsia"/>
                      <w:color w:val="auto"/>
                    </w:rPr>
                    <w:t>0.00032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7" w:type="pct"/>
                  <w:tcBorders>
                    <w:tl2br w:val="nil"/>
                    <w:tr2bl w:val="nil"/>
                  </w:tcBorders>
                  <w:vAlign w:val="center"/>
                </w:tcPr>
                <w:p>
                  <w:pPr>
                    <w:pStyle w:val="36"/>
                    <w:ind w:left="-72" w:leftChars="-30" w:right="-72" w:rightChars="-30"/>
                    <w:rPr>
                      <w:color w:val="auto"/>
                    </w:rPr>
                  </w:pPr>
                  <w:r>
                    <w:rPr>
                      <w:rFonts w:hint="eastAsia"/>
                      <w:color w:val="auto"/>
                    </w:rPr>
                    <w:t>9</w:t>
                  </w:r>
                </w:p>
              </w:tc>
              <w:tc>
                <w:tcPr>
                  <w:tcW w:w="1245" w:type="pct"/>
                  <w:gridSpan w:val="2"/>
                  <w:tcBorders>
                    <w:tl2br w:val="nil"/>
                    <w:tr2bl w:val="nil"/>
                  </w:tcBorders>
                  <w:vAlign w:val="center"/>
                </w:tcPr>
                <w:p>
                  <w:pPr>
                    <w:pStyle w:val="36"/>
                    <w:rPr>
                      <w:color w:val="auto"/>
                    </w:rPr>
                  </w:pPr>
                  <w:r>
                    <w:rPr>
                      <w:rFonts w:hint="eastAsia"/>
                      <w:color w:val="auto"/>
                    </w:rPr>
                    <w:t>废润滑油</w:t>
                  </w:r>
                </w:p>
              </w:tc>
              <w:tc>
                <w:tcPr>
                  <w:tcW w:w="715" w:type="pct"/>
                  <w:tcBorders>
                    <w:tl2br w:val="nil"/>
                    <w:tr2bl w:val="nil"/>
                  </w:tcBorders>
                  <w:vAlign w:val="center"/>
                </w:tcPr>
                <w:p>
                  <w:pPr>
                    <w:pStyle w:val="36"/>
                    <w:ind w:left="-72" w:leftChars="-30" w:right="-72" w:rightChars="-30"/>
                    <w:rPr>
                      <w:color w:val="auto"/>
                    </w:rPr>
                  </w:pPr>
                  <w:r>
                    <w:rPr>
                      <w:rFonts w:hint="eastAsia"/>
                      <w:color w:val="auto"/>
                    </w:rPr>
                    <w:t>危废贮存库</w:t>
                  </w:r>
                </w:p>
              </w:tc>
              <w:tc>
                <w:tcPr>
                  <w:tcW w:w="626" w:type="pct"/>
                  <w:tcBorders>
                    <w:tl2br w:val="nil"/>
                    <w:tr2bl w:val="nil"/>
                  </w:tcBorders>
                  <w:vAlign w:val="center"/>
                </w:tcPr>
                <w:p>
                  <w:pPr>
                    <w:pStyle w:val="36"/>
                    <w:ind w:left="-72" w:leftChars="-30" w:right="-72" w:rightChars="-30"/>
                    <w:rPr>
                      <w:color w:val="auto"/>
                    </w:rPr>
                  </w:pPr>
                  <w:r>
                    <w:rPr>
                      <w:color w:val="auto"/>
                    </w:rPr>
                    <w:t>油类物质</w:t>
                  </w:r>
                </w:p>
              </w:tc>
              <w:tc>
                <w:tcPr>
                  <w:tcW w:w="709" w:type="pct"/>
                  <w:tcBorders>
                    <w:tl2br w:val="nil"/>
                    <w:tr2bl w:val="nil"/>
                  </w:tcBorders>
                  <w:vAlign w:val="center"/>
                </w:tcPr>
                <w:p>
                  <w:pPr>
                    <w:pStyle w:val="36"/>
                    <w:rPr>
                      <w:color w:val="auto"/>
                    </w:rPr>
                  </w:pPr>
                  <w:r>
                    <w:rPr>
                      <w:rFonts w:hint="eastAsia"/>
                      <w:color w:val="auto"/>
                    </w:rPr>
                    <w:t>0.09</w:t>
                  </w:r>
                </w:p>
              </w:tc>
              <w:tc>
                <w:tcPr>
                  <w:tcW w:w="696" w:type="pct"/>
                  <w:tcBorders>
                    <w:tl2br w:val="nil"/>
                    <w:tr2bl w:val="nil"/>
                  </w:tcBorders>
                  <w:vAlign w:val="center"/>
                </w:tcPr>
                <w:p>
                  <w:pPr>
                    <w:pStyle w:val="36"/>
                    <w:ind w:left="-72" w:leftChars="-30" w:right="-72" w:rightChars="-30"/>
                    <w:rPr>
                      <w:color w:val="auto"/>
                    </w:rPr>
                  </w:pPr>
                  <w:r>
                    <w:rPr>
                      <w:rFonts w:hint="eastAsia"/>
                      <w:color w:val="auto"/>
                    </w:rPr>
                    <w:t>2500</w:t>
                  </w:r>
                </w:p>
              </w:tc>
              <w:tc>
                <w:tcPr>
                  <w:tcW w:w="657" w:type="pct"/>
                  <w:tcBorders>
                    <w:tl2br w:val="nil"/>
                    <w:tr2bl w:val="nil"/>
                  </w:tcBorders>
                  <w:vAlign w:val="center"/>
                </w:tcPr>
                <w:p>
                  <w:pPr>
                    <w:pStyle w:val="36"/>
                    <w:ind w:left="-72" w:leftChars="-30" w:right="-72" w:rightChars="-30"/>
                    <w:rPr>
                      <w:color w:val="auto"/>
                    </w:rPr>
                  </w:pPr>
                  <w:r>
                    <w:rPr>
                      <w:rFonts w:hint="eastAsia"/>
                      <w:color w:val="auto"/>
                    </w:rPr>
                    <w:t>0.000036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342" w:type="pct"/>
                  <w:gridSpan w:val="7"/>
                  <w:tcBorders>
                    <w:tl2br w:val="nil"/>
                    <w:tr2bl w:val="nil"/>
                  </w:tcBorders>
                  <w:vAlign w:val="center"/>
                </w:tcPr>
                <w:p>
                  <w:pPr>
                    <w:pStyle w:val="36"/>
                    <w:ind w:left="-72" w:leftChars="-30" w:right="-72" w:rightChars="-30"/>
                    <w:rPr>
                      <w:color w:val="auto"/>
                    </w:rPr>
                  </w:pPr>
                  <w:r>
                    <w:rPr>
                      <w:rFonts w:hint="eastAsia"/>
                      <w:color w:val="auto"/>
                    </w:rPr>
                    <w:t>合计</w:t>
                  </w:r>
                </w:p>
              </w:tc>
              <w:tc>
                <w:tcPr>
                  <w:tcW w:w="657" w:type="pct"/>
                  <w:tcBorders>
                    <w:tl2br w:val="nil"/>
                    <w:tr2bl w:val="nil"/>
                  </w:tcBorders>
                  <w:vAlign w:val="center"/>
                </w:tcPr>
                <w:p>
                  <w:pPr>
                    <w:pStyle w:val="36"/>
                    <w:ind w:left="-72" w:leftChars="-30" w:right="-72" w:rightChars="-30"/>
                    <w:rPr>
                      <w:color w:val="auto"/>
                    </w:rPr>
                  </w:pPr>
                  <w:r>
                    <w:rPr>
                      <w:rFonts w:hint="eastAsia"/>
                      <w:color w:val="auto"/>
                    </w:rPr>
                    <w:t>0.77709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000" w:type="pct"/>
                  <w:gridSpan w:val="8"/>
                  <w:tcBorders>
                    <w:tl2br w:val="nil"/>
                    <w:tr2bl w:val="nil"/>
                  </w:tcBorders>
                  <w:vAlign w:val="center"/>
                </w:tcPr>
                <w:p>
                  <w:pPr>
                    <w:pStyle w:val="36"/>
                    <w:ind w:left="-72" w:leftChars="-30" w:right="-72" w:rightChars="-30"/>
                    <w:jc w:val="left"/>
                    <w:rPr>
                      <w:color w:val="auto"/>
                    </w:rPr>
                  </w:pPr>
                  <w:r>
                    <w:rPr>
                      <w:rFonts w:hint="eastAsia"/>
                      <w:color w:val="auto"/>
                    </w:rPr>
                    <w:t>备注：具有毒性的危险废物参照HJ169-2018中附录B表B.2的健康危险毒性物质（类别2、类别3）推荐临界量50t计</w:t>
                  </w:r>
                </w:p>
              </w:tc>
            </w:tr>
          </w:tbl>
          <w:p>
            <w:pPr>
              <w:ind w:firstLine="480"/>
              <w:rPr>
                <w:rFonts w:cs="Times New Roman"/>
                <w:color w:val="auto"/>
              </w:rPr>
            </w:pPr>
            <w:r>
              <w:rPr>
                <w:rFonts w:hint="eastAsia" w:ascii="宋体" w:hAnsi="宋体"/>
                <w:color w:val="auto"/>
                <w:lang w:bidi="ar"/>
              </w:rPr>
              <w:t>由表</w:t>
            </w:r>
            <w:r>
              <w:rPr>
                <w:rFonts w:cs="Times New Roman"/>
                <w:color w:val="auto"/>
                <w:lang w:bidi="ar"/>
              </w:rPr>
              <w:t>4</w:t>
            </w:r>
            <w:r>
              <w:rPr>
                <w:rFonts w:hint="eastAsia" w:cs="Times New Roman"/>
                <w:color w:val="auto"/>
                <w:lang w:bidi="ar"/>
              </w:rPr>
              <w:t>.2</w:t>
            </w:r>
            <w:r>
              <w:rPr>
                <w:rFonts w:cs="Times New Roman"/>
                <w:color w:val="auto"/>
                <w:lang w:bidi="ar"/>
              </w:rPr>
              <w:t>-</w:t>
            </w:r>
            <w:r>
              <w:rPr>
                <w:rFonts w:hint="eastAsia" w:cs="Times New Roman"/>
                <w:color w:val="auto"/>
                <w:lang w:bidi="ar"/>
              </w:rPr>
              <w:t>1</w:t>
            </w:r>
            <w:r>
              <w:rPr>
                <w:rFonts w:hint="eastAsia" w:cs="Times New Roman"/>
                <w:color w:val="auto"/>
                <w:lang w:val="en-US" w:eastAsia="zh-CN" w:bidi="ar"/>
              </w:rPr>
              <w:t>4</w:t>
            </w:r>
            <w:r>
              <w:rPr>
                <w:rFonts w:hint="eastAsia" w:ascii="宋体" w:hAnsi="宋体"/>
                <w:color w:val="auto"/>
                <w:lang w:bidi="ar"/>
              </w:rPr>
              <w:t>计算结果可知</w:t>
            </w:r>
            <w:r>
              <w:rPr>
                <w:rFonts w:cs="Times New Roman"/>
                <w:color w:val="auto"/>
              </w:rPr>
              <w:t>，</w:t>
            </w:r>
            <w:r>
              <w:rPr>
                <w:rFonts w:hint="eastAsia" w:ascii="宋体" w:hAnsi="宋体"/>
                <w:color w:val="auto"/>
                <w:lang w:bidi="ar"/>
              </w:rPr>
              <w:t>本项目危险物质数量与临界量比值</w:t>
            </w:r>
            <w:r>
              <w:rPr>
                <w:rFonts w:cs="Times New Roman"/>
                <w:color w:val="auto"/>
                <w:lang w:bidi="ar"/>
              </w:rPr>
              <w:t>Q</w:t>
            </w:r>
            <w:r>
              <w:rPr>
                <w:rFonts w:cs="Times New Roman"/>
                <w:color w:val="auto"/>
              </w:rPr>
              <w:t>总值约为</w:t>
            </w:r>
            <w:r>
              <w:rPr>
                <w:rFonts w:hint="eastAsia"/>
                <w:color w:val="auto"/>
              </w:rPr>
              <w:t>0.77709</w:t>
            </w:r>
            <w:r>
              <w:rPr>
                <w:rFonts w:cs="Times New Roman"/>
                <w:color w:val="auto"/>
              </w:rPr>
              <w:t>&lt;1，</w:t>
            </w:r>
            <w:r>
              <w:rPr>
                <w:color w:val="auto"/>
              </w:rPr>
              <w:t>环境风险很小</w:t>
            </w:r>
            <w:r>
              <w:rPr>
                <w:rFonts w:cs="Times New Roman"/>
                <w:color w:val="auto"/>
              </w:rPr>
              <w:t>。</w:t>
            </w:r>
          </w:p>
          <w:p>
            <w:pPr>
              <w:ind w:firstLine="566" w:firstLineChars="236"/>
              <w:rPr>
                <w:rFonts w:hint="eastAsia" w:eastAsia="宋体"/>
                <w:color w:val="auto"/>
                <w:lang w:val="en-US" w:eastAsia="zh-CN"/>
              </w:rPr>
            </w:pPr>
            <w:r>
              <w:rPr>
                <w:color w:val="auto"/>
              </w:rPr>
              <w:t>（2）风险识别</w:t>
            </w:r>
          </w:p>
          <w:p>
            <w:pPr>
              <w:ind w:firstLine="554" w:firstLineChars="231"/>
              <w:rPr>
                <w:color w:val="auto"/>
              </w:rPr>
            </w:pPr>
            <w:r>
              <w:rPr>
                <w:color w:val="auto"/>
              </w:rPr>
              <w:t>通过对项目风险物质的识别，项目环境风险识别结果见下表4.</w:t>
            </w:r>
            <w:r>
              <w:rPr>
                <w:rFonts w:hint="eastAsia"/>
                <w:color w:val="auto"/>
              </w:rPr>
              <w:t>2-1</w:t>
            </w:r>
            <w:r>
              <w:rPr>
                <w:rFonts w:hint="eastAsia"/>
                <w:color w:val="auto"/>
                <w:lang w:val="en-US" w:eastAsia="zh-CN"/>
              </w:rPr>
              <w:t>9</w:t>
            </w:r>
            <w:r>
              <w:rPr>
                <w:color w:val="auto"/>
              </w:rPr>
              <w:t>。</w:t>
            </w:r>
          </w:p>
          <w:p>
            <w:pPr>
              <w:pStyle w:val="37"/>
              <w:rPr>
                <w:rFonts w:cs="Times New Roman"/>
                <w:color w:val="auto"/>
              </w:rPr>
            </w:pPr>
            <w:r>
              <w:rPr>
                <w:rFonts w:cs="Times New Roman"/>
                <w:color w:val="auto"/>
              </w:rPr>
              <w:t>表</w:t>
            </w:r>
            <w:r>
              <w:rPr>
                <w:rFonts w:hint="eastAsia" w:cs="Times New Roman"/>
                <w:color w:val="auto"/>
                <w:lang w:val="en-US"/>
              </w:rPr>
              <w:t>4.2</w:t>
            </w:r>
            <w:r>
              <w:rPr>
                <w:rFonts w:cs="Times New Roman"/>
                <w:color w:val="auto"/>
              </w:rPr>
              <w:t>-</w:t>
            </w:r>
            <w:r>
              <w:rPr>
                <w:rFonts w:hint="eastAsia" w:cs="Times New Roman"/>
                <w:color w:val="auto"/>
                <w:lang w:val="en-US"/>
              </w:rPr>
              <w:t>1</w:t>
            </w:r>
            <w:r>
              <w:rPr>
                <w:rFonts w:hint="eastAsia" w:cs="Times New Roman"/>
                <w:color w:val="auto"/>
                <w:lang w:val="en-US" w:eastAsia="zh-CN"/>
              </w:rPr>
              <w:t>9</w:t>
            </w:r>
            <w:r>
              <w:rPr>
                <w:rFonts w:hint="eastAsia" w:cs="Times New Roman"/>
                <w:color w:val="auto"/>
                <w:lang w:val="en-US"/>
              </w:rPr>
              <w:t xml:space="preserve"> </w:t>
            </w:r>
            <w:r>
              <w:rPr>
                <w:rFonts w:hint="eastAsia" w:cs="Times New Roman"/>
                <w:color w:val="auto"/>
              </w:rPr>
              <w:t>风险源分布情况及可能影响途径一览表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59"/>
              <w:gridCol w:w="1511"/>
              <w:gridCol w:w="3177"/>
              <w:gridCol w:w="193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59" w:type="dxa"/>
                  <w:vAlign w:val="center"/>
                </w:tcPr>
                <w:p>
                  <w:pPr>
                    <w:pStyle w:val="116"/>
                    <w:rPr>
                      <w:color w:val="auto"/>
                    </w:rPr>
                  </w:pPr>
                  <w:r>
                    <w:rPr>
                      <w:color w:val="auto"/>
                    </w:rPr>
                    <w:t>潜在事故类型</w:t>
                  </w:r>
                </w:p>
              </w:tc>
              <w:tc>
                <w:tcPr>
                  <w:tcW w:w="1511" w:type="dxa"/>
                  <w:vAlign w:val="center"/>
                </w:tcPr>
                <w:p>
                  <w:pPr>
                    <w:pStyle w:val="116"/>
                    <w:rPr>
                      <w:color w:val="auto"/>
                    </w:rPr>
                  </w:pPr>
                  <w:r>
                    <w:rPr>
                      <w:color w:val="auto"/>
                    </w:rPr>
                    <w:t>危险单元</w:t>
                  </w:r>
                </w:p>
              </w:tc>
              <w:tc>
                <w:tcPr>
                  <w:tcW w:w="3177" w:type="dxa"/>
                  <w:vAlign w:val="center"/>
                </w:tcPr>
                <w:p>
                  <w:pPr>
                    <w:pStyle w:val="116"/>
                    <w:rPr>
                      <w:color w:val="auto"/>
                    </w:rPr>
                  </w:pPr>
                  <w:r>
                    <w:rPr>
                      <w:color w:val="auto"/>
                    </w:rPr>
                    <w:t>事故原因</w:t>
                  </w:r>
                </w:p>
              </w:tc>
              <w:tc>
                <w:tcPr>
                  <w:tcW w:w="1935" w:type="dxa"/>
                  <w:vAlign w:val="center"/>
                </w:tcPr>
                <w:p>
                  <w:pPr>
                    <w:pStyle w:val="116"/>
                    <w:rPr>
                      <w:color w:val="auto"/>
                    </w:rPr>
                  </w:pPr>
                  <w:r>
                    <w:rPr>
                      <w:color w:val="auto"/>
                    </w:rPr>
                    <w:t>环境影响途径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59" w:type="dxa"/>
                  <w:vAlign w:val="center"/>
                </w:tcPr>
                <w:p>
                  <w:pPr>
                    <w:pStyle w:val="116"/>
                    <w:rPr>
                      <w:color w:val="auto"/>
                    </w:rPr>
                  </w:pPr>
                  <w:r>
                    <w:rPr>
                      <w:rFonts w:hint="eastAsia"/>
                      <w:color w:val="auto"/>
                    </w:rPr>
                    <w:t>拉丝油等液体物料</w:t>
                  </w:r>
                  <w:r>
                    <w:rPr>
                      <w:color w:val="auto"/>
                    </w:rPr>
                    <w:t>泄漏</w:t>
                  </w:r>
                </w:p>
              </w:tc>
              <w:tc>
                <w:tcPr>
                  <w:tcW w:w="1511" w:type="dxa"/>
                  <w:vAlign w:val="center"/>
                </w:tcPr>
                <w:p>
                  <w:pPr>
                    <w:pStyle w:val="116"/>
                    <w:rPr>
                      <w:color w:val="auto"/>
                    </w:rPr>
                  </w:pPr>
                  <w:r>
                    <w:rPr>
                      <w:rFonts w:hint="eastAsia"/>
                      <w:color w:val="auto"/>
                    </w:rPr>
                    <w:t>辅料仓库、</w:t>
                  </w:r>
                </w:p>
                <w:p>
                  <w:pPr>
                    <w:pStyle w:val="116"/>
                    <w:rPr>
                      <w:color w:val="auto"/>
                    </w:rPr>
                  </w:pPr>
                  <w:r>
                    <w:rPr>
                      <w:rFonts w:hint="eastAsia"/>
                      <w:color w:val="auto"/>
                    </w:rPr>
                    <w:t>拉丝液循环池</w:t>
                  </w:r>
                </w:p>
              </w:tc>
              <w:tc>
                <w:tcPr>
                  <w:tcW w:w="3177" w:type="dxa"/>
                  <w:vAlign w:val="center"/>
                </w:tcPr>
                <w:p>
                  <w:pPr>
                    <w:pStyle w:val="116"/>
                    <w:rPr>
                      <w:color w:val="auto"/>
                    </w:rPr>
                  </w:pPr>
                  <w:r>
                    <w:rPr>
                      <w:color w:val="auto"/>
                    </w:rPr>
                    <w:t>容器破损、操作不当泄漏</w:t>
                  </w:r>
                </w:p>
              </w:tc>
              <w:tc>
                <w:tcPr>
                  <w:tcW w:w="1935" w:type="dxa"/>
                  <w:vAlign w:val="center"/>
                </w:tcPr>
                <w:p>
                  <w:pPr>
                    <w:pStyle w:val="116"/>
                    <w:rPr>
                      <w:color w:val="auto"/>
                    </w:rPr>
                  </w:pPr>
                  <w:r>
                    <w:rPr>
                      <w:color w:val="auto"/>
                    </w:rPr>
                    <w:t>大气/地表水/土壤/地下水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59" w:type="dxa"/>
                  <w:vAlign w:val="center"/>
                </w:tcPr>
                <w:p>
                  <w:pPr>
                    <w:pStyle w:val="116"/>
                    <w:rPr>
                      <w:color w:val="auto"/>
                    </w:rPr>
                  </w:pPr>
                  <w:r>
                    <w:rPr>
                      <w:color w:val="auto"/>
                    </w:rPr>
                    <w:t>危废泄漏</w:t>
                  </w:r>
                </w:p>
              </w:tc>
              <w:tc>
                <w:tcPr>
                  <w:tcW w:w="1511" w:type="dxa"/>
                  <w:vAlign w:val="center"/>
                </w:tcPr>
                <w:p>
                  <w:pPr>
                    <w:pStyle w:val="116"/>
                    <w:rPr>
                      <w:color w:val="auto"/>
                    </w:rPr>
                  </w:pPr>
                  <w:r>
                    <w:rPr>
                      <w:color w:val="auto"/>
                    </w:rPr>
                    <w:t>危废</w:t>
                  </w:r>
                  <w:r>
                    <w:rPr>
                      <w:rFonts w:hint="eastAsia"/>
                      <w:color w:val="auto"/>
                    </w:rPr>
                    <w:t>贮存库</w:t>
                  </w:r>
                </w:p>
              </w:tc>
              <w:tc>
                <w:tcPr>
                  <w:tcW w:w="3177" w:type="dxa"/>
                  <w:vAlign w:val="center"/>
                </w:tcPr>
                <w:p>
                  <w:pPr>
                    <w:pStyle w:val="116"/>
                    <w:rPr>
                      <w:color w:val="auto"/>
                    </w:rPr>
                  </w:pPr>
                  <w:r>
                    <w:rPr>
                      <w:color w:val="auto"/>
                    </w:rPr>
                    <w:t>容器破损、操作不当泄漏</w:t>
                  </w:r>
                </w:p>
              </w:tc>
              <w:tc>
                <w:tcPr>
                  <w:tcW w:w="1935" w:type="dxa"/>
                  <w:vAlign w:val="center"/>
                </w:tcPr>
                <w:p>
                  <w:pPr>
                    <w:pStyle w:val="116"/>
                    <w:rPr>
                      <w:color w:val="auto"/>
                    </w:rPr>
                  </w:pPr>
                  <w:r>
                    <w:rPr>
                      <w:color w:val="auto"/>
                    </w:rPr>
                    <w:t>大气/地表水/土壤/地下水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59" w:type="dxa"/>
                  <w:vAlign w:val="center"/>
                </w:tcPr>
                <w:p>
                  <w:pPr>
                    <w:pStyle w:val="116"/>
                    <w:rPr>
                      <w:color w:val="auto"/>
                    </w:rPr>
                  </w:pPr>
                  <w:r>
                    <w:rPr>
                      <w:color w:val="auto"/>
                    </w:rPr>
                    <w:t>火灾、爆炸</w:t>
                  </w:r>
                </w:p>
              </w:tc>
              <w:tc>
                <w:tcPr>
                  <w:tcW w:w="1511" w:type="dxa"/>
                  <w:vAlign w:val="center"/>
                </w:tcPr>
                <w:p>
                  <w:pPr>
                    <w:pStyle w:val="116"/>
                    <w:rPr>
                      <w:color w:val="auto"/>
                    </w:rPr>
                  </w:pPr>
                  <w:r>
                    <w:rPr>
                      <w:color w:val="auto"/>
                    </w:rPr>
                    <w:t>危废</w:t>
                  </w:r>
                  <w:r>
                    <w:rPr>
                      <w:rFonts w:hint="eastAsia"/>
                      <w:color w:val="auto"/>
                    </w:rPr>
                    <w:t>贮存库</w:t>
                  </w:r>
                  <w:r>
                    <w:rPr>
                      <w:color w:val="auto"/>
                    </w:rPr>
                    <w:t>/</w:t>
                  </w:r>
                </w:p>
                <w:p>
                  <w:pPr>
                    <w:pStyle w:val="116"/>
                    <w:rPr>
                      <w:color w:val="auto"/>
                    </w:rPr>
                  </w:pPr>
                  <w:r>
                    <w:rPr>
                      <w:rFonts w:hint="eastAsia"/>
                      <w:color w:val="auto"/>
                    </w:rPr>
                    <w:t>辅料仓库</w:t>
                  </w:r>
                </w:p>
              </w:tc>
              <w:tc>
                <w:tcPr>
                  <w:tcW w:w="3177" w:type="dxa"/>
                  <w:vAlign w:val="center"/>
                </w:tcPr>
                <w:p>
                  <w:pPr>
                    <w:pStyle w:val="116"/>
                    <w:rPr>
                      <w:color w:val="auto"/>
                    </w:rPr>
                  </w:pPr>
                  <w:r>
                    <w:rPr>
                      <w:color w:val="auto"/>
                    </w:rPr>
                    <w:t>易燃物质遇明火发生火灾，火灾、爆炸产生消防废水，火灾、爆炸引发伴生 CO排放</w:t>
                  </w:r>
                </w:p>
              </w:tc>
              <w:tc>
                <w:tcPr>
                  <w:tcW w:w="1935" w:type="dxa"/>
                  <w:vAlign w:val="center"/>
                </w:tcPr>
                <w:p>
                  <w:pPr>
                    <w:pStyle w:val="116"/>
                    <w:rPr>
                      <w:color w:val="auto"/>
                    </w:rPr>
                  </w:pPr>
                  <w:r>
                    <w:rPr>
                      <w:color w:val="auto"/>
                    </w:rPr>
                    <w:t>大气/地表水</w:t>
                  </w:r>
                </w:p>
              </w:tc>
            </w:tr>
          </w:tbl>
          <w:p>
            <w:pPr>
              <w:pStyle w:val="61"/>
              <w:rPr>
                <w:rFonts w:ascii="Times New Roman" w:hAnsi="Times New Roman" w:cs="Times New Roman"/>
                <w:color w:val="auto"/>
              </w:rPr>
            </w:pPr>
            <w:r>
              <w:rPr>
                <w:rFonts w:ascii="Times New Roman" w:hAnsi="Times New Roman" w:cs="Times New Roman"/>
                <w:color w:val="auto"/>
              </w:rPr>
              <w:t>4.2.</w:t>
            </w:r>
            <w:r>
              <w:rPr>
                <w:rFonts w:hint="eastAsia" w:ascii="Times New Roman" w:hAnsi="Times New Roman" w:cs="Times New Roman"/>
                <w:color w:val="auto"/>
              </w:rPr>
              <w:t>7</w:t>
            </w:r>
            <w:r>
              <w:rPr>
                <w:rFonts w:ascii="Times New Roman" w:hAnsi="Times New Roman" w:cs="Times New Roman"/>
                <w:color w:val="auto"/>
              </w:rPr>
              <w:t>.</w:t>
            </w:r>
            <w:r>
              <w:rPr>
                <w:rFonts w:hint="eastAsia" w:ascii="Times New Roman" w:hAnsi="Times New Roman" w:cs="Times New Roman"/>
                <w:color w:val="auto"/>
              </w:rPr>
              <w:t>2环境风险影响分析</w:t>
            </w:r>
          </w:p>
          <w:p>
            <w:pPr>
              <w:ind w:firstLine="566" w:firstLineChars="236"/>
              <w:rPr>
                <w:color w:val="auto"/>
              </w:rPr>
            </w:pPr>
            <w:r>
              <w:rPr>
                <w:rFonts w:hint="eastAsia" w:ascii="宋体" w:hAnsi="宋体"/>
                <w:color w:val="auto"/>
              </w:rPr>
              <w:t>①</w:t>
            </w:r>
            <w:r>
              <w:rPr>
                <w:color w:val="auto"/>
              </w:rPr>
              <w:t>大气环境风险分析</w:t>
            </w:r>
          </w:p>
          <w:p>
            <w:pPr>
              <w:ind w:firstLine="566" w:firstLineChars="236"/>
              <w:rPr>
                <w:color w:val="auto"/>
              </w:rPr>
            </w:pPr>
            <w:r>
              <w:rPr>
                <w:rFonts w:hint="eastAsia"/>
                <w:color w:val="auto"/>
              </w:rPr>
              <w:t>项目涉及的油类物质（液压油、润滑油、拉丝油等）及危险废物，在运输、装卸、储存及使用环节，若发生火灾、爆炸事故，高温条件下油类物质会挥发扩散至空气中，同时燃烧过程会产生CO、SO</w:t>
            </w:r>
            <w:r>
              <w:rPr>
                <w:rFonts w:hint="eastAsia"/>
                <w:color w:val="auto"/>
                <w:vertAlign w:val="subscript"/>
              </w:rPr>
              <w:t>2</w:t>
            </w:r>
            <w:r>
              <w:rPr>
                <w:rFonts w:hint="eastAsia"/>
                <w:color w:val="auto"/>
              </w:rPr>
              <w:t>等次生污染物，可能对周边环境空气造成污染，进而影响人群健康。</w:t>
            </w:r>
          </w:p>
          <w:p>
            <w:pPr>
              <w:ind w:firstLine="566" w:firstLineChars="236"/>
              <w:rPr>
                <w:color w:val="auto"/>
              </w:rPr>
            </w:pPr>
            <w:r>
              <w:rPr>
                <w:rFonts w:hint="eastAsia" w:ascii="宋体" w:hAnsi="宋体"/>
                <w:color w:val="auto"/>
              </w:rPr>
              <w:t>②</w:t>
            </w:r>
            <w:r>
              <w:rPr>
                <w:color w:val="auto"/>
              </w:rPr>
              <w:t>地表水环境风险分析</w:t>
            </w:r>
          </w:p>
          <w:p>
            <w:pPr>
              <w:ind w:firstLine="566" w:firstLineChars="236"/>
              <w:rPr>
                <w:color w:val="auto"/>
              </w:rPr>
            </w:pPr>
            <w:r>
              <w:rPr>
                <w:rFonts w:hint="eastAsia"/>
                <w:color w:val="auto"/>
              </w:rPr>
              <w:t>项目涉及的油类物质（液压油、润滑油、拉丝油等）及危险废物，在运输、装卸、储存及使用过程中发生泄漏时，可能通过地表径流或雨水管道进入周边水体，造成水质污染；若发生火灾事故，消防用水会携带未燃烧的油类及燃烧残留物，经雨水管道排入周边水体，导致水体中油类等指标超标；此外，事故应急处置过程中产生的洗消废水（含残留油类等），若未妥善收集处理，可能通过地表漫流或雨水管网进入水体，造成污染</w:t>
            </w:r>
            <w:r>
              <w:rPr>
                <w:color w:val="auto"/>
              </w:rPr>
              <w:t>。</w:t>
            </w:r>
          </w:p>
          <w:p>
            <w:pPr>
              <w:ind w:firstLine="566" w:firstLineChars="236"/>
              <w:rPr>
                <w:color w:val="auto"/>
              </w:rPr>
            </w:pPr>
            <w:r>
              <w:rPr>
                <w:rFonts w:hint="eastAsia" w:ascii="宋体" w:hAnsi="宋体"/>
                <w:color w:val="auto"/>
              </w:rPr>
              <w:t>③</w:t>
            </w:r>
            <w:r>
              <w:rPr>
                <w:color w:val="auto"/>
              </w:rPr>
              <w:t>土壤、地下水环境风险</w:t>
            </w:r>
          </w:p>
          <w:p>
            <w:pPr>
              <w:ind w:firstLine="566" w:firstLineChars="236"/>
              <w:rPr>
                <w:color w:val="auto"/>
              </w:rPr>
            </w:pPr>
            <w:r>
              <w:rPr>
                <w:rFonts w:hint="eastAsia"/>
                <w:color w:val="auto"/>
              </w:rPr>
              <w:t>项目涉及的油类物质（液压油、润滑油、拉丝油等）及危险废物，</w:t>
            </w:r>
            <w:r>
              <w:rPr>
                <w:rFonts w:ascii="宋体" w:hAnsi="宋体"/>
                <w:color w:val="auto"/>
              </w:rPr>
              <w:t>在运输、装卸、储存及使用过程中发生泄漏时，液态油类物质可通过地表渗透进入土壤，进而污染地下水</w:t>
            </w:r>
            <w:r>
              <w:rPr>
                <w:rFonts w:hint="eastAsia" w:ascii="宋体" w:hAnsi="宋体"/>
                <w:color w:val="auto"/>
              </w:rPr>
              <w:t>；</w:t>
            </w:r>
            <w:r>
              <w:rPr>
                <w:rFonts w:ascii="宋体" w:hAnsi="宋体"/>
                <w:color w:val="auto"/>
              </w:rPr>
              <w:t>危险废物贮存库若防渗层出现破损，库内油类危险废物及其渗出液会直接下渗，可能污染周边土壤及地下水。</w:t>
            </w:r>
          </w:p>
          <w:p>
            <w:pPr>
              <w:ind w:firstLine="0" w:firstLineChars="0"/>
              <w:rPr>
                <w:rFonts w:cs="Times New Roman"/>
                <w:color w:val="auto"/>
              </w:rPr>
            </w:pPr>
            <w:r>
              <w:rPr>
                <w:rFonts w:eastAsia="黑体" w:cs="Times New Roman"/>
                <w:bCs/>
                <w:color w:val="auto"/>
                <w:kern w:val="28"/>
                <w:lang w:bidi="he-IL"/>
              </w:rPr>
              <w:t>4.2.</w:t>
            </w:r>
            <w:r>
              <w:rPr>
                <w:rFonts w:hint="eastAsia" w:eastAsia="黑体" w:cs="Times New Roman"/>
                <w:bCs/>
                <w:color w:val="auto"/>
                <w:kern w:val="28"/>
                <w:lang w:bidi="he-IL"/>
              </w:rPr>
              <w:t>7</w:t>
            </w:r>
            <w:r>
              <w:rPr>
                <w:rFonts w:eastAsia="黑体" w:cs="Times New Roman"/>
                <w:bCs/>
                <w:color w:val="auto"/>
                <w:kern w:val="28"/>
                <w:lang w:bidi="he-IL"/>
              </w:rPr>
              <w:t>.</w:t>
            </w:r>
            <w:r>
              <w:rPr>
                <w:rFonts w:hint="eastAsia" w:eastAsia="黑体" w:cs="Times New Roman"/>
                <w:bCs/>
                <w:color w:val="auto"/>
                <w:kern w:val="28"/>
                <w:lang w:bidi="he-IL"/>
              </w:rPr>
              <w:t>3环境风险防范措施</w:t>
            </w:r>
          </w:p>
          <w:p>
            <w:pPr>
              <w:ind w:firstLine="480"/>
              <w:rPr>
                <w:color w:val="auto"/>
              </w:rPr>
            </w:pPr>
            <w:r>
              <w:rPr>
                <w:rFonts w:hint="eastAsia"/>
                <w:color w:val="auto"/>
              </w:rPr>
              <w:t>为防止对环境造成的不利影响，针对厂区各环境风险源可能发生的突发环境事件，从生产安全管理角度采取以下措施：</w:t>
            </w:r>
          </w:p>
          <w:p>
            <w:pPr>
              <w:ind w:firstLine="566" w:firstLineChars="236"/>
              <w:rPr>
                <w:color w:val="auto"/>
              </w:rPr>
            </w:pPr>
            <w:r>
              <w:rPr>
                <w:color w:val="auto"/>
              </w:rPr>
              <w:t>（</w:t>
            </w:r>
            <w:r>
              <w:rPr>
                <w:rFonts w:hint="eastAsia"/>
                <w:color w:val="auto"/>
              </w:rPr>
              <w:t>1</w:t>
            </w:r>
            <w:r>
              <w:rPr>
                <w:color w:val="auto"/>
              </w:rPr>
              <w:t>）</w:t>
            </w:r>
            <w:r>
              <w:rPr>
                <w:rFonts w:hint="eastAsia"/>
                <w:color w:val="auto"/>
              </w:rPr>
              <w:t>火灾</w:t>
            </w:r>
            <w:r>
              <w:rPr>
                <w:color w:val="auto"/>
              </w:rPr>
              <w:t>风险防范措施</w:t>
            </w:r>
          </w:p>
          <w:p>
            <w:pPr>
              <w:ind w:firstLine="566" w:firstLineChars="236"/>
              <w:rPr>
                <w:rFonts w:hint="eastAsia" w:ascii="宋体" w:hAnsi="宋体"/>
                <w:color w:val="auto"/>
                <w:lang w:bidi="ar"/>
              </w:rPr>
            </w:pPr>
            <w:r>
              <w:rPr>
                <w:rFonts w:hint="eastAsia" w:ascii="宋体" w:hAnsi="宋体"/>
                <w:color w:val="auto"/>
                <w:lang w:bidi="ar"/>
              </w:rPr>
              <w:t>项目所用辅料（拉丝油、液压油、润滑油）及危险废物遇明火易发生火灾事故，火灾发生时，根据事故现场的情况、风向，向下风向的单位通报并协助单位疏散人员。火灾扑灭后，公司应当立即安排对火灾爆炸事故现场进行保护，在撤出事故现场、恢复正常秩序之前，应对事故现场进行洗消。同时还应做到以下几点：</w:t>
            </w:r>
          </w:p>
          <w:p>
            <w:pPr>
              <w:ind w:firstLine="566" w:firstLineChars="236"/>
              <w:rPr>
                <w:rFonts w:hint="eastAsia" w:ascii="宋体" w:hAnsi="宋体"/>
                <w:color w:val="auto"/>
                <w:lang w:bidi="ar"/>
              </w:rPr>
            </w:pPr>
            <w:r>
              <w:rPr>
                <w:rFonts w:hint="eastAsia" w:ascii="宋体" w:hAnsi="宋体"/>
                <w:color w:val="auto"/>
                <w:lang w:bidi="ar"/>
              </w:rPr>
              <w:t>①在辅料仓库、危废贮存库明显位置设置禁火标识，库内配备移动式泡沫灭火器，库外设置消防沙箱；</w:t>
            </w:r>
          </w:p>
          <w:p>
            <w:pPr>
              <w:ind w:firstLine="566" w:firstLineChars="236"/>
              <w:rPr>
                <w:rFonts w:hint="eastAsia" w:ascii="宋体" w:hAnsi="宋体"/>
                <w:color w:val="auto"/>
                <w:lang w:bidi="ar"/>
              </w:rPr>
            </w:pPr>
            <w:r>
              <w:rPr>
                <w:rFonts w:hint="eastAsia" w:ascii="宋体" w:hAnsi="宋体"/>
                <w:color w:val="auto"/>
                <w:lang w:bidi="ar"/>
              </w:rPr>
              <w:t>②储存容器（拉丝油、液压油等）需标注物质名称、危险特性、安全说明及事故应对措施；</w:t>
            </w:r>
          </w:p>
          <w:p>
            <w:pPr>
              <w:ind w:firstLine="566" w:firstLineChars="236"/>
              <w:rPr>
                <w:rFonts w:hint="eastAsia" w:ascii="宋体" w:hAnsi="宋体"/>
                <w:color w:val="auto"/>
                <w:lang w:bidi="ar"/>
              </w:rPr>
            </w:pPr>
            <w:r>
              <w:rPr>
                <w:rFonts w:hint="eastAsia" w:ascii="宋体" w:hAnsi="宋体"/>
                <w:color w:val="auto"/>
                <w:lang w:bidi="ar"/>
              </w:rPr>
              <w:t>③搬运和装卸时，应轻拿轻放，防止撞击；</w:t>
            </w:r>
          </w:p>
          <w:p>
            <w:pPr>
              <w:ind w:firstLine="566" w:firstLineChars="236"/>
              <w:rPr>
                <w:rFonts w:hint="eastAsia" w:ascii="宋体" w:hAnsi="宋体"/>
                <w:color w:val="auto"/>
                <w:lang w:bidi="ar"/>
              </w:rPr>
            </w:pPr>
            <w:r>
              <w:rPr>
                <w:rFonts w:hint="eastAsia" w:ascii="宋体" w:hAnsi="宋体"/>
                <w:color w:val="auto"/>
                <w:lang w:bidi="ar"/>
              </w:rPr>
              <w:t>④辅料仓库应选择阴凉通风无阳光直射的位置，防止仓库温度过高。</w:t>
            </w:r>
          </w:p>
          <w:p>
            <w:pPr>
              <w:ind w:firstLine="566" w:firstLineChars="236"/>
              <w:rPr>
                <w:color w:val="auto"/>
              </w:rPr>
            </w:pPr>
            <w:r>
              <w:rPr>
                <w:color w:val="auto"/>
              </w:rPr>
              <w:t>（</w:t>
            </w:r>
            <w:r>
              <w:rPr>
                <w:rFonts w:hint="eastAsia"/>
                <w:color w:val="auto"/>
              </w:rPr>
              <w:t>2</w:t>
            </w:r>
            <w:r>
              <w:rPr>
                <w:color w:val="auto"/>
              </w:rPr>
              <w:t>）泄漏风险防范措施</w:t>
            </w:r>
          </w:p>
          <w:p>
            <w:pPr>
              <w:ind w:firstLine="566" w:firstLineChars="236"/>
              <w:rPr>
                <w:rFonts w:hint="eastAsia" w:ascii="宋体" w:hAnsi="宋体"/>
                <w:color w:val="auto"/>
              </w:rPr>
            </w:pPr>
            <w:r>
              <w:rPr>
                <w:rFonts w:hint="eastAsia" w:ascii="宋体" w:hAnsi="宋体"/>
                <w:color w:val="auto"/>
              </w:rPr>
              <w:t>①辅料仓库、拉丝液循环池、危废库实施重点防渗，设置警示标识；定期检查容器及储存装置，发现破损及时处理；</w:t>
            </w:r>
          </w:p>
          <w:p>
            <w:pPr>
              <w:ind w:firstLine="566" w:firstLineChars="236"/>
              <w:rPr>
                <w:rFonts w:hint="eastAsia" w:ascii="宋体" w:hAnsi="宋体"/>
                <w:color w:val="auto"/>
              </w:rPr>
            </w:pPr>
            <w:r>
              <w:rPr>
                <w:rFonts w:hint="eastAsia" w:ascii="宋体" w:hAnsi="宋体"/>
                <w:color w:val="auto"/>
              </w:rPr>
              <w:t>②配备相应的堵漏材料（砂袋等），一旦发生泄漏事故，事故中心区应严禁火种、切断电源。采用砂子或其他不燃材料吸附或吸收，严禁用水冲洗进入下水道；</w:t>
            </w:r>
          </w:p>
          <w:p>
            <w:pPr>
              <w:ind w:firstLine="566" w:firstLineChars="236"/>
              <w:rPr>
                <w:rFonts w:hint="eastAsia" w:ascii="宋体" w:hAnsi="宋体"/>
                <w:color w:val="auto"/>
              </w:rPr>
            </w:pPr>
            <w:r>
              <w:rPr>
                <w:rFonts w:hint="eastAsia" w:ascii="宋体" w:hAnsi="宋体"/>
                <w:color w:val="auto"/>
              </w:rPr>
              <w:t>③容器周围布设围堰或托盘，防止泄漏物流入外环境；</w:t>
            </w:r>
          </w:p>
          <w:p>
            <w:pPr>
              <w:ind w:firstLine="480"/>
              <w:rPr>
                <w:color w:val="auto"/>
              </w:rPr>
            </w:pPr>
            <w:r>
              <w:rPr>
                <w:rFonts w:hint="eastAsia"/>
                <w:color w:val="auto"/>
              </w:rPr>
              <w:t>（3）制定应急操作规程，详细说明发生事故时应采取的操作步骤，规定抢修进度，限制事故影响。对操作人员定期进行防火安全教育或应急演习，增强职工的安全意识，提高识别异常状态的能力。</w:t>
            </w:r>
          </w:p>
          <w:p>
            <w:pPr>
              <w:ind w:firstLine="566" w:firstLineChars="236"/>
              <w:rPr>
                <w:color w:val="auto"/>
              </w:rPr>
            </w:pPr>
            <w:r>
              <w:rPr>
                <w:rFonts w:hint="eastAsia"/>
                <w:color w:val="auto"/>
              </w:rPr>
              <w:t>（4）建立完善的安全生产管理制度，加强安全生产的宣传和教育，定期或不定期地进行安全环保检查并如实记录检查的结果，同时制定隐患排查、整改和</w:t>
            </w:r>
          </w:p>
          <w:p>
            <w:pPr>
              <w:ind w:firstLine="0" w:firstLineChars="0"/>
              <w:rPr>
                <w:color w:val="auto"/>
              </w:rPr>
            </w:pPr>
            <w:r>
              <w:rPr>
                <w:rFonts w:hint="eastAsia"/>
                <w:color w:val="auto"/>
              </w:rPr>
              <w:t>反馈制度，对检查出的安全隐患及时完成整改，确保安全生产落实到生产中的每一个环节。</w:t>
            </w:r>
          </w:p>
          <w:p>
            <w:pPr>
              <w:ind w:firstLine="566" w:firstLineChars="236"/>
              <w:rPr>
                <w:color w:val="auto"/>
              </w:rPr>
            </w:pPr>
            <w:r>
              <w:rPr>
                <w:rFonts w:hint="eastAsia"/>
                <w:color w:val="auto"/>
              </w:rPr>
              <w:t>（5）所有危险固废的收集和暂存都应按《危险废物贮存污染控制标准》</w:t>
            </w:r>
          </w:p>
          <w:p>
            <w:pPr>
              <w:ind w:firstLine="0" w:firstLineChars="0"/>
              <w:rPr>
                <w:color w:val="auto"/>
              </w:rPr>
            </w:pPr>
            <w:r>
              <w:rPr>
                <w:rFonts w:hint="eastAsia"/>
                <w:color w:val="auto"/>
              </w:rPr>
              <w:t>（GB 18597-2023）执行。同时公司要有充分的应急措施，项目应按照相关规定设置逃生系统，并能够有足够匹配的消防器材及备用应急电源。</w:t>
            </w:r>
          </w:p>
          <w:p>
            <w:pPr>
              <w:pStyle w:val="56"/>
              <w:rPr>
                <w:rFonts w:cs="Times New Roman"/>
                <w:color w:val="auto"/>
              </w:rPr>
            </w:pPr>
            <w:bookmarkStart w:id="98" w:name="_Toc28805"/>
            <w:r>
              <w:rPr>
                <w:rFonts w:cs="Times New Roman"/>
                <w:color w:val="auto"/>
              </w:rPr>
              <w:t>4.2.</w:t>
            </w:r>
            <w:r>
              <w:rPr>
                <w:rFonts w:hint="eastAsia" w:cs="Times New Roman"/>
                <w:color w:val="auto"/>
              </w:rPr>
              <w:t>8电磁辐射</w:t>
            </w:r>
            <w:bookmarkEnd w:id="98"/>
          </w:p>
          <w:p>
            <w:pPr>
              <w:ind w:firstLine="480"/>
              <w:rPr>
                <w:color w:val="auto"/>
              </w:rPr>
            </w:pPr>
            <w:r>
              <w:rPr>
                <w:rFonts w:hint="eastAsia"/>
                <w:color w:val="auto"/>
              </w:rPr>
              <w:t>本项目不涉及电磁辐射。</w:t>
            </w: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pStyle w:val="56"/>
              <w:rPr>
                <w:rFonts w:eastAsia="宋体" w:cs="Times New Roman"/>
                <w:color w:val="auto"/>
              </w:rPr>
            </w:pPr>
            <w:bookmarkStart w:id="99" w:name="_Toc24661"/>
            <w:r>
              <w:rPr>
                <w:rFonts w:cs="Times New Roman"/>
                <w:color w:val="auto"/>
              </w:rPr>
              <w:t>4.2.</w:t>
            </w:r>
            <w:r>
              <w:rPr>
                <w:rFonts w:hint="eastAsia" w:cs="Times New Roman"/>
                <w:color w:val="auto"/>
              </w:rPr>
              <w:t>9</w:t>
            </w:r>
            <w:r>
              <w:rPr>
                <w:rFonts w:cs="Times New Roman"/>
                <w:color w:val="auto"/>
              </w:rPr>
              <w:t>监测要求</w:t>
            </w:r>
            <w:bookmarkEnd w:id="99"/>
          </w:p>
          <w:p>
            <w:pPr>
              <w:ind w:firstLine="480"/>
              <w:rPr>
                <w:rFonts w:cs="Times New Roman"/>
                <w:color w:val="auto"/>
              </w:rPr>
            </w:pPr>
            <w:r>
              <w:rPr>
                <w:rFonts w:hint="eastAsia" w:cs="Times New Roman"/>
                <w:color w:val="auto"/>
              </w:rPr>
              <w:t>本项目属于铜压延行业，无对应行业自行监测指南。</w:t>
            </w:r>
            <w:r>
              <w:rPr>
                <w:rFonts w:cs="Times New Roman"/>
                <w:color w:val="auto"/>
              </w:rPr>
              <w:t>根据《排污单位自行监测技术指南</w:t>
            </w:r>
            <w:r>
              <w:rPr>
                <w:rFonts w:hint="eastAsia" w:cs="Times New Roman"/>
                <w:color w:val="auto"/>
              </w:rPr>
              <w:t xml:space="preserve"> </w:t>
            </w:r>
            <w:r>
              <w:rPr>
                <w:rFonts w:cs="Times New Roman"/>
                <w:color w:val="auto"/>
              </w:rPr>
              <w:t>总则》（HJ</w:t>
            </w:r>
            <w:r>
              <w:rPr>
                <w:rFonts w:hint="eastAsia" w:cs="Times New Roman"/>
                <w:color w:val="auto"/>
              </w:rPr>
              <w:t xml:space="preserve"> </w:t>
            </w:r>
            <w:r>
              <w:rPr>
                <w:rFonts w:cs="Times New Roman"/>
                <w:color w:val="auto"/>
              </w:rPr>
              <w:t>819-2017）</w:t>
            </w:r>
            <w:r>
              <w:rPr>
                <w:rFonts w:hint="eastAsia" w:cs="Times New Roman"/>
                <w:color w:val="auto"/>
              </w:rPr>
              <w:t>，</w:t>
            </w:r>
            <w:r>
              <w:rPr>
                <w:rFonts w:cs="Times New Roman"/>
                <w:color w:val="auto"/>
              </w:rPr>
              <w:t>自行监测管理要求中的监测内容及监测频次</w:t>
            </w:r>
            <w:r>
              <w:rPr>
                <w:rFonts w:hint="eastAsia" w:cs="Times New Roman"/>
                <w:color w:val="auto"/>
              </w:rPr>
              <w:t>，</w:t>
            </w:r>
            <w:r>
              <w:rPr>
                <w:rFonts w:cs="Times New Roman"/>
                <w:color w:val="auto"/>
              </w:rPr>
              <w:t>制定本项目环境监测计划详见表4.2-</w:t>
            </w:r>
            <w:r>
              <w:rPr>
                <w:rFonts w:hint="eastAsia" w:cs="Times New Roman"/>
                <w:color w:val="auto"/>
                <w:lang w:val="en-US" w:eastAsia="zh-CN"/>
              </w:rPr>
              <w:t>20</w:t>
            </w:r>
            <w:r>
              <w:rPr>
                <w:rFonts w:cs="Times New Roman"/>
                <w:color w:val="auto"/>
              </w:rPr>
              <w:t>。</w:t>
            </w:r>
          </w:p>
          <w:p>
            <w:pPr>
              <w:pStyle w:val="37"/>
              <w:rPr>
                <w:rFonts w:cs="Times New Roman"/>
                <w:color w:val="auto"/>
              </w:rPr>
            </w:pPr>
            <w:r>
              <w:rPr>
                <w:rFonts w:cs="Times New Roman"/>
                <w:color w:val="auto"/>
              </w:rPr>
              <w:t>表4.2-</w:t>
            </w:r>
            <w:r>
              <w:rPr>
                <w:rFonts w:hint="eastAsia" w:cs="Times New Roman"/>
                <w:color w:val="auto"/>
                <w:lang w:val="en-US" w:eastAsia="zh-CN"/>
              </w:rPr>
              <w:t>20</w:t>
            </w:r>
            <w:r>
              <w:rPr>
                <w:rFonts w:hint="eastAsia" w:cs="Times New Roman"/>
                <w:color w:val="auto"/>
                <w:lang w:val="en-US"/>
              </w:rPr>
              <w:t xml:space="preserve"> </w:t>
            </w:r>
            <w:r>
              <w:rPr>
                <w:rFonts w:cs="Times New Roman"/>
                <w:color w:val="auto"/>
              </w:rPr>
              <w:t>项目监测计划内容一览表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91"/>
              <w:gridCol w:w="2199"/>
              <w:gridCol w:w="3242"/>
              <w:gridCol w:w="16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pStyle w:val="36"/>
                    <w:rPr>
                      <w:rFonts w:cs="Times New Roman"/>
                      <w:color w:val="auto"/>
                    </w:rPr>
                  </w:pPr>
                  <w:r>
                    <w:rPr>
                      <w:rFonts w:hint="eastAsia" w:cs="Times New Roman"/>
                      <w:color w:val="auto"/>
                    </w:rPr>
                    <w:t>类别</w:t>
                  </w:r>
                </w:p>
              </w:tc>
              <w:tc>
                <w:tcPr>
                  <w:tcW w:w="1311" w:type="pct"/>
                  <w:vAlign w:val="center"/>
                </w:tcPr>
                <w:p>
                  <w:pPr>
                    <w:pStyle w:val="36"/>
                    <w:rPr>
                      <w:rFonts w:cs="Times New Roman"/>
                      <w:color w:val="auto"/>
                      <w:kern w:val="2"/>
                    </w:rPr>
                  </w:pPr>
                  <w:r>
                    <w:rPr>
                      <w:rFonts w:cs="Times New Roman"/>
                      <w:color w:val="auto"/>
                    </w:rPr>
                    <w:t>监测位置</w:t>
                  </w:r>
                </w:p>
              </w:tc>
              <w:tc>
                <w:tcPr>
                  <w:tcW w:w="1933" w:type="pct"/>
                  <w:vAlign w:val="center"/>
                </w:tcPr>
                <w:p>
                  <w:pPr>
                    <w:pStyle w:val="36"/>
                    <w:rPr>
                      <w:rFonts w:cs="Times New Roman"/>
                      <w:color w:val="auto"/>
                    </w:rPr>
                  </w:pPr>
                  <w:r>
                    <w:rPr>
                      <w:rFonts w:cs="Times New Roman"/>
                      <w:color w:val="auto"/>
                    </w:rPr>
                    <w:t>监测项目</w:t>
                  </w:r>
                </w:p>
              </w:tc>
              <w:tc>
                <w:tcPr>
                  <w:tcW w:w="984" w:type="pct"/>
                  <w:vAlign w:val="center"/>
                </w:tcPr>
                <w:p>
                  <w:pPr>
                    <w:pStyle w:val="36"/>
                    <w:rPr>
                      <w:rFonts w:cs="Times New Roman"/>
                      <w:color w:val="auto"/>
                    </w:rPr>
                  </w:pPr>
                  <w:r>
                    <w:rPr>
                      <w:rFonts w:cs="Times New Roman"/>
                      <w:color w:val="auto"/>
                    </w:rPr>
                    <w:t>监测频率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Merge w:val="restart"/>
                  <w:vAlign w:val="center"/>
                </w:tcPr>
                <w:p>
                  <w:pPr>
                    <w:pStyle w:val="36"/>
                    <w:rPr>
                      <w:rFonts w:cs="Times New Roman"/>
                      <w:color w:val="auto"/>
                      <w:kern w:val="2"/>
                    </w:rPr>
                  </w:pPr>
                  <w:r>
                    <w:rPr>
                      <w:rFonts w:hint="eastAsia" w:cs="Times New Roman"/>
                      <w:color w:val="auto"/>
                      <w:kern w:val="2"/>
                    </w:rPr>
                    <w:t>无组织废气</w:t>
                  </w:r>
                </w:p>
              </w:tc>
              <w:tc>
                <w:tcPr>
                  <w:tcW w:w="1311" w:type="pct"/>
                  <w:vAlign w:val="center"/>
                </w:tcPr>
                <w:p>
                  <w:pPr>
                    <w:pStyle w:val="36"/>
                    <w:rPr>
                      <w:rFonts w:cs="Times New Roman"/>
                      <w:color w:val="auto"/>
                    </w:rPr>
                  </w:pPr>
                  <w:r>
                    <w:rPr>
                      <w:rFonts w:hint="eastAsia" w:cs="Times New Roman"/>
                      <w:color w:val="auto"/>
                    </w:rPr>
                    <w:t>厂界上、下风向</w:t>
                  </w:r>
                </w:p>
              </w:tc>
              <w:tc>
                <w:tcPr>
                  <w:tcW w:w="1933" w:type="pct"/>
                  <w:vAlign w:val="center"/>
                </w:tcPr>
                <w:p>
                  <w:pPr>
                    <w:pStyle w:val="36"/>
                    <w:rPr>
                      <w:rFonts w:cs="Times New Roman"/>
                      <w:color w:val="auto"/>
                    </w:rPr>
                  </w:pPr>
                  <w:r>
                    <w:rPr>
                      <w:rFonts w:cs="Times New Roman"/>
                      <w:color w:val="auto"/>
                    </w:rPr>
                    <w:t>非甲烷总烃</w:t>
                  </w:r>
                </w:p>
              </w:tc>
              <w:tc>
                <w:tcPr>
                  <w:tcW w:w="984" w:type="pct"/>
                  <w:vAlign w:val="center"/>
                </w:tcPr>
                <w:p>
                  <w:pPr>
                    <w:pStyle w:val="36"/>
                    <w:rPr>
                      <w:rFonts w:cs="Times New Roman"/>
                      <w:color w:val="auto"/>
                    </w:rPr>
                  </w:pPr>
                  <w:r>
                    <w:rPr>
                      <w:rFonts w:cs="Times New Roman"/>
                      <w:color w:val="auto"/>
                    </w:rPr>
                    <w:t>1次/年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Merge w:val="continue"/>
                  <w:vAlign w:val="center"/>
                </w:tcPr>
                <w:p>
                  <w:pPr>
                    <w:pStyle w:val="36"/>
                    <w:rPr>
                      <w:rFonts w:cs="Times New Roman"/>
                      <w:color w:val="auto"/>
                      <w:kern w:val="2"/>
                    </w:rPr>
                  </w:pPr>
                </w:p>
              </w:tc>
              <w:tc>
                <w:tcPr>
                  <w:tcW w:w="1311" w:type="pct"/>
                  <w:vAlign w:val="center"/>
                </w:tcPr>
                <w:p>
                  <w:pPr>
                    <w:pStyle w:val="36"/>
                    <w:rPr>
                      <w:rFonts w:cs="Times New Roman"/>
                      <w:color w:val="auto"/>
                    </w:rPr>
                  </w:pPr>
                  <w:r>
                    <w:rPr>
                      <w:rFonts w:hint="eastAsia" w:ascii="宋体" w:hAnsi="宋体"/>
                      <w:color w:val="auto"/>
                    </w:rPr>
                    <w:t>厂区内监控点</w:t>
                  </w:r>
                </w:p>
              </w:tc>
              <w:tc>
                <w:tcPr>
                  <w:tcW w:w="1933" w:type="pct"/>
                  <w:vAlign w:val="center"/>
                </w:tcPr>
                <w:p>
                  <w:pPr>
                    <w:pStyle w:val="36"/>
                    <w:rPr>
                      <w:rFonts w:cs="Times New Roman"/>
                      <w:color w:val="auto"/>
                    </w:rPr>
                  </w:pPr>
                  <w:r>
                    <w:rPr>
                      <w:rFonts w:hint="eastAsia" w:cs="Times New Roman"/>
                      <w:color w:val="auto"/>
                    </w:rPr>
                    <w:t>非甲烷总烃</w:t>
                  </w:r>
                </w:p>
              </w:tc>
              <w:tc>
                <w:tcPr>
                  <w:tcW w:w="984" w:type="pct"/>
                  <w:vAlign w:val="center"/>
                </w:tcPr>
                <w:p>
                  <w:pPr>
                    <w:pStyle w:val="36"/>
                    <w:rPr>
                      <w:rFonts w:cs="Times New Roman"/>
                      <w:color w:val="auto"/>
                    </w:rPr>
                  </w:pPr>
                  <w:r>
                    <w:rPr>
                      <w:rFonts w:cs="Times New Roman"/>
                      <w:color w:val="auto"/>
                    </w:rPr>
                    <w:t>1次/年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pStyle w:val="36"/>
                    <w:rPr>
                      <w:rFonts w:cs="Times New Roman"/>
                      <w:color w:val="auto"/>
                    </w:rPr>
                  </w:pPr>
                  <w:r>
                    <w:rPr>
                      <w:rFonts w:cs="Times New Roman"/>
                      <w:color w:val="auto"/>
                    </w:rPr>
                    <w:t>噪声</w:t>
                  </w:r>
                </w:p>
              </w:tc>
              <w:tc>
                <w:tcPr>
                  <w:tcW w:w="1311" w:type="pct"/>
                  <w:vAlign w:val="center"/>
                </w:tcPr>
                <w:p>
                  <w:pPr>
                    <w:pStyle w:val="36"/>
                    <w:rPr>
                      <w:rFonts w:cs="Times New Roman"/>
                      <w:color w:val="auto"/>
                    </w:rPr>
                  </w:pPr>
                  <w:r>
                    <w:rPr>
                      <w:rFonts w:hint="eastAsia" w:cs="Times New Roman"/>
                      <w:color w:val="auto"/>
                    </w:rPr>
                    <w:t>厂界外1米</w:t>
                  </w:r>
                </w:p>
                <w:p>
                  <w:pPr>
                    <w:pStyle w:val="36"/>
                    <w:rPr>
                      <w:rFonts w:cs="Times New Roman"/>
                      <w:color w:val="auto"/>
                    </w:rPr>
                  </w:pPr>
                  <w:r>
                    <w:rPr>
                      <w:rFonts w:hint="eastAsia" w:cs="Times New Roman"/>
                      <w:color w:val="auto"/>
                    </w:rPr>
                    <w:t>（厂界四周）</w:t>
                  </w:r>
                </w:p>
              </w:tc>
              <w:tc>
                <w:tcPr>
                  <w:tcW w:w="1933" w:type="pct"/>
                  <w:vAlign w:val="center"/>
                </w:tcPr>
                <w:p>
                  <w:pPr>
                    <w:pStyle w:val="36"/>
                    <w:rPr>
                      <w:rFonts w:cs="Times New Roman"/>
                      <w:color w:val="auto"/>
                    </w:rPr>
                  </w:pPr>
                  <w:r>
                    <w:rPr>
                      <w:rFonts w:cs="Times New Roman"/>
                      <w:color w:val="auto"/>
                    </w:rPr>
                    <w:t>等效连续A声级</w:t>
                  </w:r>
                </w:p>
              </w:tc>
              <w:tc>
                <w:tcPr>
                  <w:tcW w:w="984" w:type="pct"/>
                  <w:vAlign w:val="center"/>
                </w:tcPr>
                <w:p>
                  <w:pPr>
                    <w:pStyle w:val="36"/>
                    <w:rPr>
                      <w:rFonts w:cs="Times New Roman"/>
                      <w:color w:val="auto"/>
                    </w:rPr>
                  </w:pPr>
                  <w:r>
                    <w:rPr>
                      <w:rFonts w:cs="Times New Roman"/>
                      <w:color w:val="auto"/>
                    </w:rPr>
                    <w:t>1次/季</w:t>
                  </w:r>
                  <w:r>
                    <w:rPr>
                      <w:rFonts w:hint="eastAsia" w:cs="Times New Roman"/>
                      <w:color w:val="auto"/>
                    </w:rPr>
                    <w:t>度</w:t>
                  </w:r>
                </w:p>
              </w:tc>
            </w:tr>
          </w:tbl>
          <w:p>
            <w:pPr>
              <w:ind w:firstLine="480"/>
              <w:rPr>
                <w:rFonts w:cs="Times New Roman"/>
                <w:color w:val="auto"/>
              </w:rPr>
            </w:pPr>
            <w:r>
              <w:rPr>
                <w:rFonts w:hint="eastAsia" w:cs="Times New Roman"/>
                <w:color w:val="auto"/>
              </w:rPr>
              <w:t>根据《排污许可证申请与核发技术规范 总则》（HJ 942-2018），对于水污染物，单独排入城镇集中污水处理设施的生活污水仅说明排放去向。本项目无生产废水，</w:t>
            </w:r>
            <w:r>
              <w:rPr>
                <w:rFonts w:cs="Times New Roman"/>
                <w:color w:val="auto"/>
                <w:lang w:val="en-GB"/>
              </w:rPr>
              <w:t>生活污水</w:t>
            </w:r>
            <w:r>
              <w:rPr>
                <w:rFonts w:cs="Times New Roman"/>
                <w:color w:val="auto"/>
              </w:rPr>
              <w:t>排入市政污水管网，纳入福清市融元污水处理厂集中处理</w:t>
            </w:r>
            <w:r>
              <w:rPr>
                <w:rFonts w:hint="eastAsia" w:cs="Times New Roman"/>
                <w:color w:val="auto"/>
              </w:rPr>
              <w:t>，无需开展自行监测。</w:t>
            </w:r>
          </w:p>
          <w:p>
            <w:pPr>
              <w:pStyle w:val="36"/>
              <w:rPr>
                <w:rFonts w:cs="Times New Roman"/>
                <w:color w:val="auto"/>
              </w:rPr>
            </w:pPr>
          </w:p>
          <w:p>
            <w:pPr>
              <w:pStyle w:val="36"/>
              <w:rPr>
                <w:rFonts w:cs="Times New Roman"/>
                <w:color w:val="auto"/>
              </w:rPr>
            </w:pPr>
          </w:p>
        </w:tc>
      </w:tr>
    </w:tbl>
    <w:p>
      <w:pPr>
        <w:pStyle w:val="59"/>
        <w:rPr>
          <w:rFonts w:cs="Times New Roman"/>
          <w:snapToGrid w:val="0"/>
          <w:color w:val="auto"/>
        </w:rPr>
        <w:sectPr>
          <w:pgSz w:w="11906" w:h="16838"/>
          <w:pgMar w:top="1417" w:right="1531" w:bottom="1417" w:left="1531" w:header="851" w:footer="851" w:gutter="0"/>
          <w:pgBorders>
            <w:top w:val="none" w:sz="0" w:space="0"/>
            <w:left w:val="none" w:sz="0" w:space="0"/>
            <w:bottom w:val="none" w:sz="0" w:space="0"/>
            <w:right w:val="none" w:sz="0" w:space="0"/>
          </w:pgBorders>
          <w:cols w:space="720" w:num="1"/>
          <w:docGrid w:linePitch="326" w:charSpace="0"/>
        </w:sectPr>
      </w:pPr>
    </w:p>
    <w:p>
      <w:pPr>
        <w:pStyle w:val="59"/>
        <w:rPr>
          <w:rFonts w:cs="Times New Roman"/>
          <w:snapToGrid w:val="0"/>
          <w:color w:val="auto"/>
        </w:rPr>
      </w:pPr>
      <w:bookmarkStart w:id="100" w:name="_Toc3280"/>
      <w:r>
        <w:rPr>
          <w:rFonts w:cs="Times New Roman"/>
          <w:snapToGrid w:val="0"/>
          <w:color w:val="auto"/>
        </w:rPr>
        <w:t>五、</w:t>
      </w:r>
      <w:bookmarkStart w:id="101" w:name="_Hlk54167917"/>
      <w:r>
        <w:rPr>
          <w:rFonts w:cs="Times New Roman"/>
          <w:snapToGrid w:val="0"/>
          <w:color w:val="auto"/>
        </w:rPr>
        <w:t>环境保护措施监督检查清单</w:t>
      </w:r>
      <w:bookmarkEnd w:id="100"/>
      <w:bookmarkEnd w:id="101"/>
    </w:p>
    <w:tbl>
      <w:tblPr>
        <w:tblStyle w:val="27"/>
        <w:tblW w:w="530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45" w:type="dxa"/>
          <w:bottom w:w="0" w:type="dxa"/>
          <w:right w:w="45" w:type="dxa"/>
        </w:tblCellMar>
      </w:tblPr>
      <w:tblGrid>
        <w:gridCol w:w="1115"/>
        <w:gridCol w:w="1427"/>
        <w:gridCol w:w="1384"/>
        <w:gridCol w:w="2209"/>
        <w:gridCol w:w="35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tcBorders>
              <w:tl2br w:val="single" w:color="auto" w:sz="4" w:space="0"/>
            </w:tcBorders>
          </w:tcPr>
          <w:p>
            <w:pPr>
              <w:pStyle w:val="36"/>
              <w:adjustRightInd w:val="0"/>
              <w:snapToGrid w:val="0"/>
              <w:rPr>
                <w:rFonts w:hint="eastAsia" w:eastAsia="宋体" w:cs="Times New Roman"/>
                <w:color w:val="auto"/>
                <w:lang w:eastAsia="zh-CN"/>
              </w:rPr>
            </w:pPr>
            <w:r>
              <w:rPr>
                <w:rFonts w:hint="eastAsia" w:cs="Times New Roman"/>
                <w:color w:val="auto"/>
              </w:rPr>
              <w:t xml:space="preserve">    </w:t>
            </w:r>
            <w:r>
              <w:rPr>
                <w:rFonts w:hint="eastAsia" w:cs="Times New Roman"/>
                <w:color w:val="auto"/>
                <w:lang w:val="en-US" w:eastAsia="zh-CN"/>
              </w:rPr>
              <w:t>内容</w:t>
            </w:r>
          </w:p>
          <w:p>
            <w:pPr>
              <w:pStyle w:val="36"/>
              <w:adjustRightInd w:val="0"/>
              <w:snapToGrid w:val="0"/>
              <w:jc w:val="both"/>
              <w:rPr>
                <w:rFonts w:hint="eastAsia" w:eastAsia="宋体" w:cs="Times New Roman"/>
                <w:color w:val="auto"/>
                <w:lang w:eastAsia="zh-CN"/>
              </w:rPr>
            </w:pPr>
            <w:r>
              <w:rPr>
                <w:rFonts w:hint="eastAsia" w:cs="Times New Roman"/>
                <w:color w:val="auto"/>
                <w:lang w:val="en-US" w:eastAsia="zh-CN"/>
              </w:rPr>
              <w:t>要素</w:t>
            </w:r>
          </w:p>
        </w:tc>
        <w:tc>
          <w:tcPr>
            <w:tcW w:w="734" w:type="pct"/>
            <w:tcBorders>
              <w:tl2br w:val="nil"/>
              <w:tr2bl w:val="nil"/>
            </w:tcBorders>
            <w:vAlign w:val="center"/>
          </w:tcPr>
          <w:p>
            <w:pPr>
              <w:pStyle w:val="36"/>
              <w:rPr>
                <w:rFonts w:cs="Times New Roman"/>
                <w:color w:val="auto"/>
              </w:rPr>
            </w:pPr>
            <w:r>
              <w:rPr>
                <w:rFonts w:cs="Times New Roman"/>
                <w:color w:val="auto"/>
              </w:rPr>
              <w:t>排放口</w:t>
            </w:r>
            <w:r>
              <w:rPr>
                <w:rFonts w:hint="eastAsia" w:cs="Times New Roman"/>
                <w:color w:val="auto"/>
              </w:rPr>
              <w:t>（</w:t>
            </w:r>
            <w:r>
              <w:rPr>
                <w:rFonts w:cs="Times New Roman"/>
                <w:color w:val="auto"/>
              </w:rPr>
              <w:t>编号、名称</w:t>
            </w:r>
            <w:r>
              <w:rPr>
                <w:rFonts w:hint="eastAsia" w:cs="Times New Roman"/>
                <w:color w:val="auto"/>
              </w:rPr>
              <w:t>）</w:t>
            </w:r>
            <w:r>
              <w:rPr>
                <w:rFonts w:cs="Times New Roman"/>
                <w:color w:val="auto"/>
              </w:rPr>
              <w:t>/污染源</w:t>
            </w:r>
          </w:p>
        </w:tc>
        <w:tc>
          <w:tcPr>
            <w:tcW w:w="712" w:type="pct"/>
            <w:tcBorders>
              <w:tl2br w:val="nil"/>
              <w:tr2bl w:val="nil"/>
            </w:tcBorders>
            <w:vAlign w:val="center"/>
          </w:tcPr>
          <w:p>
            <w:pPr>
              <w:pStyle w:val="36"/>
              <w:rPr>
                <w:rFonts w:cs="Times New Roman"/>
                <w:color w:val="auto"/>
              </w:rPr>
            </w:pPr>
            <w:r>
              <w:rPr>
                <w:rFonts w:cs="Times New Roman"/>
                <w:color w:val="auto"/>
              </w:rPr>
              <w:t>污染物</w:t>
            </w:r>
            <w:r>
              <w:rPr>
                <w:rFonts w:hint="eastAsia" w:cs="Times New Roman"/>
                <w:color w:val="auto"/>
              </w:rPr>
              <w:t>项目</w:t>
            </w:r>
          </w:p>
        </w:tc>
        <w:tc>
          <w:tcPr>
            <w:tcW w:w="1137" w:type="pct"/>
            <w:tcBorders>
              <w:tl2br w:val="nil"/>
              <w:tr2bl w:val="nil"/>
            </w:tcBorders>
            <w:vAlign w:val="center"/>
          </w:tcPr>
          <w:p>
            <w:pPr>
              <w:pStyle w:val="36"/>
              <w:rPr>
                <w:rFonts w:cs="Times New Roman"/>
                <w:color w:val="auto"/>
              </w:rPr>
            </w:pPr>
            <w:r>
              <w:rPr>
                <w:rFonts w:cs="Times New Roman"/>
                <w:color w:val="auto"/>
              </w:rPr>
              <w:t>环境保护措施</w:t>
            </w:r>
          </w:p>
        </w:tc>
        <w:tc>
          <w:tcPr>
            <w:tcW w:w="1842" w:type="pct"/>
            <w:tcBorders>
              <w:tl2br w:val="nil"/>
              <w:tr2bl w:val="nil"/>
            </w:tcBorders>
            <w:vAlign w:val="center"/>
          </w:tcPr>
          <w:p>
            <w:pPr>
              <w:pStyle w:val="36"/>
              <w:rPr>
                <w:rFonts w:cs="Times New Roman"/>
                <w:color w:val="auto"/>
              </w:rPr>
            </w:pPr>
            <w:r>
              <w:rPr>
                <w:rFonts w:cs="Times New Roman"/>
                <w:color w:val="auto"/>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vMerge w:val="restart"/>
            <w:tcBorders>
              <w:tl2br w:val="nil"/>
              <w:tr2bl w:val="nil"/>
            </w:tcBorders>
            <w:vAlign w:val="center"/>
          </w:tcPr>
          <w:p>
            <w:pPr>
              <w:pStyle w:val="36"/>
              <w:rPr>
                <w:rFonts w:cs="Times New Roman"/>
                <w:color w:val="auto"/>
              </w:rPr>
            </w:pPr>
            <w:r>
              <w:rPr>
                <w:rFonts w:cs="Times New Roman"/>
                <w:color w:val="auto"/>
              </w:rPr>
              <w:t>大气</w:t>
            </w:r>
          </w:p>
          <w:p>
            <w:pPr>
              <w:pStyle w:val="36"/>
              <w:rPr>
                <w:rFonts w:cs="Times New Roman"/>
                <w:color w:val="auto"/>
              </w:rPr>
            </w:pPr>
            <w:r>
              <w:rPr>
                <w:rFonts w:cs="Times New Roman"/>
                <w:color w:val="auto"/>
              </w:rPr>
              <w:t>环境</w:t>
            </w:r>
          </w:p>
        </w:tc>
        <w:tc>
          <w:tcPr>
            <w:tcW w:w="734" w:type="pct"/>
            <w:tcBorders>
              <w:tl2br w:val="nil"/>
              <w:tr2bl w:val="nil"/>
            </w:tcBorders>
            <w:vAlign w:val="center"/>
          </w:tcPr>
          <w:p>
            <w:pPr>
              <w:pStyle w:val="36"/>
              <w:wordWrap w:val="0"/>
              <w:rPr>
                <w:rFonts w:hint="eastAsia" w:eastAsia="宋体" w:cs="Times New Roman"/>
                <w:color w:val="auto"/>
                <w:lang w:val="en-US" w:eastAsia="zh-CN"/>
              </w:rPr>
            </w:pPr>
            <w:r>
              <w:rPr>
                <w:rFonts w:hint="eastAsia" w:cs="Times New Roman"/>
                <w:color w:val="auto"/>
              </w:rPr>
              <w:t>厂界</w:t>
            </w:r>
            <w:r>
              <w:rPr>
                <w:rFonts w:hint="eastAsia" w:cs="Times New Roman"/>
                <w:color w:val="auto"/>
                <w:lang w:val="en-US" w:eastAsia="zh-CN"/>
              </w:rPr>
              <w:t>无组织</w:t>
            </w:r>
          </w:p>
        </w:tc>
        <w:tc>
          <w:tcPr>
            <w:tcW w:w="1384" w:type="dxa"/>
            <w:tcBorders>
              <w:tl2br w:val="nil"/>
              <w:tr2bl w:val="nil"/>
            </w:tcBorders>
            <w:vAlign w:val="center"/>
          </w:tcPr>
          <w:p>
            <w:pPr>
              <w:pStyle w:val="36"/>
              <w:ind w:firstLine="0" w:firstLineChars="0"/>
              <w:rPr>
                <w:rFonts w:cs="Times New Roman"/>
                <w:color w:val="auto"/>
              </w:rPr>
            </w:pPr>
            <w:r>
              <w:rPr>
                <w:rFonts w:hint="eastAsia" w:cs="Times New Roman"/>
                <w:color w:val="auto"/>
              </w:rPr>
              <w:t>非甲烷总烃</w:t>
            </w:r>
          </w:p>
        </w:tc>
        <w:tc>
          <w:tcPr>
            <w:tcW w:w="2209" w:type="dxa"/>
            <w:tcBorders>
              <w:tl2br w:val="nil"/>
              <w:tr2bl w:val="nil"/>
            </w:tcBorders>
            <w:vAlign w:val="center"/>
          </w:tcPr>
          <w:p>
            <w:pPr>
              <w:pStyle w:val="36"/>
              <w:keepLines/>
              <w:ind w:firstLine="0" w:firstLineChars="0"/>
              <w:rPr>
                <w:color w:val="auto"/>
              </w:rPr>
            </w:pPr>
            <w:r>
              <w:rPr>
                <w:rFonts w:hint="eastAsia"/>
                <w:color w:val="auto"/>
              </w:rPr>
              <w:t>车间密闭</w:t>
            </w:r>
          </w:p>
        </w:tc>
        <w:tc>
          <w:tcPr>
            <w:tcW w:w="3579" w:type="dxa"/>
            <w:tcBorders>
              <w:tl2br w:val="nil"/>
              <w:tr2bl w:val="nil"/>
            </w:tcBorders>
            <w:vAlign w:val="center"/>
          </w:tcPr>
          <w:p>
            <w:pPr>
              <w:pStyle w:val="36"/>
              <w:wordWrap w:val="0"/>
              <w:ind w:firstLine="0" w:firstLineChars="0"/>
              <w:rPr>
                <w:rFonts w:cs="Times New Roman"/>
                <w:color w:val="auto"/>
              </w:rPr>
            </w:pPr>
            <w:r>
              <w:rPr>
                <w:rFonts w:hint="eastAsia"/>
                <w:bCs/>
                <w:color w:val="auto"/>
              </w:rPr>
              <w:t>《大气污染物综合排放标准》（GB 16297-1996）表2中无组织排放限值要求（非甲烷总烃</w:t>
            </w:r>
            <w:r>
              <w:rPr>
                <w:color w:val="auto"/>
              </w:rPr>
              <w:t>≤</w:t>
            </w:r>
            <w:r>
              <w:rPr>
                <w:rFonts w:hint="eastAsia"/>
                <w:bCs/>
                <w:color w:val="auto"/>
              </w:rPr>
              <w:t>4.0</w:t>
            </w:r>
            <w:r>
              <w:rPr>
                <w:bCs/>
                <w:color w:val="auto"/>
              </w:rPr>
              <w:t>mg/m</w:t>
            </w:r>
            <w:r>
              <w:rPr>
                <w:bCs/>
                <w:color w:val="auto"/>
                <w:vertAlign w:val="superscript"/>
              </w:rPr>
              <w:t>3</w:t>
            </w:r>
            <w:r>
              <w:rPr>
                <w:rFonts w:hint="eastAsia"/>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vMerge w:val="continue"/>
            <w:tcBorders>
              <w:tl2br w:val="nil"/>
              <w:tr2bl w:val="nil"/>
            </w:tcBorders>
            <w:vAlign w:val="center"/>
          </w:tcPr>
          <w:p>
            <w:pPr>
              <w:pStyle w:val="36"/>
              <w:rPr>
                <w:rFonts w:cs="Times New Roman"/>
                <w:color w:val="auto"/>
              </w:rPr>
            </w:pPr>
          </w:p>
        </w:tc>
        <w:tc>
          <w:tcPr>
            <w:tcW w:w="734" w:type="pct"/>
            <w:tcBorders>
              <w:tl2br w:val="nil"/>
              <w:tr2bl w:val="nil"/>
            </w:tcBorders>
            <w:vAlign w:val="center"/>
          </w:tcPr>
          <w:p>
            <w:pPr>
              <w:pStyle w:val="36"/>
              <w:wordWrap w:val="0"/>
              <w:rPr>
                <w:rFonts w:hint="eastAsia" w:eastAsia="宋体" w:cs="Times New Roman"/>
                <w:color w:val="auto"/>
                <w:lang w:val="en-US" w:eastAsia="zh-CN"/>
              </w:rPr>
            </w:pPr>
            <w:r>
              <w:rPr>
                <w:rFonts w:hint="eastAsia" w:cs="Times New Roman"/>
                <w:color w:val="auto"/>
              </w:rPr>
              <w:t>厂区内</w:t>
            </w:r>
            <w:r>
              <w:rPr>
                <w:rFonts w:hint="eastAsia" w:cs="Times New Roman"/>
                <w:color w:val="auto"/>
                <w:lang w:val="en-US" w:eastAsia="zh-CN"/>
              </w:rPr>
              <w:t>无组织</w:t>
            </w:r>
          </w:p>
        </w:tc>
        <w:tc>
          <w:tcPr>
            <w:tcW w:w="712" w:type="pct"/>
            <w:tcBorders>
              <w:tl2br w:val="nil"/>
              <w:tr2bl w:val="nil"/>
            </w:tcBorders>
            <w:vAlign w:val="center"/>
          </w:tcPr>
          <w:p>
            <w:pPr>
              <w:pStyle w:val="36"/>
              <w:rPr>
                <w:rFonts w:cs="Times New Roman"/>
                <w:color w:val="auto"/>
              </w:rPr>
            </w:pPr>
            <w:r>
              <w:rPr>
                <w:rFonts w:hint="eastAsia" w:cs="Times New Roman"/>
                <w:color w:val="auto"/>
              </w:rPr>
              <w:t>非甲烷总烃</w:t>
            </w:r>
          </w:p>
        </w:tc>
        <w:tc>
          <w:tcPr>
            <w:tcW w:w="1137" w:type="pct"/>
            <w:tcBorders>
              <w:tl2br w:val="nil"/>
              <w:tr2bl w:val="nil"/>
            </w:tcBorders>
            <w:vAlign w:val="center"/>
          </w:tcPr>
          <w:p>
            <w:pPr>
              <w:pStyle w:val="36"/>
              <w:keepLines/>
              <w:rPr>
                <w:color w:val="auto"/>
              </w:rPr>
            </w:pPr>
            <w:r>
              <w:rPr>
                <w:rFonts w:hint="eastAsia"/>
                <w:color w:val="auto"/>
              </w:rPr>
              <w:t>源头控制，使用低VOCs原料</w:t>
            </w:r>
          </w:p>
        </w:tc>
        <w:tc>
          <w:tcPr>
            <w:tcW w:w="1842" w:type="pct"/>
            <w:tcBorders>
              <w:tl2br w:val="nil"/>
              <w:tr2bl w:val="nil"/>
            </w:tcBorders>
            <w:vAlign w:val="center"/>
          </w:tcPr>
          <w:p>
            <w:pPr>
              <w:pStyle w:val="36"/>
              <w:wordWrap w:val="0"/>
              <w:rPr>
                <w:bCs/>
                <w:color w:val="auto"/>
              </w:rPr>
            </w:pPr>
            <w:r>
              <w:rPr>
                <w:rFonts w:hint="eastAsia"/>
                <w:bCs/>
                <w:color w:val="auto"/>
              </w:rPr>
              <w:t>《挥发性有机物无组织排放控制标准》（GB</w:t>
            </w:r>
            <w:r>
              <w:rPr>
                <w:rFonts w:hint="eastAsia"/>
                <w:bCs/>
                <w:color w:val="auto"/>
                <w:lang w:val="en-US" w:eastAsia="zh-CN"/>
              </w:rPr>
              <w:t xml:space="preserve"> </w:t>
            </w:r>
            <w:r>
              <w:rPr>
                <w:rFonts w:hint="eastAsia"/>
                <w:bCs/>
                <w:color w:val="auto"/>
              </w:rPr>
              <w:t>37822-2019）中附录A的表A.1中</w:t>
            </w:r>
            <w:r>
              <w:rPr>
                <w:rFonts w:hint="eastAsia"/>
                <w:bCs/>
                <w:color w:val="auto"/>
                <w:lang w:val="en-US" w:eastAsia="zh-CN"/>
              </w:rPr>
              <w:t>特别</w:t>
            </w:r>
            <w:r>
              <w:rPr>
                <w:rFonts w:hint="eastAsia"/>
                <w:bCs/>
                <w:color w:val="auto"/>
              </w:rPr>
              <w:t>排放限值（监控点处1h平均浓度值</w:t>
            </w:r>
            <w:r>
              <w:rPr>
                <w:color w:val="auto"/>
              </w:rPr>
              <w:t>≤</w:t>
            </w:r>
            <w:r>
              <w:rPr>
                <w:rFonts w:hint="eastAsia"/>
                <w:bCs/>
                <w:color w:val="auto"/>
              </w:rPr>
              <w:t>6mg/m</w:t>
            </w:r>
            <w:r>
              <w:rPr>
                <w:rFonts w:hint="eastAsia"/>
                <w:bCs/>
                <w:color w:val="auto"/>
                <w:vertAlign w:val="superscript"/>
              </w:rPr>
              <w:t>3</w:t>
            </w:r>
            <w:r>
              <w:rPr>
                <w:rFonts w:hint="eastAsia"/>
                <w:bCs/>
                <w:color w:val="auto"/>
                <w:vertAlign w:val="baseline"/>
                <w:lang w:eastAsia="zh-CN"/>
              </w:rPr>
              <w:t>，</w:t>
            </w:r>
            <w:r>
              <w:rPr>
                <w:rFonts w:hint="eastAsia"/>
                <w:bCs/>
                <w:color w:val="auto"/>
              </w:rPr>
              <w:t>监控点处任意一次浓度值</w:t>
            </w:r>
            <w:r>
              <w:rPr>
                <w:color w:val="auto"/>
              </w:rPr>
              <w:t>≤</w:t>
            </w:r>
            <w:r>
              <w:rPr>
                <w:rFonts w:hint="eastAsia"/>
                <w:bCs/>
                <w:color w:val="auto"/>
              </w:rPr>
              <w:t>20mg/m</w:t>
            </w:r>
            <w:r>
              <w:rPr>
                <w:rFonts w:hint="eastAsia"/>
                <w:bCs/>
                <w:color w:val="auto"/>
                <w:vertAlign w:val="superscript"/>
              </w:rPr>
              <w:t>3</w:t>
            </w:r>
            <w:r>
              <w:rPr>
                <w:rFonts w:hint="eastAsia"/>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vMerge w:val="restart"/>
            <w:tcBorders>
              <w:tl2br w:val="nil"/>
              <w:tr2bl w:val="nil"/>
            </w:tcBorders>
            <w:vAlign w:val="center"/>
          </w:tcPr>
          <w:p>
            <w:pPr>
              <w:pStyle w:val="36"/>
              <w:rPr>
                <w:rFonts w:cs="Times New Roman"/>
                <w:color w:val="auto"/>
              </w:rPr>
            </w:pPr>
            <w:r>
              <w:rPr>
                <w:rFonts w:cs="Times New Roman"/>
                <w:color w:val="auto"/>
              </w:rPr>
              <w:t>地表水环境</w:t>
            </w:r>
          </w:p>
        </w:tc>
        <w:tc>
          <w:tcPr>
            <w:tcW w:w="734" w:type="pct"/>
            <w:tcBorders>
              <w:tl2br w:val="nil"/>
              <w:tr2bl w:val="nil"/>
            </w:tcBorders>
            <w:vAlign w:val="center"/>
          </w:tcPr>
          <w:p>
            <w:pPr>
              <w:pStyle w:val="36"/>
              <w:rPr>
                <w:rFonts w:cs="Times New Roman"/>
                <w:color w:val="auto"/>
              </w:rPr>
            </w:pPr>
            <w:r>
              <w:rPr>
                <w:rFonts w:cs="Times New Roman"/>
                <w:color w:val="auto"/>
              </w:rPr>
              <w:t>生活污水</w:t>
            </w:r>
          </w:p>
        </w:tc>
        <w:tc>
          <w:tcPr>
            <w:tcW w:w="712" w:type="pct"/>
            <w:tcBorders>
              <w:tl2br w:val="nil"/>
              <w:tr2bl w:val="nil"/>
            </w:tcBorders>
            <w:vAlign w:val="center"/>
          </w:tcPr>
          <w:p>
            <w:pPr>
              <w:pStyle w:val="36"/>
              <w:rPr>
                <w:rFonts w:cs="Times New Roman"/>
                <w:color w:val="auto"/>
              </w:rPr>
            </w:pPr>
            <w:r>
              <w:rPr>
                <w:rFonts w:cs="Times New Roman"/>
                <w:color w:val="auto"/>
              </w:rPr>
              <w:t>pH、COD、BOD</w:t>
            </w:r>
            <w:r>
              <w:rPr>
                <w:rFonts w:cs="Times New Roman"/>
                <w:color w:val="auto"/>
                <w:vertAlign w:val="subscript"/>
              </w:rPr>
              <w:t>5</w:t>
            </w:r>
            <w:r>
              <w:rPr>
                <w:rFonts w:cs="Times New Roman"/>
                <w:color w:val="auto"/>
              </w:rPr>
              <w:t>、SS、NH</w:t>
            </w:r>
            <w:r>
              <w:rPr>
                <w:rFonts w:cs="Times New Roman"/>
                <w:color w:val="auto"/>
                <w:vertAlign w:val="subscript"/>
              </w:rPr>
              <w:t>3</w:t>
            </w:r>
            <w:r>
              <w:rPr>
                <w:rFonts w:cs="Times New Roman"/>
                <w:color w:val="auto"/>
              </w:rPr>
              <w:t>-N</w:t>
            </w:r>
          </w:p>
        </w:tc>
        <w:tc>
          <w:tcPr>
            <w:tcW w:w="1137" w:type="pct"/>
            <w:tcBorders>
              <w:tl2br w:val="nil"/>
              <w:tr2bl w:val="nil"/>
            </w:tcBorders>
            <w:vAlign w:val="center"/>
          </w:tcPr>
          <w:p>
            <w:pPr>
              <w:pStyle w:val="36"/>
              <w:jc w:val="left"/>
              <w:rPr>
                <w:rFonts w:cs="Times New Roman"/>
                <w:color w:val="auto"/>
              </w:rPr>
            </w:pPr>
            <w:r>
              <w:rPr>
                <w:rFonts w:hint="eastAsia" w:cs="Times New Roman"/>
                <w:color w:val="auto"/>
              </w:rPr>
              <w:t>生活污水经化粪池处理后通过市政管网纳入福清市融元污水处理厂。</w:t>
            </w:r>
          </w:p>
        </w:tc>
        <w:tc>
          <w:tcPr>
            <w:tcW w:w="1842" w:type="pct"/>
            <w:tcBorders>
              <w:tl2br w:val="nil"/>
              <w:tr2bl w:val="nil"/>
            </w:tcBorders>
            <w:vAlign w:val="center"/>
          </w:tcPr>
          <w:p>
            <w:pPr>
              <w:pStyle w:val="36"/>
              <w:wordWrap w:val="0"/>
              <w:rPr>
                <w:rFonts w:cs="Times New Roman"/>
                <w:color w:val="auto"/>
              </w:rPr>
            </w:pPr>
            <w:r>
              <w:rPr>
                <w:rFonts w:cs="Times New Roman"/>
                <w:color w:val="auto"/>
              </w:rPr>
              <w:t>《污水综合排放标准》（GB8978-1996）表4中三级标准要求</w:t>
            </w:r>
            <w:r>
              <w:rPr>
                <w:rFonts w:hint="eastAsia" w:cs="Times New Roman"/>
                <w:color w:val="auto"/>
              </w:rPr>
              <w:t>，</w:t>
            </w:r>
            <w:r>
              <w:rPr>
                <w:rFonts w:cs="Times New Roman"/>
                <w:color w:val="auto"/>
              </w:rPr>
              <w:t>氨氮</w:t>
            </w:r>
            <w:r>
              <w:rPr>
                <w:rFonts w:hint="eastAsia" w:cs="Times New Roman"/>
                <w:color w:val="auto"/>
              </w:rPr>
              <w:t>参照</w:t>
            </w:r>
            <w:r>
              <w:rPr>
                <w:rFonts w:cs="Times New Roman"/>
                <w:color w:val="auto"/>
              </w:rPr>
              <w:t>《污水排入</w:t>
            </w:r>
            <w:r>
              <w:rPr>
                <w:rFonts w:hint="eastAsia" w:cs="Times New Roman"/>
                <w:color w:val="auto"/>
              </w:rPr>
              <w:t>城镇</w:t>
            </w:r>
            <w:r>
              <w:rPr>
                <w:rFonts w:cs="Times New Roman"/>
                <w:color w:val="auto"/>
              </w:rPr>
              <w:t>下水道水质标准》（GB/T31962-2015）B级标准）即：pH</w:t>
            </w:r>
            <w:r>
              <w:rPr>
                <w:rFonts w:hint="eastAsia" w:cs="Times New Roman"/>
                <w:color w:val="auto"/>
              </w:rPr>
              <w:t>值6~9（无量纲）、</w:t>
            </w:r>
            <w:r>
              <w:rPr>
                <w:rFonts w:cs="Times New Roman"/>
                <w:color w:val="auto"/>
              </w:rPr>
              <w:t>COD≤500mg/L</w:t>
            </w:r>
            <w:r>
              <w:rPr>
                <w:rFonts w:hint="eastAsia" w:cs="Times New Roman"/>
                <w:color w:val="auto"/>
              </w:rPr>
              <w:t>、</w:t>
            </w:r>
            <w:r>
              <w:rPr>
                <w:rFonts w:cs="Times New Roman"/>
                <w:color w:val="auto"/>
              </w:rPr>
              <w:t>BOD</w:t>
            </w:r>
            <w:r>
              <w:rPr>
                <w:rFonts w:cs="Times New Roman"/>
                <w:color w:val="auto"/>
                <w:vertAlign w:val="subscript"/>
              </w:rPr>
              <w:t>5</w:t>
            </w:r>
            <w:r>
              <w:rPr>
                <w:rFonts w:cs="Times New Roman"/>
                <w:color w:val="auto"/>
              </w:rPr>
              <w:t>≤300mg/L</w:t>
            </w:r>
            <w:r>
              <w:rPr>
                <w:rFonts w:hint="eastAsia" w:cs="Times New Roman"/>
                <w:color w:val="auto"/>
              </w:rPr>
              <w:t>、</w:t>
            </w:r>
            <w:r>
              <w:rPr>
                <w:rFonts w:cs="Times New Roman"/>
                <w:color w:val="auto"/>
              </w:rPr>
              <w:t>SS≤400mg/L</w:t>
            </w:r>
            <w:r>
              <w:rPr>
                <w:rFonts w:hint="eastAsia" w:cs="Times New Roman"/>
                <w:color w:val="auto"/>
              </w:rPr>
              <w:t>、</w:t>
            </w:r>
            <w:r>
              <w:rPr>
                <w:rFonts w:cs="Times New Roman"/>
                <w:color w:val="auto"/>
              </w:rPr>
              <w:t>氨氮≤45mg/L</w:t>
            </w:r>
            <w:r>
              <w:rPr>
                <w:rFonts w:hint="eastAsia"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97" w:hRule="atLeast"/>
          <w:jc w:val="center"/>
        </w:trPr>
        <w:tc>
          <w:tcPr>
            <w:tcW w:w="573" w:type="pct"/>
            <w:vMerge w:val="continue"/>
            <w:tcBorders>
              <w:tl2br w:val="nil"/>
              <w:tr2bl w:val="nil"/>
            </w:tcBorders>
            <w:vAlign w:val="center"/>
          </w:tcPr>
          <w:p>
            <w:pPr>
              <w:pStyle w:val="36"/>
              <w:rPr>
                <w:rFonts w:cs="Times New Roman"/>
                <w:color w:val="auto"/>
              </w:rPr>
            </w:pPr>
          </w:p>
        </w:tc>
        <w:tc>
          <w:tcPr>
            <w:tcW w:w="734" w:type="pct"/>
            <w:tcBorders>
              <w:tl2br w:val="nil"/>
              <w:tr2bl w:val="nil"/>
            </w:tcBorders>
            <w:vAlign w:val="center"/>
          </w:tcPr>
          <w:p>
            <w:pPr>
              <w:pStyle w:val="36"/>
              <w:bidi w:val="0"/>
              <w:rPr>
                <w:rFonts w:hint="default"/>
                <w:color w:val="auto"/>
                <w:lang w:val="en-US" w:eastAsia="zh-CN"/>
              </w:rPr>
            </w:pPr>
            <w:r>
              <w:rPr>
                <w:rFonts w:hint="eastAsia"/>
                <w:color w:val="auto"/>
                <w:lang w:val="en-US" w:eastAsia="zh-CN"/>
              </w:rPr>
              <w:t>循环冷却水</w:t>
            </w:r>
          </w:p>
        </w:tc>
        <w:tc>
          <w:tcPr>
            <w:tcW w:w="712" w:type="pct"/>
            <w:tcBorders>
              <w:tl2br w:val="nil"/>
              <w:tr2bl w:val="nil"/>
            </w:tcBorders>
            <w:vAlign w:val="center"/>
          </w:tcPr>
          <w:p>
            <w:pPr>
              <w:pStyle w:val="36"/>
              <w:bidi w:val="0"/>
              <w:rPr>
                <w:rFonts w:hint="eastAsia"/>
                <w:color w:val="auto"/>
                <w:lang w:val="en-US" w:eastAsia="zh-CN"/>
              </w:rPr>
            </w:pPr>
            <w:r>
              <w:rPr>
                <w:rFonts w:hint="eastAsia"/>
                <w:color w:val="auto"/>
                <w:lang w:val="en-US" w:eastAsia="zh-CN"/>
              </w:rPr>
              <w:t>/</w:t>
            </w:r>
          </w:p>
        </w:tc>
        <w:tc>
          <w:tcPr>
            <w:tcW w:w="1137" w:type="pct"/>
            <w:tcBorders>
              <w:tl2br w:val="nil"/>
              <w:tr2bl w:val="nil"/>
            </w:tcBorders>
            <w:vAlign w:val="center"/>
          </w:tcPr>
          <w:p>
            <w:pPr>
              <w:pStyle w:val="36"/>
              <w:bidi w:val="0"/>
              <w:rPr>
                <w:rFonts w:hint="default"/>
                <w:color w:val="auto"/>
                <w:lang w:val="en-US" w:eastAsia="zh-CN"/>
              </w:rPr>
            </w:pPr>
            <w:r>
              <w:rPr>
                <w:rFonts w:hint="eastAsia"/>
                <w:color w:val="auto"/>
                <w:lang w:val="en-US" w:eastAsia="zh-CN"/>
              </w:rPr>
              <w:t>定期补充损耗，不外排</w:t>
            </w:r>
          </w:p>
        </w:tc>
        <w:tc>
          <w:tcPr>
            <w:tcW w:w="1842" w:type="pct"/>
            <w:tcBorders>
              <w:tl2br w:val="nil"/>
              <w:tr2bl w:val="nil"/>
            </w:tcBorders>
            <w:vAlign w:val="center"/>
          </w:tcPr>
          <w:p>
            <w:pPr>
              <w:pStyle w:val="36"/>
              <w:bidi w:val="0"/>
              <w:rPr>
                <w:rFonts w:hint="eastAsia"/>
                <w:color w:val="auto"/>
                <w:lang w:val="en-US" w:eastAsia="zh-CN"/>
              </w:rPr>
            </w:pPr>
            <w:r>
              <w:rPr>
                <w:rFonts w:hint="default"/>
                <w:color w:val="auto"/>
              </w:rPr>
              <w:t>验收措施落实情况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tcBorders>
              <w:tl2br w:val="nil"/>
              <w:tr2bl w:val="nil"/>
            </w:tcBorders>
            <w:vAlign w:val="center"/>
          </w:tcPr>
          <w:p>
            <w:pPr>
              <w:pStyle w:val="36"/>
              <w:rPr>
                <w:rFonts w:cs="Times New Roman"/>
                <w:color w:val="auto"/>
              </w:rPr>
            </w:pPr>
            <w:r>
              <w:rPr>
                <w:rFonts w:cs="Times New Roman"/>
                <w:color w:val="auto"/>
              </w:rPr>
              <w:t>声环境</w:t>
            </w:r>
          </w:p>
        </w:tc>
        <w:tc>
          <w:tcPr>
            <w:tcW w:w="734" w:type="pct"/>
            <w:tcBorders>
              <w:tl2br w:val="nil"/>
              <w:tr2bl w:val="nil"/>
            </w:tcBorders>
            <w:vAlign w:val="center"/>
          </w:tcPr>
          <w:p>
            <w:pPr>
              <w:pStyle w:val="36"/>
              <w:bidi w:val="0"/>
              <w:rPr>
                <w:color w:val="auto"/>
              </w:rPr>
            </w:pPr>
            <w:r>
              <w:rPr>
                <w:color w:val="auto"/>
              </w:rPr>
              <w:t>设备噪声</w:t>
            </w:r>
          </w:p>
        </w:tc>
        <w:tc>
          <w:tcPr>
            <w:tcW w:w="712" w:type="pct"/>
            <w:tcBorders>
              <w:tl2br w:val="nil"/>
              <w:tr2bl w:val="nil"/>
            </w:tcBorders>
            <w:vAlign w:val="center"/>
          </w:tcPr>
          <w:p>
            <w:pPr>
              <w:pStyle w:val="36"/>
              <w:bidi w:val="0"/>
              <w:rPr>
                <w:color w:val="auto"/>
              </w:rPr>
            </w:pPr>
            <w:r>
              <w:rPr>
                <w:rFonts w:hint="eastAsia"/>
                <w:color w:val="auto"/>
              </w:rPr>
              <w:t>等效A声级</w:t>
            </w:r>
          </w:p>
        </w:tc>
        <w:tc>
          <w:tcPr>
            <w:tcW w:w="1137" w:type="pct"/>
            <w:tcBorders>
              <w:tl2br w:val="nil"/>
              <w:tr2bl w:val="nil"/>
            </w:tcBorders>
            <w:vAlign w:val="center"/>
          </w:tcPr>
          <w:p>
            <w:pPr>
              <w:pStyle w:val="36"/>
              <w:bidi w:val="0"/>
              <w:rPr>
                <w:color w:val="auto"/>
              </w:rPr>
            </w:pPr>
            <w:r>
              <w:rPr>
                <w:rFonts w:hint="eastAsia"/>
                <w:color w:val="auto"/>
              </w:rPr>
              <w:t>优先选用低噪声设备及工艺，合理布局，设备采取减振、隔声等降噪措施等</w:t>
            </w:r>
          </w:p>
        </w:tc>
        <w:tc>
          <w:tcPr>
            <w:tcW w:w="1842" w:type="pct"/>
            <w:tcBorders>
              <w:tl2br w:val="nil"/>
              <w:tr2bl w:val="nil"/>
            </w:tcBorders>
            <w:vAlign w:val="center"/>
          </w:tcPr>
          <w:p>
            <w:pPr>
              <w:pStyle w:val="36"/>
              <w:bidi w:val="0"/>
              <w:rPr>
                <w:color w:val="auto"/>
              </w:rPr>
            </w:pPr>
            <w:r>
              <w:rPr>
                <w:rFonts w:hint="eastAsia"/>
                <w:color w:val="auto"/>
              </w:rPr>
              <w:t>南侧噪声执行《工业企业厂界环境噪声排放标准》（GB 12348-2008）4类标准</w:t>
            </w:r>
            <w:r>
              <w:rPr>
                <w:color w:val="auto"/>
              </w:rPr>
              <w:t>；</w:t>
            </w:r>
            <w:r>
              <w:rPr>
                <w:rFonts w:hint="eastAsia"/>
                <w:color w:val="auto"/>
              </w:rPr>
              <w:t>其他侧厂界执行《工业企业厂界环境噪声排放标准》（GB12348-2008）3类标准</w:t>
            </w:r>
            <w:r>
              <w:rPr>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tcBorders>
              <w:tl2br w:val="nil"/>
              <w:tr2bl w:val="nil"/>
            </w:tcBorders>
            <w:vAlign w:val="center"/>
          </w:tcPr>
          <w:p>
            <w:pPr>
              <w:pStyle w:val="36"/>
              <w:rPr>
                <w:rFonts w:cs="Times New Roman"/>
                <w:color w:val="auto"/>
              </w:rPr>
            </w:pPr>
            <w:r>
              <w:rPr>
                <w:rFonts w:cs="Times New Roman"/>
                <w:color w:val="auto"/>
              </w:rPr>
              <w:t>电磁辐射</w:t>
            </w:r>
          </w:p>
        </w:tc>
        <w:tc>
          <w:tcPr>
            <w:tcW w:w="734" w:type="pct"/>
            <w:tcBorders>
              <w:tl2br w:val="nil"/>
              <w:tr2bl w:val="nil"/>
            </w:tcBorders>
            <w:vAlign w:val="center"/>
          </w:tcPr>
          <w:p>
            <w:pPr>
              <w:pStyle w:val="36"/>
              <w:bidi w:val="0"/>
              <w:rPr>
                <w:color w:val="auto"/>
              </w:rPr>
            </w:pPr>
            <w:r>
              <w:rPr>
                <w:rFonts w:hint="eastAsia"/>
                <w:color w:val="auto"/>
              </w:rPr>
              <w:t>/</w:t>
            </w:r>
          </w:p>
        </w:tc>
        <w:tc>
          <w:tcPr>
            <w:tcW w:w="712" w:type="pct"/>
            <w:tcBorders>
              <w:tl2br w:val="nil"/>
              <w:tr2bl w:val="nil"/>
            </w:tcBorders>
            <w:vAlign w:val="center"/>
          </w:tcPr>
          <w:p>
            <w:pPr>
              <w:pStyle w:val="36"/>
              <w:bidi w:val="0"/>
              <w:rPr>
                <w:rFonts w:hint="eastAsia"/>
                <w:color w:val="auto"/>
              </w:rPr>
            </w:pPr>
            <w:r>
              <w:rPr>
                <w:rFonts w:hint="eastAsia"/>
                <w:color w:val="auto"/>
              </w:rPr>
              <w:t>/</w:t>
            </w:r>
          </w:p>
        </w:tc>
        <w:tc>
          <w:tcPr>
            <w:tcW w:w="1137" w:type="pct"/>
            <w:tcBorders>
              <w:tl2br w:val="nil"/>
              <w:tr2bl w:val="nil"/>
            </w:tcBorders>
            <w:vAlign w:val="center"/>
          </w:tcPr>
          <w:p>
            <w:pPr>
              <w:pStyle w:val="36"/>
              <w:bidi w:val="0"/>
              <w:rPr>
                <w:rFonts w:hint="eastAsia"/>
                <w:color w:val="auto"/>
              </w:rPr>
            </w:pPr>
            <w:r>
              <w:rPr>
                <w:rFonts w:hint="eastAsia"/>
                <w:color w:val="auto"/>
              </w:rPr>
              <w:t>/</w:t>
            </w:r>
          </w:p>
        </w:tc>
        <w:tc>
          <w:tcPr>
            <w:tcW w:w="1842" w:type="pct"/>
            <w:tcBorders>
              <w:tl2br w:val="nil"/>
              <w:tr2bl w:val="nil"/>
            </w:tcBorders>
            <w:vAlign w:val="center"/>
          </w:tcPr>
          <w:p>
            <w:pPr>
              <w:pStyle w:val="36"/>
              <w:bidi w:val="0"/>
              <w:rPr>
                <w:rFonts w:hint="eastAsia"/>
                <w:color w:val="auto"/>
              </w:rPr>
            </w:pPr>
            <w:r>
              <w:rPr>
                <w:rFonts w:hint="eastAsia"/>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vMerge w:val="restart"/>
            <w:tcBorders>
              <w:tl2br w:val="nil"/>
              <w:tr2bl w:val="nil"/>
            </w:tcBorders>
            <w:vAlign w:val="center"/>
          </w:tcPr>
          <w:p>
            <w:pPr>
              <w:pStyle w:val="36"/>
              <w:bidi w:val="0"/>
              <w:rPr>
                <w:color w:val="auto"/>
              </w:rPr>
            </w:pPr>
            <w:r>
              <w:rPr>
                <w:color w:val="auto"/>
              </w:rPr>
              <w:t>固体废物</w:t>
            </w:r>
          </w:p>
        </w:tc>
        <w:tc>
          <w:tcPr>
            <w:tcW w:w="734" w:type="pct"/>
            <w:vMerge w:val="restart"/>
            <w:tcBorders>
              <w:tl2br w:val="nil"/>
              <w:tr2bl w:val="nil"/>
            </w:tcBorders>
            <w:vAlign w:val="center"/>
          </w:tcPr>
          <w:p>
            <w:pPr>
              <w:pStyle w:val="36"/>
              <w:bidi w:val="0"/>
              <w:rPr>
                <w:color w:val="auto"/>
              </w:rPr>
            </w:pPr>
            <w:r>
              <w:rPr>
                <w:rFonts w:hint="eastAsia"/>
                <w:color w:val="auto"/>
              </w:rPr>
              <w:t>危险废物</w:t>
            </w:r>
          </w:p>
        </w:tc>
        <w:tc>
          <w:tcPr>
            <w:tcW w:w="712" w:type="pct"/>
            <w:tcBorders>
              <w:tl2br w:val="nil"/>
              <w:tr2bl w:val="nil"/>
            </w:tcBorders>
            <w:vAlign w:val="center"/>
          </w:tcPr>
          <w:p>
            <w:pPr>
              <w:pStyle w:val="36"/>
              <w:bidi w:val="0"/>
              <w:rPr>
                <w:color w:val="auto"/>
              </w:rPr>
            </w:pPr>
            <w:r>
              <w:rPr>
                <w:color w:val="auto"/>
              </w:rPr>
              <w:t>废拉丝液</w:t>
            </w:r>
          </w:p>
        </w:tc>
        <w:tc>
          <w:tcPr>
            <w:tcW w:w="1137" w:type="pct"/>
            <w:vMerge w:val="restart"/>
            <w:tcBorders>
              <w:tl2br w:val="nil"/>
              <w:tr2bl w:val="nil"/>
            </w:tcBorders>
            <w:vAlign w:val="center"/>
          </w:tcPr>
          <w:p>
            <w:pPr>
              <w:pStyle w:val="36"/>
              <w:bidi w:val="0"/>
              <w:rPr>
                <w:color w:val="auto"/>
              </w:rPr>
            </w:pPr>
            <w:r>
              <w:rPr>
                <w:rFonts w:hint="eastAsia"/>
                <w:color w:val="auto"/>
              </w:rPr>
              <w:t>分类储存于危险废物贮存库，委托有资质的单位</w:t>
            </w:r>
            <w:r>
              <w:rPr>
                <w:rFonts w:hint="eastAsia"/>
                <w:color w:val="auto"/>
                <w:lang w:val="en-US" w:eastAsia="zh-CN"/>
              </w:rPr>
              <w:t>进行</w:t>
            </w:r>
            <w:r>
              <w:rPr>
                <w:rFonts w:hint="eastAsia"/>
                <w:color w:val="auto"/>
              </w:rPr>
              <w:t>处置</w:t>
            </w:r>
          </w:p>
        </w:tc>
        <w:tc>
          <w:tcPr>
            <w:tcW w:w="1842" w:type="pct"/>
            <w:vMerge w:val="restart"/>
            <w:tcBorders>
              <w:tl2br w:val="nil"/>
              <w:tr2bl w:val="nil"/>
            </w:tcBorders>
            <w:vAlign w:val="center"/>
          </w:tcPr>
          <w:p>
            <w:pPr>
              <w:pStyle w:val="36"/>
              <w:bidi w:val="0"/>
              <w:rPr>
                <w:rFonts w:hint="eastAsia"/>
                <w:color w:val="auto"/>
                <w:lang w:eastAsia="zh-CN"/>
              </w:rPr>
            </w:pPr>
            <w:r>
              <w:rPr>
                <w:rFonts w:hint="default"/>
                <w:color w:val="auto"/>
                <w:lang w:val="en-GB"/>
              </w:rPr>
              <w:t>危险废物贮存</w:t>
            </w:r>
            <w:r>
              <w:rPr>
                <w:rFonts w:hint="eastAsia"/>
                <w:color w:val="auto"/>
                <w:lang w:val="en-US" w:eastAsia="zh-CN"/>
              </w:rPr>
              <w:t>库</w:t>
            </w:r>
            <w:r>
              <w:rPr>
                <w:rFonts w:hint="default"/>
                <w:color w:val="auto"/>
                <w:lang w:val="en-US" w:eastAsia="zh-CN"/>
              </w:rPr>
              <w:t>执行</w:t>
            </w:r>
            <w:r>
              <w:rPr>
                <w:rFonts w:hint="default"/>
                <w:color w:val="auto"/>
                <w:lang w:val="en-GB"/>
              </w:rPr>
              <w:t>《危险废物贮存污染控制标准》(GB 18597</w:t>
            </w:r>
            <w:r>
              <w:rPr>
                <w:rFonts w:hint="default"/>
                <w:color w:val="auto"/>
                <w:lang w:val="en-US" w:eastAsia="zh-CN"/>
              </w:rPr>
              <w:t>-2023</w:t>
            </w:r>
            <w:r>
              <w:rPr>
                <w:rFonts w:hint="default"/>
                <w:color w:val="auto"/>
                <w:lang w:val="en-GB"/>
              </w:rPr>
              <w:t>)</w:t>
            </w:r>
            <w:r>
              <w:rPr>
                <w:rFonts w:hint="default"/>
                <w:color w:val="auto"/>
                <w:lang w:val="en-GB" w:eastAsia="zh-CN"/>
              </w:rPr>
              <w:t>中的相关要求</w:t>
            </w:r>
            <w:r>
              <w:rPr>
                <w:rFonts w:hint="default"/>
                <w:color w:val="auto"/>
                <w:lang w:val="en-GB"/>
              </w:rPr>
              <w:t>。</w:t>
            </w:r>
            <w:r>
              <w:rPr>
                <w:rFonts w:hint="default"/>
                <w:color w:val="auto"/>
              </w:rPr>
              <w:t>危废转移应严格</w:t>
            </w:r>
            <w:r>
              <w:rPr>
                <w:rFonts w:hint="eastAsia"/>
                <w:color w:val="auto"/>
                <w:lang w:eastAsia="zh-CN"/>
              </w:rPr>
              <w:t>按照</w:t>
            </w:r>
            <w:r>
              <w:rPr>
                <w:rFonts w:hint="default"/>
                <w:color w:val="auto"/>
              </w:rPr>
              <w:t>《危险废物转移联单管理办法》要求</w:t>
            </w:r>
            <w:r>
              <w:rPr>
                <w:rFonts w:hint="eastAsia"/>
                <w:color w:val="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vMerge w:val="continue"/>
            <w:tcBorders>
              <w:tl2br w:val="nil"/>
              <w:tr2bl w:val="nil"/>
            </w:tcBorders>
            <w:vAlign w:val="center"/>
          </w:tcPr>
          <w:p>
            <w:pPr>
              <w:pStyle w:val="36"/>
              <w:bidi w:val="0"/>
              <w:rPr>
                <w:color w:val="auto"/>
              </w:rPr>
            </w:pPr>
          </w:p>
        </w:tc>
        <w:tc>
          <w:tcPr>
            <w:tcW w:w="734" w:type="pct"/>
            <w:vMerge w:val="continue"/>
            <w:tcBorders>
              <w:tl2br w:val="nil"/>
              <w:tr2bl w:val="nil"/>
            </w:tcBorders>
            <w:vAlign w:val="center"/>
          </w:tcPr>
          <w:p>
            <w:pPr>
              <w:pStyle w:val="36"/>
              <w:bidi w:val="0"/>
              <w:rPr>
                <w:color w:val="auto"/>
              </w:rPr>
            </w:pPr>
          </w:p>
        </w:tc>
        <w:tc>
          <w:tcPr>
            <w:tcW w:w="712" w:type="pct"/>
            <w:tcBorders>
              <w:tl2br w:val="nil"/>
              <w:tr2bl w:val="nil"/>
            </w:tcBorders>
            <w:vAlign w:val="center"/>
          </w:tcPr>
          <w:p>
            <w:pPr>
              <w:pStyle w:val="36"/>
              <w:bidi w:val="0"/>
              <w:rPr>
                <w:color w:val="auto"/>
              </w:rPr>
            </w:pPr>
            <w:r>
              <w:rPr>
                <w:color w:val="auto"/>
              </w:rPr>
              <w:t>沾有拉丝液的铜泥</w:t>
            </w:r>
          </w:p>
        </w:tc>
        <w:tc>
          <w:tcPr>
            <w:tcW w:w="1137" w:type="pct"/>
            <w:vMerge w:val="continue"/>
            <w:tcBorders>
              <w:tl2br w:val="nil"/>
              <w:tr2bl w:val="nil"/>
            </w:tcBorders>
            <w:vAlign w:val="center"/>
          </w:tcPr>
          <w:p>
            <w:pPr>
              <w:pStyle w:val="36"/>
              <w:bidi w:val="0"/>
              <w:rPr>
                <w:color w:val="auto"/>
              </w:rPr>
            </w:pPr>
          </w:p>
        </w:tc>
        <w:tc>
          <w:tcPr>
            <w:tcW w:w="1842" w:type="pct"/>
            <w:vMerge w:val="continue"/>
            <w:tcBorders>
              <w:tl2br w:val="nil"/>
              <w:tr2bl w:val="nil"/>
            </w:tcBorders>
            <w:vAlign w:val="center"/>
          </w:tcPr>
          <w:p>
            <w:pPr>
              <w:pStyle w:val="36"/>
              <w:bidi w:val="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vMerge w:val="continue"/>
            <w:tcBorders>
              <w:tl2br w:val="nil"/>
              <w:tr2bl w:val="nil"/>
            </w:tcBorders>
            <w:vAlign w:val="center"/>
          </w:tcPr>
          <w:p>
            <w:pPr>
              <w:pStyle w:val="36"/>
              <w:bidi w:val="0"/>
              <w:rPr>
                <w:color w:val="auto"/>
              </w:rPr>
            </w:pPr>
          </w:p>
        </w:tc>
        <w:tc>
          <w:tcPr>
            <w:tcW w:w="734" w:type="pct"/>
            <w:vMerge w:val="continue"/>
            <w:tcBorders>
              <w:tl2br w:val="nil"/>
              <w:tr2bl w:val="nil"/>
            </w:tcBorders>
            <w:vAlign w:val="center"/>
          </w:tcPr>
          <w:p>
            <w:pPr>
              <w:pStyle w:val="36"/>
              <w:bidi w:val="0"/>
              <w:rPr>
                <w:color w:val="auto"/>
              </w:rPr>
            </w:pPr>
          </w:p>
        </w:tc>
        <w:tc>
          <w:tcPr>
            <w:tcW w:w="712" w:type="pct"/>
            <w:tcBorders>
              <w:tl2br w:val="nil"/>
              <w:tr2bl w:val="nil"/>
            </w:tcBorders>
            <w:vAlign w:val="center"/>
          </w:tcPr>
          <w:p>
            <w:pPr>
              <w:pStyle w:val="36"/>
              <w:bidi w:val="0"/>
              <w:rPr>
                <w:color w:val="auto"/>
              </w:rPr>
            </w:pPr>
            <w:r>
              <w:rPr>
                <w:rFonts w:hint="eastAsia"/>
                <w:color w:val="auto"/>
              </w:rPr>
              <w:t>沾染拉丝液的废毛毡</w:t>
            </w:r>
          </w:p>
        </w:tc>
        <w:tc>
          <w:tcPr>
            <w:tcW w:w="1137" w:type="pct"/>
            <w:vMerge w:val="continue"/>
            <w:tcBorders>
              <w:tl2br w:val="nil"/>
              <w:tr2bl w:val="nil"/>
            </w:tcBorders>
            <w:vAlign w:val="center"/>
          </w:tcPr>
          <w:p>
            <w:pPr>
              <w:pStyle w:val="36"/>
              <w:bidi w:val="0"/>
              <w:rPr>
                <w:color w:val="auto"/>
              </w:rPr>
            </w:pPr>
          </w:p>
        </w:tc>
        <w:tc>
          <w:tcPr>
            <w:tcW w:w="1842" w:type="pct"/>
            <w:vMerge w:val="continue"/>
            <w:tcBorders>
              <w:tl2br w:val="nil"/>
              <w:tr2bl w:val="nil"/>
            </w:tcBorders>
            <w:vAlign w:val="center"/>
          </w:tcPr>
          <w:p>
            <w:pPr>
              <w:pStyle w:val="36"/>
              <w:bidi w:val="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vMerge w:val="continue"/>
            <w:tcBorders>
              <w:tl2br w:val="nil"/>
              <w:tr2bl w:val="nil"/>
            </w:tcBorders>
            <w:vAlign w:val="center"/>
          </w:tcPr>
          <w:p>
            <w:pPr>
              <w:pStyle w:val="36"/>
              <w:bidi w:val="0"/>
              <w:rPr>
                <w:color w:val="auto"/>
              </w:rPr>
            </w:pPr>
          </w:p>
        </w:tc>
        <w:tc>
          <w:tcPr>
            <w:tcW w:w="734" w:type="pct"/>
            <w:vMerge w:val="continue"/>
            <w:tcBorders>
              <w:tl2br w:val="nil"/>
              <w:tr2bl w:val="nil"/>
            </w:tcBorders>
            <w:vAlign w:val="center"/>
          </w:tcPr>
          <w:p>
            <w:pPr>
              <w:pStyle w:val="36"/>
              <w:bidi w:val="0"/>
              <w:rPr>
                <w:color w:val="auto"/>
              </w:rPr>
            </w:pPr>
          </w:p>
        </w:tc>
        <w:tc>
          <w:tcPr>
            <w:tcW w:w="712" w:type="pct"/>
            <w:tcBorders>
              <w:tl2br w:val="nil"/>
              <w:tr2bl w:val="nil"/>
            </w:tcBorders>
            <w:vAlign w:val="center"/>
          </w:tcPr>
          <w:p>
            <w:pPr>
              <w:pStyle w:val="36"/>
              <w:bidi w:val="0"/>
              <w:rPr>
                <w:color w:val="auto"/>
              </w:rPr>
            </w:pPr>
            <w:r>
              <w:rPr>
                <w:rFonts w:hint="eastAsia"/>
                <w:color w:val="auto"/>
              </w:rPr>
              <w:t>废液压油</w:t>
            </w:r>
          </w:p>
        </w:tc>
        <w:tc>
          <w:tcPr>
            <w:tcW w:w="1137" w:type="pct"/>
            <w:vMerge w:val="continue"/>
            <w:tcBorders>
              <w:tl2br w:val="nil"/>
              <w:tr2bl w:val="nil"/>
            </w:tcBorders>
            <w:vAlign w:val="center"/>
          </w:tcPr>
          <w:p>
            <w:pPr>
              <w:pStyle w:val="36"/>
              <w:bidi w:val="0"/>
              <w:rPr>
                <w:color w:val="auto"/>
              </w:rPr>
            </w:pPr>
          </w:p>
        </w:tc>
        <w:tc>
          <w:tcPr>
            <w:tcW w:w="1842" w:type="pct"/>
            <w:vMerge w:val="continue"/>
            <w:tcBorders>
              <w:tl2br w:val="nil"/>
              <w:tr2bl w:val="nil"/>
            </w:tcBorders>
            <w:vAlign w:val="center"/>
          </w:tcPr>
          <w:p>
            <w:pPr>
              <w:pStyle w:val="36"/>
              <w:bidi w:val="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vMerge w:val="continue"/>
            <w:tcBorders>
              <w:tl2br w:val="nil"/>
              <w:tr2bl w:val="nil"/>
            </w:tcBorders>
            <w:vAlign w:val="center"/>
          </w:tcPr>
          <w:p>
            <w:pPr>
              <w:pStyle w:val="36"/>
              <w:bidi w:val="0"/>
              <w:rPr>
                <w:color w:val="auto"/>
              </w:rPr>
            </w:pPr>
          </w:p>
        </w:tc>
        <w:tc>
          <w:tcPr>
            <w:tcW w:w="734" w:type="pct"/>
            <w:vMerge w:val="continue"/>
            <w:tcBorders>
              <w:tl2br w:val="nil"/>
              <w:tr2bl w:val="nil"/>
            </w:tcBorders>
            <w:vAlign w:val="center"/>
          </w:tcPr>
          <w:p>
            <w:pPr>
              <w:pStyle w:val="36"/>
              <w:bidi w:val="0"/>
              <w:rPr>
                <w:color w:val="auto"/>
              </w:rPr>
            </w:pPr>
          </w:p>
        </w:tc>
        <w:tc>
          <w:tcPr>
            <w:tcW w:w="712" w:type="pct"/>
            <w:tcBorders>
              <w:tl2br w:val="nil"/>
              <w:tr2bl w:val="nil"/>
            </w:tcBorders>
            <w:vAlign w:val="center"/>
          </w:tcPr>
          <w:p>
            <w:pPr>
              <w:pStyle w:val="36"/>
              <w:bidi w:val="0"/>
              <w:rPr>
                <w:color w:val="auto"/>
              </w:rPr>
            </w:pPr>
            <w:r>
              <w:rPr>
                <w:rFonts w:hint="eastAsia"/>
                <w:color w:val="auto"/>
              </w:rPr>
              <w:t>废润滑油</w:t>
            </w:r>
          </w:p>
        </w:tc>
        <w:tc>
          <w:tcPr>
            <w:tcW w:w="1137" w:type="pct"/>
            <w:vMerge w:val="continue"/>
            <w:tcBorders>
              <w:tl2br w:val="nil"/>
              <w:tr2bl w:val="nil"/>
            </w:tcBorders>
            <w:vAlign w:val="center"/>
          </w:tcPr>
          <w:p>
            <w:pPr>
              <w:pStyle w:val="36"/>
              <w:bidi w:val="0"/>
              <w:rPr>
                <w:color w:val="auto"/>
              </w:rPr>
            </w:pPr>
          </w:p>
        </w:tc>
        <w:tc>
          <w:tcPr>
            <w:tcW w:w="1842" w:type="pct"/>
            <w:vMerge w:val="continue"/>
            <w:tcBorders>
              <w:tl2br w:val="nil"/>
              <w:tr2bl w:val="nil"/>
            </w:tcBorders>
            <w:vAlign w:val="center"/>
          </w:tcPr>
          <w:p>
            <w:pPr>
              <w:pStyle w:val="36"/>
              <w:bidi w:val="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vMerge w:val="continue"/>
            <w:tcBorders>
              <w:tl2br w:val="nil"/>
              <w:tr2bl w:val="nil"/>
            </w:tcBorders>
            <w:vAlign w:val="center"/>
          </w:tcPr>
          <w:p>
            <w:pPr>
              <w:pStyle w:val="36"/>
              <w:bidi w:val="0"/>
              <w:rPr>
                <w:color w:val="auto"/>
              </w:rPr>
            </w:pPr>
          </w:p>
        </w:tc>
        <w:tc>
          <w:tcPr>
            <w:tcW w:w="734" w:type="pct"/>
            <w:vMerge w:val="continue"/>
            <w:tcBorders>
              <w:tl2br w:val="nil"/>
              <w:tr2bl w:val="nil"/>
            </w:tcBorders>
            <w:vAlign w:val="center"/>
          </w:tcPr>
          <w:p>
            <w:pPr>
              <w:pStyle w:val="36"/>
              <w:bidi w:val="0"/>
              <w:rPr>
                <w:color w:val="auto"/>
              </w:rPr>
            </w:pPr>
          </w:p>
        </w:tc>
        <w:tc>
          <w:tcPr>
            <w:tcW w:w="712" w:type="pct"/>
            <w:tcBorders>
              <w:tl2br w:val="nil"/>
              <w:tr2bl w:val="nil"/>
            </w:tcBorders>
            <w:vAlign w:val="center"/>
          </w:tcPr>
          <w:p>
            <w:pPr>
              <w:pStyle w:val="36"/>
              <w:bidi w:val="0"/>
              <w:rPr>
                <w:color w:val="auto"/>
              </w:rPr>
            </w:pPr>
            <w:r>
              <w:rPr>
                <w:rFonts w:hint="eastAsia"/>
                <w:color w:val="auto"/>
              </w:rPr>
              <w:t>废油桶</w:t>
            </w:r>
          </w:p>
        </w:tc>
        <w:tc>
          <w:tcPr>
            <w:tcW w:w="1137" w:type="pct"/>
            <w:vMerge w:val="continue"/>
            <w:tcBorders>
              <w:tl2br w:val="nil"/>
              <w:tr2bl w:val="nil"/>
            </w:tcBorders>
            <w:vAlign w:val="center"/>
          </w:tcPr>
          <w:p>
            <w:pPr>
              <w:pStyle w:val="36"/>
              <w:bidi w:val="0"/>
              <w:rPr>
                <w:color w:val="auto"/>
              </w:rPr>
            </w:pPr>
          </w:p>
        </w:tc>
        <w:tc>
          <w:tcPr>
            <w:tcW w:w="1842" w:type="pct"/>
            <w:vMerge w:val="continue"/>
            <w:tcBorders>
              <w:tl2br w:val="nil"/>
              <w:tr2bl w:val="nil"/>
            </w:tcBorders>
            <w:vAlign w:val="center"/>
          </w:tcPr>
          <w:p>
            <w:pPr>
              <w:pStyle w:val="36"/>
              <w:bidi w:val="0"/>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vMerge w:val="continue"/>
            <w:tcBorders>
              <w:tl2br w:val="nil"/>
              <w:tr2bl w:val="nil"/>
            </w:tcBorders>
            <w:vAlign w:val="center"/>
          </w:tcPr>
          <w:p>
            <w:pPr>
              <w:pStyle w:val="36"/>
              <w:bidi w:val="0"/>
              <w:rPr>
                <w:color w:val="auto"/>
              </w:rPr>
            </w:pPr>
          </w:p>
        </w:tc>
        <w:tc>
          <w:tcPr>
            <w:tcW w:w="734" w:type="pct"/>
            <w:vMerge w:val="restart"/>
            <w:tcBorders>
              <w:tl2br w:val="nil"/>
              <w:tr2bl w:val="nil"/>
            </w:tcBorders>
            <w:vAlign w:val="center"/>
          </w:tcPr>
          <w:p>
            <w:pPr>
              <w:pStyle w:val="36"/>
              <w:bidi w:val="0"/>
              <w:rPr>
                <w:rFonts w:hint="eastAsia"/>
                <w:color w:val="auto"/>
              </w:rPr>
            </w:pPr>
            <w:r>
              <w:rPr>
                <w:rFonts w:hint="eastAsia"/>
                <w:color w:val="auto"/>
              </w:rPr>
              <w:t>一般工业固废</w:t>
            </w:r>
          </w:p>
        </w:tc>
        <w:tc>
          <w:tcPr>
            <w:tcW w:w="712" w:type="pct"/>
            <w:tcBorders>
              <w:tl2br w:val="nil"/>
              <w:tr2bl w:val="nil"/>
            </w:tcBorders>
            <w:vAlign w:val="center"/>
          </w:tcPr>
          <w:p>
            <w:pPr>
              <w:pStyle w:val="36"/>
              <w:bidi w:val="0"/>
              <w:rPr>
                <w:rFonts w:hint="eastAsia"/>
                <w:color w:val="auto"/>
              </w:rPr>
            </w:pPr>
            <w:r>
              <w:rPr>
                <w:rFonts w:hint="eastAsia"/>
                <w:color w:val="auto"/>
              </w:rPr>
              <w:t>废包装材料</w:t>
            </w:r>
          </w:p>
        </w:tc>
        <w:tc>
          <w:tcPr>
            <w:tcW w:w="1137" w:type="pct"/>
            <w:vMerge w:val="restart"/>
            <w:tcBorders>
              <w:tl2br w:val="nil"/>
              <w:tr2bl w:val="nil"/>
            </w:tcBorders>
            <w:vAlign w:val="center"/>
          </w:tcPr>
          <w:p>
            <w:pPr>
              <w:pStyle w:val="36"/>
              <w:bidi w:val="0"/>
              <w:rPr>
                <w:rFonts w:hint="eastAsia"/>
                <w:color w:val="auto"/>
              </w:rPr>
            </w:pPr>
            <w:r>
              <w:rPr>
                <w:rFonts w:hint="eastAsia"/>
                <w:color w:val="auto"/>
              </w:rPr>
              <w:t>暂存于一般固体废物暂存间，定期外售综合利用；其中废模具由供应商回收处置</w:t>
            </w:r>
          </w:p>
        </w:tc>
        <w:tc>
          <w:tcPr>
            <w:tcW w:w="1842" w:type="pct"/>
            <w:vMerge w:val="restart"/>
            <w:tcBorders>
              <w:tl2br w:val="nil"/>
              <w:tr2bl w:val="nil"/>
            </w:tcBorders>
            <w:vAlign w:val="center"/>
          </w:tcPr>
          <w:p>
            <w:pPr>
              <w:pStyle w:val="36"/>
              <w:bidi w:val="0"/>
              <w:rPr>
                <w:rFonts w:hint="eastAsia"/>
                <w:color w:val="auto"/>
              </w:rPr>
            </w:pPr>
            <w:r>
              <w:rPr>
                <w:rFonts w:hint="default"/>
                <w:color w:val="auto"/>
              </w:rPr>
              <w:t>一般工业固废的暂存间</w:t>
            </w:r>
            <w:r>
              <w:rPr>
                <w:rFonts w:hint="default"/>
                <w:color w:val="auto"/>
                <w:lang w:val="en-US" w:eastAsia="zh-CN"/>
              </w:rPr>
              <w:t>执行</w:t>
            </w:r>
            <w:r>
              <w:rPr>
                <w:rFonts w:hint="default"/>
                <w:color w:val="auto"/>
              </w:rPr>
              <w:t>《一般工业固体废物贮存和填埋污染控制标准》（GB18599-2020）中的相关要求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vMerge w:val="continue"/>
            <w:tcBorders>
              <w:tl2br w:val="nil"/>
              <w:tr2bl w:val="nil"/>
            </w:tcBorders>
            <w:vAlign w:val="center"/>
          </w:tcPr>
          <w:p>
            <w:pPr>
              <w:pStyle w:val="36"/>
              <w:bidi w:val="0"/>
              <w:rPr>
                <w:color w:val="auto"/>
              </w:rPr>
            </w:pPr>
          </w:p>
        </w:tc>
        <w:tc>
          <w:tcPr>
            <w:tcW w:w="734" w:type="pct"/>
            <w:vMerge w:val="continue"/>
            <w:tcBorders>
              <w:tl2br w:val="nil"/>
              <w:tr2bl w:val="nil"/>
            </w:tcBorders>
            <w:vAlign w:val="center"/>
          </w:tcPr>
          <w:p>
            <w:pPr>
              <w:pStyle w:val="36"/>
              <w:bidi w:val="0"/>
              <w:rPr>
                <w:color w:val="auto"/>
              </w:rPr>
            </w:pPr>
          </w:p>
        </w:tc>
        <w:tc>
          <w:tcPr>
            <w:tcW w:w="712" w:type="pct"/>
            <w:tcBorders>
              <w:tl2br w:val="nil"/>
              <w:tr2bl w:val="nil"/>
            </w:tcBorders>
            <w:vAlign w:val="center"/>
          </w:tcPr>
          <w:p>
            <w:pPr>
              <w:pStyle w:val="36"/>
              <w:bidi w:val="0"/>
              <w:rPr>
                <w:rFonts w:hint="eastAsia"/>
                <w:color w:val="auto"/>
              </w:rPr>
            </w:pPr>
            <w:r>
              <w:rPr>
                <w:rFonts w:hint="eastAsia"/>
                <w:color w:val="auto"/>
              </w:rPr>
              <w:t>废（铜）边角料及不合格品</w:t>
            </w:r>
          </w:p>
        </w:tc>
        <w:tc>
          <w:tcPr>
            <w:tcW w:w="1137" w:type="pct"/>
            <w:vMerge w:val="continue"/>
            <w:tcBorders>
              <w:tl2br w:val="nil"/>
              <w:tr2bl w:val="nil"/>
            </w:tcBorders>
            <w:vAlign w:val="center"/>
          </w:tcPr>
          <w:p>
            <w:pPr>
              <w:pStyle w:val="36"/>
              <w:bidi w:val="0"/>
              <w:rPr>
                <w:rFonts w:hint="eastAsia"/>
                <w:color w:val="auto"/>
              </w:rPr>
            </w:pPr>
          </w:p>
        </w:tc>
        <w:tc>
          <w:tcPr>
            <w:tcW w:w="1842" w:type="pct"/>
            <w:vMerge w:val="continue"/>
            <w:tcBorders>
              <w:tl2br w:val="nil"/>
              <w:tr2bl w:val="nil"/>
            </w:tcBorders>
            <w:vAlign w:val="center"/>
          </w:tcPr>
          <w:p>
            <w:pPr>
              <w:pStyle w:val="36"/>
              <w:bidi w:val="0"/>
              <w:rPr>
                <w:rFonts w:hint="eastAsia"/>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vMerge w:val="continue"/>
            <w:tcBorders>
              <w:tl2br w:val="nil"/>
              <w:tr2bl w:val="nil"/>
            </w:tcBorders>
            <w:vAlign w:val="center"/>
          </w:tcPr>
          <w:p>
            <w:pPr>
              <w:pStyle w:val="36"/>
              <w:bidi w:val="0"/>
              <w:rPr>
                <w:color w:val="auto"/>
              </w:rPr>
            </w:pPr>
          </w:p>
        </w:tc>
        <w:tc>
          <w:tcPr>
            <w:tcW w:w="734" w:type="pct"/>
            <w:vMerge w:val="continue"/>
            <w:tcBorders>
              <w:tl2br w:val="nil"/>
              <w:tr2bl w:val="nil"/>
            </w:tcBorders>
            <w:vAlign w:val="center"/>
          </w:tcPr>
          <w:p>
            <w:pPr>
              <w:pStyle w:val="36"/>
              <w:bidi w:val="0"/>
              <w:rPr>
                <w:color w:val="auto"/>
              </w:rPr>
            </w:pPr>
          </w:p>
        </w:tc>
        <w:tc>
          <w:tcPr>
            <w:tcW w:w="712" w:type="pct"/>
            <w:tcBorders>
              <w:tl2br w:val="nil"/>
              <w:tr2bl w:val="nil"/>
            </w:tcBorders>
            <w:vAlign w:val="center"/>
          </w:tcPr>
          <w:p>
            <w:pPr>
              <w:pStyle w:val="36"/>
              <w:bidi w:val="0"/>
              <w:rPr>
                <w:rFonts w:hint="eastAsia"/>
                <w:color w:val="auto"/>
                <w:lang w:val="en-US" w:eastAsia="zh-CN"/>
              </w:rPr>
            </w:pPr>
            <w:r>
              <w:rPr>
                <w:rFonts w:hint="eastAsia"/>
                <w:color w:val="auto"/>
                <w:lang w:val="en-US" w:eastAsia="zh-CN"/>
              </w:rPr>
              <w:t>废模具</w:t>
            </w:r>
          </w:p>
        </w:tc>
        <w:tc>
          <w:tcPr>
            <w:tcW w:w="1137" w:type="pct"/>
            <w:vMerge w:val="continue"/>
            <w:tcBorders>
              <w:tl2br w:val="nil"/>
              <w:tr2bl w:val="nil"/>
            </w:tcBorders>
            <w:vAlign w:val="center"/>
          </w:tcPr>
          <w:p>
            <w:pPr>
              <w:pStyle w:val="36"/>
              <w:bidi w:val="0"/>
              <w:rPr>
                <w:rFonts w:hint="eastAsia"/>
                <w:color w:val="auto"/>
              </w:rPr>
            </w:pPr>
          </w:p>
        </w:tc>
        <w:tc>
          <w:tcPr>
            <w:tcW w:w="1842" w:type="pct"/>
            <w:vMerge w:val="continue"/>
            <w:tcBorders>
              <w:tl2br w:val="nil"/>
              <w:tr2bl w:val="nil"/>
            </w:tcBorders>
            <w:vAlign w:val="center"/>
          </w:tcPr>
          <w:p>
            <w:pPr>
              <w:pStyle w:val="36"/>
              <w:bidi w:val="0"/>
              <w:rPr>
                <w:rFonts w:hint="eastAsia"/>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vMerge w:val="continue"/>
            <w:tcBorders>
              <w:tl2br w:val="nil"/>
              <w:tr2bl w:val="nil"/>
            </w:tcBorders>
            <w:vAlign w:val="center"/>
          </w:tcPr>
          <w:p>
            <w:pPr>
              <w:pStyle w:val="36"/>
              <w:bidi w:val="0"/>
              <w:rPr>
                <w:rFonts w:hint="eastAsia"/>
                <w:color w:val="auto"/>
              </w:rPr>
            </w:pPr>
          </w:p>
        </w:tc>
        <w:tc>
          <w:tcPr>
            <w:tcW w:w="734" w:type="pct"/>
            <w:tcBorders>
              <w:tl2br w:val="nil"/>
              <w:tr2bl w:val="nil"/>
            </w:tcBorders>
            <w:vAlign w:val="center"/>
          </w:tcPr>
          <w:p>
            <w:pPr>
              <w:pStyle w:val="36"/>
              <w:bidi w:val="0"/>
              <w:rPr>
                <w:rFonts w:hint="eastAsia"/>
                <w:color w:val="auto"/>
              </w:rPr>
            </w:pPr>
            <w:r>
              <w:rPr>
                <w:color w:val="auto"/>
              </w:rPr>
              <w:t>生活垃圾</w:t>
            </w:r>
          </w:p>
        </w:tc>
        <w:tc>
          <w:tcPr>
            <w:tcW w:w="712" w:type="pct"/>
            <w:tcBorders>
              <w:tl2br w:val="nil"/>
              <w:tr2bl w:val="nil"/>
            </w:tcBorders>
            <w:vAlign w:val="center"/>
          </w:tcPr>
          <w:p>
            <w:pPr>
              <w:pStyle w:val="36"/>
              <w:bidi w:val="0"/>
              <w:rPr>
                <w:rFonts w:hint="eastAsia"/>
                <w:color w:val="auto"/>
              </w:rPr>
            </w:pPr>
            <w:r>
              <w:rPr>
                <w:color w:val="auto"/>
              </w:rPr>
              <w:t>生活垃圾</w:t>
            </w:r>
          </w:p>
        </w:tc>
        <w:tc>
          <w:tcPr>
            <w:tcW w:w="1137" w:type="pct"/>
            <w:tcBorders>
              <w:tl2br w:val="nil"/>
              <w:tr2bl w:val="nil"/>
            </w:tcBorders>
            <w:vAlign w:val="center"/>
          </w:tcPr>
          <w:p>
            <w:pPr>
              <w:pStyle w:val="36"/>
              <w:bidi w:val="0"/>
              <w:rPr>
                <w:rFonts w:hint="eastAsia"/>
                <w:color w:val="auto"/>
              </w:rPr>
            </w:pPr>
            <w:r>
              <w:rPr>
                <w:rFonts w:hint="default"/>
                <w:color w:val="auto"/>
              </w:rPr>
              <w:t>收集后由环卫部门清运处理</w:t>
            </w:r>
          </w:p>
        </w:tc>
        <w:tc>
          <w:tcPr>
            <w:tcW w:w="1842" w:type="pct"/>
            <w:tcBorders>
              <w:tl2br w:val="nil"/>
              <w:tr2bl w:val="nil"/>
            </w:tcBorders>
            <w:vAlign w:val="center"/>
          </w:tcPr>
          <w:p>
            <w:pPr>
              <w:pStyle w:val="36"/>
              <w:bidi w:val="0"/>
              <w:rPr>
                <w:rFonts w:hint="eastAsia"/>
                <w:color w:val="auto"/>
              </w:rPr>
            </w:pPr>
            <w:r>
              <w:rPr>
                <w:rFonts w:hint="default"/>
                <w:color w:val="auto"/>
              </w:rPr>
              <w:t>验收措施落实情况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tcBorders>
              <w:tl2br w:val="nil"/>
              <w:tr2bl w:val="nil"/>
            </w:tcBorders>
            <w:vAlign w:val="center"/>
          </w:tcPr>
          <w:p>
            <w:pPr>
              <w:pStyle w:val="36"/>
              <w:rPr>
                <w:rFonts w:cs="Times New Roman"/>
                <w:color w:val="auto"/>
              </w:rPr>
            </w:pPr>
            <w:r>
              <w:rPr>
                <w:rFonts w:cs="Times New Roman"/>
                <w:color w:val="auto"/>
              </w:rPr>
              <w:t>土壤及地下水污染防治措施</w:t>
            </w:r>
          </w:p>
        </w:tc>
        <w:tc>
          <w:tcPr>
            <w:tcW w:w="4426" w:type="pct"/>
            <w:gridSpan w:val="4"/>
            <w:tcBorders>
              <w:tl2br w:val="nil"/>
              <w:tr2bl w:val="nil"/>
            </w:tcBorders>
            <w:vAlign w:val="center"/>
          </w:tcPr>
          <w:p>
            <w:pPr>
              <w:pStyle w:val="36"/>
              <w:bidi w:val="0"/>
              <w:rPr>
                <w:color w:val="auto"/>
              </w:rPr>
            </w:pPr>
            <w:r>
              <w:rPr>
                <w:rFonts w:hint="eastAsia"/>
                <w:color w:val="auto"/>
              </w:rPr>
              <w:t>源头控制、分区防渗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tcBorders>
              <w:tl2br w:val="nil"/>
              <w:tr2bl w:val="nil"/>
            </w:tcBorders>
            <w:vAlign w:val="center"/>
          </w:tcPr>
          <w:p>
            <w:pPr>
              <w:pStyle w:val="36"/>
              <w:rPr>
                <w:rFonts w:cs="Times New Roman"/>
                <w:color w:val="auto"/>
              </w:rPr>
            </w:pPr>
            <w:r>
              <w:rPr>
                <w:rFonts w:cs="Times New Roman"/>
                <w:color w:val="auto"/>
              </w:rPr>
              <w:t>生态保护措施</w:t>
            </w:r>
          </w:p>
        </w:tc>
        <w:tc>
          <w:tcPr>
            <w:tcW w:w="4426" w:type="pct"/>
            <w:gridSpan w:val="4"/>
            <w:tcBorders>
              <w:tl2br w:val="nil"/>
              <w:tr2bl w:val="nil"/>
            </w:tcBorders>
            <w:vAlign w:val="center"/>
          </w:tcPr>
          <w:p>
            <w:pPr>
              <w:pStyle w:val="36"/>
              <w:bidi w:val="0"/>
              <w:rPr>
                <w:color w:val="auto"/>
              </w:rPr>
            </w:pPr>
            <w:r>
              <w:rPr>
                <w:rFonts w:hint="eastAsia"/>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tcBorders>
              <w:tl2br w:val="nil"/>
              <w:tr2bl w:val="nil"/>
            </w:tcBorders>
            <w:vAlign w:val="center"/>
          </w:tcPr>
          <w:p>
            <w:pPr>
              <w:pStyle w:val="36"/>
              <w:rPr>
                <w:rFonts w:cs="Times New Roman"/>
                <w:color w:val="auto"/>
                <w:spacing w:val="-8"/>
              </w:rPr>
            </w:pPr>
            <w:r>
              <w:rPr>
                <w:rFonts w:cs="Times New Roman"/>
                <w:color w:val="auto"/>
                <w:spacing w:val="-8"/>
              </w:rPr>
              <w:t>环境风险</w:t>
            </w:r>
          </w:p>
          <w:p>
            <w:pPr>
              <w:pStyle w:val="36"/>
              <w:rPr>
                <w:rFonts w:cs="Times New Roman"/>
                <w:color w:val="auto"/>
                <w:spacing w:val="-8"/>
              </w:rPr>
            </w:pPr>
            <w:r>
              <w:rPr>
                <w:rFonts w:cs="Times New Roman"/>
                <w:color w:val="auto"/>
                <w:spacing w:val="-8"/>
              </w:rPr>
              <w:t>防范措施</w:t>
            </w:r>
          </w:p>
        </w:tc>
        <w:tc>
          <w:tcPr>
            <w:tcW w:w="4426" w:type="pct"/>
            <w:gridSpan w:val="4"/>
            <w:tcBorders>
              <w:tl2br w:val="nil"/>
              <w:tr2bl w:val="nil"/>
            </w:tcBorders>
            <w:vAlign w:val="center"/>
          </w:tcPr>
          <w:p>
            <w:pPr>
              <w:pStyle w:val="36"/>
              <w:numPr>
                <w:ilvl w:val="0"/>
                <w:numId w:val="0"/>
              </w:numPr>
              <w:bidi w:val="0"/>
              <w:ind w:firstLine="0" w:firstLineChars="0"/>
              <w:jc w:val="left"/>
              <w:rPr>
                <w:rFonts w:hint="eastAsia"/>
                <w:color w:val="auto"/>
              </w:rPr>
            </w:pPr>
            <w:r>
              <w:rPr>
                <w:rFonts w:hint="eastAsia" w:ascii="Times New Roman" w:hAnsi="Times New Roman" w:eastAsia="宋体" w:cs="宋体"/>
                <w:color w:val="auto"/>
                <w:sz w:val="21"/>
                <w:szCs w:val="21"/>
                <w:lang w:val="en-US" w:eastAsia="zh-CN" w:bidi="ar-SA"/>
              </w:rPr>
              <w:t>2、</w:t>
            </w:r>
            <w:r>
              <w:rPr>
                <w:rFonts w:hint="default" w:ascii="Times New Roman" w:hAnsi="Times New Roman" w:eastAsia="宋体" w:cs="Times New Roman"/>
                <w:color w:val="auto"/>
                <w:sz w:val="21"/>
                <w:szCs w:val="21"/>
                <w:lang w:val="en-US" w:eastAsia="zh-CN" w:bidi="ar"/>
              </w:rPr>
              <w:t>1#厂房</w:t>
            </w:r>
            <w:r>
              <w:rPr>
                <w:rFonts w:hint="eastAsia"/>
                <w:color w:val="auto"/>
              </w:rPr>
              <w:t>辅料仓库、拉丝液循环池、危险废物贮存库按要求进行重点防渗，</w:t>
            </w:r>
            <w:r>
              <w:rPr>
                <w:color w:val="auto"/>
              </w:rPr>
              <w:t>液态</w:t>
            </w:r>
            <w:r>
              <w:rPr>
                <w:rFonts w:hint="eastAsia"/>
                <w:color w:val="auto"/>
              </w:rPr>
              <w:t>物料（</w:t>
            </w:r>
            <w:r>
              <w:rPr>
                <w:color w:val="auto"/>
              </w:rPr>
              <w:t>含液态危废</w:t>
            </w:r>
            <w:r>
              <w:rPr>
                <w:rFonts w:hint="eastAsia"/>
                <w:color w:val="auto"/>
              </w:rPr>
              <w:t>）</w:t>
            </w:r>
            <w:r>
              <w:rPr>
                <w:color w:val="auto"/>
              </w:rPr>
              <w:t>底部</w:t>
            </w:r>
            <w:r>
              <w:rPr>
                <w:rFonts w:hint="eastAsia"/>
                <w:color w:val="auto"/>
              </w:rPr>
              <w:t>防渗</w:t>
            </w:r>
            <w:r>
              <w:rPr>
                <w:color w:val="auto"/>
              </w:rPr>
              <w:t>托盘</w:t>
            </w:r>
            <w:r>
              <w:rPr>
                <w:rFonts w:hint="eastAsia"/>
                <w:color w:val="auto"/>
              </w:rPr>
              <w:t>或液体泄漏收集装置</w:t>
            </w:r>
            <w:r>
              <w:rPr>
                <w:rFonts w:hint="eastAsia"/>
                <w:color w:val="auto"/>
                <w:lang w:eastAsia="zh-CN"/>
              </w:rPr>
              <w:t>。</w:t>
            </w:r>
          </w:p>
          <w:p>
            <w:pPr>
              <w:pStyle w:val="36"/>
              <w:numPr>
                <w:ilvl w:val="0"/>
                <w:numId w:val="0"/>
              </w:numPr>
              <w:bidi w:val="0"/>
              <w:ind w:firstLine="0" w:firstLineChars="0"/>
              <w:jc w:val="left"/>
              <w:rPr>
                <w:rFonts w:hint="eastAsia"/>
                <w:color w:val="auto"/>
              </w:rPr>
            </w:pPr>
            <w:r>
              <w:rPr>
                <w:rFonts w:hint="eastAsia" w:ascii="Times New Roman" w:hAnsi="Times New Roman" w:eastAsia="宋体" w:cs="宋体"/>
                <w:color w:val="auto"/>
                <w:sz w:val="21"/>
                <w:szCs w:val="21"/>
                <w:lang w:val="en-US" w:eastAsia="zh-CN" w:bidi="ar-SA"/>
              </w:rPr>
              <w:t>2、</w:t>
            </w:r>
            <w:r>
              <w:rPr>
                <w:rFonts w:hint="eastAsia"/>
                <w:color w:val="auto"/>
              </w:rPr>
              <w:t>定期检查容器及储存装置，发现破损及时处理</w:t>
            </w:r>
            <w:r>
              <w:rPr>
                <w:rFonts w:hint="eastAsia"/>
                <w:color w:val="auto"/>
                <w:lang w:eastAsia="zh-CN"/>
              </w:rPr>
              <w:t>。</w:t>
            </w:r>
          </w:p>
          <w:p>
            <w:pPr>
              <w:pStyle w:val="36"/>
              <w:numPr>
                <w:ilvl w:val="0"/>
                <w:numId w:val="0"/>
              </w:numPr>
              <w:bidi w:val="0"/>
              <w:ind w:firstLine="0" w:firstLineChars="0"/>
              <w:jc w:val="left"/>
              <w:rPr>
                <w:color w:val="auto"/>
              </w:rPr>
            </w:pPr>
            <w:r>
              <w:rPr>
                <w:rFonts w:ascii="Times New Roman" w:hAnsi="Times New Roman" w:eastAsia="宋体" w:cs="宋体"/>
                <w:color w:val="auto"/>
                <w:sz w:val="21"/>
                <w:szCs w:val="21"/>
                <w:lang w:val="en-US" w:eastAsia="zh-CN" w:bidi="ar-SA"/>
              </w:rPr>
              <w:t>3、</w:t>
            </w:r>
            <w:r>
              <w:rPr>
                <w:rFonts w:hint="eastAsia"/>
                <w:color w:val="auto"/>
                <w:lang w:val="en-US" w:eastAsia="zh-CN"/>
              </w:rPr>
              <w:t>做好火灾风险防范措施。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5" w:type="dxa"/>
            <w:bottom w:w="0" w:type="dxa"/>
            <w:right w:w="45" w:type="dxa"/>
          </w:tblCellMar>
        </w:tblPrEx>
        <w:trPr>
          <w:trHeight w:val="340" w:hRule="atLeast"/>
          <w:jc w:val="center"/>
        </w:trPr>
        <w:tc>
          <w:tcPr>
            <w:tcW w:w="573" w:type="pct"/>
            <w:tcBorders>
              <w:tl2br w:val="nil"/>
              <w:tr2bl w:val="nil"/>
            </w:tcBorders>
            <w:vAlign w:val="center"/>
          </w:tcPr>
          <w:p>
            <w:pPr>
              <w:pStyle w:val="36"/>
              <w:rPr>
                <w:rFonts w:cs="Times New Roman"/>
                <w:color w:val="auto"/>
                <w:spacing w:val="-8"/>
              </w:rPr>
            </w:pPr>
            <w:r>
              <w:rPr>
                <w:rFonts w:cs="Times New Roman"/>
                <w:color w:val="auto"/>
                <w:spacing w:val="-8"/>
              </w:rPr>
              <w:t>其他环境管理要求</w:t>
            </w:r>
          </w:p>
        </w:tc>
        <w:tc>
          <w:tcPr>
            <w:tcW w:w="4426" w:type="pct"/>
            <w:gridSpan w:val="4"/>
            <w:tcBorders>
              <w:tl2br w:val="nil"/>
              <w:tr2bl w:val="nil"/>
            </w:tcBorders>
            <w:vAlign w:val="center"/>
          </w:tcPr>
          <w:p>
            <w:pPr>
              <w:pStyle w:val="36"/>
              <w:jc w:val="left"/>
              <w:rPr>
                <w:rFonts w:cs="Times New Roman"/>
                <w:color w:val="auto"/>
              </w:rPr>
            </w:pPr>
            <w:r>
              <w:rPr>
                <w:rFonts w:cs="Times New Roman"/>
                <w:color w:val="auto"/>
              </w:rPr>
              <w:t>1、建立日常环境管理制度和环境管理工作计划。</w:t>
            </w:r>
          </w:p>
          <w:p>
            <w:pPr>
              <w:pStyle w:val="36"/>
              <w:jc w:val="left"/>
              <w:rPr>
                <w:rFonts w:cs="Times New Roman"/>
                <w:color w:val="auto"/>
              </w:rPr>
            </w:pPr>
            <w:r>
              <w:rPr>
                <w:rFonts w:cs="Times New Roman"/>
                <w:color w:val="auto"/>
              </w:rPr>
              <w:t>2、加强环保设施运行管理维护，建立环保设施运行台账，确保环保设施正常运行及污染物稳定达标排放。</w:t>
            </w:r>
          </w:p>
          <w:p>
            <w:pPr>
              <w:pStyle w:val="36"/>
              <w:jc w:val="left"/>
              <w:rPr>
                <w:rFonts w:cs="Times New Roman"/>
                <w:color w:val="auto"/>
              </w:rPr>
            </w:pPr>
            <w:r>
              <w:rPr>
                <w:rFonts w:cs="Times New Roman"/>
                <w:color w:val="auto"/>
              </w:rPr>
              <w:t>3、落实</w:t>
            </w:r>
            <w:r>
              <w:rPr>
                <w:rFonts w:hint="eastAsia" w:cs="Times New Roman"/>
                <w:color w:val="auto"/>
              </w:rPr>
              <w:t>“</w:t>
            </w:r>
            <w:r>
              <w:rPr>
                <w:rFonts w:cs="Times New Roman"/>
                <w:color w:val="auto"/>
              </w:rPr>
              <w:t>三同时</w:t>
            </w:r>
            <w:r>
              <w:rPr>
                <w:rFonts w:hint="eastAsia" w:cs="Times New Roman"/>
                <w:color w:val="auto"/>
              </w:rPr>
              <w:t>”</w:t>
            </w:r>
            <w:r>
              <w:rPr>
                <w:rFonts w:cs="Times New Roman"/>
                <w:color w:val="auto"/>
              </w:rPr>
              <w:t>制度，完成项目竣工验收。</w:t>
            </w:r>
          </w:p>
          <w:p>
            <w:pPr>
              <w:pStyle w:val="36"/>
              <w:jc w:val="left"/>
              <w:rPr>
                <w:rFonts w:cs="Times New Roman"/>
                <w:color w:val="auto"/>
              </w:rPr>
            </w:pPr>
            <w:r>
              <w:rPr>
                <w:rFonts w:cs="Times New Roman"/>
                <w:color w:val="auto"/>
              </w:rPr>
              <w:t>4、排污许可证管理要求：</w:t>
            </w:r>
            <w:r>
              <w:rPr>
                <w:rFonts w:hint="eastAsia" w:cs="Times New Roman"/>
                <w:color w:val="auto"/>
              </w:rPr>
              <w:t>本项目行业类别为“C3251铜压延加工”，对照《固定污染源排污许可分类管理名录》（2019年版），本项目属于“二十七、有色金属冶炼和压延加工业32”中“79.有色金属压延加工325”中“有轧制或者退火工序的”，属于排污许可中“简化管理”的行业，应根据要求，在调试前取得排污许可证。</w:t>
            </w:r>
          </w:p>
          <w:p>
            <w:pPr>
              <w:pStyle w:val="36"/>
              <w:rPr>
                <w:rStyle w:val="58"/>
                <w:color w:val="auto"/>
              </w:rPr>
            </w:pPr>
            <w:r>
              <w:rPr>
                <w:rFonts w:hint="eastAsia" w:cs="Times New Roman"/>
                <w:color w:val="auto"/>
              </w:rPr>
              <w:br w:type="textWrapping"/>
            </w:r>
            <w:r>
              <w:rPr>
                <w:rStyle w:val="58"/>
                <w:color w:val="auto"/>
              </w:rPr>
              <w:t>表</w:t>
            </w:r>
            <w:r>
              <w:rPr>
                <w:rStyle w:val="58"/>
                <w:rFonts w:hint="eastAsia"/>
                <w:color w:val="auto"/>
              </w:rPr>
              <w:t>5-1《固定污染源排污许可分类管理名录》（2019年版）</w:t>
            </w:r>
            <w:r>
              <w:rPr>
                <w:rStyle w:val="58"/>
                <w:color w:val="auto"/>
              </w:rPr>
              <w:t>（摘录）</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8"/>
              <w:gridCol w:w="2225"/>
              <w:gridCol w:w="1614"/>
              <w:gridCol w:w="2410"/>
              <w:gridCol w:w="15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394" w:type="pct"/>
                  <w:tcBorders>
                    <w:tl2br w:val="nil"/>
                    <w:tr2bl w:val="nil"/>
                  </w:tcBorders>
                  <w:vAlign w:val="center"/>
                </w:tcPr>
                <w:p>
                  <w:pPr>
                    <w:pStyle w:val="36"/>
                    <w:rPr>
                      <w:color w:val="auto"/>
                    </w:rPr>
                  </w:pPr>
                  <w:r>
                    <w:rPr>
                      <w:rFonts w:hint="eastAsia"/>
                      <w:color w:val="auto"/>
                    </w:rPr>
                    <w:t>序号</w:t>
                  </w:r>
                </w:p>
              </w:tc>
              <w:tc>
                <w:tcPr>
                  <w:tcW w:w="1312" w:type="pct"/>
                  <w:tcBorders>
                    <w:tl2br w:val="nil"/>
                    <w:tr2bl w:val="nil"/>
                  </w:tcBorders>
                  <w:vAlign w:val="center"/>
                </w:tcPr>
                <w:p>
                  <w:pPr>
                    <w:pStyle w:val="36"/>
                    <w:rPr>
                      <w:color w:val="auto"/>
                    </w:rPr>
                  </w:pPr>
                  <w:r>
                    <w:rPr>
                      <w:rFonts w:hint="eastAsia"/>
                      <w:color w:val="auto"/>
                    </w:rPr>
                    <w:t>行业类别</w:t>
                  </w:r>
                </w:p>
              </w:tc>
              <w:tc>
                <w:tcPr>
                  <w:tcW w:w="952" w:type="pct"/>
                  <w:tcBorders>
                    <w:tl2br w:val="nil"/>
                    <w:tr2bl w:val="nil"/>
                  </w:tcBorders>
                  <w:shd w:val="clear" w:color="auto" w:fill="FFFFFF"/>
                  <w:vAlign w:val="center"/>
                </w:tcPr>
                <w:p>
                  <w:pPr>
                    <w:pStyle w:val="36"/>
                    <w:rPr>
                      <w:color w:val="auto"/>
                    </w:rPr>
                  </w:pPr>
                  <w:r>
                    <w:rPr>
                      <w:color w:val="auto"/>
                    </w:rPr>
                    <w:t>简化管理</w:t>
                  </w:r>
                </w:p>
              </w:tc>
              <w:tc>
                <w:tcPr>
                  <w:tcW w:w="1421" w:type="pct"/>
                  <w:tcBorders>
                    <w:tl2br w:val="nil"/>
                    <w:tr2bl w:val="nil"/>
                  </w:tcBorders>
                  <w:shd w:val="clear" w:color="auto" w:fill="D8D8D8"/>
                  <w:vAlign w:val="center"/>
                </w:tcPr>
                <w:p>
                  <w:pPr>
                    <w:pStyle w:val="36"/>
                    <w:rPr>
                      <w:color w:val="auto"/>
                    </w:rPr>
                  </w:pPr>
                  <w:r>
                    <w:rPr>
                      <w:color w:val="auto"/>
                    </w:rPr>
                    <w:t>简化管理</w:t>
                  </w:r>
                </w:p>
              </w:tc>
              <w:tc>
                <w:tcPr>
                  <w:tcW w:w="919" w:type="pct"/>
                  <w:tcBorders>
                    <w:tl2br w:val="nil"/>
                    <w:tr2bl w:val="nil"/>
                  </w:tcBorders>
                  <w:vAlign w:val="center"/>
                </w:tcPr>
                <w:p>
                  <w:pPr>
                    <w:pStyle w:val="36"/>
                    <w:rPr>
                      <w:color w:val="auto"/>
                    </w:rPr>
                  </w:pPr>
                  <w:r>
                    <w:rPr>
                      <w:color w:val="auto"/>
                    </w:rPr>
                    <w:t>登记管理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5000" w:type="pct"/>
                  <w:gridSpan w:val="5"/>
                  <w:tcBorders>
                    <w:tl2br w:val="nil"/>
                    <w:tr2bl w:val="nil"/>
                  </w:tcBorders>
                  <w:vAlign w:val="center"/>
                </w:tcPr>
                <w:p>
                  <w:pPr>
                    <w:pStyle w:val="36"/>
                    <w:jc w:val="both"/>
                    <w:rPr>
                      <w:color w:val="auto"/>
                    </w:rPr>
                  </w:pPr>
                  <w:r>
                    <w:rPr>
                      <w:rFonts w:hint="eastAsia"/>
                      <w:color w:val="auto"/>
                    </w:rPr>
                    <w:t>二十七、</w:t>
                  </w:r>
                  <w:bookmarkStart w:id="102" w:name="OLE_LINK11"/>
                  <w:r>
                    <w:rPr>
                      <w:rFonts w:hint="eastAsia"/>
                      <w:color w:val="auto"/>
                    </w:rPr>
                    <w:t>有色金属冶炼和压延</w:t>
                  </w:r>
                  <w:bookmarkEnd w:id="102"/>
                  <w:r>
                    <w:rPr>
                      <w:rFonts w:hint="eastAsia"/>
                      <w:color w:val="auto"/>
                    </w:rPr>
                    <w:t>加工业 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394" w:type="pct"/>
                  <w:tcBorders>
                    <w:tl2br w:val="nil"/>
                    <w:tr2bl w:val="nil"/>
                  </w:tcBorders>
                  <w:vAlign w:val="center"/>
                </w:tcPr>
                <w:p>
                  <w:pPr>
                    <w:pStyle w:val="36"/>
                    <w:rPr>
                      <w:color w:val="auto"/>
                    </w:rPr>
                  </w:pPr>
                  <w:r>
                    <w:rPr>
                      <w:rFonts w:hint="eastAsia"/>
                      <w:color w:val="auto"/>
                    </w:rPr>
                    <w:t>79</w:t>
                  </w:r>
                </w:p>
              </w:tc>
              <w:tc>
                <w:tcPr>
                  <w:tcW w:w="1312" w:type="pct"/>
                  <w:tcBorders>
                    <w:tl2br w:val="nil"/>
                    <w:tr2bl w:val="nil"/>
                  </w:tcBorders>
                  <w:vAlign w:val="center"/>
                </w:tcPr>
                <w:p>
                  <w:pPr>
                    <w:pStyle w:val="36"/>
                    <w:rPr>
                      <w:color w:val="auto"/>
                    </w:rPr>
                  </w:pPr>
                  <w:r>
                    <w:rPr>
                      <w:rFonts w:hint="eastAsia"/>
                      <w:color w:val="auto"/>
                    </w:rPr>
                    <w:t>有色金属压延加工 325</w:t>
                  </w:r>
                </w:p>
              </w:tc>
              <w:tc>
                <w:tcPr>
                  <w:tcW w:w="952" w:type="pct"/>
                  <w:tcBorders>
                    <w:tl2br w:val="nil"/>
                    <w:tr2bl w:val="nil"/>
                  </w:tcBorders>
                  <w:shd w:val="clear" w:color="auto" w:fill="FFFFFF"/>
                  <w:vAlign w:val="center"/>
                </w:tcPr>
                <w:p>
                  <w:pPr>
                    <w:pStyle w:val="36"/>
                    <w:rPr>
                      <w:color w:val="auto"/>
                    </w:rPr>
                  </w:pPr>
                  <w:r>
                    <w:rPr>
                      <w:rFonts w:hint="eastAsia"/>
                      <w:color w:val="auto"/>
                    </w:rPr>
                    <w:t>/</w:t>
                  </w:r>
                </w:p>
              </w:tc>
              <w:tc>
                <w:tcPr>
                  <w:tcW w:w="1421" w:type="pct"/>
                  <w:tcBorders>
                    <w:tl2br w:val="nil"/>
                    <w:tr2bl w:val="nil"/>
                  </w:tcBorders>
                  <w:shd w:val="clear" w:color="auto" w:fill="D8D8D8"/>
                  <w:vAlign w:val="center"/>
                </w:tcPr>
                <w:p>
                  <w:pPr>
                    <w:pStyle w:val="36"/>
                    <w:rPr>
                      <w:color w:val="auto"/>
                    </w:rPr>
                  </w:pPr>
                  <w:r>
                    <w:rPr>
                      <w:rFonts w:hint="eastAsia"/>
                      <w:color w:val="auto"/>
                    </w:rPr>
                    <w:t>有轧制或者退火工序的</w:t>
                  </w:r>
                </w:p>
              </w:tc>
              <w:tc>
                <w:tcPr>
                  <w:tcW w:w="919" w:type="pct"/>
                  <w:tcBorders>
                    <w:tl2br w:val="nil"/>
                    <w:tr2bl w:val="nil"/>
                  </w:tcBorders>
                  <w:vAlign w:val="center"/>
                </w:tcPr>
                <w:p>
                  <w:pPr>
                    <w:pStyle w:val="36"/>
                    <w:rPr>
                      <w:color w:val="auto"/>
                    </w:rPr>
                  </w:pPr>
                  <w:r>
                    <w:rPr>
                      <w:color w:val="auto"/>
                    </w:rPr>
                    <w:t>其他</w:t>
                  </w:r>
                </w:p>
              </w:tc>
            </w:tr>
          </w:tbl>
          <w:p>
            <w:pPr>
              <w:pStyle w:val="36"/>
              <w:jc w:val="left"/>
              <w:rPr>
                <w:rFonts w:cs="Times New Roman"/>
                <w:color w:val="auto"/>
              </w:rPr>
            </w:pPr>
            <w:r>
              <w:rPr>
                <w:rFonts w:cs="Times New Roman"/>
                <w:color w:val="auto"/>
              </w:rPr>
              <w:t>5、排污口规范化</w:t>
            </w:r>
          </w:p>
          <w:p>
            <w:pPr>
              <w:pStyle w:val="36"/>
              <w:ind w:firstLine="420" w:firstLineChars="200"/>
              <w:jc w:val="left"/>
              <w:rPr>
                <w:rFonts w:cs="Times New Roman"/>
                <w:color w:val="auto"/>
              </w:rPr>
            </w:pPr>
            <w:r>
              <w:rPr>
                <w:rFonts w:hint="eastAsia" w:cs="Times New Roman"/>
                <w:color w:val="auto"/>
              </w:rPr>
              <w:t>根据国家标准《环境保护图形标志》（</w:t>
            </w:r>
            <w:r>
              <w:rPr>
                <w:rFonts w:cs="Times New Roman"/>
                <w:color w:val="auto"/>
              </w:rPr>
              <w:t>GB15562.2-1995</w:t>
            </w:r>
            <w:r>
              <w:rPr>
                <w:rFonts w:hint="eastAsia" w:cs="Times New Roman"/>
                <w:color w:val="auto"/>
              </w:rPr>
              <w:t>）、原</w:t>
            </w:r>
            <w:r>
              <w:rPr>
                <w:rFonts w:hint="eastAsia" w:cs="Times New Roman"/>
                <w:color w:val="auto"/>
                <w:lang w:eastAsia="zh-CN"/>
              </w:rPr>
              <w:t>生态环境部</w:t>
            </w:r>
            <w:r>
              <w:rPr>
                <w:rFonts w:hint="eastAsia" w:cs="Times New Roman"/>
                <w:color w:val="auto"/>
              </w:rPr>
              <w:t>《排污口规范化整治要求（试行）》、</w:t>
            </w:r>
            <w:r>
              <w:rPr>
                <w:rFonts w:cs="Times New Roman"/>
                <w:color w:val="auto"/>
              </w:rPr>
              <w:t>《危险废物识别标志设置技术规范》（HJ1276—2022）</w:t>
            </w:r>
            <w:r>
              <w:rPr>
                <w:rFonts w:hint="eastAsia" w:cs="Times New Roman"/>
                <w:color w:val="auto"/>
              </w:rPr>
              <w:t>等技术要求，企业所有排放口（包括水、气、声、固体废物）必须按照“便于采用、便于计量检测、便于日常现场监督检查”的原则和规范化要求，</w:t>
            </w:r>
            <w:r>
              <w:rPr>
                <w:rFonts w:cs="Times New Roman"/>
                <w:color w:val="auto"/>
              </w:rPr>
              <w:t>设置与之相适应的环境保护图形标志牌，见</w:t>
            </w:r>
            <w:r>
              <w:rPr>
                <w:rFonts w:hint="eastAsia" w:cs="Times New Roman"/>
                <w:color w:val="auto"/>
              </w:rPr>
              <w:t>下</w:t>
            </w:r>
            <w:r>
              <w:rPr>
                <w:rFonts w:cs="Times New Roman"/>
                <w:color w:val="auto"/>
              </w:rPr>
              <w:t>表5-</w:t>
            </w:r>
            <w:r>
              <w:rPr>
                <w:rFonts w:hint="eastAsia" w:cs="Times New Roman"/>
                <w:color w:val="auto"/>
              </w:rPr>
              <w:t>2</w:t>
            </w:r>
            <w:r>
              <w:rPr>
                <w:rFonts w:cs="Times New Roman"/>
                <w:color w:val="auto"/>
              </w:rPr>
              <w:t>。一般性污染物排放口</w:t>
            </w:r>
            <w:r>
              <w:rPr>
                <w:rFonts w:hint="eastAsia" w:cs="Times New Roman"/>
                <w:color w:val="auto"/>
              </w:rPr>
              <w:t>（</w:t>
            </w:r>
            <w:r>
              <w:rPr>
                <w:rFonts w:cs="Times New Roman"/>
                <w:color w:val="auto"/>
              </w:rPr>
              <w:t>源</w:t>
            </w:r>
            <w:r>
              <w:rPr>
                <w:rFonts w:hint="eastAsia" w:cs="Times New Roman"/>
                <w:color w:val="auto"/>
              </w:rPr>
              <w:t>）</w:t>
            </w:r>
            <w:r>
              <w:rPr>
                <w:rFonts w:cs="Times New Roman"/>
                <w:color w:val="auto"/>
              </w:rPr>
              <w:t>可设置提示性环境保护图形标志牌，排污口可根据情况分别选择设置立式或平面固定式标志牌。要求各排污口（源）提示标志形状采用正方形边框，背景颜色用绿色，图形颜色用白色。标志牌应设在与之功能相应的醒目处，并保持清晰、完整。</w:t>
            </w:r>
          </w:p>
          <w:p>
            <w:pPr>
              <w:pStyle w:val="37"/>
              <w:ind w:firstLine="420"/>
              <w:rPr>
                <w:rFonts w:cs="Times New Roman"/>
                <w:color w:val="auto"/>
                <w:sz w:val="21"/>
                <w:szCs w:val="21"/>
              </w:rPr>
            </w:pPr>
            <w:r>
              <w:rPr>
                <w:rFonts w:cs="Times New Roman"/>
                <w:color w:val="auto"/>
                <w:sz w:val="21"/>
                <w:szCs w:val="21"/>
              </w:rPr>
              <w:t>表5-</w:t>
            </w:r>
            <w:r>
              <w:rPr>
                <w:rFonts w:hint="eastAsia" w:cs="Times New Roman"/>
                <w:color w:val="auto"/>
                <w:sz w:val="21"/>
                <w:szCs w:val="21"/>
                <w:lang w:val="en-US"/>
              </w:rPr>
              <w:t>2</w:t>
            </w:r>
            <w:r>
              <w:rPr>
                <w:rFonts w:cs="Times New Roman"/>
                <w:color w:val="auto"/>
                <w:sz w:val="21"/>
                <w:szCs w:val="21"/>
              </w:rPr>
              <w:t>各排污口（源）标志牌设置示意图</w:t>
            </w:r>
          </w:p>
          <w:tbl>
            <w:tblPr>
              <w:tblStyle w:val="2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3"/>
              <w:gridCol w:w="1506"/>
              <w:gridCol w:w="1638"/>
              <w:gridCol w:w="1638"/>
              <w:gridCol w:w="1496"/>
              <w:gridCol w:w="15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10" w:type="dxa"/>
                  <w:tcBorders>
                    <w:top w:val="single" w:color="auto" w:sz="12" w:space="0"/>
                    <w:left w:val="single" w:color="auto" w:sz="12" w:space="0"/>
                    <w:bottom w:val="single" w:color="auto" w:sz="4" w:space="0"/>
                    <w:right w:val="single" w:color="auto" w:sz="4" w:space="0"/>
                  </w:tcBorders>
                  <w:vAlign w:val="center"/>
                </w:tcPr>
                <w:p>
                  <w:pPr>
                    <w:pStyle w:val="36"/>
                    <w:rPr>
                      <w:rFonts w:cs="Times New Roman"/>
                      <w:color w:val="auto"/>
                    </w:rPr>
                  </w:pPr>
                  <w:r>
                    <w:rPr>
                      <w:rFonts w:cs="Times New Roman"/>
                      <w:color w:val="auto"/>
                    </w:rPr>
                    <w:t>名称</w:t>
                  </w:r>
                </w:p>
              </w:tc>
              <w:tc>
                <w:tcPr>
                  <w:tcW w:w="1344" w:type="dxa"/>
                  <w:tcBorders>
                    <w:top w:val="single" w:color="auto" w:sz="12" w:space="0"/>
                    <w:left w:val="nil"/>
                    <w:bottom w:val="single" w:color="auto" w:sz="4" w:space="0"/>
                    <w:right w:val="single" w:color="auto" w:sz="4" w:space="0"/>
                  </w:tcBorders>
                  <w:vAlign w:val="center"/>
                </w:tcPr>
                <w:p>
                  <w:pPr>
                    <w:pStyle w:val="36"/>
                    <w:rPr>
                      <w:rFonts w:cs="Times New Roman"/>
                      <w:color w:val="auto"/>
                    </w:rPr>
                  </w:pPr>
                  <w:r>
                    <w:rPr>
                      <w:rFonts w:cs="Times New Roman"/>
                      <w:color w:val="auto"/>
                    </w:rPr>
                    <w:t>废水排放口</w:t>
                  </w:r>
                </w:p>
              </w:tc>
              <w:tc>
                <w:tcPr>
                  <w:tcW w:w="1462" w:type="dxa"/>
                  <w:tcBorders>
                    <w:top w:val="single" w:color="auto" w:sz="12" w:space="0"/>
                    <w:left w:val="nil"/>
                    <w:bottom w:val="single" w:color="auto" w:sz="4" w:space="0"/>
                    <w:right w:val="single" w:color="auto" w:sz="4" w:space="0"/>
                  </w:tcBorders>
                  <w:vAlign w:val="center"/>
                </w:tcPr>
                <w:p>
                  <w:pPr>
                    <w:pStyle w:val="36"/>
                    <w:rPr>
                      <w:rFonts w:cs="Times New Roman"/>
                      <w:color w:val="auto"/>
                    </w:rPr>
                  </w:pPr>
                  <w:r>
                    <w:rPr>
                      <w:rFonts w:cs="Times New Roman"/>
                      <w:color w:val="auto"/>
                    </w:rPr>
                    <w:t>废气排放口</w:t>
                  </w:r>
                </w:p>
              </w:tc>
              <w:tc>
                <w:tcPr>
                  <w:tcW w:w="1462" w:type="dxa"/>
                  <w:tcBorders>
                    <w:top w:val="single" w:color="auto" w:sz="12" w:space="0"/>
                    <w:left w:val="nil"/>
                    <w:bottom w:val="single" w:color="auto" w:sz="4" w:space="0"/>
                    <w:right w:val="single" w:color="auto" w:sz="4" w:space="0"/>
                  </w:tcBorders>
                  <w:vAlign w:val="center"/>
                </w:tcPr>
                <w:p>
                  <w:pPr>
                    <w:pStyle w:val="36"/>
                    <w:rPr>
                      <w:rFonts w:cs="Times New Roman"/>
                      <w:color w:val="auto"/>
                    </w:rPr>
                  </w:pPr>
                  <w:r>
                    <w:rPr>
                      <w:rFonts w:cs="Times New Roman"/>
                      <w:color w:val="auto"/>
                    </w:rPr>
                    <w:t>噪声排放源</w:t>
                  </w:r>
                </w:p>
              </w:tc>
              <w:tc>
                <w:tcPr>
                  <w:tcW w:w="1335" w:type="dxa"/>
                  <w:tcBorders>
                    <w:top w:val="single" w:color="auto" w:sz="12" w:space="0"/>
                    <w:left w:val="nil"/>
                    <w:bottom w:val="single" w:color="auto" w:sz="4" w:space="0"/>
                    <w:right w:val="single" w:color="auto" w:sz="4" w:space="0"/>
                  </w:tcBorders>
                  <w:vAlign w:val="center"/>
                </w:tcPr>
                <w:p>
                  <w:pPr>
                    <w:pStyle w:val="36"/>
                    <w:rPr>
                      <w:rFonts w:cs="Times New Roman"/>
                      <w:color w:val="auto"/>
                    </w:rPr>
                  </w:pPr>
                  <w:r>
                    <w:rPr>
                      <w:rFonts w:cs="Times New Roman"/>
                      <w:color w:val="auto"/>
                    </w:rPr>
                    <w:t>一般固体废物</w:t>
                  </w:r>
                </w:p>
              </w:tc>
              <w:tc>
                <w:tcPr>
                  <w:tcW w:w="1352" w:type="dxa"/>
                  <w:tcBorders>
                    <w:top w:val="single" w:color="auto" w:sz="12" w:space="0"/>
                    <w:left w:val="nil"/>
                    <w:bottom w:val="single" w:color="auto" w:sz="4" w:space="0"/>
                    <w:right w:val="single" w:color="auto" w:sz="12" w:space="0"/>
                  </w:tcBorders>
                  <w:vAlign w:val="center"/>
                </w:tcPr>
                <w:p>
                  <w:pPr>
                    <w:pStyle w:val="36"/>
                    <w:rPr>
                      <w:rFonts w:cs="Times New Roman"/>
                      <w:color w:val="auto"/>
                    </w:rPr>
                  </w:pPr>
                  <w:r>
                    <w:rPr>
                      <w:rFonts w:cs="Times New Roman"/>
                      <w:color w:val="auto"/>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10" w:type="dxa"/>
                  <w:tcBorders>
                    <w:top w:val="single" w:color="auto" w:sz="4" w:space="0"/>
                    <w:left w:val="single" w:color="auto" w:sz="12" w:space="0"/>
                    <w:bottom w:val="single" w:color="auto" w:sz="4" w:space="0"/>
                    <w:right w:val="single" w:color="auto" w:sz="4" w:space="0"/>
                  </w:tcBorders>
                  <w:vAlign w:val="center"/>
                </w:tcPr>
                <w:p>
                  <w:pPr>
                    <w:pStyle w:val="36"/>
                    <w:rPr>
                      <w:rFonts w:cs="Times New Roman"/>
                      <w:color w:val="auto"/>
                    </w:rPr>
                  </w:pPr>
                  <w:r>
                    <w:rPr>
                      <w:rFonts w:cs="Times New Roman"/>
                      <w:color w:val="auto"/>
                    </w:rPr>
                    <w:t>提示</w:t>
                  </w:r>
                </w:p>
                <w:p>
                  <w:pPr>
                    <w:pStyle w:val="36"/>
                    <w:rPr>
                      <w:rFonts w:cs="Times New Roman"/>
                      <w:color w:val="auto"/>
                    </w:rPr>
                  </w:pPr>
                  <w:r>
                    <w:rPr>
                      <w:rFonts w:cs="Times New Roman"/>
                      <w:color w:val="auto"/>
                    </w:rPr>
                    <w:t>图形</w:t>
                  </w:r>
                </w:p>
                <w:p>
                  <w:pPr>
                    <w:pStyle w:val="36"/>
                    <w:rPr>
                      <w:rFonts w:cs="Times New Roman"/>
                      <w:color w:val="auto"/>
                    </w:rPr>
                  </w:pPr>
                  <w:r>
                    <w:rPr>
                      <w:rFonts w:cs="Times New Roman"/>
                      <w:color w:val="auto"/>
                    </w:rPr>
                    <w:t>符号</w:t>
                  </w:r>
                </w:p>
              </w:tc>
              <w:tc>
                <w:tcPr>
                  <w:tcW w:w="1344" w:type="dxa"/>
                  <w:tcBorders>
                    <w:top w:val="single" w:color="auto" w:sz="4" w:space="0"/>
                    <w:left w:val="nil"/>
                    <w:bottom w:val="single" w:color="auto" w:sz="4" w:space="0"/>
                    <w:right w:val="single" w:color="auto" w:sz="4" w:space="0"/>
                  </w:tcBorders>
                  <w:vAlign w:val="center"/>
                </w:tcPr>
                <w:p>
                  <w:pPr>
                    <w:pStyle w:val="36"/>
                    <w:rPr>
                      <w:rFonts w:cs="Times New Roman"/>
                      <w:color w:val="auto"/>
                    </w:rPr>
                  </w:pPr>
                  <w:r>
                    <w:rPr>
                      <w:rFonts w:cs="Times New Roman"/>
                      <w:color w:val="auto"/>
                    </w:rPr>
                    <w:fldChar w:fldCharType="begin"/>
                  </w:r>
                  <w:r>
                    <w:rPr>
                      <w:rFonts w:cs="Times New Roman"/>
                      <w:color w:val="auto"/>
                    </w:rPr>
                    <w:instrText xml:space="preserve"> INCLUDEPICTURE  "C:\\Users\\Admin\\AppData\\Local\\Temp\\ksohtml16752\\wps1.png" \* MERGEFORMATINET </w:instrText>
                  </w:r>
                  <w:r>
                    <w:rPr>
                      <w:rFonts w:cs="Times New Roman"/>
                      <w:color w:val="auto"/>
                    </w:rPr>
                    <w:fldChar w:fldCharType="separate"/>
                  </w:r>
                  <w:r>
                    <w:rPr>
                      <w:color w:val="auto"/>
                    </w:rPr>
                    <w:pict>
                      <v:shape id="_x0000_i1052" o:spt="75" type="#_x0000_t75" style="height:65.2pt;width:65.2pt;" filled="f" o:preferrelative="t" stroked="f" coordsize="21600,21600">
                        <v:path/>
                        <v:fill on="f" focussize="0,0"/>
                        <v:stroke on="f"/>
                        <v:imagedata r:id="rId50" o:title=""/>
                        <o:lock v:ext="edit" aspectratio="t"/>
                        <w10:wrap type="none"/>
                        <w10:anchorlock/>
                      </v:shape>
                    </w:pict>
                  </w:r>
                  <w:r>
                    <w:rPr>
                      <w:rFonts w:cs="Times New Roman"/>
                      <w:color w:val="auto"/>
                    </w:rPr>
                    <w:fldChar w:fldCharType="end"/>
                  </w:r>
                </w:p>
              </w:tc>
              <w:tc>
                <w:tcPr>
                  <w:tcW w:w="1462" w:type="dxa"/>
                  <w:tcBorders>
                    <w:top w:val="single" w:color="auto" w:sz="4" w:space="0"/>
                    <w:left w:val="nil"/>
                    <w:bottom w:val="single" w:color="auto" w:sz="4" w:space="0"/>
                    <w:right w:val="single" w:color="auto" w:sz="4" w:space="0"/>
                  </w:tcBorders>
                  <w:vAlign w:val="center"/>
                </w:tcPr>
                <w:p>
                  <w:pPr>
                    <w:pStyle w:val="36"/>
                    <w:rPr>
                      <w:rFonts w:cs="Times New Roman"/>
                      <w:color w:val="auto"/>
                    </w:rPr>
                  </w:pPr>
                  <w:r>
                    <w:rPr>
                      <w:color w:val="auto"/>
                    </w:rPr>
                    <w:pict>
                      <v:shape id="_x0000_i1053" o:spt="75" type="#_x0000_t75" style="height:65.2pt;width:65.2pt;" filled="f" o:preferrelative="t" stroked="f" coordsize="21600,21600">
                        <v:path/>
                        <v:fill on="f" focussize="0,0"/>
                        <v:stroke on="f"/>
                        <v:imagedata r:id="rId51" o:title=""/>
                        <o:lock v:ext="edit" aspectratio="t"/>
                        <w10:wrap type="none"/>
                        <w10:anchorlock/>
                      </v:shape>
                    </w:pict>
                  </w:r>
                </w:p>
              </w:tc>
              <w:tc>
                <w:tcPr>
                  <w:tcW w:w="1462" w:type="dxa"/>
                  <w:tcBorders>
                    <w:top w:val="single" w:color="auto" w:sz="4" w:space="0"/>
                    <w:left w:val="nil"/>
                    <w:bottom w:val="single" w:color="auto" w:sz="4" w:space="0"/>
                    <w:right w:val="single" w:color="auto" w:sz="4" w:space="0"/>
                  </w:tcBorders>
                  <w:vAlign w:val="center"/>
                </w:tcPr>
                <w:p>
                  <w:pPr>
                    <w:pStyle w:val="36"/>
                    <w:rPr>
                      <w:rFonts w:cs="Times New Roman"/>
                      <w:color w:val="auto"/>
                    </w:rPr>
                  </w:pPr>
                  <w:r>
                    <w:rPr>
                      <w:color w:val="auto"/>
                    </w:rPr>
                    <w:pict>
                      <v:shape id="_x0000_i1054" o:spt="75" type="#_x0000_t75" style="height:65.2pt;width:65.2pt;" filled="f" o:preferrelative="t" stroked="f" coordsize="21600,21600">
                        <v:path/>
                        <v:fill on="f" focussize="0,0"/>
                        <v:stroke on="f"/>
                        <v:imagedata r:id="rId52" o:title=""/>
                        <o:lock v:ext="edit" aspectratio="t"/>
                        <w10:wrap type="none"/>
                        <w10:anchorlock/>
                      </v:shape>
                    </w:pict>
                  </w:r>
                </w:p>
              </w:tc>
              <w:tc>
                <w:tcPr>
                  <w:tcW w:w="1335" w:type="dxa"/>
                  <w:tcBorders>
                    <w:top w:val="single" w:color="auto" w:sz="4" w:space="0"/>
                    <w:left w:val="nil"/>
                    <w:bottom w:val="single" w:color="auto" w:sz="4" w:space="0"/>
                    <w:right w:val="single" w:color="auto" w:sz="4" w:space="0"/>
                  </w:tcBorders>
                  <w:vAlign w:val="center"/>
                </w:tcPr>
                <w:p>
                  <w:pPr>
                    <w:pStyle w:val="36"/>
                    <w:rPr>
                      <w:rFonts w:cs="Times New Roman"/>
                      <w:color w:val="auto"/>
                    </w:rPr>
                  </w:pPr>
                  <w:r>
                    <w:rPr>
                      <w:color w:val="auto"/>
                    </w:rPr>
                    <w:pict>
                      <v:shape id="_x0000_i1055" o:spt="75" type="#_x0000_t75" style="height:65.2pt;width:65.2pt;" filled="f" o:preferrelative="t" stroked="f" coordsize="21600,21600">
                        <v:path/>
                        <v:fill on="f" focussize="0,0"/>
                        <v:stroke on="f"/>
                        <v:imagedata r:id="rId53" o:title=""/>
                        <o:lock v:ext="edit" aspectratio="t"/>
                        <w10:wrap type="none"/>
                        <w10:anchorlock/>
                      </v:shape>
                    </w:pict>
                  </w:r>
                </w:p>
              </w:tc>
              <w:tc>
                <w:tcPr>
                  <w:tcW w:w="1352" w:type="dxa"/>
                  <w:tcBorders>
                    <w:top w:val="single" w:color="auto" w:sz="4" w:space="0"/>
                    <w:left w:val="nil"/>
                    <w:bottom w:val="single" w:color="auto" w:sz="4" w:space="0"/>
                    <w:right w:val="single" w:color="auto" w:sz="12" w:space="0"/>
                  </w:tcBorders>
                  <w:vAlign w:val="center"/>
                </w:tcPr>
                <w:p>
                  <w:pPr>
                    <w:pStyle w:val="36"/>
                    <w:rPr>
                      <w:rFonts w:cs="Times New Roman"/>
                      <w:color w:val="auto"/>
                    </w:rPr>
                  </w:pPr>
                  <w:r>
                    <w:rPr>
                      <w:rFonts w:cs="Times New Roman"/>
                      <w:color w:val="auto"/>
                    </w:rPr>
                    <w:fldChar w:fldCharType="begin"/>
                  </w:r>
                  <w:r>
                    <w:rPr>
                      <w:rFonts w:cs="Times New Roman"/>
                      <w:color w:val="auto"/>
                    </w:rPr>
                    <w:instrText xml:space="preserve"> INCLUDEPICTURE  "C:\\Users\\Admin\\AppData\\Local\\Temp\\ksohtml16752\\wps5.png" \* MERGEFORMATINET </w:instrText>
                  </w:r>
                  <w:r>
                    <w:rPr>
                      <w:rFonts w:cs="Times New Roman"/>
                      <w:color w:val="auto"/>
                    </w:rPr>
                    <w:fldChar w:fldCharType="separate"/>
                  </w:r>
                  <w:r>
                    <w:rPr>
                      <w:rFonts w:cs="Times New Roman"/>
                      <w:color w:val="auto"/>
                    </w:rPr>
                    <w:pict>
                      <v:shape id="_x0000_i1056" o:spt="75" type="#_x0000_t75" style="height:66.6pt;width:57pt;" filled="f" o:preferrelative="t" stroked="f" coordsize="21600,21600">
                        <v:path/>
                        <v:fill on="f" focussize="0,0"/>
                        <v:stroke on="f" joinstyle="miter"/>
                        <v:imagedata r:id="rId54" r:href="rId55" o:title=""/>
                        <o:lock v:ext="edit" aspectratio="t"/>
                        <w10:wrap type="none"/>
                        <w10:anchorlock/>
                      </v:shape>
                    </w:pict>
                  </w:r>
                  <w:r>
                    <w:rPr>
                      <w:rFonts w:cs="Times New Roman"/>
                      <w:color w:val="auto"/>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10" w:type="dxa"/>
                  <w:tcBorders>
                    <w:top w:val="single" w:color="auto" w:sz="4" w:space="0"/>
                    <w:left w:val="single" w:color="auto" w:sz="12" w:space="0"/>
                    <w:bottom w:val="single" w:color="auto" w:sz="12" w:space="0"/>
                    <w:right w:val="single" w:color="auto" w:sz="4" w:space="0"/>
                  </w:tcBorders>
                  <w:vAlign w:val="center"/>
                </w:tcPr>
                <w:p>
                  <w:pPr>
                    <w:pStyle w:val="36"/>
                    <w:rPr>
                      <w:rFonts w:cs="Times New Roman"/>
                      <w:color w:val="auto"/>
                    </w:rPr>
                  </w:pPr>
                  <w:r>
                    <w:rPr>
                      <w:rFonts w:cs="Times New Roman"/>
                      <w:color w:val="auto"/>
                    </w:rPr>
                    <w:t>功能</w:t>
                  </w:r>
                </w:p>
              </w:tc>
              <w:tc>
                <w:tcPr>
                  <w:tcW w:w="1344" w:type="dxa"/>
                  <w:tcBorders>
                    <w:top w:val="single" w:color="auto" w:sz="4" w:space="0"/>
                    <w:left w:val="nil"/>
                    <w:bottom w:val="single" w:color="auto" w:sz="12" w:space="0"/>
                    <w:right w:val="single" w:color="auto" w:sz="4" w:space="0"/>
                  </w:tcBorders>
                  <w:vAlign w:val="center"/>
                </w:tcPr>
                <w:p>
                  <w:pPr>
                    <w:pStyle w:val="36"/>
                    <w:rPr>
                      <w:rFonts w:cs="Times New Roman"/>
                      <w:color w:val="auto"/>
                    </w:rPr>
                  </w:pPr>
                  <w:r>
                    <w:rPr>
                      <w:rFonts w:cs="Times New Roman"/>
                      <w:color w:val="auto"/>
                    </w:rPr>
                    <w:t>表示污水向水体排放</w:t>
                  </w:r>
                </w:p>
              </w:tc>
              <w:tc>
                <w:tcPr>
                  <w:tcW w:w="1462" w:type="dxa"/>
                  <w:tcBorders>
                    <w:top w:val="single" w:color="auto" w:sz="4" w:space="0"/>
                    <w:left w:val="nil"/>
                    <w:bottom w:val="single" w:color="auto" w:sz="12" w:space="0"/>
                    <w:right w:val="single" w:color="auto" w:sz="4" w:space="0"/>
                  </w:tcBorders>
                  <w:vAlign w:val="center"/>
                </w:tcPr>
                <w:p>
                  <w:pPr>
                    <w:pStyle w:val="36"/>
                    <w:rPr>
                      <w:rFonts w:cs="Times New Roman"/>
                      <w:color w:val="auto"/>
                    </w:rPr>
                  </w:pPr>
                  <w:r>
                    <w:rPr>
                      <w:rFonts w:cs="Times New Roman"/>
                      <w:color w:val="auto"/>
                    </w:rPr>
                    <w:t>表示废气向大气环境排放</w:t>
                  </w:r>
                </w:p>
              </w:tc>
              <w:tc>
                <w:tcPr>
                  <w:tcW w:w="1462" w:type="dxa"/>
                  <w:tcBorders>
                    <w:top w:val="single" w:color="auto" w:sz="4" w:space="0"/>
                    <w:left w:val="nil"/>
                    <w:bottom w:val="single" w:color="auto" w:sz="12" w:space="0"/>
                    <w:right w:val="single" w:color="auto" w:sz="4" w:space="0"/>
                  </w:tcBorders>
                  <w:vAlign w:val="center"/>
                </w:tcPr>
                <w:p>
                  <w:pPr>
                    <w:pStyle w:val="36"/>
                    <w:rPr>
                      <w:rFonts w:cs="Times New Roman"/>
                      <w:color w:val="auto"/>
                    </w:rPr>
                  </w:pPr>
                  <w:r>
                    <w:rPr>
                      <w:rFonts w:cs="Times New Roman"/>
                      <w:color w:val="auto"/>
                    </w:rPr>
                    <w:t>表示噪声向外环境排放</w:t>
                  </w:r>
                </w:p>
              </w:tc>
              <w:tc>
                <w:tcPr>
                  <w:tcW w:w="1335" w:type="dxa"/>
                  <w:tcBorders>
                    <w:top w:val="single" w:color="auto" w:sz="4" w:space="0"/>
                    <w:left w:val="nil"/>
                    <w:bottom w:val="single" w:color="auto" w:sz="12" w:space="0"/>
                    <w:right w:val="single" w:color="auto" w:sz="4" w:space="0"/>
                  </w:tcBorders>
                  <w:vAlign w:val="center"/>
                </w:tcPr>
                <w:p>
                  <w:pPr>
                    <w:pStyle w:val="36"/>
                    <w:rPr>
                      <w:rFonts w:cs="Times New Roman"/>
                      <w:color w:val="auto"/>
                    </w:rPr>
                  </w:pPr>
                  <w:r>
                    <w:rPr>
                      <w:rFonts w:cs="Times New Roman"/>
                      <w:color w:val="auto"/>
                    </w:rPr>
                    <w:t>表示一般固体废物贮存、处置场</w:t>
                  </w:r>
                </w:p>
              </w:tc>
              <w:tc>
                <w:tcPr>
                  <w:tcW w:w="1352" w:type="dxa"/>
                  <w:tcBorders>
                    <w:top w:val="single" w:color="auto" w:sz="4" w:space="0"/>
                    <w:left w:val="nil"/>
                    <w:bottom w:val="single" w:color="auto" w:sz="12" w:space="0"/>
                    <w:right w:val="single" w:color="auto" w:sz="12" w:space="0"/>
                  </w:tcBorders>
                  <w:vAlign w:val="center"/>
                </w:tcPr>
                <w:p>
                  <w:pPr>
                    <w:pStyle w:val="36"/>
                    <w:rPr>
                      <w:rFonts w:cs="Times New Roman"/>
                      <w:color w:val="auto"/>
                    </w:rPr>
                  </w:pPr>
                  <w:r>
                    <w:rPr>
                      <w:rFonts w:cs="Times New Roman"/>
                      <w:color w:val="auto"/>
                    </w:rPr>
                    <w:t>表示危险废物贮存、处置场</w:t>
                  </w:r>
                </w:p>
              </w:tc>
            </w:tr>
          </w:tbl>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p>
            <w:pPr>
              <w:pStyle w:val="36"/>
              <w:jc w:val="left"/>
              <w:rPr>
                <w:rFonts w:cs="Times New Roman"/>
                <w:color w:val="auto"/>
              </w:rPr>
            </w:pPr>
          </w:p>
        </w:tc>
      </w:tr>
    </w:tbl>
    <w:p>
      <w:pPr>
        <w:pStyle w:val="37"/>
        <w:rPr>
          <w:rFonts w:cs="Times New Roman"/>
          <w:snapToGrid w:val="0"/>
          <w:color w:val="auto"/>
        </w:rPr>
        <w:sectPr>
          <w:pgSz w:w="11906" w:h="16838"/>
          <w:pgMar w:top="1417" w:right="1417" w:bottom="1417" w:left="1417" w:header="851" w:footer="851" w:gutter="0"/>
          <w:pgBorders>
            <w:top w:val="none" w:sz="0" w:space="0"/>
            <w:left w:val="none" w:sz="0" w:space="0"/>
            <w:bottom w:val="none" w:sz="0" w:space="0"/>
            <w:right w:val="none" w:sz="0" w:space="0"/>
          </w:pgBorders>
          <w:cols w:space="720" w:num="1"/>
          <w:docGrid w:linePitch="326" w:charSpace="0"/>
        </w:sectPr>
      </w:pPr>
    </w:p>
    <w:p>
      <w:pPr>
        <w:pStyle w:val="59"/>
        <w:numPr>
          <w:ilvl w:val="0"/>
          <w:numId w:val="5"/>
        </w:numPr>
        <w:spacing w:line="240" w:lineRule="auto"/>
        <w:jc w:val="center"/>
        <w:rPr>
          <w:rFonts w:hint="eastAsia"/>
          <w:color w:val="auto"/>
        </w:rPr>
      </w:pPr>
      <w:bookmarkStart w:id="103" w:name="_Toc11275"/>
      <w:r>
        <w:rPr>
          <w:rFonts w:hint="eastAsia" w:cs="Times New Roman"/>
          <w:snapToGrid w:val="0"/>
          <w:color w:val="auto"/>
        </w:rPr>
        <w:t>结论</w:t>
      </w:r>
      <w:bookmarkEnd w:id="103"/>
      <w:r>
        <w:pict>
          <v:shape id="_x0000_i1057" o:spt="75" type="#_x0000_t75" style="height:626.95pt;width:431.55pt;" filled="f" o:preferrelative="t" stroked="f" coordsize="21600,21600">
            <v:path/>
            <v:fill on="f" focussize="0,0"/>
            <v:stroke on="f"/>
            <v:imagedata r:id="rId56" cropleft="7325f" croptop="5141f" cropright="7731f" cropbottom="8523f" o:title=""/>
            <o:lock v:ext="edit" aspectratio="t"/>
            <w10:wrap type="none"/>
            <w10:anchorlock/>
          </v:shape>
        </w:pict>
      </w:r>
    </w:p>
    <w:p>
      <w:pPr>
        <w:pStyle w:val="37"/>
        <w:jc w:val="left"/>
        <w:rPr>
          <w:rFonts w:cs="Times New Roman"/>
          <w:snapToGrid w:val="0"/>
          <w:color w:val="auto"/>
        </w:rPr>
        <w:sectPr>
          <w:pgSz w:w="11906" w:h="16838"/>
          <w:pgMar w:top="1440" w:right="1800" w:bottom="1440" w:left="1800" w:header="851" w:footer="851" w:gutter="0"/>
          <w:pgBorders>
            <w:top w:val="none" w:sz="0" w:space="0"/>
            <w:left w:val="none" w:sz="0" w:space="0"/>
            <w:bottom w:val="none" w:sz="0" w:space="0"/>
            <w:right w:val="none" w:sz="0" w:space="0"/>
          </w:pgBorders>
          <w:cols w:space="720" w:num="1"/>
          <w:docGrid w:linePitch="326" w:charSpace="0"/>
        </w:sectPr>
      </w:pPr>
    </w:p>
    <w:p>
      <w:pPr>
        <w:pStyle w:val="59"/>
        <w:jc w:val="left"/>
        <w:rPr>
          <w:rFonts w:cs="Times New Roman"/>
          <w:snapToGrid w:val="0"/>
          <w:color w:val="auto"/>
        </w:rPr>
      </w:pPr>
      <w:bookmarkStart w:id="104" w:name="_Toc22272"/>
      <w:r>
        <w:rPr>
          <w:rFonts w:cs="Times New Roman"/>
          <w:snapToGrid w:val="0"/>
          <w:color w:val="auto"/>
        </w:rPr>
        <w:t>附表</w:t>
      </w:r>
      <w:bookmarkEnd w:id="104"/>
    </w:p>
    <w:p>
      <w:pPr>
        <w:pStyle w:val="59"/>
        <w:spacing w:line="240" w:lineRule="auto"/>
        <w:rPr>
          <w:rFonts w:cs="Times New Roman"/>
          <w:snapToGrid w:val="0"/>
          <w:color w:val="auto"/>
          <w:sz w:val="30"/>
          <w:szCs w:val="30"/>
        </w:rPr>
      </w:pPr>
      <w:bookmarkStart w:id="105" w:name="_Toc6175"/>
      <w:r>
        <w:rPr>
          <w:rFonts w:cs="Times New Roman"/>
          <w:snapToGrid w:val="0"/>
          <w:color w:val="auto"/>
          <w:sz w:val="30"/>
          <w:szCs w:val="30"/>
        </w:rPr>
        <w:t>建设项目污染物排放量汇总表</w:t>
      </w:r>
      <w:bookmarkEnd w:id="105"/>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04"/>
        <w:gridCol w:w="2012"/>
        <w:gridCol w:w="1652"/>
        <w:gridCol w:w="1348"/>
        <w:gridCol w:w="1806"/>
        <w:gridCol w:w="1652"/>
        <w:gridCol w:w="1874"/>
        <w:gridCol w:w="1767"/>
        <w:gridCol w:w="12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Mar>
              <w:left w:w="28" w:type="dxa"/>
              <w:right w:w="28" w:type="dxa"/>
            </w:tcMar>
            <w:vAlign w:val="center"/>
          </w:tcPr>
          <w:p>
            <w:pPr>
              <w:pStyle w:val="36"/>
              <w:ind w:firstLine="210" w:firstLineChars="100"/>
              <w:rPr>
                <w:rFonts w:cs="Times New Roman"/>
                <w:snapToGrid w:val="0"/>
                <w:color w:val="auto"/>
              </w:rPr>
            </w:pPr>
          </w:p>
          <w:p>
            <w:pPr>
              <w:pStyle w:val="36"/>
              <w:snapToGrid w:val="0"/>
              <w:rPr>
                <w:rFonts w:cs="Times New Roman"/>
                <w:snapToGrid w:val="0"/>
                <w:color w:val="auto"/>
              </w:rPr>
            </w:pPr>
            <w:r>
              <w:rPr>
                <w:rFonts w:cs="Times New Roman"/>
                <w:snapToGrid w:val="0"/>
                <w:color w:val="auto"/>
              </w:rPr>
              <w:t>项目</w:t>
            </w:r>
          </w:p>
          <w:p>
            <w:pPr>
              <w:pStyle w:val="36"/>
              <w:snapToGrid w:val="0"/>
              <w:ind w:firstLine="210" w:firstLineChars="100"/>
              <w:rPr>
                <w:rFonts w:cs="Times New Roman"/>
                <w:snapToGrid w:val="0"/>
                <w:color w:val="auto"/>
              </w:rPr>
            </w:pPr>
            <w:r>
              <w:rPr>
                <w:rFonts w:cs="Times New Roman"/>
                <w:snapToGrid w:val="0"/>
                <w:color w:val="auto"/>
              </w:rPr>
              <w:t>分类</w:t>
            </w:r>
          </w:p>
          <w:p>
            <w:pPr>
              <w:pStyle w:val="36"/>
              <w:rPr>
                <w:rFonts w:cs="Times New Roman"/>
                <w:snapToGrid w:val="0"/>
                <w:color w:val="auto"/>
              </w:rPr>
            </w:pPr>
          </w:p>
        </w:tc>
        <w:tc>
          <w:tcPr>
            <w:tcW w:w="682" w:type="pct"/>
            <w:tcBorders>
              <w:tl2br w:val="nil"/>
              <w:tr2bl w:val="nil"/>
            </w:tcBorders>
            <w:tcMar>
              <w:left w:w="28" w:type="dxa"/>
              <w:right w:w="28" w:type="dxa"/>
            </w:tcMar>
            <w:vAlign w:val="center"/>
          </w:tcPr>
          <w:p>
            <w:pPr>
              <w:pStyle w:val="36"/>
              <w:rPr>
                <w:rFonts w:cs="Times New Roman"/>
                <w:snapToGrid w:val="0"/>
                <w:color w:val="auto"/>
              </w:rPr>
            </w:pPr>
            <w:r>
              <w:rPr>
                <w:rFonts w:cs="Times New Roman"/>
                <w:snapToGrid w:val="0"/>
                <w:color w:val="auto"/>
              </w:rPr>
              <w:t>污染物名称</w:t>
            </w:r>
          </w:p>
        </w:tc>
        <w:tc>
          <w:tcPr>
            <w:tcW w:w="560" w:type="pct"/>
            <w:tcBorders>
              <w:tl2br w:val="nil"/>
              <w:tr2bl w:val="nil"/>
            </w:tcBorders>
            <w:tcMar>
              <w:left w:w="28" w:type="dxa"/>
              <w:right w:w="28" w:type="dxa"/>
            </w:tcMar>
            <w:vAlign w:val="center"/>
          </w:tcPr>
          <w:p>
            <w:pPr>
              <w:pStyle w:val="36"/>
              <w:rPr>
                <w:rFonts w:cs="Times New Roman"/>
                <w:snapToGrid w:val="0"/>
                <w:color w:val="auto"/>
              </w:rPr>
            </w:pPr>
            <w:r>
              <w:rPr>
                <w:rFonts w:cs="Times New Roman"/>
                <w:snapToGrid w:val="0"/>
                <w:color w:val="auto"/>
              </w:rPr>
              <w:t>现有工程</w:t>
            </w:r>
          </w:p>
          <w:p>
            <w:pPr>
              <w:pStyle w:val="36"/>
              <w:rPr>
                <w:rFonts w:cs="Times New Roman"/>
                <w:snapToGrid w:val="0"/>
                <w:color w:val="auto"/>
              </w:rPr>
            </w:pPr>
            <w:r>
              <w:rPr>
                <w:rFonts w:cs="Times New Roman"/>
                <w:snapToGrid w:val="0"/>
                <w:color w:val="auto"/>
              </w:rPr>
              <w:t>排放量</w:t>
            </w:r>
            <w:r>
              <w:rPr>
                <w:rFonts w:hint="eastAsia" w:cs="Times New Roman"/>
                <w:snapToGrid w:val="0"/>
                <w:color w:val="auto"/>
              </w:rPr>
              <w:t>（</w:t>
            </w:r>
            <w:r>
              <w:rPr>
                <w:rFonts w:cs="Times New Roman"/>
                <w:snapToGrid w:val="0"/>
                <w:color w:val="auto"/>
              </w:rPr>
              <w:t>固体废物产生量</w:t>
            </w:r>
            <w:r>
              <w:rPr>
                <w:rFonts w:hint="eastAsia" w:cs="Times New Roman"/>
                <w:snapToGrid w:val="0"/>
                <w:color w:val="auto"/>
              </w:rPr>
              <w:t>）</w:t>
            </w:r>
            <w:r>
              <w:rPr>
                <w:rFonts w:cs="Times New Roman"/>
                <w:snapToGrid w:val="0"/>
                <w:color w:val="auto"/>
              </w:rPr>
              <w:fldChar w:fldCharType="begin"/>
            </w:r>
            <w:r>
              <w:rPr>
                <w:rFonts w:cs="Times New Roman"/>
                <w:snapToGrid w:val="0"/>
                <w:color w:val="auto"/>
              </w:rPr>
              <w:instrText xml:space="preserve"> = 1 \* GB3 \* MERGEFORMAT </w:instrText>
            </w:r>
            <w:r>
              <w:rPr>
                <w:rFonts w:cs="Times New Roman"/>
                <w:snapToGrid w:val="0"/>
                <w:color w:val="auto"/>
              </w:rPr>
              <w:fldChar w:fldCharType="separate"/>
            </w:r>
            <w:r>
              <w:rPr>
                <w:rFonts w:hint="eastAsia"/>
                <w:color w:val="auto"/>
              </w:rPr>
              <w:t>①</w:t>
            </w:r>
            <w:r>
              <w:rPr>
                <w:rFonts w:cs="Times New Roman"/>
                <w:snapToGrid w:val="0"/>
                <w:color w:val="auto"/>
              </w:rPr>
              <w:fldChar w:fldCharType="end"/>
            </w:r>
          </w:p>
        </w:tc>
        <w:tc>
          <w:tcPr>
            <w:tcW w:w="457" w:type="pct"/>
            <w:tcBorders>
              <w:tl2br w:val="nil"/>
              <w:tr2bl w:val="nil"/>
            </w:tcBorders>
            <w:tcMar>
              <w:left w:w="28" w:type="dxa"/>
              <w:right w:w="28" w:type="dxa"/>
            </w:tcMar>
            <w:vAlign w:val="center"/>
          </w:tcPr>
          <w:p>
            <w:pPr>
              <w:pStyle w:val="36"/>
              <w:rPr>
                <w:rFonts w:cs="Times New Roman"/>
                <w:snapToGrid w:val="0"/>
                <w:color w:val="auto"/>
              </w:rPr>
            </w:pPr>
            <w:r>
              <w:rPr>
                <w:rFonts w:cs="Times New Roman"/>
                <w:snapToGrid w:val="0"/>
                <w:color w:val="auto"/>
              </w:rPr>
              <w:t>现有工程</w:t>
            </w:r>
          </w:p>
          <w:p>
            <w:pPr>
              <w:pStyle w:val="36"/>
              <w:rPr>
                <w:rFonts w:cs="Times New Roman"/>
                <w:snapToGrid w:val="0"/>
                <w:color w:val="auto"/>
              </w:rPr>
            </w:pPr>
            <w:r>
              <w:rPr>
                <w:rFonts w:cs="Times New Roman"/>
                <w:snapToGrid w:val="0"/>
                <w:color w:val="auto"/>
              </w:rPr>
              <w:t>许可排放量</w:t>
            </w:r>
          </w:p>
          <w:p>
            <w:pPr>
              <w:pStyle w:val="36"/>
              <w:rPr>
                <w:rFonts w:cs="Times New Roman"/>
                <w:snapToGrid w:val="0"/>
                <w:color w:val="auto"/>
              </w:rPr>
            </w:pPr>
            <w:r>
              <w:rPr>
                <w:rFonts w:cs="Times New Roman"/>
                <w:snapToGrid w:val="0"/>
                <w:color w:val="auto"/>
              </w:rPr>
              <w:fldChar w:fldCharType="begin"/>
            </w:r>
            <w:r>
              <w:rPr>
                <w:rFonts w:cs="Times New Roman"/>
                <w:snapToGrid w:val="0"/>
                <w:color w:val="auto"/>
              </w:rPr>
              <w:instrText xml:space="preserve"> = 2 \* GB3 \* MERGEFORMAT </w:instrText>
            </w:r>
            <w:r>
              <w:rPr>
                <w:rFonts w:cs="Times New Roman"/>
                <w:snapToGrid w:val="0"/>
                <w:color w:val="auto"/>
              </w:rPr>
              <w:fldChar w:fldCharType="separate"/>
            </w:r>
            <w:r>
              <w:rPr>
                <w:rFonts w:hint="eastAsia"/>
                <w:snapToGrid w:val="0"/>
                <w:color w:val="auto"/>
              </w:rPr>
              <w:t>②</w:t>
            </w:r>
            <w:r>
              <w:rPr>
                <w:rFonts w:cs="Times New Roman"/>
                <w:snapToGrid w:val="0"/>
                <w:color w:val="auto"/>
              </w:rPr>
              <w:fldChar w:fldCharType="end"/>
            </w:r>
          </w:p>
        </w:tc>
        <w:tc>
          <w:tcPr>
            <w:tcW w:w="612" w:type="pct"/>
            <w:tcBorders>
              <w:tl2br w:val="nil"/>
              <w:tr2bl w:val="nil"/>
            </w:tcBorders>
            <w:tcMar>
              <w:left w:w="28" w:type="dxa"/>
              <w:right w:w="28" w:type="dxa"/>
            </w:tcMar>
            <w:vAlign w:val="center"/>
          </w:tcPr>
          <w:p>
            <w:pPr>
              <w:pStyle w:val="36"/>
              <w:rPr>
                <w:rFonts w:cs="Times New Roman"/>
                <w:snapToGrid w:val="0"/>
                <w:color w:val="auto"/>
              </w:rPr>
            </w:pPr>
            <w:r>
              <w:rPr>
                <w:rFonts w:cs="Times New Roman"/>
                <w:snapToGrid w:val="0"/>
                <w:color w:val="auto"/>
              </w:rPr>
              <w:t>在建工程</w:t>
            </w:r>
          </w:p>
          <w:p>
            <w:pPr>
              <w:pStyle w:val="36"/>
              <w:rPr>
                <w:rFonts w:cs="Times New Roman"/>
                <w:snapToGrid w:val="0"/>
                <w:color w:val="auto"/>
              </w:rPr>
            </w:pPr>
            <w:r>
              <w:rPr>
                <w:rFonts w:cs="Times New Roman"/>
                <w:snapToGrid w:val="0"/>
                <w:color w:val="auto"/>
              </w:rPr>
              <w:t>排放量</w:t>
            </w:r>
            <w:r>
              <w:rPr>
                <w:rFonts w:hint="eastAsia" w:cs="Times New Roman"/>
                <w:snapToGrid w:val="0"/>
                <w:color w:val="auto"/>
              </w:rPr>
              <w:t>（</w:t>
            </w:r>
            <w:r>
              <w:rPr>
                <w:rFonts w:cs="Times New Roman"/>
                <w:snapToGrid w:val="0"/>
                <w:color w:val="auto"/>
              </w:rPr>
              <w:t>固体废物产生量</w:t>
            </w:r>
            <w:r>
              <w:rPr>
                <w:rFonts w:hint="eastAsia" w:cs="Times New Roman"/>
                <w:snapToGrid w:val="0"/>
                <w:color w:val="auto"/>
              </w:rPr>
              <w:t>）</w:t>
            </w:r>
            <w:r>
              <w:rPr>
                <w:rFonts w:cs="Times New Roman"/>
                <w:snapToGrid w:val="0"/>
                <w:color w:val="auto"/>
              </w:rPr>
              <w:fldChar w:fldCharType="begin"/>
            </w:r>
            <w:r>
              <w:rPr>
                <w:rFonts w:cs="Times New Roman"/>
                <w:snapToGrid w:val="0"/>
                <w:color w:val="auto"/>
              </w:rPr>
              <w:instrText xml:space="preserve"> = 3 \* GB3 \* MERGEFORMAT </w:instrText>
            </w:r>
            <w:r>
              <w:rPr>
                <w:rFonts w:cs="Times New Roman"/>
                <w:snapToGrid w:val="0"/>
                <w:color w:val="auto"/>
              </w:rPr>
              <w:fldChar w:fldCharType="separate"/>
            </w:r>
            <w:r>
              <w:rPr>
                <w:rFonts w:hint="eastAsia"/>
                <w:color w:val="auto"/>
              </w:rPr>
              <w:t>③</w:t>
            </w:r>
            <w:r>
              <w:rPr>
                <w:rFonts w:cs="Times New Roman"/>
                <w:snapToGrid w:val="0"/>
                <w:color w:val="auto"/>
              </w:rPr>
              <w:fldChar w:fldCharType="end"/>
            </w:r>
          </w:p>
        </w:tc>
        <w:tc>
          <w:tcPr>
            <w:tcW w:w="560" w:type="pct"/>
            <w:tcBorders>
              <w:tl2br w:val="nil"/>
              <w:tr2bl w:val="nil"/>
            </w:tcBorders>
            <w:tcMar>
              <w:left w:w="28" w:type="dxa"/>
              <w:right w:w="28" w:type="dxa"/>
            </w:tcMar>
            <w:vAlign w:val="center"/>
          </w:tcPr>
          <w:p>
            <w:pPr>
              <w:pStyle w:val="36"/>
              <w:rPr>
                <w:rFonts w:cs="Times New Roman"/>
                <w:snapToGrid w:val="0"/>
                <w:color w:val="auto"/>
              </w:rPr>
            </w:pPr>
            <w:r>
              <w:rPr>
                <w:rFonts w:cs="Times New Roman"/>
                <w:snapToGrid w:val="0"/>
                <w:color w:val="auto"/>
              </w:rPr>
              <w:t>本项目</w:t>
            </w:r>
          </w:p>
          <w:p>
            <w:pPr>
              <w:pStyle w:val="36"/>
              <w:rPr>
                <w:rFonts w:cs="Times New Roman"/>
                <w:snapToGrid w:val="0"/>
                <w:color w:val="auto"/>
              </w:rPr>
            </w:pPr>
            <w:r>
              <w:rPr>
                <w:rFonts w:cs="Times New Roman"/>
                <w:snapToGrid w:val="0"/>
                <w:color w:val="auto"/>
              </w:rPr>
              <w:t>排放量</w:t>
            </w:r>
            <w:r>
              <w:rPr>
                <w:rFonts w:hint="eastAsia" w:cs="Times New Roman"/>
                <w:snapToGrid w:val="0"/>
                <w:color w:val="auto"/>
              </w:rPr>
              <w:t>（</w:t>
            </w:r>
            <w:r>
              <w:rPr>
                <w:rFonts w:cs="Times New Roman"/>
                <w:snapToGrid w:val="0"/>
                <w:color w:val="auto"/>
              </w:rPr>
              <w:t>固体废物产生量</w:t>
            </w:r>
            <w:r>
              <w:rPr>
                <w:rFonts w:hint="eastAsia" w:cs="Times New Roman"/>
                <w:snapToGrid w:val="0"/>
                <w:color w:val="auto"/>
              </w:rPr>
              <w:t>）</w:t>
            </w:r>
            <w:r>
              <w:rPr>
                <w:rFonts w:cs="Times New Roman"/>
                <w:snapToGrid w:val="0"/>
                <w:color w:val="auto"/>
              </w:rPr>
              <w:fldChar w:fldCharType="begin"/>
            </w:r>
            <w:r>
              <w:rPr>
                <w:rFonts w:cs="Times New Roman"/>
                <w:snapToGrid w:val="0"/>
                <w:color w:val="auto"/>
              </w:rPr>
              <w:instrText xml:space="preserve"> = 4 \* GB3 \* MERGEFORMAT </w:instrText>
            </w:r>
            <w:r>
              <w:rPr>
                <w:rFonts w:cs="Times New Roman"/>
                <w:snapToGrid w:val="0"/>
                <w:color w:val="auto"/>
              </w:rPr>
              <w:fldChar w:fldCharType="separate"/>
            </w:r>
            <w:r>
              <w:rPr>
                <w:rFonts w:hint="eastAsia"/>
                <w:color w:val="auto"/>
              </w:rPr>
              <w:t>④</w:t>
            </w:r>
            <w:r>
              <w:rPr>
                <w:rFonts w:cs="Times New Roman"/>
                <w:snapToGrid w:val="0"/>
                <w:color w:val="auto"/>
              </w:rPr>
              <w:fldChar w:fldCharType="end"/>
            </w:r>
          </w:p>
        </w:tc>
        <w:tc>
          <w:tcPr>
            <w:tcW w:w="635" w:type="pct"/>
            <w:tcBorders>
              <w:tl2br w:val="nil"/>
              <w:tr2bl w:val="nil"/>
            </w:tcBorders>
            <w:tcMar>
              <w:left w:w="28" w:type="dxa"/>
              <w:right w:w="28" w:type="dxa"/>
            </w:tcMar>
            <w:vAlign w:val="center"/>
          </w:tcPr>
          <w:p>
            <w:pPr>
              <w:pStyle w:val="36"/>
              <w:rPr>
                <w:rFonts w:cs="Times New Roman"/>
                <w:snapToGrid w:val="0"/>
                <w:color w:val="auto"/>
              </w:rPr>
            </w:pPr>
            <w:r>
              <w:rPr>
                <w:rFonts w:cs="Times New Roman"/>
                <w:snapToGrid w:val="0"/>
                <w:color w:val="auto"/>
              </w:rPr>
              <w:t>以新带老削减量</w:t>
            </w:r>
          </w:p>
          <w:p>
            <w:pPr>
              <w:pStyle w:val="36"/>
              <w:rPr>
                <w:rFonts w:cs="Times New Roman"/>
                <w:snapToGrid w:val="0"/>
                <w:color w:val="auto"/>
                <w:spacing w:val="-16"/>
              </w:rPr>
            </w:pPr>
            <w:r>
              <w:rPr>
                <w:rFonts w:hint="eastAsia" w:cs="Times New Roman"/>
                <w:snapToGrid w:val="0"/>
                <w:color w:val="auto"/>
              </w:rPr>
              <w:t>（</w:t>
            </w:r>
            <w:r>
              <w:rPr>
                <w:rFonts w:cs="Times New Roman"/>
                <w:snapToGrid w:val="0"/>
                <w:color w:val="auto"/>
              </w:rPr>
              <w:t>新建项目不填</w:t>
            </w:r>
            <w:r>
              <w:rPr>
                <w:rFonts w:hint="eastAsia" w:cs="Times New Roman"/>
                <w:snapToGrid w:val="0"/>
                <w:color w:val="auto"/>
              </w:rPr>
              <w:t>）</w:t>
            </w:r>
            <w:r>
              <w:rPr>
                <w:rFonts w:cs="Times New Roman"/>
                <w:snapToGrid w:val="0"/>
                <w:color w:val="auto"/>
              </w:rPr>
              <w:fldChar w:fldCharType="begin"/>
            </w:r>
            <w:r>
              <w:rPr>
                <w:rFonts w:cs="Times New Roman"/>
                <w:snapToGrid w:val="0"/>
                <w:color w:val="auto"/>
              </w:rPr>
              <w:instrText xml:space="preserve"> = 5 \* GB3 \* MERGEFORMAT </w:instrText>
            </w:r>
            <w:r>
              <w:rPr>
                <w:rFonts w:cs="Times New Roman"/>
                <w:snapToGrid w:val="0"/>
                <w:color w:val="auto"/>
              </w:rPr>
              <w:fldChar w:fldCharType="separate"/>
            </w:r>
            <w:r>
              <w:rPr>
                <w:rFonts w:hint="eastAsia"/>
                <w:snapToGrid w:val="0"/>
                <w:color w:val="auto"/>
              </w:rPr>
              <w:t>⑤</w:t>
            </w:r>
            <w:r>
              <w:rPr>
                <w:rFonts w:cs="Times New Roman"/>
                <w:snapToGrid w:val="0"/>
                <w:color w:val="auto"/>
              </w:rPr>
              <w:fldChar w:fldCharType="end"/>
            </w:r>
          </w:p>
        </w:tc>
        <w:tc>
          <w:tcPr>
            <w:tcW w:w="599" w:type="pct"/>
            <w:tcBorders>
              <w:tl2br w:val="nil"/>
              <w:tr2bl w:val="nil"/>
            </w:tcBorders>
            <w:tcMar>
              <w:left w:w="28" w:type="dxa"/>
              <w:right w:w="28" w:type="dxa"/>
            </w:tcMar>
            <w:vAlign w:val="center"/>
          </w:tcPr>
          <w:p>
            <w:pPr>
              <w:pStyle w:val="36"/>
              <w:rPr>
                <w:rFonts w:cs="Times New Roman"/>
                <w:snapToGrid w:val="0"/>
                <w:color w:val="auto"/>
              </w:rPr>
            </w:pPr>
            <w:r>
              <w:rPr>
                <w:rFonts w:cs="Times New Roman"/>
                <w:snapToGrid w:val="0"/>
                <w:color w:val="auto"/>
              </w:rPr>
              <w:t>本项目建成后</w:t>
            </w:r>
          </w:p>
          <w:p>
            <w:pPr>
              <w:pStyle w:val="36"/>
              <w:rPr>
                <w:rFonts w:cs="Times New Roman"/>
                <w:snapToGrid w:val="0"/>
                <w:color w:val="auto"/>
                <w:spacing w:val="-16"/>
              </w:rPr>
            </w:pPr>
            <w:r>
              <w:rPr>
                <w:rFonts w:cs="Times New Roman"/>
                <w:snapToGrid w:val="0"/>
                <w:color w:val="auto"/>
              </w:rPr>
              <w:t>全厂排放量</w:t>
            </w:r>
            <w:r>
              <w:rPr>
                <w:rFonts w:hint="eastAsia" w:cs="Times New Roman"/>
                <w:snapToGrid w:val="0"/>
                <w:color w:val="auto"/>
              </w:rPr>
              <w:t>（</w:t>
            </w:r>
            <w:r>
              <w:rPr>
                <w:rFonts w:cs="Times New Roman"/>
                <w:snapToGrid w:val="0"/>
                <w:color w:val="auto"/>
              </w:rPr>
              <w:t>固体废物产生量</w:t>
            </w:r>
            <w:r>
              <w:rPr>
                <w:rFonts w:hint="eastAsia" w:cs="Times New Roman"/>
                <w:snapToGrid w:val="0"/>
                <w:color w:val="auto"/>
              </w:rPr>
              <w:t>）</w:t>
            </w:r>
            <w:r>
              <w:rPr>
                <w:rFonts w:cs="Times New Roman"/>
                <w:snapToGrid w:val="0"/>
                <w:color w:val="auto"/>
              </w:rPr>
              <w:fldChar w:fldCharType="begin"/>
            </w:r>
            <w:r>
              <w:rPr>
                <w:rFonts w:cs="Times New Roman"/>
                <w:snapToGrid w:val="0"/>
                <w:color w:val="auto"/>
              </w:rPr>
              <w:instrText xml:space="preserve"> = 6 \* GB3 \* MERGEFORMAT </w:instrText>
            </w:r>
            <w:r>
              <w:rPr>
                <w:rFonts w:cs="Times New Roman"/>
                <w:snapToGrid w:val="0"/>
                <w:color w:val="auto"/>
              </w:rPr>
              <w:fldChar w:fldCharType="separate"/>
            </w:r>
            <w:r>
              <w:rPr>
                <w:rFonts w:hint="eastAsia"/>
                <w:snapToGrid w:val="0"/>
                <w:color w:val="auto"/>
              </w:rPr>
              <w:t>⑥</w:t>
            </w:r>
            <w:r>
              <w:rPr>
                <w:rFonts w:cs="Times New Roman"/>
                <w:snapToGrid w:val="0"/>
                <w:color w:val="auto"/>
              </w:rPr>
              <w:fldChar w:fldCharType="end"/>
            </w:r>
          </w:p>
        </w:tc>
        <w:tc>
          <w:tcPr>
            <w:tcW w:w="415" w:type="pct"/>
            <w:tcBorders>
              <w:tl2br w:val="nil"/>
              <w:tr2bl w:val="nil"/>
            </w:tcBorders>
            <w:tcMar>
              <w:left w:w="28" w:type="dxa"/>
              <w:right w:w="28" w:type="dxa"/>
            </w:tcMar>
            <w:vAlign w:val="center"/>
          </w:tcPr>
          <w:p>
            <w:pPr>
              <w:pStyle w:val="36"/>
              <w:rPr>
                <w:rFonts w:cs="Times New Roman"/>
                <w:snapToGrid w:val="0"/>
                <w:color w:val="auto"/>
              </w:rPr>
            </w:pPr>
            <w:r>
              <w:rPr>
                <w:rFonts w:cs="Times New Roman"/>
                <w:snapToGrid w:val="0"/>
                <w:color w:val="auto"/>
              </w:rPr>
              <w:t>变化量</w:t>
            </w:r>
          </w:p>
          <w:p>
            <w:pPr>
              <w:pStyle w:val="36"/>
              <w:rPr>
                <w:rFonts w:cs="Times New Roman"/>
                <w:snapToGrid w:val="0"/>
                <w:color w:val="auto"/>
              </w:rPr>
            </w:pPr>
            <w:r>
              <w:rPr>
                <w:rFonts w:cs="Times New Roman"/>
                <w:snapToGrid w:val="0"/>
                <w:color w:val="auto"/>
              </w:rPr>
              <w:fldChar w:fldCharType="begin"/>
            </w:r>
            <w:r>
              <w:rPr>
                <w:rFonts w:cs="Times New Roman"/>
                <w:snapToGrid w:val="0"/>
                <w:color w:val="auto"/>
              </w:rPr>
              <w:instrText xml:space="preserve"> = 7 \* GB3 \* MERGEFORMAT </w:instrText>
            </w:r>
            <w:r>
              <w:rPr>
                <w:rFonts w:cs="Times New Roman"/>
                <w:snapToGrid w:val="0"/>
                <w:color w:val="auto"/>
              </w:rPr>
              <w:fldChar w:fldCharType="separate"/>
            </w:r>
            <w:r>
              <w:rPr>
                <w:rFonts w:hint="eastAsia"/>
                <w:color w:val="auto"/>
              </w:rPr>
              <w:t>⑦</w:t>
            </w:r>
            <w:r>
              <w:rPr>
                <w:rFonts w:cs="Times New Roman"/>
                <w:snapToGrid w:val="0"/>
                <w:color w:val="auto"/>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vAlign w:val="center"/>
          </w:tcPr>
          <w:p>
            <w:pPr>
              <w:pStyle w:val="36"/>
              <w:rPr>
                <w:rFonts w:cs="Times New Roman"/>
                <w:snapToGrid w:val="0"/>
                <w:color w:val="auto"/>
              </w:rPr>
            </w:pPr>
            <w:r>
              <w:rPr>
                <w:rFonts w:cs="Times New Roman"/>
                <w:snapToGrid w:val="0"/>
                <w:color w:val="auto"/>
              </w:rPr>
              <w:t>废气</w:t>
            </w:r>
          </w:p>
        </w:tc>
        <w:tc>
          <w:tcPr>
            <w:tcW w:w="682" w:type="pct"/>
            <w:tcBorders>
              <w:tl2br w:val="nil"/>
              <w:tr2bl w:val="nil"/>
            </w:tcBorders>
            <w:vAlign w:val="center"/>
          </w:tcPr>
          <w:p>
            <w:pPr>
              <w:pStyle w:val="36"/>
              <w:ind w:left="-72" w:leftChars="-30" w:right="-72" w:rightChars="-30"/>
              <w:rPr>
                <w:rFonts w:cs="Times New Roman"/>
                <w:color w:val="auto"/>
              </w:rPr>
            </w:pPr>
            <w:r>
              <w:rPr>
                <w:rFonts w:hint="eastAsia" w:cs="Times New Roman"/>
                <w:color w:val="auto"/>
              </w:rPr>
              <w:t>非甲烷总烃</w:t>
            </w:r>
            <w:r>
              <w:rPr>
                <w:rFonts w:cs="Times New Roman"/>
                <w:color w:val="auto"/>
              </w:rPr>
              <w:t>（t/a）</w:t>
            </w:r>
          </w:p>
        </w:tc>
        <w:tc>
          <w:tcPr>
            <w:tcW w:w="1652" w:type="dxa"/>
            <w:tcBorders>
              <w:tl2br w:val="nil"/>
              <w:tr2bl w:val="nil"/>
            </w:tcBorders>
            <w:vAlign w:val="center"/>
          </w:tcPr>
          <w:p>
            <w:pPr>
              <w:pStyle w:val="36"/>
              <w:rPr>
                <w:rFonts w:cs="Times New Roman"/>
                <w:snapToGrid w:val="0"/>
                <w:color w:val="auto"/>
              </w:rPr>
            </w:pPr>
            <w:r>
              <w:rPr>
                <w:rFonts w:cs="Times New Roman"/>
                <w:snapToGrid w:val="0"/>
                <w:color w:val="auto"/>
              </w:rPr>
              <w:t>/</w:t>
            </w:r>
          </w:p>
        </w:tc>
        <w:tc>
          <w:tcPr>
            <w:tcW w:w="1348" w:type="dxa"/>
            <w:tcBorders>
              <w:tl2br w:val="nil"/>
              <w:tr2bl w:val="nil"/>
            </w:tcBorders>
            <w:vAlign w:val="center"/>
          </w:tcPr>
          <w:p>
            <w:pPr>
              <w:pStyle w:val="36"/>
              <w:rPr>
                <w:rFonts w:cs="Times New Roman"/>
                <w:snapToGrid w:val="0"/>
                <w:color w:val="auto"/>
              </w:rPr>
            </w:pPr>
            <w:r>
              <w:rPr>
                <w:rFonts w:cs="Times New Roman"/>
                <w:snapToGrid w:val="0"/>
                <w:color w:val="auto"/>
              </w:rPr>
              <w:t>/</w:t>
            </w:r>
          </w:p>
        </w:tc>
        <w:tc>
          <w:tcPr>
            <w:tcW w:w="1806" w:type="dxa"/>
            <w:tcBorders>
              <w:tl2br w:val="nil"/>
              <w:tr2bl w:val="nil"/>
            </w:tcBorders>
            <w:vAlign w:val="center"/>
          </w:tcPr>
          <w:p>
            <w:pPr>
              <w:pStyle w:val="36"/>
              <w:rPr>
                <w:rFonts w:cs="Times New Roman"/>
                <w:snapToGrid w:val="0"/>
                <w:color w:val="auto"/>
              </w:rPr>
            </w:pPr>
            <w:r>
              <w:rPr>
                <w:rFonts w:cs="Times New Roman"/>
                <w:snapToGrid w:val="0"/>
                <w:color w:val="auto"/>
              </w:rPr>
              <w:t>/</w:t>
            </w:r>
          </w:p>
        </w:tc>
        <w:tc>
          <w:tcPr>
            <w:tcW w:w="560" w:type="pct"/>
            <w:tcBorders>
              <w:tl2br w:val="nil"/>
              <w:tr2bl w:val="nil"/>
            </w:tcBorders>
            <w:vAlign w:val="center"/>
          </w:tcPr>
          <w:p>
            <w:pPr>
              <w:pStyle w:val="36"/>
              <w:ind w:left="-72" w:leftChars="-30" w:right="-72" w:rightChars="-30"/>
              <w:rPr>
                <w:rFonts w:cs="Times New Roman"/>
                <w:color w:val="auto"/>
              </w:rPr>
            </w:pPr>
            <w:r>
              <w:rPr>
                <w:rFonts w:hint="eastAsia" w:cs="Times New Roman"/>
                <w:color w:val="auto"/>
              </w:rPr>
              <w:t>0.129</w:t>
            </w:r>
          </w:p>
        </w:tc>
        <w:tc>
          <w:tcPr>
            <w:tcW w:w="635" w:type="pct"/>
            <w:tcBorders>
              <w:tl2br w:val="nil"/>
              <w:tr2bl w:val="nil"/>
            </w:tcBorders>
            <w:vAlign w:val="center"/>
          </w:tcPr>
          <w:p>
            <w:pPr>
              <w:pStyle w:val="36"/>
              <w:rPr>
                <w:rFonts w:cs="Times New Roman"/>
                <w:snapToGrid w:val="0"/>
                <w:color w:val="auto"/>
              </w:rPr>
            </w:pPr>
            <w:r>
              <w:rPr>
                <w:rFonts w:cs="Times New Roman"/>
                <w:snapToGrid w:val="0"/>
                <w:color w:val="auto"/>
              </w:rPr>
              <w:t>/</w:t>
            </w:r>
          </w:p>
        </w:tc>
        <w:tc>
          <w:tcPr>
            <w:tcW w:w="599" w:type="pct"/>
            <w:tcBorders>
              <w:tl2br w:val="nil"/>
              <w:tr2bl w:val="nil"/>
            </w:tcBorders>
            <w:vAlign w:val="center"/>
          </w:tcPr>
          <w:p>
            <w:pPr>
              <w:pStyle w:val="36"/>
              <w:ind w:left="-72" w:leftChars="-30" w:right="-72" w:rightChars="-30"/>
              <w:rPr>
                <w:rFonts w:cs="Times New Roman"/>
                <w:color w:val="auto"/>
              </w:rPr>
            </w:pPr>
            <w:r>
              <w:rPr>
                <w:rFonts w:hint="eastAsia" w:cs="Times New Roman"/>
                <w:color w:val="auto"/>
              </w:rPr>
              <w:t>0.129</w:t>
            </w:r>
          </w:p>
        </w:tc>
        <w:tc>
          <w:tcPr>
            <w:tcW w:w="415" w:type="pct"/>
            <w:tcBorders>
              <w:tl2br w:val="nil"/>
              <w:tr2bl w:val="nil"/>
            </w:tcBorders>
            <w:vAlign w:val="center"/>
          </w:tcPr>
          <w:p>
            <w:pPr>
              <w:pStyle w:val="36"/>
              <w:ind w:left="-72" w:leftChars="-30" w:right="-72" w:rightChars="-30"/>
              <w:rPr>
                <w:rFonts w:cs="Times New Roman"/>
                <w:color w:val="auto"/>
              </w:rPr>
            </w:pPr>
            <w:r>
              <w:rPr>
                <w:rFonts w:hint="eastAsia" w:cs="Times New Roman"/>
                <w:color w:val="auto"/>
              </w:rPr>
              <w:t>+0.129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vMerge w:val="restart"/>
            <w:tcBorders>
              <w:tl2br w:val="nil"/>
              <w:tr2bl w:val="nil"/>
            </w:tcBorders>
            <w:vAlign w:val="center"/>
          </w:tcPr>
          <w:p>
            <w:pPr>
              <w:pStyle w:val="36"/>
              <w:rPr>
                <w:rFonts w:cs="Times New Roman"/>
                <w:snapToGrid w:val="0"/>
                <w:color w:val="auto"/>
              </w:rPr>
            </w:pPr>
            <w:r>
              <w:rPr>
                <w:rFonts w:cs="Times New Roman"/>
                <w:snapToGrid w:val="0"/>
                <w:color w:val="auto"/>
              </w:rPr>
              <w:t>废水</w:t>
            </w:r>
          </w:p>
        </w:tc>
        <w:tc>
          <w:tcPr>
            <w:tcW w:w="682" w:type="pct"/>
            <w:tcBorders>
              <w:tl2br w:val="nil"/>
              <w:tr2bl w:val="nil"/>
            </w:tcBorders>
            <w:vAlign w:val="center"/>
          </w:tcPr>
          <w:p>
            <w:pPr>
              <w:pStyle w:val="36"/>
              <w:rPr>
                <w:rFonts w:cs="Times New Roman"/>
                <w:snapToGrid w:val="0"/>
                <w:color w:val="auto"/>
              </w:rPr>
            </w:pPr>
            <w:r>
              <w:rPr>
                <w:rFonts w:cs="Times New Roman"/>
                <w:snapToGrid w:val="0"/>
                <w:color w:val="auto"/>
              </w:rPr>
              <w:t>COD</w:t>
            </w:r>
            <w:r>
              <w:rPr>
                <w:rFonts w:cs="Times New Roman"/>
                <w:color w:val="auto"/>
              </w:rPr>
              <w:t>（t/a）</w:t>
            </w:r>
          </w:p>
        </w:tc>
        <w:tc>
          <w:tcPr>
            <w:tcW w:w="1652"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348"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806"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652" w:type="dxa"/>
            <w:tcBorders>
              <w:tl2br w:val="nil"/>
              <w:tr2bl w:val="nil"/>
            </w:tcBorders>
            <w:vAlign w:val="center"/>
          </w:tcPr>
          <w:p>
            <w:pPr>
              <w:pStyle w:val="116"/>
              <w:ind w:left="-72" w:leftChars="-30" w:right="-72" w:rightChars="-30"/>
              <w:rPr>
                <w:rFonts w:hint="eastAsia"/>
                <w:color w:val="auto"/>
              </w:rPr>
            </w:pPr>
            <w:r>
              <w:rPr>
                <w:rFonts w:hint="default"/>
                <w:color w:val="auto"/>
                <w:lang w:val="en-US" w:eastAsia="zh-CN"/>
              </w:rPr>
              <w:t xml:space="preserve">0.223 </w:t>
            </w:r>
          </w:p>
        </w:tc>
        <w:tc>
          <w:tcPr>
            <w:tcW w:w="635" w:type="pct"/>
            <w:tcBorders>
              <w:tl2br w:val="nil"/>
              <w:tr2bl w:val="nil"/>
            </w:tcBorders>
            <w:vAlign w:val="center"/>
          </w:tcPr>
          <w:p>
            <w:pPr>
              <w:pStyle w:val="116"/>
              <w:ind w:left="-72" w:leftChars="-30" w:right="-72" w:rightChars="-30"/>
              <w:rPr>
                <w:color w:val="auto"/>
              </w:rPr>
            </w:pPr>
            <w:r>
              <w:rPr>
                <w:rFonts w:hint="eastAsia"/>
                <w:color w:val="auto"/>
              </w:rPr>
              <w:t>/</w:t>
            </w:r>
          </w:p>
        </w:tc>
        <w:tc>
          <w:tcPr>
            <w:tcW w:w="1767" w:type="dxa"/>
            <w:tcBorders>
              <w:tl2br w:val="nil"/>
              <w:tr2bl w:val="nil"/>
            </w:tcBorders>
            <w:vAlign w:val="center"/>
          </w:tcPr>
          <w:p>
            <w:pPr>
              <w:pStyle w:val="116"/>
              <w:ind w:left="-72" w:leftChars="-30" w:right="-72" w:rightChars="-30" w:firstLine="0" w:firstLineChars="0"/>
              <w:rPr>
                <w:color w:val="auto"/>
              </w:rPr>
            </w:pPr>
            <w:r>
              <w:rPr>
                <w:rFonts w:hint="default"/>
                <w:color w:val="auto"/>
                <w:lang w:val="en-US" w:eastAsia="zh-CN"/>
              </w:rPr>
              <w:t xml:space="preserve">0.223 </w:t>
            </w:r>
          </w:p>
        </w:tc>
        <w:tc>
          <w:tcPr>
            <w:tcW w:w="1225" w:type="dxa"/>
            <w:tcBorders>
              <w:tl2br w:val="nil"/>
              <w:tr2bl w:val="nil"/>
            </w:tcBorders>
            <w:vAlign w:val="center"/>
          </w:tcPr>
          <w:p>
            <w:pPr>
              <w:pStyle w:val="116"/>
              <w:ind w:left="-72" w:leftChars="-30" w:right="-72" w:rightChars="-30" w:firstLine="0" w:firstLineChars="0"/>
              <w:rPr>
                <w:color w:val="auto"/>
              </w:rPr>
            </w:pPr>
            <w:r>
              <w:rPr>
                <w:rFonts w:hint="eastAsia"/>
                <w:color w:val="auto"/>
                <w:lang w:val="en-US" w:eastAsia="zh-CN"/>
              </w:rPr>
              <w:t>+</w:t>
            </w:r>
            <w:r>
              <w:rPr>
                <w:rFonts w:hint="default"/>
                <w:color w:val="auto"/>
                <w:lang w:val="en-US" w:eastAsia="zh-CN"/>
              </w:rPr>
              <w:t xml:space="preserve">0.223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vMerge w:val="continue"/>
            <w:tcBorders>
              <w:tl2br w:val="nil"/>
              <w:tr2bl w:val="nil"/>
            </w:tcBorders>
            <w:vAlign w:val="center"/>
          </w:tcPr>
          <w:p>
            <w:pPr>
              <w:pStyle w:val="36"/>
              <w:rPr>
                <w:rFonts w:cs="Times New Roman"/>
                <w:snapToGrid w:val="0"/>
                <w:color w:val="auto"/>
              </w:rPr>
            </w:pPr>
          </w:p>
        </w:tc>
        <w:tc>
          <w:tcPr>
            <w:tcW w:w="682" w:type="pct"/>
            <w:tcBorders>
              <w:tl2br w:val="nil"/>
              <w:tr2bl w:val="nil"/>
            </w:tcBorders>
            <w:vAlign w:val="center"/>
          </w:tcPr>
          <w:p>
            <w:pPr>
              <w:pStyle w:val="36"/>
              <w:rPr>
                <w:rFonts w:cs="Times New Roman"/>
                <w:snapToGrid w:val="0"/>
                <w:color w:val="auto"/>
              </w:rPr>
            </w:pPr>
            <w:r>
              <w:rPr>
                <w:rFonts w:cs="Times New Roman"/>
                <w:snapToGrid w:val="0"/>
                <w:color w:val="auto"/>
              </w:rPr>
              <w:t>BOD</w:t>
            </w:r>
            <w:r>
              <w:rPr>
                <w:rFonts w:cs="Times New Roman"/>
                <w:snapToGrid w:val="0"/>
                <w:color w:val="auto"/>
                <w:vertAlign w:val="subscript"/>
              </w:rPr>
              <w:t>5</w:t>
            </w:r>
            <w:r>
              <w:rPr>
                <w:rFonts w:cs="Times New Roman"/>
                <w:color w:val="auto"/>
              </w:rPr>
              <w:t>（t/a）</w:t>
            </w:r>
          </w:p>
        </w:tc>
        <w:tc>
          <w:tcPr>
            <w:tcW w:w="1652"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348"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806"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652" w:type="dxa"/>
            <w:tcBorders>
              <w:tl2br w:val="nil"/>
              <w:tr2bl w:val="nil"/>
            </w:tcBorders>
            <w:vAlign w:val="center"/>
          </w:tcPr>
          <w:p>
            <w:pPr>
              <w:pStyle w:val="116"/>
              <w:ind w:left="-72" w:leftChars="-30" w:right="-72" w:rightChars="-30"/>
              <w:rPr>
                <w:rFonts w:hint="eastAsia"/>
                <w:color w:val="auto"/>
              </w:rPr>
            </w:pPr>
            <w:r>
              <w:rPr>
                <w:rFonts w:hint="default"/>
                <w:color w:val="auto"/>
                <w:lang w:val="en-US" w:eastAsia="zh-CN"/>
              </w:rPr>
              <w:t xml:space="preserve">0.136 </w:t>
            </w:r>
          </w:p>
        </w:tc>
        <w:tc>
          <w:tcPr>
            <w:tcW w:w="635" w:type="pct"/>
            <w:tcBorders>
              <w:tl2br w:val="nil"/>
              <w:tr2bl w:val="nil"/>
            </w:tcBorders>
            <w:vAlign w:val="center"/>
          </w:tcPr>
          <w:p>
            <w:pPr>
              <w:pStyle w:val="116"/>
              <w:ind w:left="-72" w:leftChars="-30" w:right="-72" w:rightChars="-30"/>
              <w:rPr>
                <w:color w:val="auto"/>
              </w:rPr>
            </w:pPr>
            <w:r>
              <w:rPr>
                <w:rFonts w:hint="eastAsia"/>
                <w:color w:val="auto"/>
              </w:rPr>
              <w:t>/</w:t>
            </w:r>
          </w:p>
        </w:tc>
        <w:tc>
          <w:tcPr>
            <w:tcW w:w="1767" w:type="dxa"/>
            <w:tcBorders>
              <w:tl2br w:val="nil"/>
              <w:tr2bl w:val="nil"/>
            </w:tcBorders>
            <w:vAlign w:val="center"/>
          </w:tcPr>
          <w:p>
            <w:pPr>
              <w:pStyle w:val="116"/>
              <w:ind w:left="-72" w:leftChars="-30" w:right="-72" w:rightChars="-30" w:firstLine="0" w:firstLineChars="0"/>
              <w:rPr>
                <w:color w:val="auto"/>
              </w:rPr>
            </w:pPr>
            <w:r>
              <w:rPr>
                <w:rFonts w:hint="default"/>
                <w:color w:val="auto"/>
                <w:lang w:val="en-US" w:eastAsia="zh-CN"/>
              </w:rPr>
              <w:t xml:space="preserve">0.136 </w:t>
            </w:r>
          </w:p>
        </w:tc>
        <w:tc>
          <w:tcPr>
            <w:tcW w:w="1225" w:type="dxa"/>
            <w:tcBorders>
              <w:tl2br w:val="nil"/>
              <w:tr2bl w:val="nil"/>
            </w:tcBorders>
            <w:vAlign w:val="center"/>
          </w:tcPr>
          <w:p>
            <w:pPr>
              <w:pStyle w:val="116"/>
              <w:ind w:left="-72" w:leftChars="-30" w:right="-72" w:rightChars="-30" w:firstLine="0" w:firstLineChars="0"/>
              <w:rPr>
                <w:color w:val="auto"/>
              </w:rPr>
            </w:pPr>
            <w:r>
              <w:rPr>
                <w:rFonts w:hint="eastAsia"/>
                <w:color w:val="auto"/>
                <w:lang w:val="en-US" w:eastAsia="zh-CN"/>
              </w:rPr>
              <w:t>+</w:t>
            </w:r>
            <w:r>
              <w:rPr>
                <w:rFonts w:hint="default"/>
                <w:color w:val="auto"/>
                <w:lang w:val="en-US" w:eastAsia="zh-CN"/>
              </w:rPr>
              <w:t xml:space="preserve">0.136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vMerge w:val="continue"/>
            <w:tcBorders>
              <w:tl2br w:val="nil"/>
              <w:tr2bl w:val="nil"/>
            </w:tcBorders>
            <w:vAlign w:val="center"/>
          </w:tcPr>
          <w:p>
            <w:pPr>
              <w:pStyle w:val="36"/>
              <w:rPr>
                <w:rFonts w:cs="Times New Roman"/>
                <w:snapToGrid w:val="0"/>
                <w:color w:val="auto"/>
              </w:rPr>
            </w:pPr>
          </w:p>
        </w:tc>
        <w:tc>
          <w:tcPr>
            <w:tcW w:w="682" w:type="pct"/>
            <w:tcBorders>
              <w:tl2br w:val="nil"/>
              <w:tr2bl w:val="nil"/>
            </w:tcBorders>
            <w:vAlign w:val="center"/>
          </w:tcPr>
          <w:p>
            <w:pPr>
              <w:pStyle w:val="36"/>
              <w:rPr>
                <w:rFonts w:cs="Times New Roman"/>
                <w:snapToGrid w:val="0"/>
                <w:color w:val="auto"/>
              </w:rPr>
            </w:pPr>
            <w:r>
              <w:rPr>
                <w:rFonts w:cs="Times New Roman"/>
                <w:snapToGrid w:val="0"/>
                <w:color w:val="auto"/>
              </w:rPr>
              <w:t>SS</w:t>
            </w:r>
            <w:r>
              <w:rPr>
                <w:rFonts w:cs="Times New Roman"/>
                <w:color w:val="auto"/>
              </w:rPr>
              <w:t>（t/a）</w:t>
            </w:r>
          </w:p>
        </w:tc>
        <w:tc>
          <w:tcPr>
            <w:tcW w:w="1652"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348"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806"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652" w:type="dxa"/>
            <w:tcBorders>
              <w:tl2br w:val="nil"/>
              <w:tr2bl w:val="nil"/>
            </w:tcBorders>
            <w:vAlign w:val="center"/>
          </w:tcPr>
          <w:p>
            <w:pPr>
              <w:pStyle w:val="116"/>
              <w:ind w:left="-72" w:leftChars="-30" w:right="-72" w:rightChars="-30"/>
              <w:rPr>
                <w:rFonts w:hint="eastAsia"/>
                <w:color w:val="auto"/>
              </w:rPr>
            </w:pPr>
            <w:r>
              <w:rPr>
                <w:rFonts w:hint="default"/>
                <w:color w:val="auto"/>
                <w:lang w:val="en-US" w:eastAsia="zh-CN"/>
              </w:rPr>
              <w:t xml:space="preserve">0.062 </w:t>
            </w:r>
          </w:p>
        </w:tc>
        <w:tc>
          <w:tcPr>
            <w:tcW w:w="635" w:type="pct"/>
            <w:tcBorders>
              <w:tl2br w:val="nil"/>
              <w:tr2bl w:val="nil"/>
            </w:tcBorders>
            <w:vAlign w:val="center"/>
          </w:tcPr>
          <w:p>
            <w:pPr>
              <w:pStyle w:val="116"/>
              <w:ind w:left="-72" w:leftChars="-30" w:right="-72" w:rightChars="-30"/>
              <w:rPr>
                <w:color w:val="auto"/>
              </w:rPr>
            </w:pPr>
            <w:r>
              <w:rPr>
                <w:rFonts w:hint="eastAsia"/>
                <w:color w:val="auto"/>
              </w:rPr>
              <w:t>/</w:t>
            </w:r>
          </w:p>
        </w:tc>
        <w:tc>
          <w:tcPr>
            <w:tcW w:w="1767" w:type="dxa"/>
            <w:tcBorders>
              <w:tl2br w:val="nil"/>
              <w:tr2bl w:val="nil"/>
            </w:tcBorders>
            <w:vAlign w:val="center"/>
          </w:tcPr>
          <w:p>
            <w:pPr>
              <w:pStyle w:val="116"/>
              <w:ind w:left="-72" w:leftChars="-30" w:right="-72" w:rightChars="-30" w:firstLine="0" w:firstLineChars="0"/>
              <w:rPr>
                <w:color w:val="auto"/>
              </w:rPr>
            </w:pPr>
            <w:r>
              <w:rPr>
                <w:rFonts w:hint="default"/>
                <w:color w:val="auto"/>
                <w:lang w:val="en-US" w:eastAsia="zh-CN"/>
              </w:rPr>
              <w:t xml:space="preserve">0.062 </w:t>
            </w:r>
          </w:p>
        </w:tc>
        <w:tc>
          <w:tcPr>
            <w:tcW w:w="1225" w:type="dxa"/>
            <w:tcBorders>
              <w:tl2br w:val="nil"/>
              <w:tr2bl w:val="nil"/>
            </w:tcBorders>
            <w:vAlign w:val="center"/>
          </w:tcPr>
          <w:p>
            <w:pPr>
              <w:pStyle w:val="116"/>
              <w:ind w:left="-72" w:leftChars="-30" w:right="-72" w:rightChars="-30" w:firstLine="0" w:firstLineChars="0"/>
              <w:rPr>
                <w:color w:val="auto"/>
              </w:rPr>
            </w:pPr>
            <w:r>
              <w:rPr>
                <w:rFonts w:hint="eastAsia"/>
                <w:color w:val="auto"/>
                <w:lang w:val="en-US" w:eastAsia="zh-CN"/>
              </w:rPr>
              <w:t>+</w:t>
            </w:r>
            <w:r>
              <w:rPr>
                <w:rFonts w:hint="default"/>
                <w:color w:val="auto"/>
                <w:lang w:val="en-US" w:eastAsia="zh-CN"/>
              </w:rPr>
              <w:t xml:space="preserve">0.062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vMerge w:val="continue"/>
            <w:tcBorders>
              <w:tl2br w:val="nil"/>
              <w:tr2bl w:val="nil"/>
            </w:tcBorders>
            <w:vAlign w:val="center"/>
          </w:tcPr>
          <w:p>
            <w:pPr>
              <w:pStyle w:val="36"/>
              <w:rPr>
                <w:rFonts w:cs="Times New Roman"/>
                <w:snapToGrid w:val="0"/>
                <w:color w:val="auto"/>
              </w:rPr>
            </w:pPr>
          </w:p>
        </w:tc>
        <w:tc>
          <w:tcPr>
            <w:tcW w:w="682" w:type="pct"/>
            <w:tcBorders>
              <w:tl2br w:val="nil"/>
              <w:tr2bl w:val="nil"/>
            </w:tcBorders>
            <w:vAlign w:val="center"/>
          </w:tcPr>
          <w:p>
            <w:pPr>
              <w:pStyle w:val="36"/>
              <w:rPr>
                <w:rFonts w:cs="Times New Roman"/>
                <w:snapToGrid w:val="0"/>
                <w:color w:val="auto"/>
              </w:rPr>
            </w:pPr>
            <w:r>
              <w:rPr>
                <w:rFonts w:cs="Times New Roman"/>
                <w:snapToGrid w:val="0"/>
                <w:color w:val="auto"/>
              </w:rPr>
              <w:t>NH</w:t>
            </w:r>
            <w:r>
              <w:rPr>
                <w:rFonts w:cs="Times New Roman"/>
                <w:snapToGrid w:val="0"/>
                <w:color w:val="auto"/>
                <w:vertAlign w:val="subscript"/>
              </w:rPr>
              <w:t>3</w:t>
            </w:r>
            <w:r>
              <w:rPr>
                <w:rFonts w:cs="Times New Roman"/>
                <w:snapToGrid w:val="0"/>
                <w:color w:val="auto"/>
              </w:rPr>
              <w:t>-N</w:t>
            </w:r>
            <w:r>
              <w:rPr>
                <w:rFonts w:cs="Times New Roman"/>
                <w:color w:val="auto"/>
              </w:rPr>
              <w:t>（t/a）</w:t>
            </w:r>
          </w:p>
        </w:tc>
        <w:tc>
          <w:tcPr>
            <w:tcW w:w="1652"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348"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806"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652" w:type="dxa"/>
            <w:tcBorders>
              <w:tl2br w:val="nil"/>
              <w:tr2bl w:val="nil"/>
            </w:tcBorders>
            <w:vAlign w:val="center"/>
          </w:tcPr>
          <w:p>
            <w:pPr>
              <w:pStyle w:val="116"/>
              <w:ind w:left="-72" w:leftChars="-30" w:right="-72" w:rightChars="-30"/>
              <w:rPr>
                <w:rFonts w:hint="eastAsia"/>
                <w:color w:val="auto"/>
              </w:rPr>
            </w:pPr>
            <w:r>
              <w:rPr>
                <w:rFonts w:hint="default"/>
                <w:color w:val="auto"/>
                <w:lang w:val="en-US" w:eastAsia="zh-CN"/>
              </w:rPr>
              <w:t xml:space="preserve">0.024 </w:t>
            </w:r>
          </w:p>
        </w:tc>
        <w:tc>
          <w:tcPr>
            <w:tcW w:w="635" w:type="pct"/>
            <w:tcBorders>
              <w:tl2br w:val="nil"/>
              <w:tr2bl w:val="nil"/>
            </w:tcBorders>
            <w:vAlign w:val="center"/>
          </w:tcPr>
          <w:p>
            <w:pPr>
              <w:pStyle w:val="116"/>
              <w:ind w:left="-72" w:leftChars="-30" w:right="-72" w:rightChars="-30"/>
              <w:rPr>
                <w:color w:val="auto"/>
              </w:rPr>
            </w:pPr>
            <w:r>
              <w:rPr>
                <w:rFonts w:hint="eastAsia"/>
                <w:color w:val="auto"/>
              </w:rPr>
              <w:t>/</w:t>
            </w:r>
          </w:p>
        </w:tc>
        <w:tc>
          <w:tcPr>
            <w:tcW w:w="1767" w:type="dxa"/>
            <w:tcBorders>
              <w:tl2br w:val="nil"/>
              <w:tr2bl w:val="nil"/>
            </w:tcBorders>
            <w:vAlign w:val="center"/>
          </w:tcPr>
          <w:p>
            <w:pPr>
              <w:pStyle w:val="116"/>
              <w:ind w:left="-72" w:leftChars="-30" w:right="-72" w:rightChars="-30" w:firstLine="0" w:firstLineChars="0"/>
              <w:rPr>
                <w:color w:val="auto"/>
              </w:rPr>
            </w:pPr>
            <w:r>
              <w:rPr>
                <w:rFonts w:hint="default"/>
                <w:color w:val="auto"/>
                <w:lang w:val="en-US" w:eastAsia="zh-CN"/>
              </w:rPr>
              <w:t xml:space="preserve">0.024 </w:t>
            </w:r>
          </w:p>
        </w:tc>
        <w:tc>
          <w:tcPr>
            <w:tcW w:w="1225" w:type="dxa"/>
            <w:tcBorders>
              <w:tl2br w:val="nil"/>
              <w:tr2bl w:val="nil"/>
            </w:tcBorders>
            <w:vAlign w:val="center"/>
          </w:tcPr>
          <w:p>
            <w:pPr>
              <w:pStyle w:val="116"/>
              <w:ind w:left="-72" w:leftChars="-30" w:right="-72" w:rightChars="-30" w:firstLine="0" w:firstLineChars="0"/>
              <w:rPr>
                <w:color w:val="auto"/>
              </w:rPr>
            </w:pPr>
            <w:r>
              <w:rPr>
                <w:rFonts w:hint="eastAsia"/>
                <w:color w:val="auto"/>
                <w:lang w:val="en-US" w:eastAsia="zh-CN"/>
              </w:rPr>
              <w:t>+</w:t>
            </w:r>
            <w:r>
              <w:rPr>
                <w:rFonts w:hint="default"/>
                <w:color w:val="auto"/>
                <w:lang w:val="en-US" w:eastAsia="zh-CN"/>
              </w:rPr>
              <w:t xml:space="preserve">0.024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8" w:type="pct"/>
            <w:gridSpan w:val="2"/>
            <w:tcBorders>
              <w:tl2br w:val="nil"/>
              <w:tr2bl w:val="nil"/>
            </w:tcBorders>
            <w:vAlign w:val="center"/>
          </w:tcPr>
          <w:p>
            <w:pPr>
              <w:pStyle w:val="36"/>
              <w:rPr>
                <w:rFonts w:cs="Times New Roman"/>
                <w:color w:val="auto"/>
              </w:rPr>
            </w:pPr>
            <w:r>
              <w:rPr>
                <w:rFonts w:cs="Times New Roman"/>
                <w:color w:val="auto"/>
              </w:rPr>
              <w:t>生活垃圾（t/a）</w:t>
            </w:r>
          </w:p>
        </w:tc>
        <w:tc>
          <w:tcPr>
            <w:tcW w:w="1652" w:type="dxa"/>
            <w:tcBorders>
              <w:tl2br w:val="nil"/>
              <w:tr2bl w:val="nil"/>
            </w:tcBorders>
            <w:vAlign w:val="center"/>
          </w:tcPr>
          <w:p>
            <w:pPr>
              <w:pStyle w:val="36"/>
              <w:rPr>
                <w:rFonts w:cs="Times New Roman"/>
                <w:snapToGrid w:val="0"/>
                <w:color w:val="auto"/>
              </w:rPr>
            </w:pPr>
            <w:r>
              <w:rPr>
                <w:rFonts w:cs="Times New Roman"/>
                <w:snapToGrid w:val="0"/>
                <w:color w:val="auto"/>
              </w:rPr>
              <w:t>/</w:t>
            </w:r>
          </w:p>
        </w:tc>
        <w:tc>
          <w:tcPr>
            <w:tcW w:w="1348" w:type="dxa"/>
            <w:tcBorders>
              <w:tl2br w:val="nil"/>
              <w:tr2bl w:val="nil"/>
            </w:tcBorders>
            <w:vAlign w:val="center"/>
          </w:tcPr>
          <w:p>
            <w:pPr>
              <w:pStyle w:val="36"/>
              <w:rPr>
                <w:rFonts w:cs="Times New Roman"/>
                <w:snapToGrid w:val="0"/>
                <w:color w:val="auto"/>
              </w:rPr>
            </w:pPr>
            <w:r>
              <w:rPr>
                <w:rFonts w:cs="Times New Roman"/>
                <w:snapToGrid w:val="0"/>
                <w:color w:val="auto"/>
              </w:rPr>
              <w:t>/</w:t>
            </w:r>
          </w:p>
        </w:tc>
        <w:tc>
          <w:tcPr>
            <w:tcW w:w="1806" w:type="dxa"/>
            <w:tcBorders>
              <w:tl2br w:val="nil"/>
              <w:tr2bl w:val="nil"/>
            </w:tcBorders>
            <w:vAlign w:val="center"/>
          </w:tcPr>
          <w:p>
            <w:pPr>
              <w:pStyle w:val="36"/>
              <w:rPr>
                <w:rFonts w:cs="Times New Roman"/>
                <w:snapToGrid w:val="0"/>
                <w:color w:val="auto"/>
              </w:rPr>
            </w:pPr>
            <w:r>
              <w:rPr>
                <w:rFonts w:cs="Times New Roman"/>
                <w:snapToGrid w:val="0"/>
                <w:color w:val="auto"/>
              </w:rPr>
              <w:t>/</w:t>
            </w:r>
          </w:p>
        </w:tc>
        <w:tc>
          <w:tcPr>
            <w:tcW w:w="560" w:type="pct"/>
            <w:tcBorders>
              <w:tl2br w:val="nil"/>
              <w:tr2bl w:val="nil"/>
            </w:tcBorders>
            <w:vAlign w:val="center"/>
          </w:tcPr>
          <w:p>
            <w:pPr>
              <w:pStyle w:val="116"/>
              <w:ind w:left="-72" w:leftChars="-30" w:right="-72" w:rightChars="-30"/>
              <w:rPr>
                <w:rFonts w:cs="Times New Roman"/>
                <w:snapToGrid w:val="0"/>
                <w:color w:val="auto"/>
              </w:rPr>
            </w:pPr>
            <w:r>
              <w:rPr>
                <w:rFonts w:hint="eastAsia" w:cs="Times New Roman"/>
                <w:snapToGrid w:val="0"/>
                <w:color w:val="auto"/>
              </w:rPr>
              <w:t>5.7</w:t>
            </w:r>
          </w:p>
        </w:tc>
        <w:tc>
          <w:tcPr>
            <w:tcW w:w="1874" w:type="dxa"/>
            <w:tcBorders>
              <w:tl2br w:val="nil"/>
              <w:tr2bl w:val="nil"/>
            </w:tcBorders>
            <w:vAlign w:val="center"/>
          </w:tcPr>
          <w:p>
            <w:pPr>
              <w:pStyle w:val="36"/>
              <w:rPr>
                <w:rFonts w:cs="Times New Roman"/>
                <w:snapToGrid w:val="0"/>
                <w:color w:val="auto"/>
              </w:rPr>
            </w:pPr>
            <w:r>
              <w:rPr>
                <w:rFonts w:cs="Times New Roman"/>
                <w:snapToGrid w:val="0"/>
                <w:color w:val="auto"/>
              </w:rPr>
              <w:t>/</w:t>
            </w:r>
          </w:p>
        </w:tc>
        <w:tc>
          <w:tcPr>
            <w:tcW w:w="599" w:type="pct"/>
            <w:tcBorders>
              <w:tl2br w:val="nil"/>
              <w:tr2bl w:val="nil"/>
            </w:tcBorders>
            <w:vAlign w:val="center"/>
          </w:tcPr>
          <w:p>
            <w:pPr>
              <w:pStyle w:val="116"/>
              <w:ind w:left="-72" w:leftChars="-30" w:right="-72" w:rightChars="-30"/>
              <w:rPr>
                <w:rFonts w:cs="Times New Roman"/>
                <w:color w:val="auto"/>
              </w:rPr>
            </w:pPr>
            <w:r>
              <w:rPr>
                <w:rFonts w:hint="eastAsia" w:cs="Times New Roman"/>
                <w:snapToGrid w:val="0"/>
                <w:color w:val="auto"/>
              </w:rPr>
              <w:t>5.7</w:t>
            </w:r>
          </w:p>
        </w:tc>
        <w:tc>
          <w:tcPr>
            <w:tcW w:w="415" w:type="pct"/>
            <w:tcBorders>
              <w:tl2br w:val="nil"/>
              <w:tr2bl w:val="nil"/>
            </w:tcBorders>
            <w:vAlign w:val="center"/>
          </w:tcPr>
          <w:p>
            <w:pPr>
              <w:pStyle w:val="116"/>
              <w:ind w:left="-72" w:leftChars="-30" w:right="-72" w:rightChars="-30"/>
              <w:rPr>
                <w:rFonts w:cs="Times New Roman"/>
                <w:color w:val="auto"/>
              </w:rPr>
            </w:pPr>
            <w:r>
              <w:rPr>
                <w:rFonts w:hint="eastAsia" w:cs="Times New Roman"/>
                <w:color w:val="auto"/>
              </w:rPr>
              <w:t>+</w:t>
            </w:r>
            <w:r>
              <w:rPr>
                <w:rFonts w:hint="eastAsia" w:cs="Times New Roman"/>
                <w:snapToGrid w:val="0"/>
                <w:color w:val="auto"/>
              </w:rPr>
              <w:t>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vMerge w:val="restart"/>
            <w:tcBorders>
              <w:tl2br w:val="nil"/>
              <w:tr2bl w:val="nil"/>
            </w:tcBorders>
            <w:vAlign w:val="center"/>
          </w:tcPr>
          <w:p>
            <w:pPr>
              <w:pStyle w:val="36"/>
              <w:rPr>
                <w:rFonts w:cs="Times New Roman"/>
                <w:snapToGrid w:val="0"/>
                <w:color w:val="auto"/>
              </w:rPr>
            </w:pPr>
            <w:r>
              <w:rPr>
                <w:rFonts w:cs="Times New Roman"/>
                <w:snapToGrid w:val="0"/>
                <w:color w:val="auto"/>
              </w:rPr>
              <w:t>一般工业固体废物</w:t>
            </w:r>
          </w:p>
        </w:tc>
        <w:tc>
          <w:tcPr>
            <w:tcW w:w="682" w:type="pct"/>
            <w:tcBorders>
              <w:tl2br w:val="nil"/>
              <w:tr2bl w:val="nil"/>
            </w:tcBorders>
            <w:vAlign w:val="center"/>
          </w:tcPr>
          <w:p>
            <w:pPr>
              <w:pStyle w:val="36"/>
              <w:rPr>
                <w:rFonts w:cs="Times New Roman"/>
                <w:color w:val="auto"/>
              </w:rPr>
            </w:pPr>
            <w:r>
              <w:rPr>
                <w:rFonts w:hint="eastAsia"/>
                <w:color w:val="auto"/>
              </w:rPr>
              <w:t>废包装材料</w:t>
            </w:r>
            <w:r>
              <w:rPr>
                <w:rFonts w:cs="Times New Roman"/>
                <w:color w:val="auto"/>
              </w:rPr>
              <w:t>（t/a）</w:t>
            </w:r>
          </w:p>
        </w:tc>
        <w:tc>
          <w:tcPr>
            <w:tcW w:w="1652"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348"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806"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652" w:type="dxa"/>
            <w:tcBorders>
              <w:tl2br w:val="nil"/>
              <w:tr2bl w:val="nil"/>
            </w:tcBorders>
            <w:vAlign w:val="center"/>
          </w:tcPr>
          <w:p>
            <w:pPr>
              <w:pStyle w:val="36"/>
              <w:rPr>
                <w:rFonts w:cs="Times New Roman"/>
                <w:color w:val="auto"/>
              </w:rPr>
            </w:pPr>
            <w:r>
              <w:rPr>
                <w:rFonts w:hint="eastAsia"/>
                <w:color w:val="auto"/>
              </w:rPr>
              <w:t>0.5</w:t>
            </w:r>
          </w:p>
        </w:tc>
        <w:tc>
          <w:tcPr>
            <w:tcW w:w="1874"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767" w:type="dxa"/>
            <w:tcBorders>
              <w:tl2br w:val="nil"/>
              <w:tr2bl w:val="nil"/>
            </w:tcBorders>
            <w:vAlign w:val="center"/>
          </w:tcPr>
          <w:p>
            <w:pPr>
              <w:pStyle w:val="36"/>
              <w:rPr>
                <w:color w:val="auto"/>
              </w:rPr>
            </w:pPr>
            <w:r>
              <w:rPr>
                <w:rFonts w:hint="eastAsia"/>
                <w:color w:val="auto"/>
              </w:rPr>
              <w:t>0.5</w:t>
            </w:r>
          </w:p>
        </w:tc>
        <w:tc>
          <w:tcPr>
            <w:tcW w:w="1225" w:type="dxa"/>
            <w:tcBorders>
              <w:tl2br w:val="nil"/>
              <w:tr2bl w:val="nil"/>
            </w:tcBorders>
            <w:vAlign w:val="center"/>
          </w:tcPr>
          <w:p>
            <w:pPr>
              <w:pStyle w:val="36"/>
              <w:rPr>
                <w:rFonts w:cs="Times New Roman"/>
                <w:color w:val="auto"/>
              </w:rPr>
            </w:pPr>
            <w:r>
              <w:rPr>
                <w:rFonts w:hint="eastAsia" w:cs="Times New Roman"/>
                <w:color w:val="auto"/>
              </w:rPr>
              <w:t>+</w:t>
            </w:r>
            <w:r>
              <w:rPr>
                <w:rFonts w:hint="eastAsia"/>
                <w:color w:val="auto"/>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vMerge w:val="continue"/>
            <w:tcBorders>
              <w:tl2br w:val="nil"/>
              <w:tr2bl w:val="nil"/>
            </w:tcBorders>
            <w:vAlign w:val="center"/>
          </w:tcPr>
          <w:p>
            <w:pPr>
              <w:pStyle w:val="36"/>
              <w:rPr>
                <w:rFonts w:cs="Times New Roman"/>
                <w:snapToGrid w:val="0"/>
                <w:color w:val="auto"/>
              </w:rPr>
            </w:pPr>
          </w:p>
        </w:tc>
        <w:tc>
          <w:tcPr>
            <w:tcW w:w="682" w:type="pct"/>
            <w:tcBorders>
              <w:tl2br w:val="nil"/>
              <w:tr2bl w:val="nil"/>
            </w:tcBorders>
            <w:vAlign w:val="center"/>
          </w:tcPr>
          <w:p>
            <w:pPr>
              <w:pStyle w:val="36"/>
              <w:rPr>
                <w:color w:val="auto"/>
              </w:rPr>
            </w:pPr>
            <w:r>
              <w:rPr>
                <w:rFonts w:hint="eastAsia"/>
                <w:color w:val="auto"/>
              </w:rPr>
              <w:t>废（铜）边角料</w:t>
            </w:r>
          </w:p>
          <w:p>
            <w:pPr>
              <w:pStyle w:val="36"/>
              <w:rPr>
                <w:rFonts w:cs="Times New Roman"/>
                <w:color w:val="auto"/>
              </w:rPr>
            </w:pPr>
            <w:r>
              <w:rPr>
                <w:rFonts w:hint="eastAsia"/>
                <w:color w:val="auto"/>
              </w:rPr>
              <w:t>及不合格品</w:t>
            </w:r>
            <w:r>
              <w:rPr>
                <w:rFonts w:cs="Times New Roman"/>
                <w:color w:val="auto"/>
              </w:rPr>
              <w:t>（t/a）</w:t>
            </w:r>
          </w:p>
        </w:tc>
        <w:tc>
          <w:tcPr>
            <w:tcW w:w="1652"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348"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806"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652" w:type="dxa"/>
            <w:tcBorders>
              <w:tl2br w:val="nil"/>
              <w:tr2bl w:val="nil"/>
            </w:tcBorders>
            <w:vAlign w:val="center"/>
          </w:tcPr>
          <w:p>
            <w:pPr>
              <w:pStyle w:val="36"/>
              <w:rPr>
                <w:rFonts w:cs="Times New Roman"/>
                <w:color w:val="auto"/>
              </w:rPr>
            </w:pPr>
            <w:r>
              <w:rPr>
                <w:rFonts w:hint="eastAsia"/>
                <w:color w:val="auto"/>
              </w:rPr>
              <w:t>90</w:t>
            </w:r>
          </w:p>
        </w:tc>
        <w:tc>
          <w:tcPr>
            <w:tcW w:w="1874"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767" w:type="dxa"/>
            <w:tcBorders>
              <w:tl2br w:val="nil"/>
              <w:tr2bl w:val="nil"/>
            </w:tcBorders>
            <w:vAlign w:val="center"/>
          </w:tcPr>
          <w:p>
            <w:pPr>
              <w:pStyle w:val="36"/>
              <w:rPr>
                <w:color w:val="auto"/>
              </w:rPr>
            </w:pPr>
            <w:r>
              <w:rPr>
                <w:rFonts w:hint="eastAsia"/>
                <w:color w:val="auto"/>
              </w:rPr>
              <w:t>90</w:t>
            </w:r>
          </w:p>
        </w:tc>
        <w:tc>
          <w:tcPr>
            <w:tcW w:w="1225" w:type="dxa"/>
            <w:tcBorders>
              <w:tl2br w:val="nil"/>
              <w:tr2bl w:val="nil"/>
            </w:tcBorders>
            <w:vAlign w:val="center"/>
          </w:tcPr>
          <w:p>
            <w:pPr>
              <w:pStyle w:val="36"/>
              <w:rPr>
                <w:rFonts w:cs="Times New Roman"/>
                <w:color w:val="auto"/>
              </w:rPr>
            </w:pPr>
            <w:r>
              <w:rPr>
                <w:rFonts w:hint="eastAsia" w:cs="Times New Roman"/>
                <w:color w:val="auto"/>
              </w:rPr>
              <w:t>+</w:t>
            </w:r>
            <w:r>
              <w:rPr>
                <w:rFonts w:hint="eastAsia"/>
                <w:color w:val="auto"/>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vMerge w:val="continue"/>
            <w:tcBorders>
              <w:tl2br w:val="nil"/>
              <w:tr2bl w:val="nil"/>
            </w:tcBorders>
            <w:vAlign w:val="center"/>
          </w:tcPr>
          <w:p>
            <w:pPr>
              <w:pStyle w:val="36"/>
              <w:rPr>
                <w:rFonts w:cs="Times New Roman"/>
                <w:snapToGrid w:val="0"/>
                <w:color w:val="auto"/>
              </w:rPr>
            </w:pPr>
          </w:p>
        </w:tc>
        <w:tc>
          <w:tcPr>
            <w:tcW w:w="682" w:type="pct"/>
            <w:tcBorders>
              <w:tl2br w:val="nil"/>
              <w:tr2bl w:val="nil"/>
            </w:tcBorders>
            <w:vAlign w:val="center"/>
          </w:tcPr>
          <w:p>
            <w:pPr>
              <w:pStyle w:val="36"/>
              <w:rPr>
                <w:rFonts w:cs="Times New Roman"/>
                <w:color w:val="auto"/>
              </w:rPr>
            </w:pPr>
            <w:r>
              <w:rPr>
                <w:rFonts w:hint="eastAsia"/>
                <w:color w:val="auto"/>
              </w:rPr>
              <w:t>废模具</w:t>
            </w:r>
            <w:r>
              <w:rPr>
                <w:rFonts w:cs="Times New Roman"/>
                <w:color w:val="auto"/>
              </w:rPr>
              <w:t>（t/a）</w:t>
            </w:r>
          </w:p>
        </w:tc>
        <w:tc>
          <w:tcPr>
            <w:tcW w:w="1652"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348"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806"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652" w:type="dxa"/>
            <w:tcBorders>
              <w:tl2br w:val="nil"/>
              <w:tr2bl w:val="nil"/>
            </w:tcBorders>
            <w:vAlign w:val="center"/>
          </w:tcPr>
          <w:p>
            <w:pPr>
              <w:pStyle w:val="36"/>
              <w:rPr>
                <w:rFonts w:cs="Times New Roman"/>
                <w:color w:val="auto"/>
              </w:rPr>
            </w:pPr>
            <w:r>
              <w:rPr>
                <w:rFonts w:hint="eastAsia"/>
                <w:color w:val="auto"/>
              </w:rPr>
              <w:t>10.5</w:t>
            </w:r>
          </w:p>
        </w:tc>
        <w:tc>
          <w:tcPr>
            <w:tcW w:w="1874"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767" w:type="dxa"/>
            <w:tcBorders>
              <w:tl2br w:val="nil"/>
              <w:tr2bl w:val="nil"/>
            </w:tcBorders>
            <w:vAlign w:val="center"/>
          </w:tcPr>
          <w:p>
            <w:pPr>
              <w:pStyle w:val="36"/>
              <w:rPr>
                <w:color w:val="auto"/>
              </w:rPr>
            </w:pPr>
            <w:r>
              <w:rPr>
                <w:rFonts w:hint="eastAsia"/>
                <w:color w:val="auto"/>
              </w:rPr>
              <w:t>10.5</w:t>
            </w:r>
          </w:p>
        </w:tc>
        <w:tc>
          <w:tcPr>
            <w:tcW w:w="1225" w:type="dxa"/>
            <w:tcBorders>
              <w:tl2br w:val="nil"/>
              <w:tr2bl w:val="nil"/>
            </w:tcBorders>
            <w:vAlign w:val="center"/>
          </w:tcPr>
          <w:p>
            <w:pPr>
              <w:pStyle w:val="36"/>
              <w:rPr>
                <w:rFonts w:cs="Times New Roman"/>
                <w:color w:val="auto"/>
              </w:rPr>
            </w:pPr>
            <w:r>
              <w:rPr>
                <w:rFonts w:hint="eastAsia" w:cs="Times New Roman"/>
                <w:color w:val="auto"/>
              </w:rPr>
              <w:t>+</w:t>
            </w:r>
            <w:r>
              <w:rPr>
                <w:rFonts w:hint="eastAsia"/>
                <w:color w:val="auto"/>
              </w:rPr>
              <w:t>10.5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vMerge w:val="restart"/>
            <w:tcBorders>
              <w:tl2br w:val="nil"/>
              <w:tr2bl w:val="nil"/>
            </w:tcBorders>
            <w:vAlign w:val="center"/>
          </w:tcPr>
          <w:p>
            <w:pPr>
              <w:pStyle w:val="36"/>
              <w:rPr>
                <w:rFonts w:cs="Times New Roman"/>
                <w:snapToGrid w:val="0"/>
                <w:color w:val="auto"/>
              </w:rPr>
            </w:pPr>
            <w:r>
              <w:rPr>
                <w:rFonts w:cs="Times New Roman"/>
                <w:snapToGrid w:val="0"/>
                <w:color w:val="auto"/>
              </w:rPr>
              <w:t>危险废物</w:t>
            </w:r>
          </w:p>
        </w:tc>
        <w:tc>
          <w:tcPr>
            <w:tcW w:w="682" w:type="pct"/>
            <w:tcBorders>
              <w:tl2br w:val="nil"/>
              <w:tr2bl w:val="nil"/>
            </w:tcBorders>
            <w:vAlign w:val="center"/>
          </w:tcPr>
          <w:p>
            <w:pPr>
              <w:pStyle w:val="36"/>
              <w:rPr>
                <w:rFonts w:cs="Times New Roman"/>
                <w:color w:val="auto"/>
              </w:rPr>
            </w:pPr>
            <w:r>
              <w:rPr>
                <w:color w:val="auto"/>
              </w:rPr>
              <w:t>废拉丝液</w:t>
            </w:r>
            <w:r>
              <w:rPr>
                <w:rFonts w:cs="Times New Roman"/>
                <w:color w:val="auto"/>
              </w:rPr>
              <w:t>（t/a）</w:t>
            </w:r>
          </w:p>
        </w:tc>
        <w:tc>
          <w:tcPr>
            <w:tcW w:w="1652"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348"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806"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652" w:type="dxa"/>
            <w:tcBorders>
              <w:tl2br w:val="nil"/>
              <w:tr2bl w:val="nil"/>
            </w:tcBorders>
            <w:vAlign w:val="center"/>
          </w:tcPr>
          <w:p>
            <w:pPr>
              <w:pStyle w:val="36"/>
              <w:rPr>
                <w:rFonts w:cs="Times New Roman"/>
                <w:color w:val="auto"/>
              </w:rPr>
            </w:pPr>
            <w:r>
              <w:rPr>
                <w:rFonts w:hint="eastAsia"/>
                <w:color w:val="auto"/>
              </w:rPr>
              <w:t>31.8</w:t>
            </w:r>
          </w:p>
        </w:tc>
        <w:tc>
          <w:tcPr>
            <w:tcW w:w="1874"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767" w:type="dxa"/>
            <w:tcBorders>
              <w:tl2br w:val="nil"/>
              <w:tr2bl w:val="nil"/>
            </w:tcBorders>
            <w:vAlign w:val="center"/>
          </w:tcPr>
          <w:p>
            <w:pPr>
              <w:pStyle w:val="36"/>
              <w:rPr>
                <w:color w:val="auto"/>
              </w:rPr>
            </w:pPr>
            <w:r>
              <w:rPr>
                <w:rFonts w:hint="eastAsia"/>
                <w:color w:val="auto"/>
              </w:rPr>
              <w:t>31.8</w:t>
            </w:r>
          </w:p>
        </w:tc>
        <w:tc>
          <w:tcPr>
            <w:tcW w:w="1225" w:type="dxa"/>
            <w:tcBorders>
              <w:tl2br w:val="nil"/>
              <w:tr2bl w:val="nil"/>
            </w:tcBorders>
            <w:vAlign w:val="center"/>
          </w:tcPr>
          <w:p>
            <w:pPr>
              <w:pStyle w:val="36"/>
              <w:rPr>
                <w:rFonts w:cs="Times New Roman"/>
                <w:color w:val="auto"/>
              </w:rPr>
            </w:pPr>
            <w:r>
              <w:rPr>
                <w:rFonts w:hint="eastAsia" w:cs="Times New Roman"/>
                <w:color w:val="auto"/>
              </w:rPr>
              <w:t>+</w:t>
            </w:r>
            <w:r>
              <w:rPr>
                <w:rFonts w:hint="eastAsia"/>
                <w:color w:val="auto"/>
              </w:rPr>
              <w:t>31.8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vMerge w:val="continue"/>
            <w:tcBorders>
              <w:tl2br w:val="nil"/>
              <w:tr2bl w:val="nil"/>
            </w:tcBorders>
            <w:vAlign w:val="center"/>
          </w:tcPr>
          <w:p>
            <w:pPr>
              <w:pStyle w:val="36"/>
              <w:rPr>
                <w:rFonts w:cs="Times New Roman"/>
                <w:snapToGrid w:val="0"/>
                <w:color w:val="auto"/>
              </w:rPr>
            </w:pPr>
          </w:p>
        </w:tc>
        <w:tc>
          <w:tcPr>
            <w:tcW w:w="682" w:type="pct"/>
            <w:tcBorders>
              <w:tl2br w:val="nil"/>
              <w:tr2bl w:val="nil"/>
            </w:tcBorders>
            <w:vAlign w:val="center"/>
          </w:tcPr>
          <w:p>
            <w:pPr>
              <w:pStyle w:val="36"/>
              <w:rPr>
                <w:color w:val="auto"/>
              </w:rPr>
            </w:pPr>
            <w:r>
              <w:rPr>
                <w:color w:val="auto"/>
              </w:rPr>
              <w:t>沾有拉丝液的铜泥</w:t>
            </w:r>
            <w:r>
              <w:rPr>
                <w:rFonts w:cs="Times New Roman"/>
                <w:color w:val="auto"/>
              </w:rPr>
              <w:t>（t/a）</w:t>
            </w:r>
          </w:p>
        </w:tc>
        <w:tc>
          <w:tcPr>
            <w:tcW w:w="1652" w:type="dxa"/>
            <w:tcBorders>
              <w:tl2br w:val="nil"/>
              <w:tr2bl w:val="nil"/>
            </w:tcBorders>
            <w:vAlign w:val="center"/>
          </w:tcPr>
          <w:p>
            <w:pPr>
              <w:pStyle w:val="36"/>
              <w:rPr>
                <w:rFonts w:cs="Times New Roman"/>
                <w:snapToGrid w:val="0"/>
                <w:color w:val="auto"/>
              </w:rPr>
            </w:pPr>
            <w:r>
              <w:rPr>
                <w:rFonts w:cs="Times New Roman"/>
                <w:snapToGrid w:val="0"/>
                <w:color w:val="auto"/>
              </w:rPr>
              <w:t>/</w:t>
            </w:r>
          </w:p>
        </w:tc>
        <w:tc>
          <w:tcPr>
            <w:tcW w:w="1348" w:type="dxa"/>
            <w:tcBorders>
              <w:tl2br w:val="nil"/>
              <w:tr2bl w:val="nil"/>
            </w:tcBorders>
            <w:vAlign w:val="center"/>
          </w:tcPr>
          <w:p>
            <w:pPr>
              <w:pStyle w:val="36"/>
              <w:rPr>
                <w:rFonts w:cs="Times New Roman"/>
                <w:snapToGrid w:val="0"/>
                <w:color w:val="auto"/>
              </w:rPr>
            </w:pPr>
            <w:r>
              <w:rPr>
                <w:rFonts w:cs="Times New Roman"/>
                <w:snapToGrid w:val="0"/>
                <w:color w:val="auto"/>
              </w:rPr>
              <w:t>/</w:t>
            </w:r>
          </w:p>
        </w:tc>
        <w:tc>
          <w:tcPr>
            <w:tcW w:w="1806" w:type="dxa"/>
            <w:tcBorders>
              <w:tl2br w:val="nil"/>
              <w:tr2bl w:val="nil"/>
            </w:tcBorders>
            <w:vAlign w:val="center"/>
          </w:tcPr>
          <w:p>
            <w:pPr>
              <w:pStyle w:val="36"/>
              <w:rPr>
                <w:rFonts w:cs="Times New Roman"/>
                <w:snapToGrid w:val="0"/>
                <w:color w:val="auto"/>
              </w:rPr>
            </w:pPr>
            <w:r>
              <w:rPr>
                <w:rFonts w:cs="Times New Roman"/>
                <w:snapToGrid w:val="0"/>
                <w:color w:val="auto"/>
              </w:rPr>
              <w:t>/</w:t>
            </w:r>
          </w:p>
        </w:tc>
        <w:tc>
          <w:tcPr>
            <w:tcW w:w="1652" w:type="dxa"/>
            <w:tcBorders>
              <w:tl2br w:val="nil"/>
              <w:tr2bl w:val="nil"/>
            </w:tcBorders>
            <w:vAlign w:val="center"/>
          </w:tcPr>
          <w:p>
            <w:pPr>
              <w:pStyle w:val="36"/>
              <w:rPr>
                <w:color w:val="auto"/>
              </w:rPr>
            </w:pPr>
            <w:r>
              <w:rPr>
                <w:rFonts w:hint="eastAsia"/>
                <w:color w:val="auto"/>
              </w:rPr>
              <w:t>1.0</w:t>
            </w:r>
          </w:p>
        </w:tc>
        <w:tc>
          <w:tcPr>
            <w:tcW w:w="1874" w:type="dxa"/>
            <w:tcBorders>
              <w:tl2br w:val="nil"/>
              <w:tr2bl w:val="nil"/>
            </w:tcBorders>
            <w:vAlign w:val="center"/>
          </w:tcPr>
          <w:p>
            <w:pPr>
              <w:pStyle w:val="36"/>
              <w:rPr>
                <w:rFonts w:cs="Times New Roman"/>
                <w:snapToGrid w:val="0"/>
                <w:color w:val="auto"/>
              </w:rPr>
            </w:pPr>
            <w:r>
              <w:rPr>
                <w:rFonts w:cs="Times New Roman"/>
                <w:snapToGrid w:val="0"/>
                <w:color w:val="auto"/>
              </w:rPr>
              <w:t>/</w:t>
            </w:r>
          </w:p>
        </w:tc>
        <w:tc>
          <w:tcPr>
            <w:tcW w:w="1767" w:type="dxa"/>
            <w:tcBorders>
              <w:tl2br w:val="nil"/>
              <w:tr2bl w:val="nil"/>
            </w:tcBorders>
            <w:vAlign w:val="center"/>
          </w:tcPr>
          <w:p>
            <w:pPr>
              <w:pStyle w:val="36"/>
              <w:rPr>
                <w:color w:val="auto"/>
              </w:rPr>
            </w:pPr>
            <w:r>
              <w:rPr>
                <w:rFonts w:hint="eastAsia"/>
                <w:color w:val="auto"/>
              </w:rPr>
              <w:t>1.0</w:t>
            </w:r>
          </w:p>
        </w:tc>
        <w:tc>
          <w:tcPr>
            <w:tcW w:w="1225" w:type="dxa"/>
            <w:tcBorders>
              <w:tl2br w:val="nil"/>
              <w:tr2bl w:val="nil"/>
            </w:tcBorders>
            <w:vAlign w:val="center"/>
          </w:tcPr>
          <w:p>
            <w:pPr>
              <w:pStyle w:val="36"/>
              <w:rPr>
                <w:rFonts w:cs="Times New Roman"/>
                <w:color w:val="auto"/>
              </w:rPr>
            </w:pPr>
            <w:r>
              <w:rPr>
                <w:rFonts w:hint="eastAsia" w:cs="Times New Roman"/>
                <w:color w:val="auto"/>
              </w:rPr>
              <w:t>+</w:t>
            </w:r>
            <w:r>
              <w:rPr>
                <w:rFonts w:hint="eastAsia"/>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vMerge w:val="continue"/>
            <w:tcBorders>
              <w:tl2br w:val="nil"/>
              <w:tr2bl w:val="nil"/>
            </w:tcBorders>
            <w:vAlign w:val="center"/>
          </w:tcPr>
          <w:p>
            <w:pPr>
              <w:pStyle w:val="36"/>
              <w:rPr>
                <w:rFonts w:cs="Times New Roman"/>
                <w:snapToGrid w:val="0"/>
                <w:color w:val="auto"/>
              </w:rPr>
            </w:pPr>
          </w:p>
        </w:tc>
        <w:tc>
          <w:tcPr>
            <w:tcW w:w="682" w:type="pct"/>
            <w:tcBorders>
              <w:tl2br w:val="nil"/>
              <w:tr2bl w:val="nil"/>
            </w:tcBorders>
            <w:vAlign w:val="center"/>
          </w:tcPr>
          <w:p>
            <w:pPr>
              <w:pStyle w:val="36"/>
              <w:rPr>
                <w:rFonts w:cs="Times New Roman"/>
                <w:color w:val="auto"/>
              </w:rPr>
            </w:pPr>
            <w:r>
              <w:rPr>
                <w:rFonts w:hint="eastAsia"/>
                <w:color w:val="auto"/>
              </w:rPr>
              <w:t>废毛毡（含拉丝液）</w:t>
            </w:r>
            <w:r>
              <w:rPr>
                <w:rFonts w:cs="Times New Roman"/>
                <w:color w:val="auto"/>
              </w:rPr>
              <w:t>（t/a）</w:t>
            </w:r>
          </w:p>
        </w:tc>
        <w:tc>
          <w:tcPr>
            <w:tcW w:w="1652"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348"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806"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652" w:type="dxa"/>
            <w:tcBorders>
              <w:tl2br w:val="nil"/>
              <w:tr2bl w:val="nil"/>
            </w:tcBorders>
            <w:vAlign w:val="center"/>
          </w:tcPr>
          <w:p>
            <w:pPr>
              <w:pStyle w:val="36"/>
              <w:rPr>
                <w:rFonts w:cs="Times New Roman"/>
                <w:color w:val="auto"/>
              </w:rPr>
            </w:pPr>
            <w:r>
              <w:rPr>
                <w:rFonts w:hint="eastAsia"/>
                <w:color w:val="auto"/>
              </w:rPr>
              <w:t>9.0</w:t>
            </w:r>
          </w:p>
        </w:tc>
        <w:tc>
          <w:tcPr>
            <w:tcW w:w="1874"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767" w:type="dxa"/>
            <w:tcBorders>
              <w:tl2br w:val="nil"/>
              <w:tr2bl w:val="nil"/>
            </w:tcBorders>
            <w:vAlign w:val="center"/>
          </w:tcPr>
          <w:p>
            <w:pPr>
              <w:pStyle w:val="36"/>
              <w:rPr>
                <w:color w:val="auto"/>
              </w:rPr>
            </w:pPr>
            <w:r>
              <w:rPr>
                <w:rFonts w:hint="eastAsia"/>
                <w:color w:val="auto"/>
              </w:rPr>
              <w:t>9.0</w:t>
            </w:r>
          </w:p>
        </w:tc>
        <w:tc>
          <w:tcPr>
            <w:tcW w:w="1225" w:type="dxa"/>
            <w:tcBorders>
              <w:tl2br w:val="nil"/>
              <w:tr2bl w:val="nil"/>
            </w:tcBorders>
            <w:vAlign w:val="center"/>
          </w:tcPr>
          <w:p>
            <w:pPr>
              <w:pStyle w:val="36"/>
              <w:rPr>
                <w:rFonts w:cs="Times New Roman"/>
                <w:color w:val="auto"/>
              </w:rPr>
            </w:pPr>
            <w:r>
              <w:rPr>
                <w:rFonts w:hint="eastAsia" w:cs="Times New Roman"/>
                <w:color w:val="auto"/>
              </w:rPr>
              <w:t>+</w:t>
            </w:r>
            <w:r>
              <w:rPr>
                <w:rFonts w:hint="eastAsia"/>
                <w:color w:val="auto"/>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vMerge w:val="continue"/>
            <w:tcBorders>
              <w:tl2br w:val="nil"/>
              <w:tr2bl w:val="nil"/>
            </w:tcBorders>
            <w:vAlign w:val="center"/>
          </w:tcPr>
          <w:p>
            <w:pPr>
              <w:pStyle w:val="36"/>
              <w:rPr>
                <w:rFonts w:cs="Times New Roman"/>
                <w:snapToGrid w:val="0"/>
                <w:color w:val="auto"/>
              </w:rPr>
            </w:pPr>
          </w:p>
        </w:tc>
        <w:tc>
          <w:tcPr>
            <w:tcW w:w="682" w:type="pct"/>
            <w:tcBorders>
              <w:tl2br w:val="nil"/>
              <w:tr2bl w:val="nil"/>
            </w:tcBorders>
            <w:vAlign w:val="center"/>
          </w:tcPr>
          <w:p>
            <w:pPr>
              <w:pStyle w:val="36"/>
              <w:rPr>
                <w:rFonts w:cs="Times New Roman"/>
                <w:color w:val="auto"/>
              </w:rPr>
            </w:pPr>
            <w:r>
              <w:rPr>
                <w:rFonts w:hint="eastAsia"/>
                <w:color w:val="auto"/>
              </w:rPr>
              <w:t>废液压油</w:t>
            </w:r>
            <w:r>
              <w:rPr>
                <w:rFonts w:cs="Times New Roman"/>
                <w:color w:val="auto"/>
              </w:rPr>
              <w:t>（t/a）</w:t>
            </w:r>
          </w:p>
        </w:tc>
        <w:tc>
          <w:tcPr>
            <w:tcW w:w="1652"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348"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806"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652" w:type="dxa"/>
            <w:tcBorders>
              <w:tl2br w:val="nil"/>
              <w:tr2bl w:val="nil"/>
            </w:tcBorders>
            <w:vAlign w:val="center"/>
          </w:tcPr>
          <w:p>
            <w:pPr>
              <w:pStyle w:val="36"/>
              <w:rPr>
                <w:rFonts w:cs="Times New Roman"/>
                <w:color w:val="auto"/>
              </w:rPr>
            </w:pPr>
            <w:r>
              <w:rPr>
                <w:rFonts w:hint="eastAsia"/>
                <w:color w:val="auto"/>
              </w:rPr>
              <w:t>3.18</w:t>
            </w:r>
          </w:p>
        </w:tc>
        <w:tc>
          <w:tcPr>
            <w:tcW w:w="1874"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767" w:type="dxa"/>
            <w:tcBorders>
              <w:tl2br w:val="nil"/>
              <w:tr2bl w:val="nil"/>
            </w:tcBorders>
            <w:vAlign w:val="center"/>
          </w:tcPr>
          <w:p>
            <w:pPr>
              <w:pStyle w:val="36"/>
              <w:rPr>
                <w:color w:val="auto"/>
              </w:rPr>
            </w:pPr>
            <w:r>
              <w:rPr>
                <w:rFonts w:hint="eastAsia"/>
                <w:color w:val="auto"/>
              </w:rPr>
              <w:t>3.18</w:t>
            </w:r>
          </w:p>
        </w:tc>
        <w:tc>
          <w:tcPr>
            <w:tcW w:w="1225" w:type="dxa"/>
            <w:tcBorders>
              <w:tl2br w:val="nil"/>
              <w:tr2bl w:val="nil"/>
            </w:tcBorders>
            <w:vAlign w:val="center"/>
          </w:tcPr>
          <w:p>
            <w:pPr>
              <w:pStyle w:val="36"/>
              <w:rPr>
                <w:rFonts w:cs="Times New Roman"/>
                <w:color w:val="auto"/>
              </w:rPr>
            </w:pPr>
            <w:r>
              <w:rPr>
                <w:rFonts w:hint="eastAsia" w:cs="Times New Roman"/>
                <w:color w:val="auto"/>
              </w:rPr>
              <w:t>+</w:t>
            </w:r>
            <w:r>
              <w:rPr>
                <w:rFonts w:hint="eastAsia"/>
                <w:color w:val="auto"/>
              </w:rPr>
              <w:t>3.18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vMerge w:val="continue"/>
            <w:tcBorders>
              <w:tl2br w:val="nil"/>
              <w:tr2bl w:val="nil"/>
            </w:tcBorders>
            <w:vAlign w:val="center"/>
          </w:tcPr>
          <w:p>
            <w:pPr>
              <w:pStyle w:val="36"/>
              <w:rPr>
                <w:rFonts w:cs="Times New Roman"/>
                <w:snapToGrid w:val="0"/>
                <w:color w:val="auto"/>
              </w:rPr>
            </w:pPr>
          </w:p>
        </w:tc>
        <w:tc>
          <w:tcPr>
            <w:tcW w:w="682" w:type="pct"/>
            <w:tcBorders>
              <w:tl2br w:val="nil"/>
              <w:tr2bl w:val="nil"/>
            </w:tcBorders>
            <w:vAlign w:val="center"/>
          </w:tcPr>
          <w:p>
            <w:pPr>
              <w:pStyle w:val="36"/>
              <w:rPr>
                <w:rFonts w:cs="Times New Roman"/>
                <w:color w:val="auto"/>
              </w:rPr>
            </w:pPr>
            <w:r>
              <w:rPr>
                <w:rFonts w:hint="eastAsia"/>
                <w:color w:val="auto"/>
              </w:rPr>
              <w:t>废润滑油</w:t>
            </w:r>
            <w:r>
              <w:rPr>
                <w:rFonts w:cs="Times New Roman"/>
                <w:color w:val="auto"/>
              </w:rPr>
              <w:t>（t/a）</w:t>
            </w:r>
          </w:p>
        </w:tc>
        <w:tc>
          <w:tcPr>
            <w:tcW w:w="1652"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348"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806"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652" w:type="dxa"/>
            <w:tcBorders>
              <w:tl2br w:val="nil"/>
              <w:tr2bl w:val="nil"/>
            </w:tcBorders>
            <w:vAlign w:val="center"/>
          </w:tcPr>
          <w:p>
            <w:pPr>
              <w:pStyle w:val="36"/>
              <w:rPr>
                <w:rFonts w:hint="default" w:eastAsia="宋体" w:cs="Times New Roman"/>
                <w:color w:val="auto"/>
                <w:lang w:val="en-US" w:eastAsia="zh-CN"/>
              </w:rPr>
            </w:pPr>
            <w:r>
              <w:rPr>
                <w:rFonts w:hint="eastAsia"/>
                <w:color w:val="auto"/>
              </w:rPr>
              <w:t>0.</w:t>
            </w:r>
            <w:r>
              <w:rPr>
                <w:rFonts w:hint="eastAsia"/>
                <w:color w:val="auto"/>
                <w:lang w:val="en-US" w:eastAsia="zh-CN"/>
              </w:rPr>
              <w:t>34</w:t>
            </w:r>
          </w:p>
        </w:tc>
        <w:tc>
          <w:tcPr>
            <w:tcW w:w="1874"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767" w:type="dxa"/>
            <w:tcBorders>
              <w:tl2br w:val="nil"/>
              <w:tr2bl w:val="nil"/>
            </w:tcBorders>
            <w:vAlign w:val="center"/>
          </w:tcPr>
          <w:p>
            <w:pPr>
              <w:pStyle w:val="36"/>
              <w:rPr>
                <w:rFonts w:hint="default" w:eastAsia="宋体"/>
                <w:color w:val="auto"/>
                <w:lang w:val="en-US" w:eastAsia="zh-CN"/>
              </w:rPr>
            </w:pPr>
            <w:r>
              <w:rPr>
                <w:rFonts w:hint="eastAsia"/>
                <w:color w:val="auto"/>
              </w:rPr>
              <w:t>0.</w:t>
            </w:r>
            <w:r>
              <w:rPr>
                <w:rFonts w:hint="eastAsia"/>
                <w:color w:val="auto"/>
                <w:lang w:val="en-US" w:eastAsia="zh-CN"/>
              </w:rPr>
              <w:t>34</w:t>
            </w:r>
          </w:p>
        </w:tc>
        <w:tc>
          <w:tcPr>
            <w:tcW w:w="1225" w:type="dxa"/>
            <w:tcBorders>
              <w:tl2br w:val="nil"/>
              <w:tr2bl w:val="nil"/>
            </w:tcBorders>
            <w:vAlign w:val="center"/>
          </w:tcPr>
          <w:p>
            <w:pPr>
              <w:pStyle w:val="36"/>
              <w:rPr>
                <w:rFonts w:hint="default" w:eastAsia="宋体" w:cs="Times New Roman"/>
                <w:color w:val="auto"/>
                <w:lang w:val="en-US" w:eastAsia="zh-CN"/>
              </w:rPr>
            </w:pPr>
            <w:r>
              <w:rPr>
                <w:rFonts w:hint="eastAsia" w:cs="Times New Roman"/>
                <w:color w:val="auto"/>
              </w:rPr>
              <w:t>+</w:t>
            </w:r>
            <w:r>
              <w:rPr>
                <w:rFonts w:hint="eastAsia"/>
                <w:color w:val="auto"/>
              </w:rPr>
              <w:t>0.</w:t>
            </w:r>
            <w:r>
              <w:rPr>
                <w:rFonts w:hint="eastAsia"/>
                <w:color w:val="auto"/>
                <w:lang w:val="en-US" w:eastAsia="zh-CN"/>
              </w:rPr>
              <w:t>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6" w:type="pct"/>
            <w:vMerge w:val="continue"/>
            <w:tcBorders>
              <w:tl2br w:val="nil"/>
              <w:tr2bl w:val="nil"/>
            </w:tcBorders>
            <w:vAlign w:val="center"/>
          </w:tcPr>
          <w:p>
            <w:pPr>
              <w:pStyle w:val="36"/>
              <w:rPr>
                <w:rFonts w:cs="Times New Roman"/>
                <w:snapToGrid w:val="0"/>
                <w:color w:val="auto"/>
              </w:rPr>
            </w:pPr>
          </w:p>
        </w:tc>
        <w:tc>
          <w:tcPr>
            <w:tcW w:w="682" w:type="pct"/>
            <w:tcBorders>
              <w:tl2br w:val="nil"/>
              <w:tr2bl w:val="nil"/>
            </w:tcBorders>
            <w:vAlign w:val="center"/>
          </w:tcPr>
          <w:p>
            <w:pPr>
              <w:pStyle w:val="36"/>
              <w:rPr>
                <w:rFonts w:cs="Times New Roman"/>
                <w:color w:val="auto"/>
              </w:rPr>
            </w:pPr>
            <w:r>
              <w:rPr>
                <w:rFonts w:hint="eastAsia"/>
                <w:color w:val="auto"/>
              </w:rPr>
              <w:t>废油桶</w:t>
            </w:r>
            <w:r>
              <w:rPr>
                <w:rFonts w:cs="Times New Roman"/>
                <w:color w:val="auto"/>
              </w:rPr>
              <w:t>（t/a）</w:t>
            </w:r>
          </w:p>
        </w:tc>
        <w:tc>
          <w:tcPr>
            <w:tcW w:w="1652"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348"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806"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652" w:type="dxa"/>
            <w:tcBorders>
              <w:tl2br w:val="nil"/>
              <w:tr2bl w:val="nil"/>
            </w:tcBorders>
            <w:vAlign w:val="center"/>
          </w:tcPr>
          <w:p>
            <w:pPr>
              <w:pStyle w:val="36"/>
              <w:rPr>
                <w:rFonts w:cs="Times New Roman"/>
                <w:color w:val="auto"/>
              </w:rPr>
            </w:pPr>
            <w:r>
              <w:rPr>
                <w:rFonts w:hint="eastAsia"/>
                <w:color w:val="auto"/>
              </w:rPr>
              <w:t>0.72</w:t>
            </w:r>
          </w:p>
        </w:tc>
        <w:tc>
          <w:tcPr>
            <w:tcW w:w="1874" w:type="dxa"/>
            <w:tcBorders>
              <w:tl2br w:val="nil"/>
              <w:tr2bl w:val="nil"/>
            </w:tcBorders>
            <w:vAlign w:val="center"/>
          </w:tcPr>
          <w:p>
            <w:pPr>
              <w:pStyle w:val="116"/>
              <w:ind w:left="-72" w:leftChars="-30" w:right="-72" w:rightChars="-30"/>
              <w:rPr>
                <w:rFonts w:cs="Times New Roman"/>
                <w:snapToGrid w:val="0"/>
                <w:color w:val="auto"/>
              </w:rPr>
            </w:pPr>
            <w:r>
              <w:rPr>
                <w:rFonts w:hint="eastAsia"/>
                <w:color w:val="auto"/>
              </w:rPr>
              <w:t>/</w:t>
            </w:r>
          </w:p>
        </w:tc>
        <w:tc>
          <w:tcPr>
            <w:tcW w:w="1767" w:type="dxa"/>
            <w:tcBorders>
              <w:tl2br w:val="nil"/>
              <w:tr2bl w:val="nil"/>
            </w:tcBorders>
            <w:vAlign w:val="center"/>
          </w:tcPr>
          <w:p>
            <w:pPr>
              <w:pStyle w:val="36"/>
              <w:rPr>
                <w:color w:val="auto"/>
              </w:rPr>
            </w:pPr>
            <w:r>
              <w:rPr>
                <w:rFonts w:hint="eastAsia"/>
                <w:color w:val="auto"/>
              </w:rPr>
              <w:t>0.72</w:t>
            </w:r>
          </w:p>
        </w:tc>
        <w:tc>
          <w:tcPr>
            <w:tcW w:w="1225" w:type="dxa"/>
            <w:tcBorders>
              <w:tl2br w:val="nil"/>
              <w:tr2bl w:val="nil"/>
            </w:tcBorders>
            <w:vAlign w:val="center"/>
          </w:tcPr>
          <w:p>
            <w:pPr>
              <w:pStyle w:val="36"/>
              <w:rPr>
                <w:rFonts w:cs="Times New Roman"/>
                <w:color w:val="auto"/>
              </w:rPr>
            </w:pPr>
            <w:r>
              <w:rPr>
                <w:rFonts w:hint="eastAsia" w:cs="Times New Roman"/>
                <w:color w:val="auto"/>
              </w:rPr>
              <w:t>+</w:t>
            </w:r>
            <w:r>
              <w:rPr>
                <w:rFonts w:hint="eastAsia"/>
                <w:color w:val="auto"/>
              </w:rPr>
              <w:t>0.72</w:t>
            </w:r>
          </w:p>
        </w:tc>
      </w:tr>
    </w:tbl>
    <w:p>
      <w:pPr>
        <w:pStyle w:val="36"/>
        <w:jc w:val="left"/>
        <w:rPr>
          <w:rFonts w:cs="Times New Roman"/>
          <w:color w:val="auto"/>
        </w:rPr>
      </w:pPr>
      <w:r>
        <w:rPr>
          <w:rFonts w:cs="Times New Roman"/>
          <w:snapToGrid w:val="0"/>
          <w:color w:val="auto"/>
        </w:rPr>
        <w:t>注：</w:t>
      </w:r>
      <w:r>
        <w:rPr>
          <w:rFonts w:cs="Times New Roman"/>
          <w:snapToGrid w:val="0"/>
          <w:color w:val="auto"/>
          <w:spacing w:val="-16"/>
        </w:rPr>
        <w:fldChar w:fldCharType="begin"/>
      </w:r>
      <w:r>
        <w:rPr>
          <w:rFonts w:cs="Times New Roman"/>
          <w:snapToGrid w:val="0"/>
          <w:color w:val="auto"/>
          <w:spacing w:val="-16"/>
        </w:rPr>
        <w:instrText xml:space="preserve"> = 6 \* GB3 \* MERGEFORMAT </w:instrText>
      </w:r>
      <w:r>
        <w:rPr>
          <w:rFonts w:cs="Times New Roman"/>
          <w:snapToGrid w:val="0"/>
          <w:color w:val="auto"/>
          <w:spacing w:val="-16"/>
        </w:rPr>
        <w:fldChar w:fldCharType="separate"/>
      </w:r>
      <w:r>
        <w:rPr>
          <w:rFonts w:hint="eastAsia"/>
          <w:color w:val="auto"/>
        </w:rPr>
        <w:t>⑥</w:t>
      </w:r>
      <w:r>
        <w:rPr>
          <w:rFonts w:cs="Times New Roman"/>
          <w:snapToGrid w:val="0"/>
          <w:color w:val="auto"/>
          <w:spacing w:val="-16"/>
        </w:rPr>
        <w:fldChar w:fldCharType="end"/>
      </w:r>
      <w:r>
        <w:rPr>
          <w:rFonts w:cs="Times New Roman"/>
          <w:snapToGrid w:val="0"/>
          <w:color w:val="auto"/>
          <w:spacing w:val="-16"/>
        </w:rPr>
        <w:t>=</w:t>
      </w:r>
      <w:r>
        <w:rPr>
          <w:rFonts w:cs="Times New Roman"/>
          <w:snapToGrid w:val="0"/>
          <w:color w:val="auto"/>
        </w:rPr>
        <w:fldChar w:fldCharType="begin"/>
      </w:r>
      <w:r>
        <w:rPr>
          <w:rFonts w:cs="Times New Roman"/>
          <w:snapToGrid w:val="0"/>
          <w:color w:val="auto"/>
        </w:rPr>
        <w:instrText xml:space="preserve"> = 1 \* GB3 \* MERGEFORMAT </w:instrText>
      </w:r>
      <w:r>
        <w:rPr>
          <w:rFonts w:cs="Times New Roman"/>
          <w:snapToGrid w:val="0"/>
          <w:color w:val="auto"/>
        </w:rPr>
        <w:fldChar w:fldCharType="separate"/>
      </w:r>
      <w:r>
        <w:rPr>
          <w:rFonts w:hint="eastAsia"/>
          <w:color w:val="auto"/>
        </w:rPr>
        <w:t>①</w:t>
      </w:r>
      <w:r>
        <w:rPr>
          <w:rFonts w:cs="Times New Roman"/>
          <w:snapToGrid w:val="0"/>
          <w:color w:val="auto"/>
        </w:rPr>
        <w:fldChar w:fldCharType="end"/>
      </w:r>
      <w:r>
        <w:rPr>
          <w:rFonts w:cs="Times New Roman"/>
          <w:snapToGrid w:val="0"/>
          <w:color w:val="auto"/>
        </w:rPr>
        <w:t>+</w:t>
      </w:r>
      <w:r>
        <w:rPr>
          <w:rFonts w:cs="Times New Roman"/>
          <w:snapToGrid w:val="0"/>
          <w:color w:val="auto"/>
        </w:rPr>
        <w:fldChar w:fldCharType="begin"/>
      </w:r>
      <w:r>
        <w:rPr>
          <w:rFonts w:cs="Times New Roman"/>
          <w:snapToGrid w:val="0"/>
          <w:color w:val="auto"/>
        </w:rPr>
        <w:instrText xml:space="preserve"> = 3 \* GB3 \* MERGEFORMAT </w:instrText>
      </w:r>
      <w:r>
        <w:rPr>
          <w:rFonts w:cs="Times New Roman"/>
          <w:snapToGrid w:val="0"/>
          <w:color w:val="auto"/>
        </w:rPr>
        <w:fldChar w:fldCharType="separate"/>
      </w:r>
      <w:r>
        <w:rPr>
          <w:rFonts w:hint="eastAsia"/>
          <w:color w:val="auto"/>
        </w:rPr>
        <w:t>③</w:t>
      </w:r>
      <w:r>
        <w:rPr>
          <w:rFonts w:cs="Times New Roman"/>
          <w:snapToGrid w:val="0"/>
          <w:color w:val="auto"/>
        </w:rPr>
        <w:fldChar w:fldCharType="end"/>
      </w:r>
      <w:r>
        <w:rPr>
          <w:rFonts w:cs="Times New Roman"/>
          <w:snapToGrid w:val="0"/>
          <w:color w:val="auto"/>
        </w:rPr>
        <w:t>+</w:t>
      </w:r>
      <w:r>
        <w:rPr>
          <w:rFonts w:cs="Times New Roman"/>
          <w:snapToGrid w:val="0"/>
          <w:color w:val="auto"/>
        </w:rPr>
        <w:fldChar w:fldCharType="begin"/>
      </w:r>
      <w:r>
        <w:rPr>
          <w:rFonts w:cs="Times New Roman"/>
          <w:snapToGrid w:val="0"/>
          <w:color w:val="auto"/>
        </w:rPr>
        <w:instrText xml:space="preserve"> = 4 \* GB3 \* MERGEFORMAT </w:instrText>
      </w:r>
      <w:r>
        <w:rPr>
          <w:rFonts w:cs="Times New Roman"/>
          <w:snapToGrid w:val="0"/>
          <w:color w:val="auto"/>
        </w:rPr>
        <w:fldChar w:fldCharType="separate"/>
      </w:r>
      <w:r>
        <w:rPr>
          <w:rFonts w:hint="eastAsia"/>
          <w:color w:val="auto"/>
        </w:rPr>
        <w:t>④</w:t>
      </w:r>
      <w:r>
        <w:rPr>
          <w:rFonts w:cs="Times New Roman"/>
          <w:snapToGrid w:val="0"/>
          <w:color w:val="auto"/>
        </w:rPr>
        <w:fldChar w:fldCharType="end"/>
      </w:r>
      <w:r>
        <w:rPr>
          <w:rFonts w:cs="Times New Roman"/>
          <w:snapToGrid w:val="0"/>
          <w:color w:val="auto"/>
        </w:rPr>
        <w:t>-</w:t>
      </w:r>
      <w:r>
        <w:rPr>
          <w:rFonts w:cs="Times New Roman"/>
          <w:snapToGrid w:val="0"/>
          <w:color w:val="auto"/>
          <w:spacing w:val="-16"/>
        </w:rPr>
        <w:fldChar w:fldCharType="begin"/>
      </w:r>
      <w:r>
        <w:rPr>
          <w:rFonts w:cs="Times New Roman"/>
          <w:snapToGrid w:val="0"/>
          <w:color w:val="auto"/>
          <w:spacing w:val="-16"/>
        </w:rPr>
        <w:instrText xml:space="preserve"> = 5 \* GB3 \* MERGEFORMAT </w:instrText>
      </w:r>
      <w:r>
        <w:rPr>
          <w:rFonts w:cs="Times New Roman"/>
          <w:snapToGrid w:val="0"/>
          <w:color w:val="auto"/>
          <w:spacing w:val="-16"/>
        </w:rPr>
        <w:fldChar w:fldCharType="separate"/>
      </w:r>
      <w:r>
        <w:rPr>
          <w:rFonts w:hint="eastAsia"/>
          <w:color w:val="auto"/>
        </w:rPr>
        <w:t>⑤</w:t>
      </w:r>
      <w:r>
        <w:rPr>
          <w:rFonts w:cs="Times New Roman"/>
          <w:snapToGrid w:val="0"/>
          <w:color w:val="auto"/>
          <w:spacing w:val="-16"/>
        </w:rPr>
        <w:fldChar w:fldCharType="end"/>
      </w:r>
      <w:r>
        <w:rPr>
          <w:rFonts w:cs="Times New Roman"/>
          <w:snapToGrid w:val="0"/>
          <w:color w:val="auto"/>
          <w:spacing w:val="-16"/>
        </w:rPr>
        <w:t>；</w:t>
      </w:r>
      <w:r>
        <w:rPr>
          <w:rFonts w:cs="Times New Roman"/>
          <w:snapToGrid w:val="0"/>
          <w:color w:val="auto"/>
        </w:rPr>
        <w:fldChar w:fldCharType="begin"/>
      </w:r>
      <w:r>
        <w:rPr>
          <w:rFonts w:cs="Times New Roman"/>
          <w:snapToGrid w:val="0"/>
          <w:color w:val="auto"/>
        </w:rPr>
        <w:instrText xml:space="preserve"> = 7 \* GB3 \* MERGEFORMAT </w:instrText>
      </w:r>
      <w:r>
        <w:rPr>
          <w:rFonts w:cs="Times New Roman"/>
          <w:snapToGrid w:val="0"/>
          <w:color w:val="auto"/>
        </w:rPr>
        <w:fldChar w:fldCharType="separate"/>
      </w:r>
      <w:r>
        <w:rPr>
          <w:rFonts w:hint="eastAsia"/>
          <w:color w:val="auto"/>
        </w:rPr>
        <w:t>⑦</w:t>
      </w:r>
      <w:r>
        <w:rPr>
          <w:rFonts w:cs="Times New Roman"/>
          <w:snapToGrid w:val="0"/>
          <w:color w:val="auto"/>
        </w:rPr>
        <w:fldChar w:fldCharType="end"/>
      </w:r>
      <w:r>
        <w:rPr>
          <w:rFonts w:cs="Times New Roman"/>
          <w:snapToGrid w:val="0"/>
          <w:color w:val="auto"/>
        </w:rPr>
        <w:t>=</w:t>
      </w:r>
      <w:r>
        <w:rPr>
          <w:rFonts w:cs="Times New Roman"/>
          <w:snapToGrid w:val="0"/>
          <w:color w:val="auto"/>
          <w:spacing w:val="-16"/>
        </w:rPr>
        <w:fldChar w:fldCharType="begin"/>
      </w:r>
      <w:r>
        <w:rPr>
          <w:rFonts w:cs="Times New Roman"/>
          <w:snapToGrid w:val="0"/>
          <w:color w:val="auto"/>
          <w:spacing w:val="-16"/>
        </w:rPr>
        <w:instrText xml:space="preserve"> = 6 \* GB3 \* MERGEFORMAT </w:instrText>
      </w:r>
      <w:r>
        <w:rPr>
          <w:rFonts w:cs="Times New Roman"/>
          <w:snapToGrid w:val="0"/>
          <w:color w:val="auto"/>
          <w:spacing w:val="-16"/>
        </w:rPr>
        <w:fldChar w:fldCharType="separate"/>
      </w:r>
      <w:r>
        <w:rPr>
          <w:rFonts w:hint="eastAsia"/>
          <w:color w:val="auto"/>
        </w:rPr>
        <w:t>⑥</w:t>
      </w:r>
      <w:r>
        <w:rPr>
          <w:rFonts w:cs="Times New Roman"/>
          <w:snapToGrid w:val="0"/>
          <w:color w:val="auto"/>
          <w:spacing w:val="-16"/>
        </w:rPr>
        <w:fldChar w:fldCharType="end"/>
      </w:r>
      <w:r>
        <w:rPr>
          <w:rFonts w:cs="Times New Roman"/>
          <w:snapToGrid w:val="0"/>
          <w:color w:val="auto"/>
          <w:spacing w:val="-16"/>
        </w:rPr>
        <w:t>-</w:t>
      </w:r>
      <w:r>
        <w:rPr>
          <w:rFonts w:cs="Times New Roman"/>
          <w:snapToGrid w:val="0"/>
          <w:color w:val="auto"/>
        </w:rPr>
        <w:fldChar w:fldCharType="begin"/>
      </w:r>
      <w:r>
        <w:rPr>
          <w:rFonts w:cs="Times New Roman"/>
          <w:snapToGrid w:val="0"/>
          <w:color w:val="auto"/>
        </w:rPr>
        <w:instrText xml:space="preserve"> = 1 \* GB3 \* MERGEFORMAT </w:instrText>
      </w:r>
      <w:r>
        <w:rPr>
          <w:rFonts w:cs="Times New Roman"/>
          <w:snapToGrid w:val="0"/>
          <w:color w:val="auto"/>
        </w:rPr>
        <w:fldChar w:fldCharType="separate"/>
      </w:r>
      <w:r>
        <w:rPr>
          <w:rFonts w:hint="eastAsia"/>
          <w:color w:val="auto"/>
        </w:rPr>
        <w:t>①</w:t>
      </w:r>
      <w:r>
        <w:rPr>
          <w:rFonts w:cs="Times New Roman"/>
          <w:snapToGrid w:val="0"/>
          <w:color w:val="auto"/>
        </w:rPr>
        <w:fldChar w:fldCharType="end"/>
      </w:r>
      <w:r>
        <w:rPr>
          <w:rFonts w:cs="Times New Roman"/>
          <w:snapToGrid w:val="0"/>
          <w:color w:val="auto"/>
        </w:rPr>
        <w:t>。</w:t>
      </w:r>
    </w:p>
    <w:p>
      <w:pPr>
        <w:ind w:firstLine="480"/>
        <w:rPr>
          <w:rFonts w:cs="Times New Roman"/>
          <w:color w:val="auto"/>
        </w:rPr>
        <w:sectPr>
          <w:pgSz w:w="16838" w:h="11906" w:orient="landscape"/>
          <w:pgMar w:top="1077" w:right="1077" w:bottom="1077" w:left="1077" w:header="851" w:footer="851" w:gutter="0"/>
          <w:pgBorders>
            <w:top w:val="none" w:sz="0" w:space="0"/>
            <w:left w:val="none" w:sz="0" w:space="0"/>
            <w:bottom w:val="none" w:sz="0" w:space="0"/>
            <w:right w:val="none" w:sz="0" w:space="0"/>
          </w:pgBorders>
          <w:cols w:space="720" w:num="1"/>
          <w:docGrid w:linePitch="326" w:charSpace="0"/>
        </w:sectPr>
      </w:pPr>
    </w:p>
    <w:p>
      <w:pPr>
        <w:pStyle w:val="59"/>
        <w:jc w:val="both"/>
        <w:rPr>
          <w:color w:val="auto"/>
          <w:sz w:val="28"/>
        </w:rPr>
      </w:pPr>
      <w:bookmarkStart w:id="106" w:name="_Toc15099"/>
      <w:r>
        <w:rPr>
          <w:color w:val="auto"/>
          <w:sz w:val="28"/>
        </w:rPr>
        <w:t>附图1</w:t>
      </w:r>
      <w:r>
        <w:rPr>
          <w:rFonts w:hint="eastAsia"/>
          <w:color w:val="auto"/>
          <w:sz w:val="28"/>
        </w:rPr>
        <w:t xml:space="preserve"> </w:t>
      </w:r>
      <w:r>
        <w:rPr>
          <w:color w:val="auto"/>
          <w:sz w:val="28"/>
        </w:rPr>
        <w:t>项目地理位置图</w:t>
      </w:r>
      <w:bookmarkEnd w:id="106"/>
    </w:p>
    <w:p>
      <w:pPr>
        <w:ind w:firstLine="0" w:firstLineChars="0"/>
        <w:rPr>
          <w:color w:val="auto"/>
        </w:rPr>
      </w:pPr>
      <w:r>
        <w:pict>
          <v:shape id="_x0000_i1058" o:spt="75" type="#_x0000_t75" style="height:506.85pt;width:457.7pt;" filled="f" o:preferrelative="t" stroked="f" coordsize="21600,21600">
            <v:path/>
            <v:fill on="f" focussize="0,0"/>
            <v:stroke on="f"/>
            <v:imagedata r:id="rId57" o:title=""/>
            <o:lock v:ext="edit" aspectratio="t"/>
            <w10:wrap type="none"/>
            <w10:anchorlock/>
          </v:shape>
        </w:pict>
      </w:r>
    </w:p>
    <w:p>
      <w:pPr>
        <w:pStyle w:val="59"/>
        <w:rPr>
          <w:color w:val="auto"/>
          <w:sz w:val="28"/>
        </w:rPr>
        <w:sectPr>
          <w:pgSz w:w="11906" w:h="16838"/>
          <w:pgMar w:top="1417" w:right="1134" w:bottom="1417" w:left="1417" w:header="851" w:footer="851" w:gutter="0"/>
          <w:pgBorders>
            <w:top w:val="none" w:sz="0" w:space="0"/>
            <w:left w:val="none" w:sz="0" w:space="0"/>
            <w:bottom w:val="none" w:sz="0" w:space="0"/>
            <w:right w:val="none" w:sz="0" w:space="0"/>
          </w:pgBorders>
          <w:cols w:space="720" w:num="1"/>
          <w:docGrid w:linePitch="326" w:charSpace="0"/>
        </w:sectPr>
      </w:pPr>
    </w:p>
    <w:p>
      <w:pPr>
        <w:pStyle w:val="59"/>
        <w:spacing w:line="240" w:lineRule="auto"/>
        <w:jc w:val="left"/>
        <w:rPr>
          <w:color w:val="auto"/>
          <w:sz w:val="24"/>
          <w:szCs w:val="24"/>
        </w:rPr>
      </w:pPr>
      <w:bookmarkStart w:id="107" w:name="_Toc23342"/>
      <w:r>
        <w:rPr>
          <w:color w:val="auto"/>
          <w:sz w:val="28"/>
        </w:rPr>
        <w:t>附图</w:t>
      </w:r>
      <w:r>
        <w:rPr>
          <w:rFonts w:hint="eastAsia"/>
          <w:color w:val="auto"/>
          <w:sz w:val="28"/>
        </w:rPr>
        <w:t>2 项目周边环境示意图</w:t>
      </w:r>
      <w:bookmarkEnd w:id="107"/>
    </w:p>
    <w:p>
      <w:pPr>
        <w:pStyle w:val="59"/>
        <w:spacing w:line="240" w:lineRule="auto"/>
        <w:jc w:val="both"/>
        <w:rPr>
          <w:rFonts w:hint="eastAsia"/>
          <w:color w:val="auto"/>
          <w:sz w:val="28"/>
        </w:rPr>
      </w:pPr>
      <w:r>
        <w:pict>
          <v:shape id="_x0000_i1059" o:spt="75" type="#_x0000_t75" style="height:413.25pt;width:699.8pt;" filled="f" o:preferrelative="t" stroked="f" coordsize="21600,21600">
            <v:path/>
            <v:fill on="f" focussize="0,0"/>
            <v:stroke on="f"/>
            <v:imagedata r:id="rId58" o:title=""/>
            <o:lock v:ext="edit" aspectratio="t"/>
            <w10:wrap type="none"/>
            <w10:anchorlock/>
          </v:shape>
        </w:pict>
      </w:r>
      <w:r>
        <w:rPr>
          <w:color w:val="auto"/>
          <w:sz w:val="28"/>
        </w:rPr>
        <w:t>附图</w:t>
      </w:r>
      <w:r>
        <w:rPr>
          <w:rFonts w:hint="eastAsia"/>
          <w:color w:val="auto"/>
          <w:sz w:val="28"/>
        </w:rPr>
        <w:t>3 敏感目标示意图</w:t>
      </w:r>
    </w:p>
    <w:p>
      <w:pPr>
        <w:pStyle w:val="59"/>
        <w:jc w:val="both"/>
        <w:rPr>
          <w:color w:val="auto"/>
          <w:sz w:val="28"/>
        </w:rPr>
      </w:pPr>
      <w:r>
        <w:pict>
          <v:shape id="_x0000_i1060" o:spt="75" type="#_x0000_t75" style="height:406.1pt;width:623.9pt;" filled="f" o:preferrelative="t" stroked="f" coordsize="21600,21600">
            <v:path/>
            <v:fill on="f" focussize="0,0"/>
            <v:stroke on="f"/>
            <v:imagedata r:id="rId59" o:title=""/>
            <o:lock v:ext="edit" aspectratio="t"/>
            <w10:wrap type="none"/>
            <w10:anchorlock/>
          </v:shape>
        </w:pict>
      </w:r>
      <w:bookmarkStart w:id="108" w:name="_GoBack"/>
      <w:bookmarkEnd w:id="108"/>
    </w:p>
    <w:p>
      <w:pPr>
        <w:pStyle w:val="38"/>
        <w:bidi w:val="0"/>
        <w:ind w:left="0" w:leftChars="0" w:firstLine="0" w:firstLineChars="0"/>
      </w:pPr>
      <w:r>
        <w:pict>
          <v:shape id="_x0000_i1061" o:spt="75" type="#_x0000_t75" style="height:628.8pt;width:444.55pt;" filled="f" stroked="f" coordsize="21600,21600">
            <v:path/>
            <v:fill on="f" focussize="0,0"/>
            <v:stroke on="f"/>
            <v:imagedata r:id="rId60" o:title=""/>
            <o:lock v:ext="edit" aspectratio="t"/>
            <w10:wrap type="none"/>
            <w10:anchorlock/>
          </v:shape>
        </w:pict>
      </w:r>
    </w:p>
    <w:p>
      <w:pPr>
        <w:pStyle w:val="38"/>
        <w:bidi w:val="0"/>
        <w:ind w:left="0" w:leftChars="0" w:firstLine="0" w:firstLineChars="0"/>
      </w:pPr>
    </w:p>
    <w:p>
      <w:pPr>
        <w:pStyle w:val="38"/>
        <w:bidi w:val="0"/>
        <w:ind w:left="0" w:leftChars="0" w:firstLine="0" w:firstLineChars="0"/>
      </w:pPr>
    </w:p>
    <w:p>
      <w:pPr>
        <w:pStyle w:val="38"/>
        <w:bidi w:val="0"/>
        <w:ind w:left="0" w:leftChars="0" w:firstLine="0" w:firstLineChars="0"/>
      </w:pPr>
    </w:p>
    <w:p>
      <w:pPr>
        <w:pStyle w:val="59"/>
        <w:jc w:val="center"/>
        <w:rPr>
          <w:rFonts w:hint="default"/>
          <w:color w:val="auto"/>
          <w:sz w:val="28"/>
          <w:lang w:val="en-US" w:eastAsia="zh-CN"/>
        </w:rPr>
      </w:pPr>
      <w:r>
        <w:pict>
          <v:shape id="_x0000_i1062" o:spt="75" type="#_x0000_t75" style="height:628.8pt;width:444.55pt;" filled="f" stroked="f" coordsize="21600,21600">
            <v:path/>
            <v:fill on="f" focussize="0,0"/>
            <v:stroke on="f"/>
            <v:imagedata r:id="rId61" o:title=""/>
            <o:lock v:ext="edit" aspectratio="t"/>
            <w10:wrap type="none"/>
            <w10:anchorlock/>
          </v:shape>
        </w:pict>
      </w:r>
    </w:p>
    <w:sectPr>
      <w:headerReference r:id="rId8" w:type="default"/>
      <w:type w:val="continuous"/>
      <w:pgSz w:w="16838" w:h="11906" w:orient="landscape"/>
      <w:pgMar w:top="1587" w:right="1417" w:bottom="1417" w:left="1417" w:header="850" w:footer="850" w:gutter="0"/>
      <w:pgBorders>
        <w:top w:val="none" w:sz="0" w:space="0"/>
        <w:left w:val="none" w:sz="0" w:space="0"/>
        <w:bottom w:val="none" w:sz="0" w:space="0"/>
        <w:right w:val="none" w:sz="0" w:space="0"/>
      </w:pgBorders>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DE"/>
    <w:family w:val="auto"/>
    <w:pitch w:val="default"/>
    <w:sig w:usb0="E0002AFF" w:usb1="C0007841" w:usb2="00000009" w:usb3="00000000" w:csb0="400001FF" w:csb1="FFFF0000"/>
  </w:font>
  <w:font w:name="宋体">
    <w:panose1 w:val="02010600030101010101"/>
    <w:charset w:val="0D"/>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A00002EF" w:usb1="4000207B" w:usb2="00000000"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MS Gothic">
    <w:panose1 w:val="020B0609070205080204"/>
    <w:charset w:val="80"/>
    <w:family w:val="modern"/>
    <w:pitch w:val="default"/>
    <w:sig w:usb0="E00002FF" w:usb1="6AC7FDFB" w:usb2="00000012" w:usb3="00000000" w:csb0="4002009F" w:csb1="DFD70000"/>
  </w:font>
  <w:font w:name="gbsnu54">
    <w:altName w:val="Times New Roman"/>
    <w:panose1 w:val="00000000000000000000"/>
    <w:charset w:val="00"/>
    <w:family w:val="auto"/>
    <w:pitch w:val="default"/>
    <w:sig w:usb0="00000000" w:usb1="00000000" w:usb2="00000000" w:usb3="00000000" w:csb0="00000001" w:csb1="00000000"/>
  </w:font>
  <w:font w:name="minorBidi">
    <w:altName w:val="Times New Roman"/>
    <w:panose1 w:val="00000000000000000000"/>
    <w:charset w:val="00"/>
    <w:family w:val="roman"/>
    <w:pitch w:val="default"/>
    <w:sig w:usb0="00000000" w:usb1="00000000" w:usb2="00000000" w:usb3="00000000" w:csb0="00000000"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Segoe UI">
    <w:panose1 w:val="020B0502040204020203"/>
    <w:charset w:val="00"/>
    <w:family w:val="swiss"/>
    <w:pitch w:val="default"/>
    <w:sig w:usb0="E10022FF" w:usb1="C000E47F" w:usb2="00000029" w:usb3="00000000" w:csb0="200001DF" w:csb1="20000000"/>
  </w:font>
  <w:font w:name="Wingdings 2">
    <w:panose1 w:val="05020102010507070707"/>
    <w:charset w:val="02"/>
    <w:family w:val="auto"/>
    <w:pitch w:val="default"/>
    <w:sig w:usb0="00000000" w:usb1="00000000" w:usb2="00000000" w:usb3="00000000" w:csb0="80000000" w:csb1="00000000"/>
  </w:font>
  <w:font w:name="Cambria Math">
    <w:panose1 w:val="02040503050406030204"/>
    <w:charset w:val="00"/>
    <w:family w:val="roman"/>
    <w:pitch w:val="default"/>
    <w:sig w:usb0="E00002FF" w:usb1="42002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0" w:firstLineChars="0"/>
      <w:jc w:val="center"/>
      <w:rPr>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0" w:firstLineChars="0"/>
      <w:jc w:val="center"/>
      <w:rPr>
        <w:sz w:val="21"/>
        <w:szCs w:val="21"/>
      </w:rPr>
    </w:pPr>
    <w:r>
      <w:rPr>
        <w:sz w:val="21"/>
      </w:rPr>
      <w:pict>
        <v:shape id="_x0000_s1027" o:spid="_x0000_s1027"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joinstyle="miter"/>
          <v:imagedata o:title=""/>
          <o:lock v:ext="edit"/>
          <v:textbox inset="0mm,0mm,0mm,0mm" style="mso-fit-shape-to-text:t;">
            <w:txbxContent>
              <w:p>
                <w:pPr>
                  <w:ind w:firstLine="0" w:firstLineChars="0"/>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73</w:t>
                </w:r>
                <w:r>
                  <w:rPr>
                    <w:sz w:val="21"/>
                    <w:szCs w:val="21"/>
                  </w:rPr>
                  <w:fldChar w:fldCharType="end"/>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DB16D5"/>
    <w:multiLevelType w:val="singleLevel"/>
    <w:tmpl w:val="C6DB16D5"/>
    <w:lvl w:ilvl="0" w:tentative="0">
      <w:start w:val="2"/>
      <w:numFmt w:val="decimal"/>
      <w:suff w:val="nothing"/>
      <w:lvlText w:val="%1）"/>
      <w:lvlJc w:val="left"/>
    </w:lvl>
  </w:abstractNum>
  <w:abstractNum w:abstractNumId="1">
    <w:nsid w:val="E8476C70"/>
    <w:multiLevelType w:val="singleLevel"/>
    <w:tmpl w:val="E8476C70"/>
    <w:lvl w:ilvl="0" w:tentative="0">
      <w:start w:val="6"/>
      <w:numFmt w:val="chineseCounting"/>
      <w:suff w:val="nothing"/>
      <w:lvlText w:val="%1、"/>
      <w:lvlJc w:val="left"/>
      <w:rPr>
        <w:rFonts w:hint="eastAsia"/>
      </w:rPr>
    </w:lvl>
  </w:abstractNum>
  <w:abstractNum w:abstractNumId="2">
    <w:nsid w:val="EE5C2FC9"/>
    <w:multiLevelType w:val="singleLevel"/>
    <w:tmpl w:val="EE5C2FC9"/>
    <w:lvl w:ilvl="0" w:tentative="0">
      <w:start w:val="7"/>
      <w:numFmt w:val="decimal"/>
      <w:suff w:val="nothing"/>
      <w:lvlText w:val="（%1）"/>
      <w:lvlJc w:val="left"/>
    </w:lvl>
  </w:abstractNum>
  <w:abstractNum w:abstractNumId="3">
    <w:nsid w:val="612C2EAF"/>
    <w:multiLevelType w:val="multilevel"/>
    <w:tmpl w:val="612C2EAF"/>
    <w:lvl w:ilvl="0" w:tentative="0">
      <w:start w:val="1"/>
      <w:numFmt w:val="chineseCountingThousand"/>
      <w:suff w:val="nothing"/>
      <w:lvlText w:val="%1、"/>
      <w:lvlJc w:val="left"/>
      <w:pPr>
        <w:ind w:left="0" w:firstLine="0"/>
      </w:pPr>
      <w:rPr>
        <w:rFonts w:hint="eastAsia"/>
      </w:rPr>
    </w:lvl>
    <w:lvl w:ilvl="1" w:tentative="0">
      <w:start w:val="1"/>
      <w:numFmt w:val="decimal"/>
      <w:isLgl/>
      <w:suff w:val="space"/>
      <w:lvlText w:val="%1.%2"/>
      <w:lvlJc w:val="left"/>
      <w:pPr>
        <w:ind w:left="0" w:firstLine="0"/>
      </w:pPr>
      <w:rPr>
        <w:rFonts w:hint="default"/>
      </w:rPr>
    </w:lvl>
    <w:lvl w:ilvl="2" w:tentative="0">
      <w:start w:val="1"/>
      <w:numFmt w:val="decimal"/>
      <w:isLgl/>
      <w:suff w:val="space"/>
      <w:lvlText w:val="%1.%2.%3"/>
      <w:lvlJc w:val="left"/>
      <w:pPr>
        <w:ind w:left="0" w:firstLine="0"/>
      </w:pPr>
      <w:rPr>
        <w:rFonts w:hint="eastAsia"/>
      </w:rPr>
    </w:lvl>
    <w:lvl w:ilvl="3" w:tentative="0">
      <w:start w:val="1"/>
      <w:numFmt w:val="decimal"/>
      <w:lvlRestart w:val="2"/>
      <w:pStyle w:val="179"/>
      <w:isLgl/>
      <w:suff w:val="space"/>
      <w:lvlText w:val="表%1.%2-%4"/>
      <w:lvlJc w:val="left"/>
      <w:pPr>
        <w:ind w:left="1984" w:firstLine="0"/>
      </w:pPr>
    </w:lvl>
    <w:lvl w:ilvl="4" w:tentative="0">
      <w:start w:val="1"/>
      <w:numFmt w:val="decimal"/>
      <w:lvlRestart w:val="2"/>
      <w:isLgl/>
      <w:suff w:val="space"/>
      <w:lvlText w:val="图%1.%2-%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4">
    <w:nsid w:val="7C506CF4"/>
    <w:multiLevelType w:val="multilevel"/>
    <w:tmpl w:val="7C506CF4"/>
    <w:lvl w:ilvl="0" w:tentative="0">
      <w:start w:val="1"/>
      <w:numFmt w:val="chineseCountingThousand"/>
      <w:suff w:val="space"/>
      <w:lvlText w:val="第%1章  "/>
      <w:lvlJc w:val="center"/>
      <w:pPr>
        <w:ind w:left="0" w:firstLine="0"/>
      </w:pPr>
      <w:rPr>
        <w:rFonts w:hint="eastAsia" w:ascii="Times New Roman" w:hAnsi="Times New Roman" w:cs="Times New Roman"/>
        <w:bCs w:val="0"/>
        <w:i w:val="0"/>
        <w:iCs w:val="0"/>
        <w:caps w:val="0"/>
        <w:smallCaps w:val="0"/>
        <w:strike w:val="0"/>
        <w:dstrike w:val="0"/>
        <w:outline w:val="0"/>
        <w:shadow w:val="0"/>
        <w:emboss w:val="0"/>
        <w:imprint w:val="0"/>
        <w:vanish w:val="0"/>
        <w:color w:val="000000"/>
        <w:spacing w:val="0"/>
        <w:kern w:val="0"/>
        <w:position w:val="0"/>
        <w:u w:val="none"/>
        <w:vertAlign w:val="baseline"/>
      </w:rPr>
    </w:lvl>
    <w:lvl w:ilvl="1" w:tentative="0">
      <w:start w:val="1"/>
      <w:numFmt w:val="decimal"/>
      <w:pStyle w:val="201"/>
      <w:isLgl/>
      <w:lvlText w:val="%1.%2"/>
      <w:lvlJc w:val="left"/>
      <w:pPr>
        <w:ind w:left="0" w:firstLine="0"/>
      </w:pPr>
      <w:rPr>
        <w:rFonts w:hint="eastAsia"/>
      </w:rPr>
    </w:lvl>
    <w:lvl w:ilvl="2" w:tentative="0">
      <w:start w:val="1"/>
      <w:numFmt w:val="decimal"/>
      <w:isLgl/>
      <w:lvlText w:val="%1.%2.%3"/>
      <w:lvlJc w:val="left"/>
      <w:pPr>
        <w:ind w:left="0" w:firstLine="0"/>
      </w:pPr>
      <w:rPr>
        <w:rFonts w:hint="eastAsia" w:ascii="Times New Roman" w:hAnsi="Times New Roman" w:cs="Times New Roman"/>
        <w:bCs w:val="0"/>
        <w:i w:val="0"/>
        <w:iCs w:val="0"/>
        <w:caps w:val="0"/>
        <w:smallCaps w:val="0"/>
        <w:strike w:val="0"/>
        <w:dstrike w:val="0"/>
        <w:outline w:val="0"/>
        <w:shadow w:val="0"/>
        <w:emboss w:val="0"/>
        <w:imprint w:val="0"/>
        <w:vanish w:val="0"/>
        <w:color w:val="000000"/>
        <w:spacing w:val="0"/>
        <w:kern w:val="0"/>
        <w:position w:val="0"/>
        <w:u w:val="none"/>
        <w:vertAlign w:val="baseline"/>
      </w:rPr>
    </w:lvl>
    <w:lvl w:ilvl="3" w:tentative="0">
      <w:start w:val="1"/>
      <w:numFmt w:val="decimal"/>
      <w:isLgl/>
      <w:lvlText w:val="%1.%2.%3.%4"/>
      <w:lvlJc w:val="left"/>
      <w:pPr>
        <w:ind w:left="0" w:firstLine="0"/>
      </w:pPr>
      <w:rPr>
        <w:rFonts w:hint="eastAsia" w:ascii="Times New Roman" w:hAnsi="Times New Roman" w:cs="Times New Roman"/>
        <w:bCs w:val="0"/>
        <w:i w:val="0"/>
        <w:iCs w:val="0"/>
        <w:caps w:val="0"/>
        <w:smallCaps w:val="0"/>
        <w:strike w:val="0"/>
        <w:dstrike w:val="0"/>
        <w:outline w:val="0"/>
        <w:shadow w:val="0"/>
        <w:emboss w:val="0"/>
        <w:imprint w:val="0"/>
        <w:vanish w:val="0"/>
        <w:color w:val="000000"/>
        <w:spacing w:val="0"/>
        <w:kern w:val="0"/>
        <w:position w:val="0"/>
        <w:u w:val="none"/>
        <w:vertAlign w:val="baseline"/>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3"/>
  </w:num>
  <w:num w:numId="2">
    <w:abstractNumId w:val="4"/>
  </w:num>
  <w:num w:numId="3">
    <w:abstractNumId w:val="2"/>
  </w:num>
  <w:num w:numId="4">
    <w:abstractNumId w:val="0"/>
  </w:num>
  <w:num w:numId="5">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微软用户">
    <w15:presenceInfo w15:providerId="None" w15:userId="微软用户"/>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attachedTemplate r:id="rId1"/>
  <w:documentProtection w:edit="trackedChanges" w:enforcement="0"/>
  <w:defaultTabStop w:val="420"/>
  <w:doNotHyphenateCaps/>
  <w:drawingGridHorizontalSpacing w:val="120"/>
  <w:drawingGridVerticalSpacing w:val="163"/>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Y2E1NzczZDFjNzE3ODNlZmZiNWNlMGQ0ZTI3YjQ0MjMifQ=="/>
  </w:docVars>
  <w:rsids>
    <w:rsidRoot w:val="00A14947"/>
    <w:rsid w:val="00000D6D"/>
    <w:rsid w:val="000031E9"/>
    <w:rsid w:val="00003755"/>
    <w:rsid w:val="00004B7A"/>
    <w:rsid w:val="00004E22"/>
    <w:rsid w:val="00005B38"/>
    <w:rsid w:val="000060B3"/>
    <w:rsid w:val="000063E0"/>
    <w:rsid w:val="000071C8"/>
    <w:rsid w:val="000074D6"/>
    <w:rsid w:val="00011F7C"/>
    <w:rsid w:val="000124C6"/>
    <w:rsid w:val="000125B2"/>
    <w:rsid w:val="00013A80"/>
    <w:rsid w:val="00013AD3"/>
    <w:rsid w:val="00013D65"/>
    <w:rsid w:val="00013DB6"/>
    <w:rsid w:val="00015775"/>
    <w:rsid w:val="00017CCD"/>
    <w:rsid w:val="00017D53"/>
    <w:rsid w:val="0002098E"/>
    <w:rsid w:val="00022B63"/>
    <w:rsid w:val="00024814"/>
    <w:rsid w:val="000257FD"/>
    <w:rsid w:val="00027ECA"/>
    <w:rsid w:val="00030868"/>
    <w:rsid w:val="000318FC"/>
    <w:rsid w:val="000319EB"/>
    <w:rsid w:val="00031F86"/>
    <w:rsid w:val="00033614"/>
    <w:rsid w:val="00034C21"/>
    <w:rsid w:val="00037658"/>
    <w:rsid w:val="00040756"/>
    <w:rsid w:val="00041B57"/>
    <w:rsid w:val="00041D80"/>
    <w:rsid w:val="00042D6D"/>
    <w:rsid w:val="0004364B"/>
    <w:rsid w:val="00043961"/>
    <w:rsid w:val="000456AB"/>
    <w:rsid w:val="000459E2"/>
    <w:rsid w:val="00046D56"/>
    <w:rsid w:val="0004799E"/>
    <w:rsid w:val="00050278"/>
    <w:rsid w:val="00050648"/>
    <w:rsid w:val="00051F3D"/>
    <w:rsid w:val="00052AE8"/>
    <w:rsid w:val="0005306F"/>
    <w:rsid w:val="00053D4D"/>
    <w:rsid w:val="000550FE"/>
    <w:rsid w:val="000566B6"/>
    <w:rsid w:val="0005680F"/>
    <w:rsid w:val="00056CC3"/>
    <w:rsid w:val="00057B78"/>
    <w:rsid w:val="00061234"/>
    <w:rsid w:val="00061B1F"/>
    <w:rsid w:val="00062969"/>
    <w:rsid w:val="00062AC1"/>
    <w:rsid w:val="00062F68"/>
    <w:rsid w:val="0006448E"/>
    <w:rsid w:val="00064521"/>
    <w:rsid w:val="00064F50"/>
    <w:rsid w:val="000670E4"/>
    <w:rsid w:val="00067B5C"/>
    <w:rsid w:val="00070E53"/>
    <w:rsid w:val="000715B2"/>
    <w:rsid w:val="00072176"/>
    <w:rsid w:val="00072FB3"/>
    <w:rsid w:val="0007336D"/>
    <w:rsid w:val="000733C4"/>
    <w:rsid w:val="0007386C"/>
    <w:rsid w:val="00074783"/>
    <w:rsid w:val="000749E3"/>
    <w:rsid w:val="00074A17"/>
    <w:rsid w:val="00075BD3"/>
    <w:rsid w:val="000769B9"/>
    <w:rsid w:val="00077040"/>
    <w:rsid w:val="00077161"/>
    <w:rsid w:val="00077BD5"/>
    <w:rsid w:val="000805C5"/>
    <w:rsid w:val="0008070B"/>
    <w:rsid w:val="000810AC"/>
    <w:rsid w:val="000814C4"/>
    <w:rsid w:val="00081A02"/>
    <w:rsid w:val="00082231"/>
    <w:rsid w:val="00083155"/>
    <w:rsid w:val="0008322C"/>
    <w:rsid w:val="00084E84"/>
    <w:rsid w:val="00085D11"/>
    <w:rsid w:val="00090023"/>
    <w:rsid w:val="00090372"/>
    <w:rsid w:val="0009048B"/>
    <w:rsid w:val="00090B52"/>
    <w:rsid w:val="00091CCD"/>
    <w:rsid w:val="00092BC5"/>
    <w:rsid w:val="00092BE8"/>
    <w:rsid w:val="00092D38"/>
    <w:rsid w:val="0009377B"/>
    <w:rsid w:val="000945B6"/>
    <w:rsid w:val="000975BB"/>
    <w:rsid w:val="000A178A"/>
    <w:rsid w:val="000A20C9"/>
    <w:rsid w:val="000A29A0"/>
    <w:rsid w:val="000A2CFC"/>
    <w:rsid w:val="000A4A47"/>
    <w:rsid w:val="000A4C8A"/>
    <w:rsid w:val="000A5598"/>
    <w:rsid w:val="000A5B3B"/>
    <w:rsid w:val="000A6280"/>
    <w:rsid w:val="000A6577"/>
    <w:rsid w:val="000A6616"/>
    <w:rsid w:val="000A6BC6"/>
    <w:rsid w:val="000A712D"/>
    <w:rsid w:val="000B02C4"/>
    <w:rsid w:val="000B058F"/>
    <w:rsid w:val="000B1E6D"/>
    <w:rsid w:val="000B3681"/>
    <w:rsid w:val="000B4467"/>
    <w:rsid w:val="000B45AC"/>
    <w:rsid w:val="000B492D"/>
    <w:rsid w:val="000B4DB9"/>
    <w:rsid w:val="000B536B"/>
    <w:rsid w:val="000B7187"/>
    <w:rsid w:val="000B7941"/>
    <w:rsid w:val="000B7BA2"/>
    <w:rsid w:val="000C04B2"/>
    <w:rsid w:val="000C09AC"/>
    <w:rsid w:val="000C0F4D"/>
    <w:rsid w:val="000C119D"/>
    <w:rsid w:val="000C2E77"/>
    <w:rsid w:val="000C36BA"/>
    <w:rsid w:val="000C4CA0"/>
    <w:rsid w:val="000C4E19"/>
    <w:rsid w:val="000C6185"/>
    <w:rsid w:val="000C670D"/>
    <w:rsid w:val="000C767F"/>
    <w:rsid w:val="000D03D3"/>
    <w:rsid w:val="000D040A"/>
    <w:rsid w:val="000D178C"/>
    <w:rsid w:val="000D3980"/>
    <w:rsid w:val="000D5A44"/>
    <w:rsid w:val="000D5B3F"/>
    <w:rsid w:val="000D66A7"/>
    <w:rsid w:val="000E1F9F"/>
    <w:rsid w:val="000E2E0B"/>
    <w:rsid w:val="000E3410"/>
    <w:rsid w:val="000E3649"/>
    <w:rsid w:val="000E3D88"/>
    <w:rsid w:val="000E3ED2"/>
    <w:rsid w:val="000E4CC1"/>
    <w:rsid w:val="000E4FA4"/>
    <w:rsid w:val="000E7FB6"/>
    <w:rsid w:val="000F08D2"/>
    <w:rsid w:val="000F09CF"/>
    <w:rsid w:val="000F11E8"/>
    <w:rsid w:val="000F2424"/>
    <w:rsid w:val="000F3077"/>
    <w:rsid w:val="000F308B"/>
    <w:rsid w:val="000F37EC"/>
    <w:rsid w:val="000F4395"/>
    <w:rsid w:val="000F47F9"/>
    <w:rsid w:val="000F4DEA"/>
    <w:rsid w:val="000F520F"/>
    <w:rsid w:val="001002FF"/>
    <w:rsid w:val="001005DC"/>
    <w:rsid w:val="00100E4E"/>
    <w:rsid w:val="00100FD2"/>
    <w:rsid w:val="00101A6A"/>
    <w:rsid w:val="00101DAD"/>
    <w:rsid w:val="00101F3A"/>
    <w:rsid w:val="00102838"/>
    <w:rsid w:val="0010354D"/>
    <w:rsid w:val="00105921"/>
    <w:rsid w:val="0010610B"/>
    <w:rsid w:val="00106783"/>
    <w:rsid w:val="001073AF"/>
    <w:rsid w:val="001074DE"/>
    <w:rsid w:val="00107881"/>
    <w:rsid w:val="0011320D"/>
    <w:rsid w:val="00113765"/>
    <w:rsid w:val="001138DA"/>
    <w:rsid w:val="00114C8F"/>
    <w:rsid w:val="001158EF"/>
    <w:rsid w:val="001164E1"/>
    <w:rsid w:val="00117F20"/>
    <w:rsid w:val="00120257"/>
    <w:rsid w:val="00120748"/>
    <w:rsid w:val="0012181E"/>
    <w:rsid w:val="00121EA2"/>
    <w:rsid w:val="0012231C"/>
    <w:rsid w:val="001225D1"/>
    <w:rsid w:val="00124857"/>
    <w:rsid w:val="001260FF"/>
    <w:rsid w:val="00126421"/>
    <w:rsid w:val="00131D54"/>
    <w:rsid w:val="00131F42"/>
    <w:rsid w:val="0013253F"/>
    <w:rsid w:val="0013280E"/>
    <w:rsid w:val="00134B77"/>
    <w:rsid w:val="001357F1"/>
    <w:rsid w:val="001358FD"/>
    <w:rsid w:val="00135F23"/>
    <w:rsid w:val="00137512"/>
    <w:rsid w:val="00137CA4"/>
    <w:rsid w:val="00137DEF"/>
    <w:rsid w:val="001402DE"/>
    <w:rsid w:val="00140572"/>
    <w:rsid w:val="00140E65"/>
    <w:rsid w:val="00140FA8"/>
    <w:rsid w:val="001418CB"/>
    <w:rsid w:val="00142E1E"/>
    <w:rsid w:val="00142E78"/>
    <w:rsid w:val="00142FEB"/>
    <w:rsid w:val="00143A2D"/>
    <w:rsid w:val="001449FD"/>
    <w:rsid w:val="00144AD8"/>
    <w:rsid w:val="0014524A"/>
    <w:rsid w:val="00145A41"/>
    <w:rsid w:val="00145C8C"/>
    <w:rsid w:val="00145CDF"/>
    <w:rsid w:val="00146255"/>
    <w:rsid w:val="00146C98"/>
    <w:rsid w:val="00147659"/>
    <w:rsid w:val="001502A3"/>
    <w:rsid w:val="001503D6"/>
    <w:rsid w:val="00151675"/>
    <w:rsid w:val="00152EC0"/>
    <w:rsid w:val="001548EC"/>
    <w:rsid w:val="00154BAD"/>
    <w:rsid w:val="00154F2F"/>
    <w:rsid w:val="001557BD"/>
    <w:rsid w:val="00157435"/>
    <w:rsid w:val="00157832"/>
    <w:rsid w:val="00161128"/>
    <w:rsid w:val="001616D9"/>
    <w:rsid w:val="001628C4"/>
    <w:rsid w:val="00163974"/>
    <w:rsid w:val="00164B82"/>
    <w:rsid w:val="001673CB"/>
    <w:rsid w:val="001706CE"/>
    <w:rsid w:val="00170CD6"/>
    <w:rsid w:val="00170D5A"/>
    <w:rsid w:val="001711D9"/>
    <w:rsid w:val="00171CAD"/>
    <w:rsid w:val="00171EF3"/>
    <w:rsid w:val="001741B3"/>
    <w:rsid w:val="001742B3"/>
    <w:rsid w:val="00174BC9"/>
    <w:rsid w:val="00174FDC"/>
    <w:rsid w:val="0017504D"/>
    <w:rsid w:val="0017603A"/>
    <w:rsid w:val="0017671A"/>
    <w:rsid w:val="001771E8"/>
    <w:rsid w:val="00177400"/>
    <w:rsid w:val="00177422"/>
    <w:rsid w:val="00177445"/>
    <w:rsid w:val="001801FA"/>
    <w:rsid w:val="00180F5D"/>
    <w:rsid w:val="00182E99"/>
    <w:rsid w:val="00183089"/>
    <w:rsid w:val="00184590"/>
    <w:rsid w:val="001850EE"/>
    <w:rsid w:val="001858EC"/>
    <w:rsid w:val="001870D1"/>
    <w:rsid w:val="0018725A"/>
    <w:rsid w:val="00187282"/>
    <w:rsid w:val="001874E5"/>
    <w:rsid w:val="0018781E"/>
    <w:rsid w:val="00190AA9"/>
    <w:rsid w:val="0019177D"/>
    <w:rsid w:val="001917A3"/>
    <w:rsid w:val="00191EA4"/>
    <w:rsid w:val="001922BF"/>
    <w:rsid w:val="0019262D"/>
    <w:rsid w:val="00193276"/>
    <w:rsid w:val="00193F91"/>
    <w:rsid w:val="0019413E"/>
    <w:rsid w:val="001945CD"/>
    <w:rsid w:val="00194C44"/>
    <w:rsid w:val="00194CC4"/>
    <w:rsid w:val="00194ED5"/>
    <w:rsid w:val="00196161"/>
    <w:rsid w:val="001968F8"/>
    <w:rsid w:val="00197E10"/>
    <w:rsid w:val="001A1944"/>
    <w:rsid w:val="001A1B35"/>
    <w:rsid w:val="001A1EB3"/>
    <w:rsid w:val="001A26AE"/>
    <w:rsid w:val="001A4870"/>
    <w:rsid w:val="001A48A2"/>
    <w:rsid w:val="001A4EB2"/>
    <w:rsid w:val="001A5395"/>
    <w:rsid w:val="001A53EE"/>
    <w:rsid w:val="001A5F65"/>
    <w:rsid w:val="001A64DB"/>
    <w:rsid w:val="001A6B32"/>
    <w:rsid w:val="001A6E79"/>
    <w:rsid w:val="001A6F61"/>
    <w:rsid w:val="001B01C9"/>
    <w:rsid w:val="001B18F7"/>
    <w:rsid w:val="001B2804"/>
    <w:rsid w:val="001B3795"/>
    <w:rsid w:val="001B49EF"/>
    <w:rsid w:val="001B72B8"/>
    <w:rsid w:val="001B74F4"/>
    <w:rsid w:val="001C0F8A"/>
    <w:rsid w:val="001C2793"/>
    <w:rsid w:val="001C2D59"/>
    <w:rsid w:val="001C4396"/>
    <w:rsid w:val="001C5146"/>
    <w:rsid w:val="001C535B"/>
    <w:rsid w:val="001C5501"/>
    <w:rsid w:val="001C55C3"/>
    <w:rsid w:val="001C62AF"/>
    <w:rsid w:val="001C69B3"/>
    <w:rsid w:val="001C7624"/>
    <w:rsid w:val="001C7717"/>
    <w:rsid w:val="001D008A"/>
    <w:rsid w:val="001D178E"/>
    <w:rsid w:val="001D2B66"/>
    <w:rsid w:val="001D2CFB"/>
    <w:rsid w:val="001D49F9"/>
    <w:rsid w:val="001D4C9F"/>
    <w:rsid w:val="001D5595"/>
    <w:rsid w:val="001D59B0"/>
    <w:rsid w:val="001D5E02"/>
    <w:rsid w:val="001D7874"/>
    <w:rsid w:val="001D7A90"/>
    <w:rsid w:val="001D7F22"/>
    <w:rsid w:val="001E0B6A"/>
    <w:rsid w:val="001E27EF"/>
    <w:rsid w:val="001E2AA8"/>
    <w:rsid w:val="001E4468"/>
    <w:rsid w:val="001E4916"/>
    <w:rsid w:val="001E5078"/>
    <w:rsid w:val="001E5C1C"/>
    <w:rsid w:val="001E64A4"/>
    <w:rsid w:val="001E695E"/>
    <w:rsid w:val="001E6C6B"/>
    <w:rsid w:val="001E6C92"/>
    <w:rsid w:val="001E7633"/>
    <w:rsid w:val="001E77D0"/>
    <w:rsid w:val="001F0F17"/>
    <w:rsid w:val="001F1C0A"/>
    <w:rsid w:val="001F2047"/>
    <w:rsid w:val="001F20E8"/>
    <w:rsid w:val="001F21B5"/>
    <w:rsid w:val="001F22F7"/>
    <w:rsid w:val="001F3347"/>
    <w:rsid w:val="001F4722"/>
    <w:rsid w:val="001F4A34"/>
    <w:rsid w:val="001F4F3A"/>
    <w:rsid w:val="001F69E4"/>
    <w:rsid w:val="001F714F"/>
    <w:rsid w:val="002003F2"/>
    <w:rsid w:val="0020139E"/>
    <w:rsid w:val="00201E9D"/>
    <w:rsid w:val="00202F4A"/>
    <w:rsid w:val="00204E7A"/>
    <w:rsid w:val="00205981"/>
    <w:rsid w:val="002060F8"/>
    <w:rsid w:val="00207550"/>
    <w:rsid w:val="00207B68"/>
    <w:rsid w:val="00210C68"/>
    <w:rsid w:val="0021255B"/>
    <w:rsid w:val="002125B4"/>
    <w:rsid w:val="00213734"/>
    <w:rsid w:val="00213BD9"/>
    <w:rsid w:val="002145DD"/>
    <w:rsid w:val="00214DE0"/>
    <w:rsid w:val="002155B8"/>
    <w:rsid w:val="00215B59"/>
    <w:rsid w:val="00215D2D"/>
    <w:rsid w:val="002166C8"/>
    <w:rsid w:val="00217D6A"/>
    <w:rsid w:val="0022034D"/>
    <w:rsid w:val="002212B5"/>
    <w:rsid w:val="00221593"/>
    <w:rsid w:val="0022202C"/>
    <w:rsid w:val="00222A77"/>
    <w:rsid w:val="0022304B"/>
    <w:rsid w:val="00224839"/>
    <w:rsid w:val="002249B2"/>
    <w:rsid w:val="00224C78"/>
    <w:rsid w:val="00224D4E"/>
    <w:rsid w:val="00226574"/>
    <w:rsid w:val="002278EC"/>
    <w:rsid w:val="00227B83"/>
    <w:rsid w:val="00231172"/>
    <w:rsid w:val="00231C9F"/>
    <w:rsid w:val="0023280E"/>
    <w:rsid w:val="00234E21"/>
    <w:rsid w:val="00235714"/>
    <w:rsid w:val="00235F92"/>
    <w:rsid w:val="00236856"/>
    <w:rsid w:val="0023740F"/>
    <w:rsid w:val="002377D1"/>
    <w:rsid w:val="00240466"/>
    <w:rsid w:val="002406E5"/>
    <w:rsid w:val="00241131"/>
    <w:rsid w:val="002426EF"/>
    <w:rsid w:val="00244096"/>
    <w:rsid w:val="00244497"/>
    <w:rsid w:val="00245267"/>
    <w:rsid w:val="002473F3"/>
    <w:rsid w:val="002506BC"/>
    <w:rsid w:val="00252CD0"/>
    <w:rsid w:val="002538A0"/>
    <w:rsid w:val="00253ACC"/>
    <w:rsid w:val="00254345"/>
    <w:rsid w:val="00254E5F"/>
    <w:rsid w:val="00255D45"/>
    <w:rsid w:val="00257B58"/>
    <w:rsid w:val="00257D1F"/>
    <w:rsid w:val="00260592"/>
    <w:rsid w:val="00263068"/>
    <w:rsid w:val="00264557"/>
    <w:rsid w:val="00264594"/>
    <w:rsid w:val="00265EAC"/>
    <w:rsid w:val="002674D3"/>
    <w:rsid w:val="00270E33"/>
    <w:rsid w:val="00272B3F"/>
    <w:rsid w:val="00272B73"/>
    <w:rsid w:val="0027349C"/>
    <w:rsid w:val="00275590"/>
    <w:rsid w:val="002805AB"/>
    <w:rsid w:val="002806A9"/>
    <w:rsid w:val="00282002"/>
    <w:rsid w:val="00282F9F"/>
    <w:rsid w:val="00283F0E"/>
    <w:rsid w:val="00284172"/>
    <w:rsid w:val="00284204"/>
    <w:rsid w:val="002850B0"/>
    <w:rsid w:val="002869A5"/>
    <w:rsid w:val="002869DA"/>
    <w:rsid w:val="00286FFF"/>
    <w:rsid w:val="00287E36"/>
    <w:rsid w:val="002901CD"/>
    <w:rsid w:val="00291773"/>
    <w:rsid w:val="002923E3"/>
    <w:rsid w:val="00294796"/>
    <w:rsid w:val="00295E89"/>
    <w:rsid w:val="002961A9"/>
    <w:rsid w:val="0029632B"/>
    <w:rsid w:val="00296888"/>
    <w:rsid w:val="00296CFB"/>
    <w:rsid w:val="00297C6A"/>
    <w:rsid w:val="002A02ED"/>
    <w:rsid w:val="002A04F4"/>
    <w:rsid w:val="002A0FA3"/>
    <w:rsid w:val="002A168C"/>
    <w:rsid w:val="002A2CC6"/>
    <w:rsid w:val="002A3CE8"/>
    <w:rsid w:val="002A3DC7"/>
    <w:rsid w:val="002A756A"/>
    <w:rsid w:val="002A7A6C"/>
    <w:rsid w:val="002A7D8A"/>
    <w:rsid w:val="002B0265"/>
    <w:rsid w:val="002B0B70"/>
    <w:rsid w:val="002B1B2E"/>
    <w:rsid w:val="002B1E30"/>
    <w:rsid w:val="002B2D6B"/>
    <w:rsid w:val="002B31DF"/>
    <w:rsid w:val="002B3E02"/>
    <w:rsid w:val="002B4159"/>
    <w:rsid w:val="002B44CC"/>
    <w:rsid w:val="002B49E2"/>
    <w:rsid w:val="002B4A1D"/>
    <w:rsid w:val="002B605A"/>
    <w:rsid w:val="002B6307"/>
    <w:rsid w:val="002B6B74"/>
    <w:rsid w:val="002B6E04"/>
    <w:rsid w:val="002B78E9"/>
    <w:rsid w:val="002B7B00"/>
    <w:rsid w:val="002B7C44"/>
    <w:rsid w:val="002C2B17"/>
    <w:rsid w:val="002C2BD4"/>
    <w:rsid w:val="002C3BA5"/>
    <w:rsid w:val="002C486B"/>
    <w:rsid w:val="002C5214"/>
    <w:rsid w:val="002C645C"/>
    <w:rsid w:val="002C70F8"/>
    <w:rsid w:val="002C74AA"/>
    <w:rsid w:val="002C7869"/>
    <w:rsid w:val="002D012C"/>
    <w:rsid w:val="002D0542"/>
    <w:rsid w:val="002D0FCC"/>
    <w:rsid w:val="002D132D"/>
    <w:rsid w:val="002D2148"/>
    <w:rsid w:val="002D2959"/>
    <w:rsid w:val="002D2B3B"/>
    <w:rsid w:val="002D2BC4"/>
    <w:rsid w:val="002D36C8"/>
    <w:rsid w:val="002D3DD0"/>
    <w:rsid w:val="002D4A31"/>
    <w:rsid w:val="002D637D"/>
    <w:rsid w:val="002D6F3A"/>
    <w:rsid w:val="002D735F"/>
    <w:rsid w:val="002E03DE"/>
    <w:rsid w:val="002E1F3A"/>
    <w:rsid w:val="002E2070"/>
    <w:rsid w:val="002E298A"/>
    <w:rsid w:val="002E46B3"/>
    <w:rsid w:val="002E500F"/>
    <w:rsid w:val="002E5216"/>
    <w:rsid w:val="002E57B5"/>
    <w:rsid w:val="002E58FF"/>
    <w:rsid w:val="002E66F8"/>
    <w:rsid w:val="002E67BA"/>
    <w:rsid w:val="002F0246"/>
    <w:rsid w:val="002F10CA"/>
    <w:rsid w:val="002F2584"/>
    <w:rsid w:val="002F2BE7"/>
    <w:rsid w:val="002F2ED6"/>
    <w:rsid w:val="002F306B"/>
    <w:rsid w:val="002F3661"/>
    <w:rsid w:val="002F4020"/>
    <w:rsid w:val="002F4E43"/>
    <w:rsid w:val="002F677F"/>
    <w:rsid w:val="002F68AE"/>
    <w:rsid w:val="002F6A70"/>
    <w:rsid w:val="002F6A84"/>
    <w:rsid w:val="002F6BF1"/>
    <w:rsid w:val="002F70DB"/>
    <w:rsid w:val="00300202"/>
    <w:rsid w:val="00300FE4"/>
    <w:rsid w:val="00301606"/>
    <w:rsid w:val="00301978"/>
    <w:rsid w:val="0030332C"/>
    <w:rsid w:val="00303405"/>
    <w:rsid w:val="00303C3D"/>
    <w:rsid w:val="003051C2"/>
    <w:rsid w:val="00305A13"/>
    <w:rsid w:val="00306733"/>
    <w:rsid w:val="00306DFA"/>
    <w:rsid w:val="00307C72"/>
    <w:rsid w:val="00310506"/>
    <w:rsid w:val="003105DA"/>
    <w:rsid w:val="00310A8C"/>
    <w:rsid w:val="0031210F"/>
    <w:rsid w:val="00312296"/>
    <w:rsid w:val="003130C6"/>
    <w:rsid w:val="0031391E"/>
    <w:rsid w:val="0031497F"/>
    <w:rsid w:val="00314F0E"/>
    <w:rsid w:val="00315FFA"/>
    <w:rsid w:val="00316E06"/>
    <w:rsid w:val="003200F4"/>
    <w:rsid w:val="00321D8E"/>
    <w:rsid w:val="00322A17"/>
    <w:rsid w:val="00323A29"/>
    <w:rsid w:val="00325475"/>
    <w:rsid w:val="00325534"/>
    <w:rsid w:val="00325928"/>
    <w:rsid w:val="00325AA8"/>
    <w:rsid w:val="0032604B"/>
    <w:rsid w:val="003267CC"/>
    <w:rsid w:val="003275C4"/>
    <w:rsid w:val="00330B36"/>
    <w:rsid w:val="00332863"/>
    <w:rsid w:val="00332CA0"/>
    <w:rsid w:val="00332E7A"/>
    <w:rsid w:val="00333A6B"/>
    <w:rsid w:val="003340E3"/>
    <w:rsid w:val="0033684D"/>
    <w:rsid w:val="003377CD"/>
    <w:rsid w:val="00337B42"/>
    <w:rsid w:val="00340633"/>
    <w:rsid w:val="00340A9C"/>
    <w:rsid w:val="00341B42"/>
    <w:rsid w:val="0034348F"/>
    <w:rsid w:val="00345125"/>
    <w:rsid w:val="00345A87"/>
    <w:rsid w:val="003463A9"/>
    <w:rsid w:val="003471BA"/>
    <w:rsid w:val="003511DF"/>
    <w:rsid w:val="00351BFA"/>
    <w:rsid w:val="00351E1F"/>
    <w:rsid w:val="003524E7"/>
    <w:rsid w:val="00353753"/>
    <w:rsid w:val="00354396"/>
    <w:rsid w:val="00354BF1"/>
    <w:rsid w:val="00356038"/>
    <w:rsid w:val="00356653"/>
    <w:rsid w:val="00356AEC"/>
    <w:rsid w:val="0035743F"/>
    <w:rsid w:val="0035758F"/>
    <w:rsid w:val="00357604"/>
    <w:rsid w:val="00357BE2"/>
    <w:rsid w:val="00360427"/>
    <w:rsid w:val="00360E78"/>
    <w:rsid w:val="00361518"/>
    <w:rsid w:val="0036170C"/>
    <w:rsid w:val="00361EFC"/>
    <w:rsid w:val="00362A0C"/>
    <w:rsid w:val="0036373C"/>
    <w:rsid w:val="0036672E"/>
    <w:rsid w:val="00366E0F"/>
    <w:rsid w:val="0036762A"/>
    <w:rsid w:val="003677DD"/>
    <w:rsid w:val="00370B71"/>
    <w:rsid w:val="00371DD9"/>
    <w:rsid w:val="003730CA"/>
    <w:rsid w:val="0037337A"/>
    <w:rsid w:val="003734E4"/>
    <w:rsid w:val="00374892"/>
    <w:rsid w:val="00375089"/>
    <w:rsid w:val="00375E25"/>
    <w:rsid w:val="00376297"/>
    <w:rsid w:val="00376662"/>
    <w:rsid w:val="00376909"/>
    <w:rsid w:val="0037745D"/>
    <w:rsid w:val="00381626"/>
    <w:rsid w:val="00381A72"/>
    <w:rsid w:val="00381C3A"/>
    <w:rsid w:val="00384676"/>
    <w:rsid w:val="003847BE"/>
    <w:rsid w:val="0038710D"/>
    <w:rsid w:val="00387462"/>
    <w:rsid w:val="00387A02"/>
    <w:rsid w:val="00390857"/>
    <w:rsid w:val="00391DFB"/>
    <w:rsid w:val="00393BE3"/>
    <w:rsid w:val="003953D4"/>
    <w:rsid w:val="003954FA"/>
    <w:rsid w:val="00395555"/>
    <w:rsid w:val="003963A7"/>
    <w:rsid w:val="0039736B"/>
    <w:rsid w:val="0039794C"/>
    <w:rsid w:val="003A1986"/>
    <w:rsid w:val="003A2C99"/>
    <w:rsid w:val="003A4BF3"/>
    <w:rsid w:val="003B0A93"/>
    <w:rsid w:val="003B2462"/>
    <w:rsid w:val="003B29AF"/>
    <w:rsid w:val="003B3907"/>
    <w:rsid w:val="003B420D"/>
    <w:rsid w:val="003B46BE"/>
    <w:rsid w:val="003B4F9C"/>
    <w:rsid w:val="003B727F"/>
    <w:rsid w:val="003C00BE"/>
    <w:rsid w:val="003C1613"/>
    <w:rsid w:val="003C257C"/>
    <w:rsid w:val="003C2A5A"/>
    <w:rsid w:val="003C3D18"/>
    <w:rsid w:val="003C54AE"/>
    <w:rsid w:val="003C5A02"/>
    <w:rsid w:val="003C66AE"/>
    <w:rsid w:val="003C6C16"/>
    <w:rsid w:val="003C6E78"/>
    <w:rsid w:val="003C7A16"/>
    <w:rsid w:val="003D079A"/>
    <w:rsid w:val="003D0817"/>
    <w:rsid w:val="003D476F"/>
    <w:rsid w:val="003D5ED9"/>
    <w:rsid w:val="003D667F"/>
    <w:rsid w:val="003D69FE"/>
    <w:rsid w:val="003D6A4C"/>
    <w:rsid w:val="003D6F14"/>
    <w:rsid w:val="003D7343"/>
    <w:rsid w:val="003D773F"/>
    <w:rsid w:val="003D794D"/>
    <w:rsid w:val="003E0484"/>
    <w:rsid w:val="003E04DF"/>
    <w:rsid w:val="003E06F6"/>
    <w:rsid w:val="003E1051"/>
    <w:rsid w:val="003E118F"/>
    <w:rsid w:val="003E3058"/>
    <w:rsid w:val="003E3779"/>
    <w:rsid w:val="003E3D89"/>
    <w:rsid w:val="003E4B8D"/>
    <w:rsid w:val="003E6FAF"/>
    <w:rsid w:val="003E76A9"/>
    <w:rsid w:val="003F0231"/>
    <w:rsid w:val="003F0809"/>
    <w:rsid w:val="003F0C2E"/>
    <w:rsid w:val="003F1E51"/>
    <w:rsid w:val="003F21F1"/>
    <w:rsid w:val="003F229D"/>
    <w:rsid w:val="003F3D0F"/>
    <w:rsid w:val="003F466F"/>
    <w:rsid w:val="003F47B6"/>
    <w:rsid w:val="003F4F11"/>
    <w:rsid w:val="003F527E"/>
    <w:rsid w:val="003F6A8C"/>
    <w:rsid w:val="003F6E78"/>
    <w:rsid w:val="003F755C"/>
    <w:rsid w:val="0040020C"/>
    <w:rsid w:val="00400265"/>
    <w:rsid w:val="00401AE1"/>
    <w:rsid w:val="0040261D"/>
    <w:rsid w:val="0040311E"/>
    <w:rsid w:val="00404137"/>
    <w:rsid w:val="00404B09"/>
    <w:rsid w:val="00404C6E"/>
    <w:rsid w:val="00405255"/>
    <w:rsid w:val="00405505"/>
    <w:rsid w:val="00405734"/>
    <w:rsid w:val="00405A0A"/>
    <w:rsid w:val="00406F01"/>
    <w:rsid w:val="00407AC1"/>
    <w:rsid w:val="00412CE8"/>
    <w:rsid w:val="0041430D"/>
    <w:rsid w:val="004151A8"/>
    <w:rsid w:val="00415817"/>
    <w:rsid w:val="00415BF8"/>
    <w:rsid w:val="004163AF"/>
    <w:rsid w:val="00416791"/>
    <w:rsid w:val="00416D50"/>
    <w:rsid w:val="00416FD5"/>
    <w:rsid w:val="00417772"/>
    <w:rsid w:val="00420E6A"/>
    <w:rsid w:val="00421D8E"/>
    <w:rsid w:val="00424B1B"/>
    <w:rsid w:val="00425847"/>
    <w:rsid w:val="00425A9E"/>
    <w:rsid w:val="004262E7"/>
    <w:rsid w:val="0042649E"/>
    <w:rsid w:val="00426CD7"/>
    <w:rsid w:val="00426D6B"/>
    <w:rsid w:val="0042738A"/>
    <w:rsid w:val="00427737"/>
    <w:rsid w:val="004304E2"/>
    <w:rsid w:val="004305E9"/>
    <w:rsid w:val="00430F85"/>
    <w:rsid w:val="00431E6C"/>
    <w:rsid w:val="00432714"/>
    <w:rsid w:val="00433CE7"/>
    <w:rsid w:val="00433D7F"/>
    <w:rsid w:val="0043444D"/>
    <w:rsid w:val="004400C9"/>
    <w:rsid w:val="0044123C"/>
    <w:rsid w:val="004412DC"/>
    <w:rsid w:val="00442471"/>
    <w:rsid w:val="00442CE7"/>
    <w:rsid w:val="0044360B"/>
    <w:rsid w:val="004439A1"/>
    <w:rsid w:val="00447517"/>
    <w:rsid w:val="0044788C"/>
    <w:rsid w:val="00452738"/>
    <w:rsid w:val="0045277C"/>
    <w:rsid w:val="00452795"/>
    <w:rsid w:val="00452C5F"/>
    <w:rsid w:val="00452C83"/>
    <w:rsid w:val="0045494B"/>
    <w:rsid w:val="004552D4"/>
    <w:rsid w:val="00455D29"/>
    <w:rsid w:val="00455EE5"/>
    <w:rsid w:val="00456091"/>
    <w:rsid w:val="00457DF4"/>
    <w:rsid w:val="00462281"/>
    <w:rsid w:val="00462D37"/>
    <w:rsid w:val="00463AD4"/>
    <w:rsid w:val="004649FD"/>
    <w:rsid w:val="00464FDF"/>
    <w:rsid w:val="00465055"/>
    <w:rsid w:val="00466321"/>
    <w:rsid w:val="00466420"/>
    <w:rsid w:val="004700D5"/>
    <w:rsid w:val="0047053A"/>
    <w:rsid w:val="004712BB"/>
    <w:rsid w:val="00472399"/>
    <w:rsid w:val="00472D31"/>
    <w:rsid w:val="0047335C"/>
    <w:rsid w:val="0047392A"/>
    <w:rsid w:val="00473D2B"/>
    <w:rsid w:val="00476687"/>
    <w:rsid w:val="00476D5B"/>
    <w:rsid w:val="0047755E"/>
    <w:rsid w:val="004805E7"/>
    <w:rsid w:val="00481045"/>
    <w:rsid w:val="00483110"/>
    <w:rsid w:val="00483292"/>
    <w:rsid w:val="00483ED5"/>
    <w:rsid w:val="00484B9B"/>
    <w:rsid w:val="00484D5E"/>
    <w:rsid w:val="004854E9"/>
    <w:rsid w:val="004855F6"/>
    <w:rsid w:val="0048661E"/>
    <w:rsid w:val="00486DC4"/>
    <w:rsid w:val="00490EF7"/>
    <w:rsid w:val="00491830"/>
    <w:rsid w:val="00491CF4"/>
    <w:rsid w:val="00491DAD"/>
    <w:rsid w:val="00491F2A"/>
    <w:rsid w:val="0049203B"/>
    <w:rsid w:val="00492A67"/>
    <w:rsid w:val="0049347D"/>
    <w:rsid w:val="00493A83"/>
    <w:rsid w:val="00494670"/>
    <w:rsid w:val="00494DC7"/>
    <w:rsid w:val="00494EF2"/>
    <w:rsid w:val="004957EB"/>
    <w:rsid w:val="0049586A"/>
    <w:rsid w:val="00495AC0"/>
    <w:rsid w:val="00496047"/>
    <w:rsid w:val="004968C5"/>
    <w:rsid w:val="004A05E4"/>
    <w:rsid w:val="004A07AB"/>
    <w:rsid w:val="004A0BBF"/>
    <w:rsid w:val="004A12DE"/>
    <w:rsid w:val="004A1ABD"/>
    <w:rsid w:val="004A1C89"/>
    <w:rsid w:val="004A22C0"/>
    <w:rsid w:val="004A2D48"/>
    <w:rsid w:val="004A34AD"/>
    <w:rsid w:val="004A3823"/>
    <w:rsid w:val="004A39BF"/>
    <w:rsid w:val="004A472E"/>
    <w:rsid w:val="004A7306"/>
    <w:rsid w:val="004B0321"/>
    <w:rsid w:val="004B032A"/>
    <w:rsid w:val="004B04DB"/>
    <w:rsid w:val="004B0E8C"/>
    <w:rsid w:val="004B10B9"/>
    <w:rsid w:val="004B23CC"/>
    <w:rsid w:val="004B43F2"/>
    <w:rsid w:val="004B445C"/>
    <w:rsid w:val="004B49D3"/>
    <w:rsid w:val="004B5127"/>
    <w:rsid w:val="004B5B64"/>
    <w:rsid w:val="004C0A01"/>
    <w:rsid w:val="004C0E1A"/>
    <w:rsid w:val="004C0EC8"/>
    <w:rsid w:val="004C1754"/>
    <w:rsid w:val="004C2C51"/>
    <w:rsid w:val="004C5FEF"/>
    <w:rsid w:val="004C6944"/>
    <w:rsid w:val="004D0430"/>
    <w:rsid w:val="004D0BCF"/>
    <w:rsid w:val="004D0D89"/>
    <w:rsid w:val="004D214E"/>
    <w:rsid w:val="004D269C"/>
    <w:rsid w:val="004D34E3"/>
    <w:rsid w:val="004D3672"/>
    <w:rsid w:val="004D3B7A"/>
    <w:rsid w:val="004D4016"/>
    <w:rsid w:val="004D539A"/>
    <w:rsid w:val="004D5F3F"/>
    <w:rsid w:val="004D6F64"/>
    <w:rsid w:val="004D7AE9"/>
    <w:rsid w:val="004E0436"/>
    <w:rsid w:val="004E2EC4"/>
    <w:rsid w:val="004E46C0"/>
    <w:rsid w:val="004E4CB7"/>
    <w:rsid w:val="004E68DE"/>
    <w:rsid w:val="004E6946"/>
    <w:rsid w:val="004E78A4"/>
    <w:rsid w:val="004F0635"/>
    <w:rsid w:val="004F0D71"/>
    <w:rsid w:val="004F11E1"/>
    <w:rsid w:val="004F1AD8"/>
    <w:rsid w:val="004F33E0"/>
    <w:rsid w:val="004F351A"/>
    <w:rsid w:val="004F4218"/>
    <w:rsid w:val="004F5373"/>
    <w:rsid w:val="004F5456"/>
    <w:rsid w:val="004F56C8"/>
    <w:rsid w:val="004F5976"/>
    <w:rsid w:val="004F6010"/>
    <w:rsid w:val="004F6033"/>
    <w:rsid w:val="004F6905"/>
    <w:rsid w:val="005025B3"/>
    <w:rsid w:val="00502A15"/>
    <w:rsid w:val="00502CC2"/>
    <w:rsid w:val="005031EE"/>
    <w:rsid w:val="005039CB"/>
    <w:rsid w:val="0050497F"/>
    <w:rsid w:val="0050558F"/>
    <w:rsid w:val="00506286"/>
    <w:rsid w:val="00507165"/>
    <w:rsid w:val="0050781D"/>
    <w:rsid w:val="005078C3"/>
    <w:rsid w:val="00507A37"/>
    <w:rsid w:val="00510306"/>
    <w:rsid w:val="00510813"/>
    <w:rsid w:val="00510CA4"/>
    <w:rsid w:val="00511897"/>
    <w:rsid w:val="00511990"/>
    <w:rsid w:val="00511DE0"/>
    <w:rsid w:val="005122EF"/>
    <w:rsid w:val="00512B0D"/>
    <w:rsid w:val="00512B90"/>
    <w:rsid w:val="00513168"/>
    <w:rsid w:val="005144E0"/>
    <w:rsid w:val="00514870"/>
    <w:rsid w:val="00514AB2"/>
    <w:rsid w:val="00514B9B"/>
    <w:rsid w:val="0051568A"/>
    <w:rsid w:val="005166DA"/>
    <w:rsid w:val="0051697D"/>
    <w:rsid w:val="00517F02"/>
    <w:rsid w:val="00520E4C"/>
    <w:rsid w:val="00521C5D"/>
    <w:rsid w:val="00522352"/>
    <w:rsid w:val="00522809"/>
    <w:rsid w:val="0052340B"/>
    <w:rsid w:val="00523E89"/>
    <w:rsid w:val="00524303"/>
    <w:rsid w:val="005244F3"/>
    <w:rsid w:val="00525136"/>
    <w:rsid w:val="005258A2"/>
    <w:rsid w:val="00526160"/>
    <w:rsid w:val="00530161"/>
    <w:rsid w:val="0053037B"/>
    <w:rsid w:val="00530630"/>
    <w:rsid w:val="00530FF2"/>
    <w:rsid w:val="00531C14"/>
    <w:rsid w:val="00536EFB"/>
    <w:rsid w:val="005401AE"/>
    <w:rsid w:val="00540821"/>
    <w:rsid w:val="005408A0"/>
    <w:rsid w:val="00541068"/>
    <w:rsid w:val="00541250"/>
    <w:rsid w:val="005412CB"/>
    <w:rsid w:val="00541BF0"/>
    <w:rsid w:val="00542E07"/>
    <w:rsid w:val="00543C05"/>
    <w:rsid w:val="0054439C"/>
    <w:rsid w:val="00544D61"/>
    <w:rsid w:val="00544E42"/>
    <w:rsid w:val="00545424"/>
    <w:rsid w:val="00545931"/>
    <w:rsid w:val="00553C00"/>
    <w:rsid w:val="00553EAB"/>
    <w:rsid w:val="00554A7B"/>
    <w:rsid w:val="00554A98"/>
    <w:rsid w:val="005550FC"/>
    <w:rsid w:val="0055572C"/>
    <w:rsid w:val="0056106A"/>
    <w:rsid w:val="005612B7"/>
    <w:rsid w:val="005614D0"/>
    <w:rsid w:val="00563148"/>
    <w:rsid w:val="0056378C"/>
    <w:rsid w:val="00563B40"/>
    <w:rsid w:val="00564094"/>
    <w:rsid w:val="005646A8"/>
    <w:rsid w:val="00564ADA"/>
    <w:rsid w:val="00564B32"/>
    <w:rsid w:val="005666D3"/>
    <w:rsid w:val="00571240"/>
    <w:rsid w:val="005720AE"/>
    <w:rsid w:val="00572163"/>
    <w:rsid w:val="005728E8"/>
    <w:rsid w:val="00573FE8"/>
    <w:rsid w:val="0057640D"/>
    <w:rsid w:val="00580779"/>
    <w:rsid w:val="00580F2E"/>
    <w:rsid w:val="005833E0"/>
    <w:rsid w:val="00583408"/>
    <w:rsid w:val="00583B61"/>
    <w:rsid w:val="00583C9E"/>
    <w:rsid w:val="00585ADE"/>
    <w:rsid w:val="005865A5"/>
    <w:rsid w:val="00587A26"/>
    <w:rsid w:val="00587DAC"/>
    <w:rsid w:val="005906E3"/>
    <w:rsid w:val="005909DB"/>
    <w:rsid w:val="00590DBC"/>
    <w:rsid w:val="00590E6E"/>
    <w:rsid w:val="00591039"/>
    <w:rsid w:val="00591708"/>
    <w:rsid w:val="00591734"/>
    <w:rsid w:val="00591E54"/>
    <w:rsid w:val="00593265"/>
    <w:rsid w:val="00593C6F"/>
    <w:rsid w:val="00593DAC"/>
    <w:rsid w:val="00593E06"/>
    <w:rsid w:val="0059462A"/>
    <w:rsid w:val="00594775"/>
    <w:rsid w:val="00594C35"/>
    <w:rsid w:val="00594D77"/>
    <w:rsid w:val="00594FDD"/>
    <w:rsid w:val="00595A70"/>
    <w:rsid w:val="005969E2"/>
    <w:rsid w:val="005969E4"/>
    <w:rsid w:val="005A01E2"/>
    <w:rsid w:val="005A01F8"/>
    <w:rsid w:val="005A06B7"/>
    <w:rsid w:val="005A06FD"/>
    <w:rsid w:val="005A1023"/>
    <w:rsid w:val="005A162C"/>
    <w:rsid w:val="005A1759"/>
    <w:rsid w:val="005A1BEF"/>
    <w:rsid w:val="005A1E82"/>
    <w:rsid w:val="005A3276"/>
    <w:rsid w:val="005A4E67"/>
    <w:rsid w:val="005A59E1"/>
    <w:rsid w:val="005A68A7"/>
    <w:rsid w:val="005B199F"/>
    <w:rsid w:val="005B1F49"/>
    <w:rsid w:val="005B201F"/>
    <w:rsid w:val="005B2ECC"/>
    <w:rsid w:val="005B3F6C"/>
    <w:rsid w:val="005B4830"/>
    <w:rsid w:val="005B620C"/>
    <w:rsid w:val="005B629F"/>
    <w:rsid w:val="005B6CB4"/>
    <w:rsid w:val="005C0D94"/>
    <w:rsid w:val="005C12A6"/>
    <w:rsid w:val="005C12F0"/>
    <w:rsid w:val="005C1E85"/>
    <w:rsid w:val="005C1F69"/>
    <w:rsid w:val="005C2C28"/>
    <w:rsid w:val="005C3FEF"/>
    <w:rsid w:val="005C4CF9"/>
    <w:rsid w:val="005C5195"/>
    <w:rsid w:val="005C60FF"/>
    <w:rsid w:val="005C69B7"/>
    <w:rsid w:val="005C6F78"/>
    <w:rsid w:val="005D36AB"/>
    <w:rsid w:val="005D42B1"/>
    <w:rsid w:val="005D52B4"/>
    <w:rsid w:val="005D5501"/>
    <w:rsid w:val="005D6CE7"/>
    <w:rsid w:val="005D76F9"/>
    <w:rsid w:val="005E0E91"/>
    <w:rsid w:val="005E206D"/>
    <w:rsid w:val="005E37DD"/>
    <w:rsid w:val="005E3EFA"/>
    <w:rsid w:val="005E5417"/>
    <w:rsid w:val="005E5684"/>
    <w:rsid w:val="005E5E84"/>
    <w:rsid w:val="005F08AB"/>
    <w:rsid w:val="005F1B2E"/>
    <w:rsid w:val="005F23ED"/>
    <w:rsid w:val="005F2B32"/>
    <w:rsid w:val="005F31AD"/>
    <w:rsid w:val="005F4176"/>
    <w:rsid w:val="005F481A"/>
    <w:rsid w:val="005F4FBA"/>
    <w:rsid w:val="005F52DE"/>
    <w:rsid w:val="00600017"/>
    <w:rsid w:val="00604F7E"/>
    <w:rsid w:val="006054C5"/>
    <w:rsid w:val="00605A29"/>
    <w:rsid w:val="00610B62"/>
    <w:rsid w:val="00610BE0"/>
    <w:rsid w:val="00612C57"/>
    <w:rsid w:val="006142B1"/>
    <w:rsid w:val="0061477F"/>
    <w:rsid w:val="00614804"/>
    <w:rsid w:val="006160C3"/>
    <w:rsid w:val="00616677"/>
    <w:rsid w:val="00616EC6"/>
    <w:rsid w:val="006179BC"/>
    <w:rsid w:val="00617CC3"/>
    <w:rsid w:val="006202FB"/>
    <w:rsid w:val="006227A1"/>
    <w:rsid w:val="0062291B"/>
    <w:rsid w:val="00622FF9"/>
    <w:rsid w:val="006241B4"/>
    <w:rsid w:val="006246BA"/>
    <w:rsid w:val="0062491E"/>
    <w:rsid w:val="00624EBC"/>
    <w:rsid w:val="00626B30"/>
    <w:rsid w:val="006278B2"/>
    <w:rsid w:val="00627AA2"/>
    <w:rsid w:val="00630248"/>
    <w:rsid w:val="006306C8"/>
    <w:rsid w:val="006309E7"/>
    <w:rsid w:val="00630ACD"/>
    <w:rsid w:val="00630B75"/>
    <w:rsid w:val="00630EAA"/>
    <w:rsid w:val="00632DED"/>
    <w:rsid w:val="00636C46"/>
    <w:rsid w:val="006377A6"/>
    <w:rsid w:val="00637A3D"/>
    <w:rsid w:val="00637D9C"/>
    <w:rsid w:val="006411EF"/>
    <w:rsid w:val="00641EE3"/>
    <w:rsid w:val="00642DCE"/>
    <w:rsid w:val="006437CC"/>
    <w:rsid w:val="00643BBE"/>
    <w:rsid w:val="00645831"/>
    <w:rsid w:val="00647572"/>
    <w:rsid w:val="00651A54"/>
    <w:rsid w:val="0065228B"/>
    <w:rsid w:val="00652304"/>
    <w:rsid w:val="00652EF2"/>
    <w:rsid w:val="006551FD"/>
    <w:rsid w:val="006561C4"/>
    <w:rsid w:val="006572DD"/>
    <w:rsid w:val="006638E1"/>
    <w:rsid w:val="0066452F"/>
    <w:rsid w:val="00665EEA"/>
    <w:rsid w:val="00665F08"/>
    <w:rsid w:val="00666565"/>
    <w:rsid w:val="00667B89"/>
    <w:rsid w:val="00667C85"/>
    <w:rsid w:val="00670301"/>
    <w:rsid w:val="00670308"/>
    <w:rsid w:val="006707F6"/>
    <w:rsid w:val="006731E4"/>
    <w:rsid w:val="00673BA5"/>
    <w:rsid w:val="00673CF1"/>
    <w:rsid w:val="00673CFB"/>
    <w:rsid w:val="00673E27"/>
    <w:rsid w:val="006748B8"/>
    <w:rsid w:val="00674F15"/>
    <w:rsid w:val="006765AF"/>
    <w:rsid w:val="006766B8"/>
    <w:rsid w:val="00676E17"/>
    <w:rsid w:val="006770C7"/>
    <w:rsid w:val="006775C3"/>
    <w:rsid w:val="00677EB5"/>
    <w:rsid w:val="006802A9"/>
    <w:rsid w:val="0068045A"/>
    <w:rsid w:val="00680ECF"/>
    <w:rsid w:val="006822E6"/>
    <w:rsid w:val="00682F92"/>
    <w:rsid w:val="006840AB"/>
    <w:rsid w:val="00684994"/>
    <w:rsid w:val="006861A9"/>
    <w:rsid w:val="00687ACA"/>
    <w:rsid w:val="00687BD4"/>
    <w:rsid w:val="00691001"/>
    <w:rsid w:val="0069112A"/>
    <w:rsid w:val="00691DCB"/>
    <w:rsid w:val="0069290A"/>
    <w:rsid w:val="00692B71"/>
    <w:rsid w:val="00692BDB"/>
    <w:rsid w:val="00693F74"/>
    <w:rsid w:val="006944E1"/>
    <w:rsid w:val="006946FE"/>
    <w:rsid w:val="0069775A"/>
    <w:rsid w:val="00697813"/>
    <w:rsid w:val="00697A59"/>
    <w:rsid w:val="006A05C5"/>
    <w:rsid w:val="006A091B"/>
    <w:rsid w:val="006A160C"/>
    <w:rsid w:val="006A3EE8"/>
    <w:rsid w:val="006A41BD"/>
    <w:rsid w:val="006A483E"/>
    <w:rsid w:val="006A514F"/>
    <w:rsid w:val="006A5433"/>
    <w:rsid w:val="006A6A7D"/>
    <w:rsid w:val="006A6A99"/>
    <w:rsid w:val="006A72BF"/>
    <w:rsid w:val="006A783D"/>
    <w:rsid w:val="006B03F2"/>
    <w:rsid w:val="006B0DC1"/>
    <w:rsid w:val="006B289C"/>
    <w:rsid w:val="006B37AA"/>
    <w:rsid w:val="006B37DC"/>
    <w:rsid w:val="006B4F68"/>
    <w:rsid w:val="006B52D7"/>
    <w:rsid w:val="006B5551"/>
    <w:rsid w:val="006B5A63"/>
    <w:rsid w:val="006B626D"/>
    <w:rsid w:val="006B72E1"/>
    <w:rsid w:val="006B75BF"/>
    <w:rsid w:val="006C02B3"/>
    <w:rsid w:val="006C0592"/>
    <w:rsid w:val="006C238A"/>
    <w:rsid w:val="006C2547"/>
    <w:rsid w:val="006C272E"/>
    <w:rsid w:val="006C2DF8"/>
    <w:rsid w:val="006C2E2F"/>
    <w:rsid w:val="006C3D18"/>
    <w:rsid w:val="006C3E07"/>
    <w:rsid w:val="006C52BF"/>
    <w:rsid w:val="006C5479"/>
    <w:rsid w:val="006C54B2"/>
    <w:rsid w:val="006C66DA"/>
    <w:rsid w:val="006C7CCE"/>
    <w:rsid w:val="006D00BB"/>
    <w:rsid w:val="006D0114"/>
    <w:rsid w:val="006D13B5"/>
    <w:rsid w:val="006D40BC"/>
    <w:rsid w:val="006D7243"/>
    <w:rsid w:val="006E0455"/>
    <w:rsid w:val="006E0B86"/>
    <w:rsid w:val="006E12FF"/>
    <w:rsid w:val="006E1581"/>
    <w:rsid w:val="006E1FC4"/>
    <w:rsid w:val="006E213E"/>
    <w:rsid w:val="006E2600"/>
    <w:rsid w:val="006E3454"/>
    <w:rsid w:val="006E3A83"/>
    <w:rsid w:val="006E5503"/>
    <w:rsid w:val="006E5D02"/>
    <w:rsid w:val="006E607E"/>
    <w:rsid w:val="006E65EE"/>
    <w:rsid w:val="006E69EC"/>
    <w:rsid w:val="006E7292"/>
    <w:rsid w:val="006E7D0B"/>
    <w:rsid w:val="006F0193"/>
    <w:rsid w:val="006F0E7A"/>
    <w:rsid w:val="006F11EE"/>
    <w:rsid w:val="006F148D"/>
    <w:rsid w:val="006F3028"/>
    <w:rsid w:val="006F366F"/>
    <w:rsid w:val="006F3794"/>
    <w:rsid w:val="006F400D"/>
    <w:rsid w:val="006F40D8"/>
    <w:rsid w:val="006F417C"/>
    <w:rsid w:val="006F4BCB"/>
    <w:rsid w:val="006F5DB6"/>
    <w:rsid w:val="006F6504"/>
    <w:rsid w:val="006F6EAA"/>
    <w:rsid w:val="007003AF"/>
    <w:rsid w:val="00700BAA"/>
    <w:rsid w:val="00700C37"/>
    <w:rsid w:val="00700D48"/>
    <w:rsid w:val="00701530"/>
    <w:rsid w:val="00701D6F"/>
    <w:rsid w:val="007035AF"/>
    <w:rsid w:val="00703885"/>
    <w:rsid w:val="007050E4"/>
    <w:rsid w:val="00706C5D"/>
    <w:rsid w:val="0070797A"/>
    <w:rsid w:val="00707D37"/>
    <w:rsid w:val="00707FF7"/>
    <w:rsid w:val="007118F5"/>
    <w:rsid w:val="00712479"/>
    <w:rsid w:val="00713A0F"/>
    <w:rsid w:val="00713A3A"/>
    <w:rsid w:val="007145D6"/>
    <w:rsid w:val="00714971"/>
    <w:rsid w:val="00714E44"/>
    <w:rsid w:val="00714F55"/>
    <w:rsid w:val="00715609"/>
    <w:rsid w:val="00715E44"/>
    <w:rsid w:val="00716C4C"/>
    <w:rsid w:val="00717162"/>
    <w:rsid w:val="00720D40"/>
    <w:rsid w:val="007211D3"/>
    <w:rsid w:val="00721AA1"/>
    <w:rsid w:val="00722CDA"/>
    <w:rsid w:val="00725C1A"/>
    <w:rsid w:val="0072638F"/>
    <w:rsid w:val="007305B5"/>
    <w:rsid w:val="00732922"/>
    <w:rsid w:val="00733BA5"/>
    <w:rsid w:val="00733C6F"/>
    <w:rsid w:val="00735964"/>
    <w:rsid w:val="00735DFC"/>
    <w:rsid w:val="00736092"/>
    <w:rsid w:val="0073698A"/>
    <w:rsid w:val="00737C1E"/>
    <w:rsid w:val="00740A34"/>
    <w:rsid w:val="00741720"/>
    <w:rsid w:val="00741802"/>
    <w:rsid w:val="00743D00"/>
    <w:rsid w:val="007452E7"/>
    <w:rsid w:val="00745834"/>
    <w:rsid w:val="0074614C"/>
    <w:rsid w:val="00747984"/>
    <w:rsid w:val="00751094"/>
    <w:rsid w:val="007511CB"/>
    <w:rsid w:val="007513A0"/>
    <w:rsid w:val="00751524"/>
    <w:rsid w:val="0075162E"/>
    <w:rsid w:val="00754034"/>
    <w:rsid w:val="00754C43"/>
    <w:rsid w:val="0075577D"/>
    <w:rsid w:val="0075620B"/>
    <w:rsid w:val="00756556"/>
    <w:rsid w:val="0075682C"/>
    <w:rsid w:val="007577EF"/>
    <w:rsid w:val="00760536"/>
    <w:rsid w:val="00760AE7"/>
    <w:rsid w:val="007618C4"/>
    <w:rsid w:val="00761907"/>
    <w:rsid w:val="007638D6"/>
    <w:rsid w:val="00764D73"/>
    <w:rsid w:val="007661CC"/>
    <w:rsid w:val="007662BD"/>
    <w:rsid w:val="0076678A"/>
    <w:rsid w:val="00766D43"/>
    <w:rsid w:val="00767980"/>
    <w:rsid w:val="00767C54"/>
    <w:rsid w:val="00770165"/>
    <w:rsid w:val="00770B19"/>
    <w:rsid w:val="00772572"/>
    <w:rsid w:val="007725E9"/>
    <w:rsid w:val="00772A3C"/>
    <w:rsid w:val="00773396"/>
    <w:rsid w:val="007738B4"/>
    <w:rsid w:val="007742C7"/>
    <w:rsid w:val="007742F1"/>
    <w:rsid w:val="0077463F"/>
    <w:rsid w:val="0077509A"/>
    <w:rsid w:val="00776DE4"/>
    <w:rsid w:val="00777356"/>
    <w:rsid w:val="00777457"/>
    <w:rsid w:val="00780301"/>
    <w:rsid w:val="0078129D"/>
    <w:rsid w:val="00781478"/>
    <w:rsid w:val="00783133"/>
    <w:rsid w:val="00783426"/>
    <w:rsid w:val="007836EA"/>
    <w:rsid w:val="00784CDA"/>
    <w:rsid w:val="0078511F"/>
    <w:rsid w:val="0078514C"/>
    <w:rsid w:val="007862AB"/>
    <w:rsid w:val="00787587"/>
    <w:rsid w:val="007906C4"/>
    <w:rsid w:val="00790A88"/>
    <w:rsid w:val="007918D9"/>
    <w:rsid w:val="00792588"/>
    <w:rsid w:val="0079309B"/>
    <w:rsid w:val="00793C53"/>
    <w:rsid w:val="00793D80"/>
    <w:rsid w:val="00793E33"/>
    <w:rsid w:val="007940EA"/>
    <w:rsid w:val="007951CF"/>
    <w:rsid w:val="007967E8"/>
    <w:rsid w:val="00796DF0"/>
    <w:rsid w:val="00796F67"/>
    <w:rsid w:val="00797046"/>
    <w:rsid w:val="007A10D6"/>
    <w:rsid w:val="007A2170"/>
    <w:rsid w:val="007A22BF"/>
    <w:rsid w:val="007A3323"/>
    <w:rsid w:val="007A434E"/>
    <w:rsid w:val="007A44D7"/>
    <w:rsid w:val="007A6F2C"/>
    <w:rsid w:val="007B19E6"/>
    <w:rsid w:val="007B2FBB"/>
    <w:rsid w:val="007B2FE5"/>
    <w:rsid w:val="007B4B49"/>
    <w:rsid w:val="007B506A"/>
    <w:rsid w:val="007B72B8"/>
    <w:rsid w:val="007B779B"/>
    <w:rsid w:val="007B7A58"/>
    <w:rsid w:val="007B7E11"/>
    <w:rsid w:val="007C21B5"/>
    <w:rsid w:val="007C21CE"/>
    <w:rsid w:val="007C23F2"/>
    <w:rsid w:val="007C25B4"/>
    <w:rsid w:val="007C25D1"/>
    <w:rsid w:val="007C2C43"/>
    <w:rsid w:val="007C4200"/>
    <w:rsid w:val="007C43BE"/>
    <w:rsid w:val="007C453B"/>
    <w:rsid w:val="007C48B5"/>
    <w:rsid w:val="007C5458"/>
    <w:rsid w:val="007C61EC"/>
    <w:rsid w:val="007C668E"/>
    <w:rsid w:val="007D2820"/>
    <w:rsid w:val="007E087C"/>
    <w:rsid w:val="007E1C82"/>
    <w:rsid w:val="007E3636"/>
    <w:rsid w:val="007E4BD2"/>
    <w:rsid w:val="007E585C"/>
    <w:rsid w:val="007E588B"/>
    <w:rsid w:val="007E5A7E"/>
    <w:rsid w:val="007E5E19"/>
    <w:rsid w:val="007E734C"/>
    <w:rsid w:val="007E7E55"/>
    <w:rsid w:val="007F01AA"/>
    <w:rsid w:val="007F05EE"/>
    <w:rsid w:val="007F1C2A"/>
    <w:rsid w:val="007F2C99"/>
    <w:rsid w:val="007F4A2C"/>
    <w:rsid w:val="007F6584"/>
    <w:rsid w:val="007F7C1F"/>
    <w:rsid w:val="00801393"/>
    <w:rsid w:val="00801A38"/>
    <w:rsid w:val="0080253E"/>
    <w:rsid w:val="00802F88"/>
    <w:rsid w:val="0080324C"/>
    <w:rsid w:val="00803A79"/>
    <w:rsid w:val="00804017"/>
    <w:rsid w:val="0080451B"/>
    <w:rsid w:val="00805976"/>
    <w:rsid w:val="00805BC7"/>
    <w:rsid w:val="0080780B"/>
    <w:rsid w:val="00807927"/>
    <w:rsid w:val="00807CDA"/>
    <w:rsid w:val="008104A8"/>
    <w:rsid w:val="008109AB"/>
    <w:rsid w:val="00811161"/>
    <w:rsid w:val="0081293E"/>
    <w:rsid w:val="00814719"/>
    <w:rsid w:val="00815465"/>
    <w:rsid w:val="00816122"/>
    <w:rsid w:val="00816428"/>
    <w:rsid w:val="00816607"/>
    <w:rsid w:val="008172FC"/>
    <w:rsid w:val="00817E9A"/>
    <w:rsid w:val="00820F8F"/>
    <w:rsid w:val="008217E6"/>
    <w:rsid w:val="008245CF"/>
    <w:rsid w:val="00824B7E"/>
    <w:rsid w:val="00825428"/>
    <w:rsid w:val="00825D62"/>
    <w:rsid w:val="008274BE"/>
    <w:rsid w:val="008275BD"/>
    <w:rsid w:val="008306BD"/>
    <w:rsid w:val="00830BF3"/>
    <w:rsid w:val="00831154"/>
    <w:rsid w:val="00831A80"/>
    <w:rsid w:val="00832ED9"/>
    <w:rsid w:val="008335BD"/>
    <w:rsid w:val="00833743"/>
    <w:rsid w:val="00833B15"/>
    <w:rsid w:val="008340A4"/>
    <w:rsid w:val="00834548"/>
    <w:rsid w:val="00835512"/>
    <w:rsid w:val="00836545"/>
    <w:rsid w:val="008368CF"/>
    <w:rsid w:val="00837E78"/>
    <w:rsid w:val="0084029E"/>
    <w:rsid w:val="00840E1D"/>
    <w:rsid w:val="008418A5"/>
    <w:rsid w:val="00842D4B"/>
    <w:rsid w:val="0084340F"/>
    <w:rsid w:val="008436D7"/>
    <w:rsid w:val="008438E7"/>
    <w:rsid w:val="00843A5F"/>
    <w:rsid w:val="00845FEC"/>
    <w:rsid w:val="00847D89"/>
    <w:rsid w:val="00851C01"/>
    <w:rsid w:val="00854069"/>
    <w:rsid w:val="00854C30"/>
    <w:rsid w:val="00855872"/>
    <w:rsid w:val="00855E23"/>
    <w:rsid w:val="00856DDA"/>
    <w:rsid w:val="00857706"/>
    <w:rsid w:val="0085774B"/>
    <w:rsid w:val="008607DD"/>
    <w:rsid w:val="0086140A"/>
    <w:rsid w:val="00863338"/>
    <w:rsid w:val="00863E16"/>
    <w:rsid w:val="00864424"/>
    <w:rsid w:val="0086470C"/>
    <w:rsid w:val="00864FEE"/>
    <w:rsid w:val="008651B4"/>
    <w:rsid w:val="00865746"/>
    <w:rsid w:val="00865FB1"/>
    <w:rsid w:val="00866375"/>
    <w:rsid w:val="008663E4"/>
    <w:rsid w:val="00867600"/>
    <w:rsid w:val="00870D1A"/>
    <w:rsid w:val="008711CC"/>
    <w:rsid w:val="0087135F"/>
    <w:rsid w:val="008718D8"/>
    <w:rsid w:val="00871D16"/>
    <w:rsid w:val="00872D94"/>
    <w:rsid w:val="00873D0B"/>
    <w:rsid w:val="00874282"/>
    <w:rsid w:val="0087493B"/>
    <w:rsid w:val="00876A4D"/>
    <w:rsid w:val="00877F7E"/>
    <w:rsid w:val="00880364"/>
    <w:rsid w:val="00881432"/>
    <w:rsid w:val="008815CB"/>
    <w:rsid w:val="00883579"/>
    <w:rsid w:val="00884F11"/>
    <w:rsid w:val="008851F5"/>
    <w:rsid w:val="00885337"/>
    <w:rsid w:val="00885689"/>
    <w:rsid w:val="00885727"/>
    <w:rsid w:val="0088575B"/>
    <w:rsid w:val="00886D16"/>
    <w:rsid w:val="00887161"/>
    <w:rsid w:val="00887536"/>
    <w:rsid w:val="00887B14"/>
    <w:rsid w:val="0089137D"/>
    <w:rsid w:val="00891592"/>
    <w:rsid w:val="0089192F"/>
    <w:rsid w:val="00891E9E"/>
    <w:rsid w:val="00892C15"/>
    <w:rsid w:val="00893D06"/>
    <w:rsid w:val="00893FC0"/>
    <w:rsid w:val="00894AEF"/>
    <w:rsid w:val="008951F3"/>
    <w:rsid w:val="008A086C"/>
    <w:rsid w:val="008A18F8"/>
    <w:rsid w:val="008A1DEA"/>
    <w:rsid w:val="008A20C7"/>
    <w:rsid w:val="008A2F68"/>
    <w:rsid w:val="008A3096"/>
    <w:rsid w:val="008A4060"/>
    <w:rsid w:val="008A414B"/>
    <w:rsid w:val="008A44ED"/>
    <w:rsid w:val="008A4B1E"/>
    <w:rsid w:val="008A6097"/>
    <w:rsid w:val="008A75D7"/>
    <w:rsid w:val="008A7B44"/>
    <w:rsid w:val="008B1372"/>
    <w:rsid w:val="008B17A5"/>
    <w:rsid w:val="008B2747"/>
    <w:rsid w:val="008B2B97"/>
    <w:rsid w:val="008B2EA8"/>
    <w:rsid w:val="008B37D8"/>
    <w:rsid w:val="008B48D0"/>
    <w:rsid w:val="008B4F83"/>
    <w:rsid w:val="008B4FA6"/>
    <w:rsid w:val="008B5282"/>
    <w:rsid w:val="008B5856"/>
    <w:rsid w:val="008B6924"/>
    <w:rsid w:val="008B7C17"/>
    <w:rsid w:val="008C0AF2"/>
    <w:rsid w:val="008C19B4"/>
    <w:rsid w:val="008C1E8F"/>
    <w:rsid w:val="008C2D01"/>
    <w:rsid w:val="008C2D4D"/>
    <w:rsid w:val="008C2EA5"/>
    <w:rsid w:val="008C306C"/>
    <w:rsid w:val="008C40E6"/>
    <w:rsid w:val="008C7AC2"/>
    <w:rsid w:val="008D0809"/>
    <w:rsid w:val="008D0DB9"/>
    <w:rsid w:val="008D0F7A"/>
    <w:rsid w:val="008D12FA"/>
    <w:rsid w:val="008D1EB4"/>
    <w:rsid w:val="008D2244"/>
    <w:rsid w:val="008D270E"/>
    <w:rsid w:val="008D2CC8"/>
    <w:rsid w:val="008D3409"/>
    <w:rsid w:val="008D4B59"/>
    <w:rsid w:val="008D5722"/>
    <w:rsid w:val="008D5725"/>
    <w:rsid w:val="008D61F3"/>
    <w:rsid w:val="008D6727"/>
    <w:rsid w:val="008D68E4"/>
    <w:rsid w:val="008D696A"/>
    <w:rsid w:val="008D6C2B"/>
    <w:rsid w:val="008D781D"/>
    <w:rsid w:val="008E01F2"/>
    <w:rsid w:val="008E0506"/>
    <w:rsid w:val="008E0CFF"/>
    <w:rsid w:val="008E1795"/>
    <w:rsid w:val="008E1A31"/>
    <w:rsid w:val="008E345E"/>
    <w:rsid w:val="008E3919"/>
    <w:rsid w:val="008E4BAF"/>
    <w:rsid w:val="008E4DFD"/>
    <w:rsid w:val="008E5D6B"/>
    <w:rsid w:val="008E76F0"/>
    <w:rsid w:val="008E7D12"/>
    <w:rsid w:val="008F15FE"/>
    <w:rsid w:val="008F1992"/>
    <w:rsid w:val="008F23C8"/>
    <w:rsid w:val="008F2D29"/>
    <w:rsid w:val="008F3B6E"/>
    <w:rsid w:val="008F3E45"/>
    <w:rsid w:val="008F4627"/>
    <w:rsid w:val="008F4A61"/>
    <w:rsid w:val="008F4AB5"/>
    <w:rsid w:val="008F5187"/>
    <w:rsid w:val="008F5301"/>
    <w:rsid w:val="008F60D8"/>
    <w:rsid w:val="008F7391"/>
    <w:rsid w:val="00900FF2"/>
    <w:rsid w:val="00901281"/>
    <w:rsid w:val="00901C43"/>
    <w:rsid w:val="00902727"/>
    <w:rsid w:val="0090312B"/>
    <w:rsid w:val="0090564F"/>
    <w:rsid w:val="00906317"/>
    <w:rsid w:val="00910614"/>
    <w:rsid w:val="009110C4"/>
    <w:rsid w:val="009127C3"/>
    <w:rsid w:val="00914A4E"/>
    <w:rsid w:val="00914CFD"/>
    <w:rsid w:val="0091736D"/>
    <w:rsid w:val="0092176C"/>
    <w:rsid w:val="00921ACC"/>
    <w:rsid w:val="00921ED0"/>
    <w:rsid w:val="0092278F"/>
    <w:rsid w:val="0092400B"/>
    <w:rsid w:val="00926D50"/>
    <w:rsid w:val="00927ADD"/>
    <w:rsid w:val="0093037A"/>
    <w:rsid w:val="00930F79"/>
    <w:rsid w:val="00931EEF"/>
    <w:rsid w:val="0093311C"/>
    <w:rsid w:val="00933900"/>
    <w:rsid w:val="00934014"/>
    <w:rsid w:val="00934E50"/>
    <w:rsid w:val="00936747"/>
    <w:rsid w:val="00940334"/>
    <w:rsid w:val="009408EA"/>
    <w:rsid w:val="00940A44"/>
    <w:rsid w:val="0094154D"/>
    <w:rsid w:val="00946ED7"/>
    <w:rsid w:val="00947B99"/>
    <w:rsid w:val="0095155F"/>
    <w:rsid w:val="009522B6"/>
    <w:rsid w:val="00952A7C"/>
    <w:rsid w:val="0095320F"/>
    <w:rsid w:val="00954429"/>
    <w:rsid w:val="00954566"/>
    <w:rsid w:val="009548CB"/>
    <w:rsid w:val="0095566C"/>
    <w:rsid w:val="00955C89"/>
    <w:rsid w:val="009563CE"/>
    <w:rsid w:val="00956BAF"/>
    <w:rsid w:val="0095763C"/>
    <w:rsid w:val="00961CF3"/>
    <w:rsid w:val="00963589"/>
    <w:rsid w:val="009636EB"/>
    <w:rsid w:val="009650CE"/>
    <w:rsid w:val="00965536"/>
    <w:rsid w:val="00965F05"/>
    <w:rsid w:val="009671FA"/>
    <w:rsid w:val="009673D0"/>
    <w:rsid w:val="00967A37"/>
    <w:rsid w:val="00970653"/>
    <w:rsid w:val="00970BC4"/>
    <w:rsid w:val="009717DA"/>
    <w:rsid w:val="00971E82"/>
    <w:rsid w:val="009748AD"/>
    <w:rsid w:val="00976328"/>
    <w:rsid w:val="0097680D"/>
    <w:rsid w:val="00976F9B"/>
    <w:rsid w:val="0098039F"/>
    <w:rsid w:val="0098076C"/>
    <w:rsid w:val="00980A45"/>
    <w:rsid w:val="00980F99"/>
    <w:rsid w:val="00982438"/>
    <w:rsid w:val="009829A9"/>
    <w:rsid w:val="00983DD2"/>
    <w:rsid w:val="0098404C"/>
    <w:rsid w:val="009841B1"/>
    <w:rsid w:val="00984D00"/>
    <w:rsid w:val="00985283"/>
    <w:rsid w:val="00986DDB"/>
    <w:rsid w:val="009872DD"/>
    <w:rsid w:val="00991604"/>
    <w:rsid w:val="00993251"/>
    <w:rsid w:val="00993935"/>
    <w:rsid w:val="00993940"/>
    <w:rsid w:val="00993DB2"/>
    <w:rsid w:val="00994F8B"/>
    <w:rsid w:val="00995334"/>
    <w:rsid w:val="00995992"/>
    <w:rsid w:val="0099731D"/>
    <w:rsid w:val="009A03E5"/>
    <w:rsid w:val="009A0F3B"/>
    <w:rsid w:val="009A16A0"/>
    <w:rsid w:val="009A1BB4"/>
    <w:rsid w:val="009A2182"/>
    <w:rsid w:val="009A2594"/>
    <w:rsid w:val="009A2628"/>
    <w:rsid w:val="009A3200"/>
    <w:rsid w:val="009A643B"/>
    <w:rsid w:val="009A7195"/>
    <w:rsid w:val="009A7364"/>
    <w:rsid w:val="009B03BA"/>
    <w:rsid w:val="009B0897"/>
    <w:rsid w:val="009B1513"/>
    <w:rsid w:val="009B19F6"/>
    <w:rsid w:val="009B3188"/>
    <w:rsid w:val="009B4055"/>
    <w:rsid w:val="009B590E"/>
    <w:rsid w:val="009B60B3"/>
    <w:rsid w:val="009B6917"/>
    <w:rsid w:val="009B6E59"/>
    <w:rsid w:val="009B7BD9"/>
    <w:rsid w:val="009C14CD"/>
    <w:rsid w:val="009C1899"/>
    <w:rsid w:val="009C2620"/>
    <w:rsid w:val="009C3746"/>
    <w:rsid w:val="009C453F"/>
    <w:rsid w:val="009C4709"/>
    <w:rsid w:val="009C66E6"/>
    <w:rsid w:val="009C7202"/>
    <w:rsid w:val="009C7DD5"/>
    <w:rsid w:val="009D0054"/>
    <w:rsid w:val="009D0FEE"/>
    <w:rsid w:val="009D2BAE"/>
    <w:rsid w:val="009D4CF1"/>
    <w:rsid w:val="009D5893"/>
    <w:rsid w:val="009D675D"/>
    <w:rsid w:val="009E049C"/>
    <w:rsid w:val="009E0547"/>
    <w:rsid w:val="009E227D"/>
    <w:rsid w:val="009E2CCC"/>
    <w:rsid w:val="009E320B"/>
    <w:rsid w:val="009E3F64"/>
    <w:rsid w:val="009E3F90"/>
    <w:rsid w:val="009E49EA"/>
    <w:rsid w:val="009E5019"/>
    <w:rsid w:val="009E5253"/>
    <w:rsid w:val="009E708F"/>
    <w:rsid w:val="009E7726"/>
    <w:rsid w:val="009F103F"/>
    <w:rsid w:val="009F186F"/>
    <w:rsid w:val="009F26EC"/>
    <w:rsid w:val="009F47A6"/>
    <w:rsid w:val="009F54DC"/>
    <w:rsid w:val="009F58F9"/>
    <w:rsid w:val="009F5B52"/>
    <w:rsid w:val="009F6628"/>
    <w:rsid w:val="009F7536"/>
    <w:rsid w:val="009F77F8"/>
    <w:rsid w:val="00A01AC5"/>
    <w:rsid w:val="00A02DAE"/>
    <w:rsid w:val="00A040A3"/>
    <w:rsid w:val="00A04173"/>
    <w:rsid w:val="00A04712"/>
    <w:rsid w:val="00A04ED9"/>
    <w:rsid w:val="00A04F1B"/>
    <w:rsid w:val="00A0501B"/>
    <w:rsid w:val="00A05B69"/>
    <w:rsid w:val="00A10BFE"/>
    <w:rsid w:val="00A11552"/>
    <w:rsid w:val="00A148B1"/>
    <w:rsid w:val="00A14947"/>
    <w:rsid w:val="00A20A6D"/>
    <w:rsid w:val="00A21FED"/>
    <w:rsid w:val="00A232CA"/>
    <w:rsid w:val="00A2461D"/>
    <w:rsid w:val="00A248DC"/>
    <w:rsid w:val="00A25F5E"/>
    <w:rsid w:val="00A262F0"/>
    <w:rsid w:val="00A264A9"/>
    <w:rsid w:val="00A26F71"/>
    <w:rsid w:val="00A2703B"/>
    <w:rsid w:val="00A3091A"/>
    <w:rsid w:val="00A30E22"/>
    <w:rsid w:val="00A32351"/>
    <w:rsid w:val="00A32A83"/>
    <w:rsid w:val="00A3419D"/>
    <w:rsid w:val="00A3572D"/>
    <w:rsid w:val="00A35CC7"/>
    <w:rsid w:val="00A364DB"/>
    <w:rsid w:val="00A368DB"/>
    <w:rsid w:val="00A36F52"/>
    <w:rsid w:val="00A418C9"/>
    <w:rsid w:val="00A41EB4"/>
    <w:rsid w:val="00A423AA"/>
    <w:rsid w:val="00A42DE6"/>
    <w:rsid w:val="00A42DFC"/>
    <w:rsid w:val="00A4322F"/>
    <w:rsid w:val="00A4333B"/>
    <w:rsid w:val="00A444A9"/>
    <w:rsid w:val="00A508B3"/>
    <w:rsid w:val="00A5248B"/>
    <w:rsid w:val="00A533A1"/>
    <w:rsid w:val="00A53EC6"/>
    <w:rsid w:val="00A541D4"/>
    <w:rsid w:val="00A54E5B"/>
    <w:rsid w:val="00A55C0F"/>
    <w:rsid w:val="00A56967"/>
    <w:rsid w:val="00A570D6"/>
    <w:rsid w:val="00A573B5"/>
    <w:rsid w:val="00A576C9"/>
    <w:rsid w:val="00A578F0"/>
    <w:rsid w:val="00A57939"/>
    <w:rsid w:val="00A607C3"/>
    <w:rsid w:val="00A61410"/>
    <w:rsid w:val="00A615FE"/>
    <w:rsid w:val="00A61913"/>
    <w:rsid w:val="00A61FB3"/>
    <w:rsid w:val="00A62500"/>
    <w:rsid w:val="00A63AA3"/>
    <w:rsid w:val="00A657E6"/>
    <w:rsid w:val="00A66A0A"/>
    <w:rsid w:val="00A6719E"/>
    <w:rsid w:val="00A67A30"/>
    <w:rsid w:val="00A67B1A"/>
    <w:rsid w:val="00A67DF8"/>
    <w:rsid w:val="00A7176E"/>
    <w:rsid w:val="00A71BB2"/>
    <w:rsid w:val="00A73143"/>
    <w:rsid w:val="00A731E3"/>
    <w:rsid w:val="00A74758"/>
    <w:rsid w:val="00A75732"/>
    <w:rsid w:val="00A75881"/>
    <w:rsid w:val="00A75E70"/>
    <w:rsid w:val="00A7729D"/>
    <w:rsid w:val="00A7773E"/>
    <w:rsid w:val="00A8155A"/>
    <w:rsid w:val="00A823EF"/>
    <w:rsid w:val="00A826D6"/>
    <w:rsid w:val="00A83319"/>
    <w:rsid w:val="00A83457"/>
    <w:rsid w:val="00A83511"/>
    <w:rsid w:val="00A8386F"/>
    <w:rsid w:val="00A84106"/>
    <w:rsid w:val="00A8426D"/>
    <w:rsid w:val="00A850EE"/>
    <w:rsid w:val="00A86708"/>
    <w:rsid w:val="00A86D82"/>
    <w:rsid w:val="00A8713F"/>
    <w:rsid w:val="00A8727F"/>
    <w:rsid w:val="00A90362"/>
    <w:rsid w:val="00A90BA1"/>
    <w:rsid w:val="00A90CE1"/>
    <w:rsid w:val="00A949F3"/>
    <w:rsid w:val="00A9786F"/>
    <w:rsid w:val="00A97A9A"/>
    <w:rsid w:val="00A97E00"/>
    <w:rsid w:val="00AA04EB"/>
    <w:rsid w:val="00AA0671"/>
    <w:rsid w:val="00AA148B"/>
    <w:rsid w:val="00AA2531"/>
    <w:rsid w:val="00AA2D41"/>
    <w:rsid w:val="00AA2F88"/>
    <w:rsid w:val="00AA5CBC"/>
    <w:rsid w:val="00AA6C76"/>
    <w:rsid w:val="00AA751B"/>
    <w:rsid w:val="00AB0117"/>
    <w:rsid w:val="00AB0248"/>
    <w:rsid w:val="00AB1E09"/>
    <w:rsid w:val="00AB31D7"/>
    <w:rsid w:val="00AB3BB0"/>
    <w:rsid w:val="00AB5330"/>
    <w:rsid w:val="00AB59ED"/>
    <w:rsid w:val="00AB739A"/>
    <w:rsid w:val="00AB7747"/>
    <w:rsid w:val="00AB7A61"/>
    <w:rsid w:val="00AB7E61"/>
    <w:rsid w:val="00AC110A"/>
    <w:rsid w:val="00AC14CE"/>
    <w:rsid w:val="00AC1B37"/>
    <w:rsid w:val="00AC234A"/>
    <w:rsid w:val="00AC2961"/>
    <w:rsid w:val="00AC2A56"/>
    <w:rsid w:val="00AC341B"/>
    <w:rsid w:val="00AC3ECB"/>
    <w:rsid w:val="00AC43F9"/>
    <w:rsid w:val="00AC504D"/>
    <w:rsid w:val="00AC5A50"/>
    <w:rsid w:val="00AC62D8"/>
    <w:rsid w:val="00AC6589"/>
    <w:rsid w:val="00AC7683"/>
    <w:rsid w:val="00AD029E"/>
    <w:rsid w:val="00AD055E"/>
    <w:rsid w:val="00AD070F"/>
    <w:rsid w:val="00AD1277"/>
    <w:rsid w:val="00AD1A80"/>
    <w:rsid w:val="00AD1E5B"/>
    <w:rsid w:val="00AD2054"/>
    <w:rsid w:val="00AD2402"/>
    <w:rsid w:val="00AD2526"/>
    <w:rsid w:val="00AD4667"/>
    <w:rsid w:val="00AD47A7"/>
    <w:rsid w:val="00AD4C7D"/>
    <w:rsid w:val="00AD575B"/>
    <w:rsid w:val="00AD5A25"/>
    <w:rsid w:val="00AD735D"/>
    <w:rsid w:val="00AD7686"/>
    <w:rsid w:val="00AE1342"/>
    <w:rsid w:val="00AE3647"/>
    <w:rsid w:val="00AE3908"/>
    <w:rsid w:val="00AE3E9C"/>
    <w:rsid w:val="00AE3FB1"/>
    <w:rsid w:val="00AE7A48"/>
    <w:rsid w:val="00AF003F"/>
    <w:rsid w:val="00AF0AC2"/>
    <w:rsid w:val="00AF0CBF"/>
    <w:rsid w:val="00AF16EC"/>
    <w:rsid w:val="00AF257F"/>
    <w:rsid w:val="00AF2C98"/>
    <w:rsid w:val="00AF33CF"/>
    <w:rsid w:val="00AF3C46"/>
    <w:rsid w:val="00AF4835"/>
    <w:rsid w:val="00AF4D50"/>
    <w:rsid w:val="00AF5D3F"/>
    <w:rsid w:val="00AF6179"/>
    <w:rsid w:val="00AF6917"/>
    <w:rsid w:val="00AF73F1"/>
    <w:rsid w:val="00B00538"/>
    <w:rsid w:val="00B0093A"/>
    <w:rsid w:val="00B011FF"/>
    <w:rsid w:val="00B017CF"/>
    <w:rsid w:val="00B01833"/>
    <w:rsid w:val="00B022AA"/>
    <w:rsid w:val="00B03C4A"/>
    <w:rsid w:val="00B03F88"/>
    <w:rsid w:val="00B051B5"/>
    <w:rsid w:val="00B0608D"/>
    <w:rsid w:val="00B06425"/>
    <w:rsid w:val="00B07A2D"/>
    <w:rsid w:val="00B07A96"/>
    <w:rsid w:val="00B112C9"/>
    <w:rsid w:val="00B114D5"/>
    <w:rsid w:val="00B11991"/>
    <w:rsid w:val="00B12080"/>
    <w:rsid w:val="00B128DD"/>
    <w:rsid w:val="00B1295A"/>
    <w:rsid w:val="00B13082"/>
    <w:rsid w:val="00B15E52"/>
    <w:rsid w:val="00B167B4"/>
    <w:rsid w:val="00B16840"/>
    <w:rsid w:val="00B174D7"/>
    <w:rsid w:val="00B17FB0"/>
    <w:rsid w:val="00B20101"/>
    <w:rsid w:val="00B20A45"/>
    <w:rsid w:val="00B2269E"/>
    <w:rsid w:val="00B22C5C"/>
    <w:rsid w:val="00B24B40"/>
    <w:rsid w:val="00B24F30"/>
    <w:rsid w:val="00B251C2"/>
    <w:rsid w:val="00B251D7"/>
    <w:rsid w:val="00B25270"/>
    <w:rsid w:val="00B272F1"/>
    <w:rsid w:val="00B31892"/>
    <w:rsid w:val="00B31ABF"/>
    <w:rsid w:val="00B323FE"/>
    <w:rsid w:val="00B328EE"/>
    <w:rsid w:val="00B33BE3"/>
    <w:rsid w:val="00B3507B"/>
    <w:rsid w:val="00B35A86"/>
    <w:rsid w:val="00B3616B"/>
    <w:rsid w:val="00B37B93"/>
    <w:rsid w:val="00B37ED8"/>
    <w:rsid w:val="00B40028"/>
    <w:rsid w:val="00B406F6"/>
    <w:rsid w:val="00B419C2"/>
    <w:rsid w:val="00B42C78"/>
    <w:rsid w:val="00B433F3"/>
    <w:rsid w:val="00B452D7"/>
    <w:rsid w:val="00B4599C"/>
    <w:rsid w:val="00B46156"/>
    <w:rsid w:val="00B4648B"/>
    <w:rsid w:val="00B4698E"/>
    <w:rsid w:val="00B520C7"/>
    <w:rsid w:val="00B53637"/>
    <w:rsid w:val="00B5382D"/>
    <w:rsid w:val="00B53B5D"/>
    <w:rsid w:val="00B55493"/>
    <w:rsid w:val="00B5739D"/>
    <w:rsid w:val="00B5755F"/>
    <w:rsid w:val="00B57FBF"/>
    <w:rsid w:val="00B57FDE"/>
    <w:rsid w:val="00B6055E"/>
    <w:rsid w:val="00B6095F"/>
    <w:rsid w:val="00B61AD5"/>
    <w:rsid w:val="00B6317D"/>
    <w:rsid w:val="00B63251"/>
    <w:rsid w:val="00B63708"/>
    <w:rsid w:val="00B6403A"/>
    <w:rsid w:val="00B64392"/>
    <w:rsid w:val="00B70372"/>
    <w:rsid w:val="00B70567"/>
    <w:rsid w:val="00B72D20"/>
    <w:rsid w:val="00B73AAD"/>
    <w:rsid w:val="00B74209"/>
    <w:rsid w:val="00B755E6"/>
    <w:rsid w:val="00B769A6"/>
    <w:rsid w:val="00B7723F"/>
    <w:rsid w:val="00B775C1"/>
    <w:rsid w:val="00B80534"/>
    <w:rsid w:val="00B80914"/>
    <w:rsid w:val="00B80AD0"/>
    <w:rsid w:val="00B84046"/>
    <w:rsid w:val="00B8433C"/>
    <w:rsid w:val="00B84EE0"/>
    <w:rsid w:val="00B87491"/>
    <w:rsid w:val="00B87652"/>
    <w:rsid w:val="00B90914"/>
    <w:rsid w:val="00B910A1"/>
    <w:rsid w:val="00B93B49"/>
    <w:rsid w:val="00B951C0"/>
    <w:rsid w:val="00BA0341"/>
    <w:rsid w:val="00BA0E21"/>
    <w:rsid w:val="00BA1B65"/>
    <w:rsid w:val="00BA1BA0"/>
    <w:rsid w:val="00BA2273"/>
    <w:rsid w:val="00BA29E9"/>
    <w:rsid w:val="00BA346B"/>
    <w:rsid w:val="00BA3594"/>
    <w:rsid w:val="00BA4168"/>
    <w:rsid w:val="00BA4A2B"/>
    <w:rsid w:val="00BA4B33"/>
    <w:rsid w:val="00BA5014"/>
    <w:rsid w:val="00BA59C5"/>
    <w:rsid w:val="00BA6300"/>
    <w:rsid w:val="00BA6512"/>
    <w:rsid w:val="00BA6D21"/>
    <w:rsid w:val="00BA7142"/>
    <w:rsid w:val="00BB064E"/>
    <w:rsid w:val="00BB0D74"/>
    <w:rsid w:val="00BB1443"/>
    <w:rsid w:val="00BB1DA1"/>
    <w:rsid w:val="00BB237C"/>
    <w:rsid w:val="00BB41A3"/>
    <w:rsid w:val="00BB6DBD"/>
    <w:rsid w:val="00BB73CF"/>
    <w:rsid w:val="00BB7B0E"/>
    <w:rsid w:val="00BC19FA"/>
    <w:rsid w:val="00BC2279"/>
    <w:rsid w:val="00BC32DC"/>
    <w:rsid w:val="00BC35B6"/>
    <w:rsid w:val="00BC3959"/>
    <w:rsid w:val="00BC53CF"/>
    <w:rsid w:val="00BC5C8E"/>
    <w:rsid w:val="00BC62AB"/>
    <w:rsid w:val="00BC7F57"/>
    <w:rsid w:val="00BD181B"/>
    <w:rsid w:val="00BD1B51"/>
    <w:rsid w:val="00BD3D7B"/>
    <w:rsid w:val="00BD43F7"/>
    <w:rsid w:val="00BD4596"/>
    <w:rsid w:val="00BD48B9"/>
    <w:rsid w:val="00BD4D4D"/>
    <w:rsid w:val="00BD544A"/>
    <w:rsid w:val="00BD5F15"/>
    <w:rsid w:val="00BD7B0B"/>
    <w:rsid w:val="00BE1405"/>
    <w:rsid w:val="00BE2F69"/>
    <w:rsid w:val="00BE312D"/>
    <w:rsid w:val="00BE384C"/>
    <w:rsid w:val="00BE38FD"/>
    <w:rsid w:val="00BE57BF"/>
    <w:rsid w:val="00BE7DFA"/>
    <w:rsid w:val="00BF0309"/>
    <w:rsid w:val="00BF07B5"/>
    <w:rsid w:val="00BF1C20"/>
    <w:rsid w:val="00BF1D1E"/>
    <w:rsid w:val="00BF4756"/>
    <w:rsid w:val="00BF6B9A"/>
    <w:rsid w:val="00BF7DDF"/>
    <w:rsid w:val="00BF7DFF"/>
    <w:rsid w:val="00C01AC3"/>
    <w:rsid w:val="00C03550"/>
    <w:rsid w:val="00C038F5"/>
    <w:rsid w:val="00C050E5"/>
    <w:rsid w:val="00C05732"/>
    <w:rsid w:val="00C06017"/>
    <w:rsid w:val="00C06524"/>
    <w:rsid w:val="00C06AC1"/>
    <w:rsid w:val="00C07676"/>
    <w:rsid w:val="00C10578"/>
    <w:rsid w:val="00C109A8"/>
    <w:rsid w:val="00C111A8"/>
    <w:rsid w:val="00C11AC9"/>
    <w:rsid w:val="00C12023"/>
    <w:rsid w:val="00C135BC"/>
    <w:rsid w:val="00C13DDA"/>
    <w:rsid w:val="00C14D0A"/>
    <w:rsid w:val="00C15964"/>
    <w:rsid w:val="00C15C95"/>
    <w:rsid w:val="00C15D1F"/>
    <w:rsid w:val="00C160A0"/>
    <w:rsid w:val="00C16265"/>
    <w:rsid w:val="00C178FB"/>
    <w:rsid w:val="00C205CC"/>
    <w:rsid w:val="00C2106D"/>
    <w:rsid w:val="00C21705"/>
    <w:rsid w:val="00C224F7"/>
    <w:rsid w:val="00C225FD"/>
    <w:rsid w:val="00C2344B"/>
    <w:rsid w:val="00C23973"/>
    <w:rsid w:val="00C2596A"/>
    <w:rsid w:val="00C268E7"/>
    <w:rsid w:val="00C26C99"/>
    <w:rsid w:val="00C27537"/>
    <w:rsid w:val="00C27F2B"/>
    <w:rsid w:val="00C30D82"/>
    <w:rsid w:val="00C31045"/>
    <w:rsid w:val="00C324DA"/>
    <w:rsid w:val="00C328FE"/>
    <w:rsid w:val="00C33507"/>
    <w:rsid w:val="00C33984"/>
    <w:rsid w:val="00C34594"/>
    <w:rsid w:val="00C345C3"/>
    <w:rsid w:val="00C3605A"/>
    <w:rsid w:val="00C36790"/>
    <w:rsid w:val="00C37506"/>
    <w:rsid w:val="00C3796D"/>
    <w:rsid w:val="00C40681"/>
    <w:rsid w:val="00C40BF5"/>
    <w:rsid w:val="00C40C7A"/>
    <w:rsid w:val="00C41AB8"/>
    <w:rsid w:val="00C42F16"/>
    <w:rsid w:val="00C4409D"/>
    <w:rsid w:val="00C446E2"/>
    <w:rsid w:val="00C44C1F"/>
    <w:rsid w:val="00C44E04"/>
    <w:rsid w:val="00C44E72"/>
    <w:rsid w:val="00C45A06"/>
    <w:rsid w:val="00C47574"/>
    <w:rsid w:val="00C47E5B"/>
    <w:rsid w:val="00C503A1"/>
    <w:rsid w:val="00C51AFC"/>
    <w:rsid w:val="00C52DD6"/>
    <w:rsid w:val="00C53679"/>
    <w:rsid w:val="00C53FA9"/>
    <w:rsid w:val="00C54D83"/>
    <w:rsid w:val="00C562DA"/>
    <w:rsid w:val="00C565E8"/>
    <w:rsid w:val="00C60985"/>
    <w:rsid w:val="00C61E4B"/>
    <w:rsid w:val="00C62EE9"/>
    <w:rsid w:val="00C63E2B"/>
    <w:rsid w:val="00C64986"/>
    <w:rsid w:val="00C64BFF"/>
    <w:rsid w:val="00C65D27"/>
    <w:rsid w:val="00C6793D"/>
    <w:rsid w:val="00C67A13"/>
    <w:rsid w:val="00C67C87"/>
    <w:rsid w:val="00C704E9"/>
    <w:rsid w:val="00C7114B"/>
    <w:rsid w:val="00C74B92"/>
    <w:rsid w:val="00C755EA"/>
    <w:rsid w:val="00C763C9"/>
    <w:rsid w:val="00C77963"/>
    <w:rsid w:val="00C80057"/>
    <w:rsid w:val="00C80A83"/>
    <w:rsid w:val="00C80CA6"/>
    <w:rsid w:val="00C82232"/>
    <w:rsid w:val="00C82913"/>
    <w:rsid w:val="00C83B19"/>
    <w:rsid w:val="00C875BD"/>
    <w:rsid w:val="00C91375"/>
    <w:rsid w:val="00C91C98"/>
    <w:rsid w:val="00C921A8"/>
    <w:rsid w:val="00C9473D"/>
    <w:rsid w:val="00C9480D"/>
    <w:rsid w:val="00C95B29"/>
    <w:rsid w:val="00C95F4C"/>
    <w:rsid w:val="00C96448"/>
    <w:rsid w:val="00C972B1"/>
    <w:rsid w:val="00C978A8"/>
    <w:rsid w:val="00CA0FC4"/>
    <w:rsid w:val="00CA11F5"/>
    <w:rsid w:val="00CA2CCE"/>
    <w:rsid w:val="00CA43FD"/>
    <w:rsid w:val="00CA44A9"/>
    <w:rsid w:val="00CA55FC"/>
    <w:rsid w:val="00CA7EF8"/>
    <w:rsid w:val="00CB0822"/>
    <w:rsid w:val="00CB17E2"/>
    <w:rsid w:val="00CB4A73"/>
    <w:rsid w:val="00CB5002"/>
    <w:rsid w:val="00CB5BDD"/>
    <w:rsid w:val="00CC1252"/>
    <w:rsid w:val="00CC12BB"/>
    <w:rsid w:val="00CC20C6"/>
    <w:rsid w:val="00CC23F8"/>
    <w:rsid w:val="00CC26FB"/>
    <w:rsid w:val="00CC30DB"/>
    <w:rsid w:val="00CC3B73"/>
    <w:rsid w:val="00CC45E2"/>
    <w:rsid w:val="00CC489B"/>
    <w:rsid w:val="00CC64B5"/>
    <w:rsid w:val="00CC6554"/>
    <w:rsid w:val="00CD0757"/>
    <w:rsid w:val="00CD0A83"/>
    <w:rsid w:val="00CD18F3"/>
    <w:rsid w:val="00CD2800"/>
    <w:rsid w:val="00CD2A33"/>
    <w:rsid w:val="00CD2BCD"/>
    <w:rsid w:val="00CD3A4C"/>
    <w:rsid w:val="00CD4B20"/>
    <w:rsid w:val="00CD71C6"/>
    <w:rsid w:val="00CD74BE"/>
    <w:rsid w:val="00CD754F"/>
    <w:rsid w:val="00CE10E9"/>
    <w:rsid w:val="00CE2910"/>
    <w:rsid w:val="00CE3D2C"/>
    <w:rsid w:val="00CE4D06"/>
    <w:rsid w:val="00CE5393"/>
    <w:rsid w:val="00CE5738"/>
    <w:rsid w:val="00CE5979"/>
    <w:rsid w:val="00CE5D30"/>
    <w:rsid w:val="00CE6CD5"/>
    <w:rsid w:val="00CE7177"/>
    <w:rsid w:val="00CF1F23"/>
    <w:rsid w:val="00CF2B54"/>
    <w:rsid w:val="00CF2E68"/>
    <w:rsid w:val="00CF36BE"/>
    <w:rsid w:val="00CF3DA5"/>
    <w:rsid w:val="00CF42BB"/>
    <w:rsid w:val="00CF5F74"/>
    <w:rsid w:val="00CF6000"/>
    <w:rsid w:val="00CF6A94"/>
    <w:rsid w:val="00CF6F2C"/>
    <w:rsid w:val="00CF70C7"/>
    <w:rsid w:val="00CF734D"/>
    <w:rsid w:val="00CF7FD9"/>
    <w:rsid w:val="00D003F3"/>
    <w:rsid w:val="00D009A5"/>
    <w:rsid w:val="00D00C5F"/>
    <w:rsid w:val="00D00E9A"/>
    <w:rsid w:val="00D01054"/>
    <w:rsid w:val="00D03370"/>
    <w:rsid w:val="00D0364F"/>
    <w:rsid w:val="00D052E0"/>
    <w:rsid w:val="00D06342"/>
    <w:rsid w:val="00D06834"/>
    <w:rsid w:val="00D06D3B"/>
    <w:rsid w:val="00D0750A"/>
    <w:rsid w:val="00D116D3"/>
    <w:rsid w:val="00D133A7"/>
    <w:rsid w:val="00D13A23"/>
    <w:rsid w:val="00D13ABE"/>
    <w:rsid w:val="00D13AC4"/>
    <w:rsid w:val="00D14AC9"/>
    <w:rsid w:val="00D15112"/>
    <w:rsid w:val="00D15C25"/>
    <w:rsid w:val="00D1771C"/>
    <w:rsid w:val="00D1776C"/>
    <w:rsid w:val="00D20A03"/>
    <w:rsid w:val="00D213F5"/>
    <w:rsid w:val="00D235D7"/>
    <w:rsid w:val="00D23FBB"/>
    <w:rsid w:val="00D263B0"/>
    <w:rsid w:val="00D308ED"/>
    <w:rsid w:val="00D31571"/>
    <w:rsid w:val="00D31A66"/>
    <w:rsid w:val="00D32F43"/>
    <w:rsid w:val="00D3418C"/>
    <w:rsid w:val="00D36D86"/>
    <w:rsid w:val="00D414F1"/>
    <w:rsid w:val="00D419CD"/>
    <w:rsid w:val="00D41CC5"/>
    <w:rsid w:val="00D4241F"/>
    <w:rsid w:val="00D428AA"/>
    <w:rsid w:val="00D42E69"/>
    <w:rsid w:val="00D44D9C"/>
    <w:rsid w:val="00D4509F"/>
    <w:rsid w:val="00D50A34"/>
    <w:rsid w:val="00D50CBA"/>
    <w:rsid w:val="00D50D3E"/>
    <w:rsid w:val="00D53689"/>
    <w:rsid w:val="00D53EFA"/>
    <w:rsid w:val="00D54029"/>
    <w:rsid w:val="00D54520"/>
    <w:rsid w:val="00D54FE9"/>
    <w:rsid w:val="00D55873"/>
    <w:rsid w:val="00D564F8"/>
    <w:rsid w:val="00D56D53"/>
    <w:rsid w:val="00D571F8"/>
    <w:rsid w:val="00D61304"/>
    <w:rsid w:val="00D61C20"/>
    <w:rsid w:val="00D62421"/>
    <w:rsid w:val="00D62F31"/>
    <w:rsid w:val="00D640B6"/>
    <w:rsid w:val="00D65449"/>
    <w:rsid w:val="00D66752"/>
    <w:rsid w:val="00D6691A"/>
    <w:rsid w:val="00D67149"/>
    <w:rsid w:val="00D677A8"/>
    <w:rsid w:val="00D7558D"/>
    <w:rsid w:val="00D77248"/>
    <w:rsid w:val="00D774EA"/>
    <w:rsid w:val="00D8191A"/>
    <w:rsid w:val="00D81AF7"/>
    <w:rsid w:val="00D824E0"/>
    <w:rsid w:val="00D82A38"/>
    <w:rsid w:val="00D83897"/>
    <w:rsid w:val="00D83946"/>
    <w:rsid w:val="00D84130"/>
    <w:rsid w:val="00D845C7"/>
    <w:rsid w:val="00D8474F"/>
    <w:rsid w:val="00D84D13"/>
    <w:rsid w:val="00D852A5"/>
    <w:rsid w:val="00D8591A"/>
    <w:rsid w:val="00D85D8C"/>
    <w:rsid w:val="00D86170"/>
    <w:rsid w:val="00D86D26"/>
    <w:rsid w:val="00D86EA4"/>
    <w:rsid w:val="00D9154C"/>
    <w:rsid w:val="00D94A7C"/>
    <w:rsid w:val="00D94E41"/>
    <w:rsid w:val="00D95896"/>
    <w:rsid w:val="00D95A3C"/>
    <w:rsid w:val="00D95B71"/>
    <w:rsid w:val="00D972CC"/>
    <w:rsid w:val="00D97A17"/>
    <w:rsid w:val="00DA0664"/>
    <w:rsid w:val="00DA0AA2"/>
    <w:rsid w:val="00DA0E0B"/>
    <w:rsid w:val="00DA2CC5"/>
    <w:rsid w:val="00DA30F9"/>
    <w:rsid w:val="00DA3796"/>
    <w:rsid w:val="00DA3AEE"/>
    <w:rsid w:val="00DA3BEE"/>
    <w:rsid w:val="00DA3F38"/>
    <w:rsid w:val="00DA4F1B"/>
    <w:rsid w:val="00DA4FD6"/>
    <w:rsid w:val="00DA609E"/>
    <w:rsid w:val="00DA7B39"/>
    <w:rsid w:val="00DB032D"/>
    <w:rsid w:val="00DB0EB6"/>
    <w:rsid w:val="00DB14F3"/>
    <w:rsid w:val="00DB1C77"/>
    <w:rsid w:val="00DB1CE6"/>
    <w:rsid w:val="00DB25E9"/>
    <w:rsid w:val="00DB2983"/>
    <w:rsid w:val="00DB3425"/>
    <w:rsid w:val="00DB4D0F"/>
    <w:rsid w:val="00DB62E8"/>
    <w:rsid w:val="00DB654D"/>
    <w:rsid w:val="00DB69B4"/>
    <w:rsid w:val="00DB73FF"/>
    <w:rsid w:val="00DB7492"/>
    <w:rsid w:val="00DB74D0"/>
    <w:rsid w:val="00DC1257"/>
    <w:rsid w:val="00DC1BAA"/>
    <w:rsid w:val="00DC235E"/>
    <w:rsid w:val="00DC341C"/>
    <w:rsid w:val="00DC3DC0"/>
    <w:rsid w:val="00DC4646"/>
    <w:rsid w:val="00DC53E9"/>
    <w:rsid w:val="00DC5B2B"/>
    <w:rsid w:val="00DC6C94"/>
    <w:rsid w:val="00DD0EDA"/>
    <w:rsid w:val="00DD1F0A"/>
    <w:rsid w:val="00DD2166"/>
    <w:rsid w:val="00DD25FE"/>
    <w:rsid w:val="00DD2BAA"/>
    <w:rsid w:val="00DD318D"/>
    <w:rsid w:val="00DD5853"/>
    <w:rsid w:val="00DD6748"/>
    <w:rsid w:val="00DD7801"/>
    <w:rsid w:val="00DE04CA"/>
    <w:rsid w:val="00DE14F7"/>
    <w:rsid w:val="00DE1A6A"/>
    <w:rsid w:val="00DE4362"/>
    <w:rsid w:val="00DE4F07"/>
    <w:rsid w:val="00DE4F67"/>
    <w:rsid w:val="00DF217B"/>
    <w:rsid w:val="00DF2A3C"/>
    <w:rsid w:val="00DF2E12"/>
    <w:rsid w:val="00DF2FEB"/>
    <w:rsid w:val="00DF3606"/>
    <w:rsid w:val="00DF514A"/>
    <w:rsid w:val="00DF5377"/>
    <w:rsid w:val="00DF5671"/>
    <w:rsid w:val="00DF6690"/>
    <w:rsid w:val="00DF6804"/>
    <w:rsid w:val="00DF7D1E"/>
    <w:rsid w:val="00E00137"/>
    <w:rsid w:val="00E00304"/>
    <w:rsid w:val="00E011FD"/>
    <w:rsid w:val="00E01990"/>
    <w:rsid w:val="00E02451"/>
    <w:rsid w:val="00E02630"/>
    <w:rsid w:val="00E0358D"/>
    <w:rsid w:val="00E03B40"/>
    <w:rsid w:val="00E04323"/>
    <w:rsid w:val="00E04669"/>
    <w:rsid w:val="00E05C0E"/>
    <w:rsid w:val="00E05D12"/>
    <w:rsid w:val="00E05FAA"/>
    <w:rsid w:val="00E06BA1"/>
    <w:rsid w:val="00E070A2"/>
    <w:rsid w:val="00E10040"/>
    <w:rsid w:val="00E100EA"/>
    <w:rsid w:val="00E127E4"/>
    <w:rsid w:val="00E12CFC"/>
    <w:rsid w:val="00E1402D"/>
    <w:rsid w:val="00E155FA"/>
    <w:rsid w:val="00E15CF0"/>
    <w:rsid w:val="00E21E81"/>
    <w:rsid w:val="00E231DF"/>
    <w:rsid w:val="00E2329C"/>
    <w:rsid w:val="00E23B89"/>
    <w:rsid w:val="00E2570B"/>
    <w:rsid w:val="00E2656A"/>
    <w:rsid w:val="00E26B5D"/>
    <w:rsid w:val="00E2752D"/>
    <w:rsid w:val="00E30EE0"/>
    <w:rsid w:val="00E31409"/>
    <w:rsid w:val="00E32F2A"/>
    <w:rsid w:val="00E347CC"/>
    <w:rsid w:val="00E3488D"/>
    <w:rsid w:val="00E35E97"/>
    <w:rsid w:val="00E35F41"/>
    <w:rsid w:val="00E35F81"/>
    <w:rsid w:val="00E40E74"/>
    <w:rsid w:val="00E41083"/>
    <w:rsid w:val="00E412AF"/>
    <w:rsid w:val="00E412D0"/>
    <w:rsid w:val="00E4179B"/>
    <w:rsid w:val="00E4380D"/>
    <w:rsid w:val="00E45754"/>
    <w:rsid w:val="00E466C7"/>
    <w:rsid w:val="00E46B7E"/>
    <w:rsid w:val="00E47160"/>
    <w:rsid w:val="00E4753A"/>
    <w:rsid w:val="00E47DAE"/>
    <w:rsid w:val="00E53B26"/>
    <w:rsid w:val="00E544BB"/>
    <w:rsid w:val="00E546EB"/>
    <w:rsid w:val="00E55000"/>
    <w:rsid w:val="00E56322"/>
    <w:rsid w:val="00E570C0"/>
    <w:rsid w:val="00E60982"/>
    <w:rsid w:val="00E61217"/>
    <w:rsid w:val="00E61CFA"/>
    <w:rsid w:val="00E6286E"/>
    <w:rsid w:val="00E62C37"/>
    <w:rsid w:val="00E62C62"/>
    <w:rsid w:val="00E632D1"/>
    <w:rsid w:val="00E633F4"/>
    <w:rsid w:val="00E63A67"/>
    <w:rsid w:val="00E63CB8"/>
    <w:rsid w:val="00E64647"/>
    <w:rsid w:val="00E654C1"/>
    <w:rsid w:val="00E65D97"/>
    <w:rsid w:val="00E6730F"/>
    <w:rsid w:val="00E67E4F"/>
    <w:rsid w:val="00E71531"/>
    <w:rsid w:val="00E718CB"/>
    <w:rsid w:val="00E722D2"/>
    <w:rsid w:val="00E72A5A"/>
    <w:rsid w:val="00E72A8C"/>
    <w:rsid w:val="00E72CD6"/>
    <w:rsid w:val="00E7301F"/>
    <w:rsid w:val="00E73141"/>
    <w:rsid w:val="00E73164"/>
    <w:rsid w:val="00E731F3"/>
    <w:rsid w:val="00E73354"/>
    <w:rsid w:val="00E741A5"/>
    <w:rsid w:val="00E74DF2"/>
    <w:rsid w:val="00E7523A"/>
    <w:rsid w:val="00E7530B"/>
    <w:rsid w:val="00E75B9B"/>
    <w:rsid w:val="00E75D6D"/>
    <w:rsid w:val="00E76A1E"/>
    <w:rsid w:val="00E76FD0"/>
    <w:rsid w:val="00E77B39"/>
    <w:rsid w:val="00E77F69"/>
    <w:rsid w:val="00E806F8"/>
    <w:rsid w:val="00E81E44"/>
    <w:rsid w:val="00E82C7A"/>
    <w:rsid w:val="00E8402E"/>
    <w:rsid w:val="00E84284"/>
    <w:rsid w:val="00E85599"/>
    <w:rsid w:val="00E8560F"/>
    <w:rsid w:val="00E85C0A"/>
    <w:rsid w:val="00E85CB3"/>
    <w:rsid w:val="00E87B8A"/>
    <w:rsid w:val="00E87D0B"/>
    <w:rsid w:val="00E87E70"/>
    <w:rsid w:val="00E9003A"/>
    <w:rsid w:val="00E91FF0"/>
    <w:rsid w:val="00E9242D"/>
    <w:rsid w:val="00E93C6F"/>
    <w:rsid w:val="00E94572"/>
    <w:rsid w:val="00E95E10"/>
    <w:rsid w:val="00E95E3A"/>
    <w:rsid w:val="00E9605B"/>
    <w:rsid w:val="00E96BDF"/>
    <w:rsid w:val="00EA0088"/>
    <w:rsid w:val="00EA04CF"/>
    <w:rsid w:val="00EA19E6"/>
    <w:rsid w:val="00EA1F0D"/>
    <w:rsid w:val="00EA2C8E"/>
    <w:rsid w:val="00EA345D"/>
    <w:rsid w:val="00EA5597"/>
    <w:rsid w:val="00EA5DA6"/>
    <w:rsid w:val="00EA77FA"/>
    <w:rsid w:val="00EA7846"/>
    <w:rsid w:val="00EB078F"/>
    <w:rsid w:val="00EB0BD9"/>
    <w:rsid w:val="00EB17CD"/>
    <w:rsid w:val="00EB1A08"/>
    <w:rsid w:val="00EB5069"/>
    <w:rsid w:val="00EB5255"/>
    <w:rsid w:val="00EB5C47"/>
    <w:rsid w:val="00EB5D90"/>
    <w:rsid w:val="00EB6AA3"/>
    <w:rsid w:val="00EB6C5E"/>
    <w:rsid w:val="00EB7D38"/>
    <w:rsid w:val="00EC332E"/>
    <w:rsid w:val="00EC3480"/>
    <w:rsid w:val="00EC48EA"/>
    <w:rsid w:val="00EC4C8F"/>
    <w:rsid w:val="00EC7336"/>
    <w:rsid w:val="00EC7B83"/>
    <w:rsid w:val="00ED0639"/>
    <w:rsid w:val="00ED0C23"/>
    <w:rsid w:val="00ED1845"/>
    <w:rsid w:val="00ED2164"/>
    <w:rsid w:val="00ED2F3E"/>
    <w:rsid w:val="00ED327A"/>
    <w:rsid w:val="00ED4A85"/>
    <w:rsid w:val="00ED520C"/>
    <w:rsid w:val="00ED557E"/>
    <w:rsid w:val="00ED66A2"/>
    <w:rsid w:val="00ED7D52"/>
    <w:rsid w:val="00EE1431"/>
    <w:rsid w:val="00EE1EBB"/>
    <w:rsid w:val="00EE22AC"/>
    <w:rsid w:val="00EE28DC"/>
    <w:rsid w:val="00EE3DED"/>
    <w:rsid w:val="00EE418B"/>
    <w:rsid w:val="00EE4D06"/>
    <w:rsid w:val="00EE5A5F"/>
    <w:rsid w:val="00EE5A8A"/>
    <w:rsid w:val="00EE5EB7"/>
    <w:rsid w:val="00EE6A63"/>
    <w:rsid w:val="00EE6B17"/>
    <w:rsid w:val="00EE771F"/>
    <w:rsid w:val="00EF045B"/>
    <w:rsid w:val="00EF09C4"/>
    <w:rsid w:val="00EF10F4"/>
    <w:rsid w:val="00EF1C27"/>
    <w:rsid w:val="00EF1DFF"/>
    <w:rsid w:val="00EF23DC"/>
    <w:rsid w:val="00EF33A0"/>
    <w:rsid w:val="00EF3922"/>
    <w:rsid w:val="00EF4755"/>
    <w:rsid w:val="00EF4CF6"/>
    <w:rsid w:val="00EF4DDF"/>
    <w:rsid w:val="00EF517D"/>
    <w:rsid w:val="00EF5BED"/>
    <w:rsid w:val="00EF6587"/>
    <w:rsid w:val="00EF7135"/>
    <w:rsid w:val="00EF72C1"/>
    <w:rsid w:val="00F00523"/>
    <w:rsid w:val="00F01C83"/>
    <w:rsid w:val="00F027DB"/>
    <w:rsid w:val="00F0524E"/>
    <w:rsid w:val="00F07599"/>
    <w:rsid w:val="00F11B94"/>
    <w:rsid w:val="00F1322D"/>
    <w:rsid w:val="00F1330F"/>
    <w:rsid w:val="00F14A7A"/>
    <w:rsid w:val="00F14D3C"/>
    <w:rsid w:val="00F14F65"/>
    <w:rsid w:val="00F1594D"/>
    <w:rsid w:val="00F15FA4"/>
    <w:rsid w:val="00F16279"/>
    <w:rsid w:val="00F20B4D"/>
    <w:rsid w:val="00F22985"/>
    <w:rsid w:val="00F22C04"/>
    <w:rsid w:val="00F232D6"/>
    <w:rsid w:val="00F24F34"/>
    <w:rsid w:val="00F25078"/>
    <w:rsid w:val="00F26216"/>
    <w:rsid w:val="00F267AA"/>
    <w:rsid w:val="00F26A31"/>
    <w:rsid w:val="00F27EF0"/>
    <w:rsid w:val="00F30C0B"/>
    <w:rsid w:val="00F323B7"/>
    <w:rsid w:val="00F32B49"/>
    <w:rsid w:val="00F32FF8"/>
    <w:rsid w:val="00F3383E"/>
    <w:rsid w:val="00F33AB7"/>
    <w:rsid w:val="00F363FD"/>
    <w:rsid w:val="00F3660F"/>
    <w:rsid w:val="00F4288C"/>
    <w:rsid w:val="00F42B81"/>
    <w:rsid w:val="00F43A54"/>
    <w:rsid w:val="00F43A71"/>
    <w:rsid w:val="00F443C3"/>
    <w:rsid w:val="00F44FEB"/>
    <w:rsid w:val="00F451F6"/>
    <w:rsid w:val="00F455C9"/>
    <w:rsid w:val="00F465A7"/>
    <w:rsid w:val="00F469A2"/>
    <w:rsid w:val="00F5040C"/>
    <w:rsid w:val="00F50B7C"/>
    <w:rsid w:val="00F519D7"/>
    <w:rsid w:val="00F51ED4"/>
    <w:rsid w:val="00F52058"/>
    <w:rsid w:val="00F53051"/>
    <w:rsid w:val="00F53303"/>
    <w:rsid w:val="00F53D8E"/>
    <w:rsid w:val="00F54340"/>
    <w:rsid w:val="00F550E6"/>
    <w:rsid w:val="00F557A1"/>
    <w:rsid w:val="00F572E7"/>
    <w:rsid w:val="00F601CE"/>
    <w:rsid w:val="00F604A6"/>
    <w:rsid w:val="00F60C63"/>
    <w:rsid w:val="00F6118E"/>
    <w:rsid w:val="00F6260E"/>
    <w:rsid w:val="00F647BF"/>
    <w:rsid w:val="00F65BBF"/>
    <w:rsid w:val="00F65FF9"/>
    <w:rsid w:val="00F70D54"/>
    <w:rsid w:val="00F717CF"/>
    <w:rsid w:val="00F71AF9"/>
    <w:rsid w:val="00F730A5"/>
    <w:rsid w:val="00F74345"/>
    <w:rsid w:val="00F74BFD"/>
    <w:rsid w:val="00F7548C"/>
    <w:rsid w:val="00F755E6"/>
    <w:rsid w:val="00F75E02"/>
    <w:rsid w:val="00F765AE"/>
    <w:rsid w:val="00F766F3"/>
    <w:rsid w:val="00F76E85"/>
    <w:rsid w:val="00F776C8"/>
    <w:rsid w:val="00F778AB"/>
    <w:rsid w:val="00F80A0A"/>
    <w:rsid w:val="00F80F6B"/>
    <w:rsid w:val="00F81F0A"/>
    <w:rsid w:val="00F821BF"/>
    <w:rsid w:val="00F82260"/>
    <w:rsid w:val="00F82B19"/>
    <w:rsid w:val="00F82CB6"/>
    <w:rsid w:val="00F8422F"/>
    <w:rsid w:val="00F86691"/>
    <w:rsid w:val="00F87383"/>
    <w:rsid w:val="00F90903"/>
    <w:rsid w:val="00F90C66"/>
    <w:rsid w:val="00F911BE"/>
    <w:rsid w:val="00F9197E"/>
    <w:rsid w:val="00F9212D"/>
    <w:rsid w:val="00F92502"/>
    <w:rsid w:val="00F94B6D"/>
    <w:rsid w:val="00F965DA"/>
    <w:rsid w:val="00F96819"/>
    <w:rsid w:val="00F97F69"/>
    <w:rsid w:val="00FA04D7"/>
    <w:rsid w:val="00FA0E6D"/>
    <w:rsid w:val="00FA0FDA"/>
    <w:rsid w:val="00FA1DC4"/>
    <w:rsid w:val="00FA3142"/>
    <w:rsid w:val="00FA386F"/>
    <w:rsid w:val="00FA3B71"/>
    <w:rsid w:val="00FA3E01"/>
    <w:rsid w:val="00FA406A"/>
    <w:rsid w:val="00FA4631"/>
    <w:rsid w:val="00FA5B87"/>
    <w:rsid w:val="00FA6709"/>
    <w:rsid w:val="00FA6A77"/>
    <w:rsid w:val="00FB001B"/>
    <w:rsid w:val="00FB1250"/>
    <w:rsid w:val="00FB1C8F"/>
    <w:rsid w:val="00FB3867"/>
    <w:rsid w:val="00FB4B08"/>
    <w:rsid w:val="00FB503A"/>
    <w:rsid w:val="00FB516C"/>
    <w:rsid w:val="00FB5F7E"/>
    <w:rsid w:val="00FB634F"/>
    <w:rsid w:val="00FB68B6"/>
    <w:rsid w:val="00FB74B0"/>
    <w:rsid w:val="00FC2728"/>
    <w:rsid w:val="00FC2F16"/>
    <w:rsid w:val="00FC3341"/>
    <w:rsid w:val="00FC4647"/>
    <w:rsid w:val="00FC4E70"/>
    <w:rsid w:val="00FC5466"/>
    <w:rsid w:val="00FC561D"/>
    <w:rsid w:val="00FC731F"/>
    <w:rsid w:val="00FC7FBB"/>
    <w:rsid w:val="00FD0236"/>
    <w:rsid w:val="00FD18F4"/>
    <w:rsid w:val="00FD21A5"/>
    <w:rsid w:val="00FD2EBE"/>
    <w:rsid w:val="00FD3056"/>
    <w:rsid w:val="00FD54DB"/>
    <w:rsid w:val="00FD619F"/>
    <w:rsid w:val="00FD67C7"/>
    <w:rsid w:val="00FD6B95"/>
    <w:rsid w:val="00FE0ABF"/>
    <w:rsid w:val="00FE1105"/>
    <w:rsid w:val="00FE122C"/>
    <w:rsid w:val="00FE18BF"/>
    <w:rsid w:val="00FE26AA"/>
    <w:rsid w:val="00FE28CE"/>
    <w:rsid w:val="00FE351B"/>
    <w:rsid w:val="00FE40F2"/>
    <w:rsid w:val="00FE4FB1"/>
    <w:rsid w:val="00FE532C"/>
    <w:rsid w:val="00FE551C"/>
    <w:rsid w:val="00FE6318"/>
    <w:rsid w:val="00FE6722"/>
    <w:rsid w:val="00FE6A9E"/>
    <w:rsid w:val="00FF0709"/>
    <w:rsid w:val="00FF0B37"/>
    <w:rsid w:val="00FF1529"/>
    <w:rsid w:val="00FF23F4"/>
    <w:rsid w:val="00FF34B7"/>
    <w:rsid w:val="00FF5B8C"/>
    <w:rsid w:val="00FF7300"/>
    <w:rsid w:val="012573A5"/>
    <w:rsid w:val="01290F7E"/>
    <w:rsid w:val="01393CE9"/>
    <w:rsid w:val="015D1E09"/>
    <w:rsid w:val="01DD354A"/>
    <w:rsid w:val="0264592D"/>
    <w:rsid w:val="02697903"/>
    <w:rsid w:val="028C7BE0"/>
    <w:rsid w:val="02C26B15"/>
    <w:rsid w:val="02F96569"/>
    <w:rsid w:val="033E2F09"/>
    <w:rsid w:val="035D4203"/>
    <w:rsid w:val="037F58E9"/>
    <w:rsid w:val="0382266C"/>
    <w:rsid w:val="038E6F79"/>
    <w:rsid w:val="03EA7B21"/>
    <w:rsid w:val="041871BE"/>
    <w:rsid w:val="043C1ED4"/>
    <w:rsid w:val="0455562B"/>
    <w:rsid w:val="0462668B"/>
    <w:rsid w:val="046E5030"/>
    <w:rsid w:val="04743FD6"/>
    <w:rsid w:val="04A24703"/>
    <w:rsid w:val="04B62B53"/>
    <w:rsid w:val="04F86657"/>
    <w:rsid w:val="0550438A"/>
    <w:rsid w:val="05B72127"/>
    <w:rsid w:val="05F83EAE"/>
    <w:rsid w:val="06117BA8"/>
    <w:rsid w:val="061C6707"/>
    <w:rsid w:val="063E7D85"/>
    <w:rsid w:val="06537C81"/>
    <w:rsid w:val="06860FA8"/>
    <w:rsid w:val="06B709DE"/>
    <w:rsid w:val="06BF28F2"/>
    <w:rsid w:val="06F9450D"/>
    <w:rsid w:val="0717179E"/>
    <w:rsid w:val="07293586"/>
    <w:rsid w:val="07295285"/>
    <w:rsid w:val="07335160"/>
    <w:rsid w:val="07380060"/>
    <w:rsid w:val="07636392"/>
    <w:rsid w:val="07647522"/>
    <w:rsid w:val="07770C56"/>
    <w:rsid w:val="07C660EB"/>
    <w:rsid w:val="083365F4"/>
    <w:rsid w:val="09036CDF"/>
    <w:rsid w:val="092217DD"/>
    <w:rsid w:val="09271EEA"/>
    <w:rsid w:val="093A7294"/>
    <w:rsid w:val="09590309"/>
    <w:rsid w:val="0964716C"/>
    <w:rsid w:val="097F672D"/>
    <w:rsid w:val="0A131AEE"/>
    <w:rsid w:val="0A1C11E4"/>
    <w:rsid w:val="0A263993"/>
    <w:rsid w:val="0A2D3AC2"/>
    <w:rsid w:val="0A4A23CD"/>
    <w:rsid w:val="0AA755DF"/>
    <w:rsid w:val="0B120D44"/>
    <w:rsid w:val="0B23766E"/>
    <w:rsid w:val="0B774E41"/>
    <w:rsid w:val="0BBB4168"/>
    <w:rsid w:val="0BD27BF6"/>
    <w:rsid w:val="0C2A044F"/>
    <w:rsid w:val="0C3703FE"/>
    <w:rsid w:val="0C3B3C7D"/>
    <w:rsid w:val="0C72724E"/>
    <w:rsid w:val="0C884C22"/>
    <w:rsid w:val="0CAB2EAE"/>
    <w:rsid w:val="0CE27083"/>
    <w:rsid w:val="0D217257"/>
    <w:rsid w:val="0D621C7D"/>
    <w:rsid w:val="0D8060B9"/>
    <w:rsid w:val="0DB83296"/>
    <w:rsid w:val="0E0013EF"/>
    <w:rsid w:val="0E0C69F8"/>
    <w:rsid w:val="0E73034D"/>
    <w:rsid w:val="0E7F346B"/>
    <w:rsid w:val="0E8F2773"/>
    <w:rsid w:val="0EB77F25"/>
    <w:rsid w:val="0F0C63B9"/>
    <w:rsid w:val="0F13775A"/>
    <w:rsid w:val="0F5F45FE"/>
    <w:rsid w:val="0F9A112B"/>
    <w:rsid w:val="0FBD45C6"/>
    <w:rsid w:val="103B0B70"/>
    <w:rsid w:val="1066051B"/>
    <w:rsid w:val="106D2F64"/>
    <w:rsid w:val="10823558"/>
    <w:rsid w:val="10B63710"/>
    <w:rsid w:val="10DA2C8F"/>
    <w:rsid w:val="10F10820"/>
    <w:rsid w:val="111C2F7A"/>
    <w:rsid w:val="112C1829"/>
    <w:rsid w:val="11540195"/>
    <w:rsid w:val="11665CA1"/>
    <w:rsid w:val="11A02386"/>
    <w:rsid w:val="11A46A42"/>
    <w:rsid w:val="11FB47AC"/>
    <w:rsid w:val="121135F8"/>
    <w:rsid w:val="127655A8"/>
    <w:rsid w:val="13091A27"/>
    <w:rsid w:val="132A24A9"/>
    <w:rsid w:val="133450DA"/>
    <w:rsid w:val="134B2A09"/>
    <w:rsid w:val="136A67D5"/>
    <w:rsid w:val="13951726"/>
    <w:rsid w:val="13A404DF"/>
    <w:rsid w:val="13F053DC"/>
    <w:rsid w:val="140521CE"/>
    <w:rsid w:val="14396509"/>
    <w:rsid w:val="14AC691B"/>
    <w:rsid w:val="14B60A59"/>
    <w:rsid w:val="14DD2C3C"/>
    <w:rsid w:val="15695ACC"/>
    <w:rsid w:val="15C12521"/>
    <w:rsid w:val="15FD75B8"/>
    <w:rsid w:val="16087E1D"/>
    <w:rsid w:val="16261EBA"/>
    <w:rsid w:val="166812BE"/>
    <w:rsid w:val="168B3880"/>
    <w:rsid w:val="169528F0"/>
    <w:rsid w:val="16BF171B"/>
    <w:rsid w:val="17701D14"/>
    <w:rsid w:val="17735226"/>
    <w:rsid w:val="185103B9"/>
    <w:rsid w:val="189F624C"/>
    <w:rsid w:val="18A47A62"/>
    <w:rsid w:val="192F13A6"/>
    <w:rsid w:val="19345248"/>
    <w:rsid w:val="19B13A96"/>
    <w:rsid w:val="19D77F30"/>
    <w:rsid w:val="1A1C66C0"/>
    <w:rsid w:val="1A42393B"/>
    <w:rsid w:val="1A7E682F"/>
    <w:rsid w:val="1AAD45DE"/>
    <w:rsid w:val="1B046F80"/>
    <w:rsid w:val="1B3267B5"/>
    <w:rsid w:val="1B40161D"/>
    <w:rsid w:val="1B441859"/>
    <w:rsid w:val="1B6606B1"/>
    <w:rsid w:val="1BEC092D"/>
    <w:rsid w:val="1BEF6FA5"/>
    <w:rsid w:val="1C5E7925"/>
    <w:rsid w:val="1CA81496"/>
    <w:rsid w:val="1CE42735"/>
    <w:rsid w:val="1CFD070F"/>
    <w:rsid w:val="1D322C47"/>
    <w:rsid w:val="1D5F6196"/>
    <w:rsid w:val="1D6132A5"/>
    <w:rsid w:val="1D802FC5"/>
    <w:rsid w:val="1D8E56D5"/>
    <w:rsid w:val="1DB26975"/>
    <w:rsid w:val="1DC15214"/>
    <w:rsid w:val="1DC35355"/>
    <w:rsid w:val="1E326C0D"/>
    <w:rsid w:val="1E7A43DA"/>
    <w:rsid w:val="1E937643"/>
    <w:rsid w:val="1EC91389"/>
    <w:rsid w:val="1EDD1822"/>
    <w:rsid w:val="1EE47A4E"/>
    <w:rsid w:val="1F5C6DD2"/>
    <w:rsid w:val="1F6E6877"/>
    <w:rsid w:val="1F851DBE"/>
    <w:rsid w:val="1FAD7076"/>
    <w:rsid w:val="1FE7539E"/>
    <w:rsid w:val="20474300"/>
    <w:rsid w:val="20671BE0"/>
    <w:rsid w:val="207E28F9"/>
    <w:rsid w:val="20963CB8"/>
    <w:rsid w:val="20A65B06"/>
    <w:rsid w:val="20A81A1B"/>
    <w:rsid w:val="20B07FB6"/>
    <w:rsid w:val="20B646FB"/>
    <w:rsid w:val="210112AE"/>
    <w:rsid w:val="21251B83"/>
    <w:rsid w:val="213B74B1"/>
    <w:rsid w:val="215A2310"/>
    <w:rsid w:val="21DE318A"/>
    <w:rsid w:val="21EF5B80"/>
    <w:rsid w:val="21FC53C1"/>
    <w:rsid w:val="22576990"/>
    <w:rsid w:val="22682EF5"/>
    <w:rsid w:val="226E7657"/>
    <w:rsid w:val="227002DF"/>
    <w:rsid w:val="22A171EC"/>
    <w:rsid w:val="22AB1C1C"/>
    <w:rsid w:val="22B14FE7"/>
    <w:rsid w:val="22C00CF5"/>
    <w:rsid w:val="22CF0F38"/>
    <w:rsid w:val="22D411A0"/>
    <w:rsid w:val="22F47480"/>
    <w:rsid w:val="233B426F"/>
    <w:rsid w:val="23881117"/>
    <w:rsid w:val="239E5E0C"/>
    <w:rsid w:val="23DE1C48"/>
    <w:rsid w:val="240210CD"/>
    <w:rsid w:val="242B093F"/>
    <w:rsid w:val="24665C27"/>
    <w:rsid w:val="246971CB"/>
    <w:rsid w:val="24A916C6"/>
    <w:rsid w:val="24BF09F7"/>
    <w:rsid w:val="24EF35A7"/>
    <w:rsid w:val="25241D48"/>
    <w:rsid w:val="252D53FE"/>
    <w:rsid w:val="25830E1D"/>
    <w:rsid w:val="258B7398"/>
    <w:rsid w:val="25BA75E9"/>
    <w:rsid w:val="25CA6327"/>
    <w:rsid w:val="25EC2D81"/>
    <w:rsid w:val="25ED78CC"/>
    <w:rsid w:val="26147364"/>
    <w:rsid w:val="26165085"/>
    <w:rsid w:val="26932CFB"/>
    <w:rsid w:val="26B008DD"/>
    <w:rsid w:val="27100F5D"/>
    <w:rsid w:val="277057A2"/>
    <w:rsid w:val="277B2140"/>
    <w:rsid w:val="277F117F"/>
    <w:rsid w:val="278371FF"/>
    <w:rsid w:val="278F0E5E"/>
    <w:rsid w:val="27E5382D"/>
    <w:rsid w:val="282569DC"/>
    <w:rsid w:val="2838554D"/>
    <w:rsid w:val="2858552C"/>
    <w:rsid w:val="287C23B4"/>
    <w:rsid w:val="28FB65E3"/>
    <w:rsid w:val="29206EB8"/>
    <w:rsid w:val="294B618D"/>
    <w:rsid w:val="29595666"/>
    <w:rsid w:val="29874881"/>
    <w:rsid w:val="2995461C"/>
    <w:rsid w:val="29C53136"/>
    <w:rsid w:val="29E325E0"/>
    <w:rsid w:val="2A1454C7"/>
    <w:rsid w:val="2A32274B"/>
    <w:rsid w:val="2A452503"/>
    <w:rsid w:val="2A6E741C"/>
    <w:rsid w:val="2ACC0B86"/>
    <w:rsid w:val="2B005BEA"/>
    <w:rsid w:val="2B65068C"/>
    <w:rsid w:val="2B724877"/>
    <w:rsid w:val="2BA936A8"/>
    <w:rsid w:val="2BB664FD"/>
    <w:rsid w:val="2C315A5A"/>
    <w:rsid w:val="2C4209CD"/>
    <w:rsid w:val="2C4B1C25"/>
    <w:rsid w:val="2C757C72"/>
    <w:rsid w:val="2C7A413A"/>
    <w:rsid w:val="2C9146ED"/>
    <w:rsid w:val="2CB63865"/>
    <w:rsid w:val="2CC7157E"/>
    <w:rsid w:val="2D626F6B"/>
    <w:rsid w:val="2D9E56F5"/>
    <w:rsid w:val="2DE9588D"/>
    <w:rsid w:val="2DF053F2"/>
    <w:rsid w:val="2DF16206"/>
    <w:rsid w:val="2E0425E4"/>
    <w:rsid w:val="2E0A3FD7"/>
    <w:rsid w:val="2E25657D"/>
    <w:rsid w:val="2E3F51C4"/>
    <w:rsid w:val="2E514EF7"/>
    <w:rsid w:val="2E667F96"/>
    <w:rsid w:val="2E8226AB"/>
    <w:rsid w:val="2EB909D8"/>
    <w:rsid w:val="2ECB39A6"/>
    <w:rsid w:val="2F1375EF"/>
    <w:rsid w:val="2FD065E6"/>
    <w:rsid w:val="2FD96870"/>
    <w:rsid w:val="2FE51D9B"/>
    <w:rsid w:val="30202DD3"/>
    <w:rsid w:val="30331628"/>
    <w:rsid w:val="30580BC9"/>
    <w:rsid w:val="30A35F1C"/>
    <w:rsid w:val="30CF112B"/>
    <w:rsid w:val="30D047F9"/>
    <w:rsid w:val="311E2ED7"/>
    <w:rsid w:val="31300F41"/>
    <w:rsid w:val="31476261"/>
    <w:rsid w:val="315619EE"/>
    <w:rsid w:val="315C449C"/>
    <w:rsid w:val="31805AB5"/>
    <w:rsid w:val="319B0EE6"/>
    <w:rsid w:val="31B82709"/>
    <w:rsid w:val="31D05482"/>
    <w:rsid w:val="31D56A18"/>
    <w:rsid w:val="31EE65F2"/>
    <w:rsid w:val="32400B34"/>
    <w:rsid w:val="329E6876"/>
    <w:rsid w:val="32DC7485"/>
    <w:rsid w:val="333015F2"/>
    <w:rsid w:val="334B6320"/>
    <w:rsid w:val="33D934D4"/>
    <w:rsid w:val="33EF4F96"/>
    <w:rsid w:val="33FE2F6A"/>
    <w:rsid w:val="340E07E5"/>
    <w:rsid w:val="34235BF7"/>
    <w:rsid w:val="34983880"/>
    <w:rsid w:val="34AB3B08"/>
    <w:rsid w:val="34B5207A"/>
    <w:rsid w:val="34EC50F6"/>
    <w:rsid w:val="34F8431E"/>
    <w:rsid w:val="35357E9C"/>
    <w:rsid w:val="356D573C"/>
    <w:rsid w:val="358A5862"/>
    <w:rsid w:val="358C5FA8"/>
    <w:rsid w:val="35907B0C"/>
    <w:rsid w:val="359345C3"/>
    <w:rsid w:val="35C15DF1"/>
    <w:rsid w:val="35F34D58"/>
    <w:rsid w:val="36074A7F"/>
    <w:rsid w:val="361C694E"/>
    <w:rsid w:val="36923549"/>
    <w:rsid w:val="36B75FBF"/>
    <w:rsid w:val="36BC7B6E"/>
    <w:rsid w:val="36BD0C45"/>
    <w:rsid w:val="36F4364C"/>
    <w:rsid w:val="36F9749B"/>
    <w:rsid w:val="37081797"/>
    <w:rsid w:val="372372EE"/>
    <w:rsid w:val="377B0957"/>
    <w:rsid w:val="37C72A10"/>
    <w:rsid w:val="37E00298"/>
    <w:rsid w:val="381F0013"/>
    <w:rsid w:val="38B10E44"/>
    <w:rsid w:val="38B302F9"/>
    <w:rsid w:val="38B50391"/>
    <w:rsid w:val="38D16217"/>
    <w:rsid w:val="38F12CD3"/>
    <w:rsid w:val="38F94775"/>
    <w:rsid w:val="390A63CE"/>
    <w:rsid w:val="392971ED"/>
    <w:rsid w:val="392C29C6"/>
    <w:rsid w:val="39325651"/>
    <w:rsid w:val="398E67D9"/>
    <w:rsid w:val="39A84565"/>
    <w:rsid w:val="39BE7DA9"/>
    <w:rsid w:val="3A34431E"/>
    <w:rsid w:val="3A354328"/>
    <w:rsid w:val="3A7D7FAF"/>
    <w:rsid w:val="3A872856"/>
    <w:rsid w:val="3AD50C53"/>
    <w:rsid w:val="3AE84714"/>
    <w:rsid w:val="3B051B7D"/>
    <w:rsid w:val="3B140F13"/>
    <w:rsid w:val="3B36794F"/>
    <w:rsid w:val="3B3763D1"/>
    <w:rsid w:val="3B3C476E"/>
    <w:rsid w:val="3B3F32BB"/>
    <w:rsid w:val="3B645349"/>
    <w:rsid w:val="3C276BDC"/>
    <w:rsid w:val="3C2F6E1E"/>
    <w:rsid w:val="3C4F64BA"/>
    <w:rsid w:val="3CC956E1"/>
    <w:rsid w:val="3CD95D41"/>
    <w:rsid w:val="3CDA245A"/>
    <w:rsid w:val="3D1E06B7"/>
    <w:rsid w:val="3D7B67DC"/>
    <w:rsid w:val="3DB66B25"/>
    <w:rsid w:val="3DBB771F"/>
    <w:rsid w:val="3DDC2A2F"/>
    <w:rsid w:val="3DFB13C3"/>
    <w:rsid w:val="3E226C98"/>
    <w:rsid w:val="3E530EC0"/>
    <w:rsid w:val="3E777041"/>
    <w:rsid w:val="3EAE40E4"/>
    <w:rsid w:val="3ED512C4"/>
    <w:rsid w:val="3EDA0523"/>
    <w:rsid w:val="3EF92280"/>
    <w:rsid w:val="3F2A6C7E"/>
    <w:rsid w:val="3FA04B59"/>
    <w:rsid w:val="400264DA"/>
    <w:rsid w:val="402503A8"/>
    <w:rsid w:val="404D44B6"/>
    <w:rsid w:val="40633E0D"/>
    <w:rsid w:val="407A6407"/>
    <w:rsid w:val="407F76A2"/>
    <w:rsid w:val="40AF116F"/>
    <w:rsid w:val="40BC4CD5"/>
    <w:rsid w:val="41146906"/>
    <w:rsid w:val="41183A3F"/>
    <w:rsid w:val="411D4A04"/>
    <w:rsid w:val="41293030"/>
    <w:rsid w:val="415E267D"/>
    <w:rsid w:val="41602C1C"/>
    <w:rsid w:val="4200449D"/>
    <w:rsid w:val="423A3BCC"/>
    <w:rsid w:val="424E57D2"/>
    <w:rsid w:val="42506ECD"/>
    <w:rsid w:val="42B26C49"/>
    <w:rsid w:val="42BB0811"/>
    <w:rsid w:val="42FA5706"/>
    <w:rsid w:val="431E02ED"/>
    <w:rsid w:val="433A6FE6"/>
    <w:rsid w:val="43480868"/>
    <w:rsid w:val="4350713C"/>
    <w:rsid w:val="435D31AA"/>
    <w:rsid w:val="436653E0"/>
    <w:rsid w:val="436819D2"/>
    <w:rsid w:val="436C54FA"/>
    <w:rsid w:val="43C4431A"/>
    <w:rsid w:val="43C54460"/>
    <w:rsid w:val="442D5AE3"/>
    <w:rsid w:val="4439591F"/>
    <w:rsid w:val="443F5AC6"/>
    <w:rsid w:val="444404EC"/>
    <w:rsid w:val="44B951CC"/>
    <w:rsid w:val="44CD14E0"/>
    <w:rsid w:val="44F20B0B"/>
    <w:rsid w:val="452B5F87"/>
    <w:rsid w:val="452E5F4C"/>
    <w:rsid w:val="45612018"/>
    <w:rsid w:val="458946E9"/>
    <w:rsid w:val="458E24E4"/>
    <w:rsid w:val="45A47C0E"/>
    <w:rsid w:val="45DC6CAE"/>
    <w:rsid w:val="46577FD6"/>
    <w:rsid w:val="46A240EA"/>
    <w:rsid w:val="46D955A7"/>
    <w:rsid w:val="46FB4A56"/>
    <w:rsid w:val="47133957"/>
    <w:rsid w:val="47667945"/>
    <w:rsid w:val="476A2B13"/>
    <w:rsid w:val="47A07E0C"/>
    <w:rsid w:val="47BE31A6"/>
    <w:rsid w:val="48060346"/>
    <w:rsid w:val="482D2725"/>
    <w:rsid w:val="4870272E"/>
    <w:rsid w:val="48722853"/>
    <w:rsid w:val="48D503BB"/>
    <w:rsid w:val="49285078"/>
    <w:rsid w:val="499A27D0"/>
    <w:rsid w:val="49B87BCD"/>
    <w:rsid w:val="49BD4D97"/>
    <w:rsid w:val="49D80B80"/>
    <w:rsid w:val="49DA0653"/>
    <w:rsid w:val="49DC7715"/>
    <w:rsid w:val="4A023139"/>
    <w:rsid w:val="4A710AA3"/>
    <w:rsid w:val="4A7B576F"/>
    <w:rsid w:val="4AC14514"/>
    <w:rsid w:val="4ACA467F"/>
    <w:rsid w:val="4AED3E87"/>
    <w:rsid w:val="4AF561A9"/>
    <w:rsid w:val="4B7B794C"/>
    <w:rsid w:val="4BC32EDC"/>
    <w:rsid w:val="4C2F4273"/>
    <w:rsid w:val="4C4A0649"/>
    <w:rsid w:val="4C7C0192"/>
    <w:rsid w:val="4C7E5ECA"/>
    <w:rsid w:val="4C8239BF"/>
    <w:rsid w:val="4C876AA5"/>
    <w:rsid w:val="4CE23492"/>
    <w:rsid w:val="4D0E00FB"/>
    <w:rsid w:val="4D176606"/>
    <w:rsid w:val="4DB62B71"/>
    <w:rsid w:val="4DBE2D72"/>
    <w:rsid w:val="4DE4323A"/>
    <w:rsid w:val="4DE638B8"/>
    <w:rsid w:val="4DEC4FB0"/>
    <w:rsid w:val="4E075D8A"/>
    <w:rsid w:val="4EB32F14"/>
    <w:rsid w:val="4EC00FAD"/>
    <w:rsid w:val="4ED155FA"/>
    <w:rsid w:val="4EF16274"/>
    <w:rsid w:val="4F102B48"/>
    <w:rsid w:val="4F474985"/>
    <w:rsid w:val="4F714434"/>
    <w:rsid w:val="4F7D0FAB"/>
    <w:rsid w:val="4F8F3B95"/>
    <w:rsid w:val="4F9843DC"/>
    <w:rsid w:val="4F9D0C0C"/>
    <w:rsid w:val="4FA450C3"/>
    <w:rsid w:val="4FAB04B3"/>
    <w:rsid w:val="4FC62A8C"/>
    <w:rsid w:val="4FE20F0D"/>
    <w:rsid w:val="4FE51552"/>
    <w:rsid w:val="4FFF5391"/>
    <w:rsid w:val="501E3E9C"/>
    <w:rsid w:val="503B0EA6"/>
    <w:rsid w:val="50504C4B"/>
    <w:rsid w:val="506529E4"/>
    <w:rsid w:val="5086130F"/>
    <w:rsid w:val="508872DA"/>
    <w:rsid w:val="509A27D0"/>
    <w:rsid w:val="509C6E7C"/>
    <w:rsid w:val="50E7688D"/>
    <w:rsid w:val="512D4760"/>
    <w:rsid w:val="5162104E"/>
    <w:rsid w:val="52092205"/>
    <w:rsid w:val="52610D67"/>
    <w:rsid w:val="52D95337"/>
    <w:rsid w:val="5349164E"/>
    <w:rsid w:val="53755013"/>
    <w:rsid w:val="53A039CC"/>
    <w:rsid w:val="53A1505A"/>
    <w:rsid w:val="53CF3238"/>
    <w:rsid w:val="54063E08"/>
    <w:rsid w:val="5412657E"/>
    <w:rsid w:val="543437E8"/>
    <w:rsid w:val="54745318"/>
    <w:rsid w:val="549F25D2"/>
    <w:rsid w:val="54B64188"/>
    <w:rsid w:val="54C62C9E"/>
    <w:rsid w:val="54F73313"/>
    <w:rsid w:val="54F80955"/>
    <w:rsid w:val="555170A7"/>
    <w:rsid w:val="558519B5"/>
    <w:rsid w:val="5587536D"/>
    <w:rsid w:val="559B174B"/>
    <w:rsid w:val="55C0534A"/>
    <w:rsid w:val="55CE0CF4"/>
    <w:rsid w:val="55E54935"/>
    <w:rsid w:val="55FF0ECD"/>
    <w:rsid w:val="56180C34"/>
    <w:rsid w:val="568E6439"/>
    <w:rsid w:val="56A3253B"/>
    <w:rsid w:val="56B22A9C"/>
    <w:rsid w:val="56EA07CE"/>
    <w:rsid w:val="570F1648"/>
    <w:rsid w:val="573D3BD1"/>
    <w:rsid w:val="578E7F2F"/>
    <w:rsid w:val="57AE796B"/>
    <w:rsid w:val="57B72A76"/>
    <w:rsid w:val="57C3426C"/>
    <w:rsid w:val="57CE1F93"/>
    <w:rsid w:val="585570AF"/>
    <w:rsid w:val="585A6FF3"/>
    <w:rsid w:val="58693AFF"/>
    <w:rsid w:val="588743D1"/>
    <w:rsid w:val="5887701A"/>
    <w:rsid w:val="58C148A4"/>
    <w:rsid w:val="592117E6"/>
    <w:rsid w:val="593B28A8"/>
    <w:rsid w:val="59906EAC"/>
    <w:rsid w:val="59AD4332"/>
    <w:rsid w:val="59C0439F"/>
    <w:rsid w:val="5A1B7CBA"/>
    <w:rsid w:val="5A8C0EE1"/>
    <w:rsid w:val="5A9C7376"/>
    <w:rsid w:val="5ABE2233"/>
    <w:rsid w:val="5B265BB3"/>
    <w:rsid w:val="5BDF5D95"/>
    <w:rsid w:val="5BFE7528"/>
    <w:rsid w:val="5C6F2B60"/>
    <w:rsid w:val="5CAC070B"/>
    <w:rsid w:val="5CC06FCC"/>
    <w:rsid w:val="5CDE61E5"/>
    <w:rsid w:val="5D7677B9"/>
    <w:rsid w:val="5D7C6354"/>
    <w:rsid w:val="5DA00227"/>
    <w:rsid w:val="5DB87876"/>
    <w:rsid w:val="5DE05801"/>
    <w:rsid w:val="5DE405CA"/>
    <w:rsid w:val="5E001ACF"/>
    <w:rsid w:val="5E2467F1"/>
    <w:rsid w:val="5E5724F5"/>
    <w:rsid w:val="5E876DCD"/>
    <w:rsid w:val="5E9F7435"/>
    <w:rsid w:val="5F1A2B43"/>
    <w:rsid w:val="5F22333D"/>
    <w:rsid w:val="5F4A106A"/>
    <w:rsid w:val="5F732048"/>
    <w:rsid w:val="5FB837BB"/>
    <w:rsid w:val="60164A24"/>
    <w:rsid w:val="603575EB"/>
    <w:rsid w:val="60452609"/>
    <w:rsid w:val="60AA0845"/>
    <w:rsid w:val="60CC405A"/>
    <w:rsid w:val="61232F88"/>
    <w:rsid w:val="6127702E"/>
    <w:rsid w:val="614C27B6"/>
    <w:rsid w:val="61777516"/>
    <w:rsid w:val="61820DDA"/>
    <w:rsid w:val="61AB61E5"/>
    <w:rsid w:val="61B63ECE"/>
    <w:rsid w:val="61BF7DEE"/>
    <w:rsid w:val="61E215D8"/>
    <w:rsid w:val="620E50E3"/>
    <w:rsid w:val="621B3775"/>
    <w:rsid w:val="62364782"/>
    <w:rsid w:val="624A70F3"/>
    <w:rsid w:val="62A82C34"/>
    <w:rsid w:val="62D85E51"/>
    <w:rsid w:val="6343067F"/>
    <w:rsid w:val="6394356A"/>
    <w:rsid w:val="639D1DD4"/>
    <w:rsid w:val="63C61B2C"/>
    <w:rsid w:val="63D40BE9"/>
    <w:rsid w:val="64074BCA"/>
    <w:rsid w:val="640D2CFF"/>
    <w:rsid w:val="64102431"/>
    <w:rsid w:val="6415596D"/>
    <w:rsid w:val="641F278F"/>
    <w:rsid w:val="644E3769"/>
    <w:rsid w:val="6488096B"/>
    <w:rsid w:val="64A5243A"/>
    <w:rsid w:val="64F531DE"/>
    <w:rsid w:val="65373578"/>
    <w:rsid w:val="661745EC"/>
    <w:rsid w:val="662927B2"/>
    <w:rsid w:val="66740F3B"/>
    <w:rsid w:val="66B43C9A"/>
    <w:rsid w:val="66C269AF"/>
    <w:rsid w:val="66CB3994"/>
    <w:rsid w:val="66FB3677"/>
    <w:rsid w:val="671F124A"/>
    <w:rsid w:val="67750BD7"/>
    <w:rsid w:val="677638C2"/>
    <w:rsid w:val="677A33C6"/>
    <w:rsid w:val="67C45973"/>
    <w:rsid w:val="67D16185"/>
    <w:rsid w:val="67E660D5"/>
    <w:rsid w:val="681F6961"/>
    <w:rsid w:val="68567E48"/>
    <w:rsid w:val="68610A2F"/>
    <w:rsid w:val="68805514"/>
    <w:rsid w:val="68E56022"/>
    <w:rsid w:val="69316E2F"/>
    <w:rsid w:val="694E2071"/>
    <w:rsid w:val="69766163"/>
    <w:rsid w:val="697A3B33"/>
    <w:rsid w:val="698E6A48"/>
    <w:rsid w:val="69C94E5E"/>
    <w:rsid w:val="69D44760"/>
    <w:rsid w:val="6A39716B"/>
    <w:rsid w:val="6A520EC7"/>
    <w:rsid w:val="6A7A7873"/>
    <w:rsid w:val="6A93066C"/>
    <w:rsid w:val="6ABC7B28"/>
    <w:rsid w:val="6AF87E20"/>
    <w:rsid w:val="6B322639"/>
    <w:rsid w:val="6B556ED7"/>
    <w:rsid w:val="6B927B85"/>
    <w:rsid w:val="6B953331"/>
    <w:rsid w:val="6BB117A7"/>
    <w:rsid w:val="6BE16873"/>
    <w:rsid w:val="6C021E4C"/>
    <w:rsid w:val="6C3917ED"/>
    <w:rsid w:val="6C420F8A"/>
    <w:rsid w:val="6C636C38"/>
    <w:rsid w:val="6CB70040"/>
    <w:rsid w:val="6CE56FEB"/>
    <w:rsid w:val="6CFC3B75"/>
    <w:rsid w:val="6D21370B"/>
    <w:rsid w:val="6D5C26B0"/>
    <w:rsid w:val="6D8445D4"/>
    <w:rsid w:val="6DB34098"/>
    <w:rsid w:val="6DB545B6"/>
    <w:rsid w:val="6DE02FB4"/>
    <w:rsid w:val="6DF50CB5"/>
    <w:rsid w:val="6E005441"/>
    <w:rsid w:val="6E0E7845"/>
    <w:rsid w:val="6E286DD8"/>
    <w:rsid w:val="6E2A648C"/>
    <w:rsid w:val="6E3D732E"/>
    <w:rsid w:val="6E4E33F5"/>
    <w:rsid w:val="6E514CED"/>
    <w:rsid w:val="6EB563D5"/>
    <w:rsid w:val="6ED92677"/>
    <w:rsid w:val="6EFE2DFA"/>
    <w:rsid w:val="6F042205"/>
    <w:rsid w:val="6F225983"/>
    <w:rsid w:val="6F2E25BA"/>
    <w:rsid w:val="6FFC5590"/>
    <w:rsid w:val="70003CAA"/>
    <w:rsid w:val="70052FBB"/>
    <w:rsid w:val="706D1DD0"/>
    <w:rsid w:val="70856B87"/>
    <w:rsid w:val="709D3EB4"/>
    <w:rsid w:val="70AC54C4"/>
    <w:rsid w:val="70D527EE"/>
    <w:rsid w:val="70FB6A8F"/>
    <w:rsid w:val="711545F5"/>
    <w:rsid w:val="71312215"/>
    <w:rsid w:val="7150455E"/>
    <w:rsid w:val="715B5300"/>
    <w:rsid w:val="71D27F8A"/>
    <w:rsid w:val="723D0A0C"/>
    <w:rsid w:val="723F5CEB"/>
    <w:rsid w:val="72507E2C"/>
    <w:rsid w:val="725105EF"/>
    <w:rsid w:val="72553024"/>
    <w:rsid w:val="726C6FC4"/>
    <w:rsid w:val="72897D89"/>
    <w:rsid w:val="72EC031A"/>
    <w:rsid w:val="73122968"/>
    <w:rsid w:val="731F5D5E"/>
    <w:rsid w:val="737F118B"/>
    <w:rsid w:val="73B72185"/>
    <w:rsid w:val="73C51AD5"/>
    <w:rsid w:val="741E793C"/>
    <w:rsid w:val="745E3944"/>
    <w:rsid w:val="747D23B0"/>
    <w:rsid w:val="748C08C9"/>
    <w:rsid w:val="74A76BEC"/>
    <w:rsid w:val="74D562EF"/>
    <w:rsid w:val="74FF7150"/>
    <w:rsid w:val="75320E32"/>
    <w:rsid w:val="75432889"/>
    <w:rsid w:val="7544037E"/>
    <w:rsid w:val="75C75614"/>
    <w:rsid w:val="75D27119"/>
    <w:rsid w:val="75FE6CDF"/>
    <w:rsid w:val="7635099D"/>
    <w:rsid w:val="764B4497"/>
    <w:rsid w:val="765C7562"/>
    <w:rsid w:val="76786334"/>
    <w:rsid w:val="76E85717"/>
    <w:rsid w:val="77514DAD"/>
    <w:rsid w:val="77762421"/>
    <w:rsid w:val="777846DD"/>
    <w:rsid w:val="77951E23"/>
    <w:rsid w:val="77960EFC"/>
    <w:rsid w:val="77A0522A"/>
    <w:rsid w:val="77B56B1F"/>
    <w:rsid w:val="77E80C25"/>
    <w:rsid w:val="77EF0C30"/>
    <w:rsid w:val="780F09F4"/>
    <w:rsid w:val="78126ABD"/>
    <w:rsid w:val="782C7D25"/>
    <w:rsid w:val="7830295C"/>
    <w:rsid w:val="78411F99"/>
    <w:rsid w:val="78450BF6"/>
    <w:rsid w:val="785D03D9"/>
    <w:rsid w:val="78A90480"/>
    <w:rsid w:val="78B24758"/>
    <w:rsid w:val="78B47B29"/>
    <w:rsid w:val="78C35C85"/>
    <w:rsid w:val="792A7E68"/>
    <w:rsid w:val="7981210F"/>
    <w:rsid w:val="79997659"/>
    <w:rsid w:val="79C951DB"/>
    <w:rsid w:val="79CA39F1"/>
    <w:rsid w:val="79CB2FD9"/>
    <w:rsid w:val="79FA2B22"/>
    <w:rsid w:val="7A020420"/>
    <w:rsid w:val="7A364017"/>
    <w:rsid w:val="7A8265E1"/>
    <w:rsid w:val="7A843EEC"/>
    <w:rsid w:val="7B282039"/>
    <w:rsid w:val="7B6273C9"/>
    <w:rsid w:val="7B686D42"/>
    <w:rsid w:val="7B803A2B"/>
    <w:rsid w:val="7B841746"/>
    <w:rsid w:val="7B8A5F60"/>
    <w:rsid w:val="7B96397B"/>
    <w:rsid w:val="7BA1502A"/>
    <w:rsid w:val="7BD55DED"/>
    <w:rsid w:val="7C3D3207"/>
    <w:rsid w:val="7C607C58"/>
    <w:rsid w:val="7C6C5AC7"/>
    <w:rsid w:val="7C7B297C"/>
    <w:rsid w:val="7CA241FD"/>
    <w:rsid w:val="7CB6029E"/>
    <w:rsid w:val="7CC6544B"/>
    <w:rsid w:val="7CD10CAA"/>
    <w:rsid w:val="7CF82511"/>
    <w:rsid w:val="7D0239FF"/>
    <w:rsid w:val="7D1C532F"/>
    <w:rsid w:val="7D2B2488"/>
    <w:rsid w:val="7D5E40CD"/>
    <w:rsid w:val="7D5F32C2"/>
    <w:rsid w:val="7DCD56F2"/>
    <w:rsid w:val="7DF63F66"/>
    <w:rsid w:val="7DF663BC"/>
    <w:rsid w:val="7E552C38"/>
    <w:rsid w:val="7F001CE7"/>
    <w:rsid w:val="7F36260E"/>
    <w:rsid w:val="7F4028DD"/>
    <w:rsid w:val="7F4F4108"/>
    <w:rsid w:val="7FAD7601"/>
    <w:rsid w:val="7FC22B2C"/>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99" w:semiHidden="0" w:name="heading 2" w:locked="1"/>
    <w:lsdException w:qFormat="1" w:unhideWhenUsed="0" w:uiPriority="99" w:semiHidden="0" w:name="heading 3" w:locked="1"/>
    <w:lsdException w:qFormat="1" w:unhideWhenUsed="0" w:uiPriority="0" w:semiHidden="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iPriority="99" w:semiHidden="0" w:name="toc 1" w:locked="1"/>
    <w:lsdException w:qFormat="1" w:unhideWhenUsed="0" w:uiPriority="39" w:semiHidden="0" w:name="toc 2" w:locked="1"/>
    <w:lsdException w:qFormat="1" w:unhideWhenUsed="0"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99" w:semiHidden="0" w:name="List 2" w:locked="1"/>
    <w:lsdException w:unhideWhenUsed="0" w:uiPriority="99"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99" w:semiHidden="0" w:name="Body Text"/>
    <w:lsdException w:qFormat="1" w:unhideWhenUsed="0" w:uiPriority="99"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unhideWhenUsed="0" w:uiPriority="0" w:semiHidden="0" w:name="Date"/>
    <w:lsdException w:qFormat="1" w:unhideWhenUsed="0" w:uiPriority="0" w:semiHidden="0" w:name="Body Text First Indent" w:locked="1"/>
    <w:lsdException w:qFormat="1" w:uiPriority="99" w:semiHidden="0" w:name="Body Text First Indent 2" w:locked="1"/>
    <w:lsdException w:qFormat="1" w:unhideWhenUsed="0" w:uiPriority="0" w:semiHidden="0" w:name="Note Heading" w:locked="1"/>
    <w:lsdException w:qFormat="1"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99" w:semiHidden="0" w:name="Block Text" w:locked="1"/>
    <w:lsdException w:qFormat="1" w:unhideWhenUsed="0" w:uiPriority="99" w:semiHidden="0" w:name="Hyperlink" w:locked="1"/>
    <w:lsdException w:unhideWhenUsed="0" w:uiPriority="99" w:semiHidden="0" w:name="FollowedHyperlink" w:locked="1"/>
    <w:lsdException w:qFormat="1" w:unhideWhenUsed="0" w:uiPriority="0" w:semiHidden="0" w:name="Strong" w:locked="1"/>
    <w:lsdException w:qFormat="1" w:unhideWhenUsed="0" w:uiPriority="20" w:semiHidden="0" w:name="Emphasis" w:locked="1"/>
    <w:lsdException w:unhideWhenUsed="0" w:uiPriority="99" w:semiHidden="0" w:name="Document Map" w:locked="1"/>
    <w:lsdException w:qFormat="1" w:uiPriority="99" w:semiHidden="0" w:name="Plain Text" w:locked="1"/>
    <w:lsdException w:unhideWhenUsed="0" w:uiPriority="0" w:semiHidden="0" w:name="E-mail Signature" w:locked="1"/>
    <w:lsdException w:qFormat="1"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qFormat="1"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99"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spacing w:line="360" w:lineRule="auto"/>
      <w:ind w:firstLine="200" w:firstLineChars="200"/>
    </w:pPr>
    <w:rPr>
      <w:rFonts w:ascii="Times New Roman" w:hAnsi="Times New Roman" w:eastAsia="宋体" w:cs="宋体"/>
      <w:sz w:val="24"/>
      <w:szCs w:val="24"/>
      <w:lang w:val="en-US" w:eastAsia="zh-CN" w:bidi="ar-SA"/>
    </w:rPr>
  </w:style>
  <w:style w:type="paragraph" w:styleId="2">
    <w:name w:val="heading 1"/>
    <w:basedOn w:val="1"/>
    <w:next w:val="1"/>
    <w:qFormat/>
    <w:locked/>
    <w:uiPriority w:val="0"/>
    <w:pPr>
      <w:keepNext/>
      <w:overflowPunct w:val="0"/>
      <w:snapToGrid w:val="0"/>
      <w:spacing w:before="100" w:beforeLines="100" w:after="50" w:afterLines="50"/>
      <w:outlineLvl w:val="0"/>
    </w:pPr>
    <w:rPr>
      <w:b/>
      <w:bCs/>
      <w:color w:val="000000"/>
      <w:kern w:val="44"/>
      <w:sz w:val="30"/>
      <w:szCs w:val="30"/>
    </w:rPr>
  </w:style>
  <w:style w:type="paragraph" w:styleId="3">
    <w:name w:val="heading 2"/>
    <w:basedOn w:val="1"/>
    <w:next w:val="1"/>
    <w:link w:val="35"/>
    <w:qFormat/>
    <w:locked/>
    <w:uiPriority w:val="99"/>
    <w:pPr>
      <w:keepNext/>
      <w:keepLines/>
      <w:spacing w:before="260" w:after="260" w:line="416" w:lineRule="auto"/>
      <w:outlineLvl w:val="1"/>
    </w:pPr>
    <w:rPr>
      <w:rFonts w:ascii="Cambria" w:hAnsi="Cambria"/>
      <w:b/>
      <w:bCs/>
      <w:sz w:val="32"/>
      <w:szCs w:val="32"/>
    </w:rPr>
  </w:style>
  <w:style w:type="paragraph" w:styleId="4">
    <w:name w:val="heading 3"/>
    <w:basedOn w:val="1"/>
    <w:next w:val="1"/>
    <w:link w:val="46"/>
    <w:qFormat/>
    <w:locked/>
    <w:uiPriority w:val="99"/>
    <w:pPr>
      <w:keepNext/>
      <w:keepLines/>
      <w:ind w:firstLine="0" w:firstLineChars="0"/>
      <w:outlineLvl w:val="2"/>
    </w:pPr>
    <w:rPr>
      <w:rFonts w:eastAsia="黑体"/>
      <w:bCs/>
      <w:sz w:val="28"/>
      <w:szCs w:val="32"/>
    </w:rPr>
  </w:style>
  <w:style w:type="paragraph" w:styleId="5">
    <w:name w:val="heading 4"/>
    <w:basedOn w:val="1"/>
    <w:next w:val="1"/>
    <w:link w:val="40"/>
    <w:qFormat/>
    <w:locked/>
    <w:uiPriority w:val="0"/>
    <w:pPr>
      <w:keepNext/>
      <w:keepLines/>
      <w:spacing w:before="280" w:after="290" w:line="376" w:lineRule="auto"/>
      <w:outlineLvl w:val="3"/>
    </w:pPr>
    <w:rPr>
      <w:rFonts w:ascii="Cambria" w:hAnsi="Cambria"/>
      <w:b/>
      <w:bCs/>
      <w:sz w:val="28"/>
      <w:szCs w:val="28"/>
    </w:rPr>
  </w:style>
  <w:style w:type="paragraph" w:styleId="6">
    <w:name w:val="heading 5"/>
    <w:basedOn w:val="1"/>
    <w:next w:val="1"/>
    <w:link w:val="64"/>
    <w:qFormat/>
    <w:locked/>
    <w:uiPriority w:val="0"/>
    <w:pPr>
      <w:keepNext/>
      <w:keepLines/>
      <w:autoSpaceDE w:val="0"/>
      <w:autoSpaceDN w:val="0"/>
      <w:adjustRightInd w:val="0"/>
      <w:spacing w:before="280" w:after="290" w:line="376" w:lineRule="atLeast"/>
      <w:ind w:left="170" w:hanging="113"/>
      <w:outlineLvl w:val="4"/>
    </w:pPr>
    <w:rPr>
      <w:rFonts w:eastAsia="仿宋_GB2312"/>
      <w:sz w:val="28"/>
      <w:szCs w:val="20"/>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7">
    <w:name w:val="Note Heading"/>
    <w:basedOn w:val="1"/>
    <w:next w:val="1"/>
    <w:qFormat/>
    <w:locked/>
    <w:uiPriority w:val="0"/>
  </w:style>
  <w:style w:type="paragraph" w:styleId="8">
    <w:name w:val="Normal Indent"/>
    <w:basedOn w:val="1"/>
    <w:next w:val="1"/>
    <w:link w:val="41"/>
    <w:qFormat/>
    <w:locked/>
    <w:uiPriority w:val="0"/>
    <w:pPr>
      <w:widowControl w:val="0"/>
      <w:spacing w:line="240" w:lineRule="auto"/>
      <w:ind w:firstLine="420" w:firstLineChars="0"/>
    </w:pPr>
    <w:rPr>
      <w:rFonts w:eastAsia="仿宋_GB2312"/>
      <w:sz w:val="28"/>
      <w:szCs w:val="20"/>
    </w:rPr>
  </w:style>
  <w:style w:type="paragraph" w:styleId="9">
    <w:name w:val="annotation text"/>
    <w:basedOn w:val="1"/>
    <w:link w:val="65"/>
    <w:qFormat/>
    <w:uiPriority w:val="0"/>
  </w:style>
  <w:style w:type="paragraph" w:styleId="10">
    <w:name w:val="Body Text"/>
    <w:basedOn w:val="1"/>
    <w:next w:val="1"/>
    <w:link w:val="66"/>
    <w:qFormat/>
    <w:uiPriority w:val="99"/>
    <w:pPr>
      <w:widowControl w:val="0"/>
      <w:spacing w:before="120" w:after="120" w:line="240" w:lineRule="auto"/>
      <w:ind w:firstLine="567" w:firstLineChars="0"/>
    </w:pPr>
    <w:rPr>
      <w:rFonts w:eastAsia="仿宋_GB2312"/>
      <w:sz w:val="28"/>
      <w:szCs w:val="20"/>
    </w:rPr>
  </w:style>
  <w:style w:type="paragraph" w:styleId="11">
    <w:name w:val="Body Text Indent"/>
    <w:basedOn w:val="1"/>
    <w:next w:val="12"/>
    <w:link w:val="68"/>
    <w:qFormat/>
    <w:uiPriority w:val="99"/>
    <w:pPr>
      <w:spacing w:after="120"/>
      <w:ind w:left="420" w:leftChars="200"/>
    </w:pPr>
  </w:style>
  <w:style w:type="paragraph" w:styleId="12">
    <w:name w:val="Body Text First Indent 2"/>
    <w:basedOn w:val="1"/>
    <w:next w:val="13"/>
    <w:link w:val="69"/>
    <w:unhideWhenUsed/>
    <w:qFormat/>
    <w:locked/>
    <w:uiPriority w:val="99"/>
    <w:pPr>
      <w:spacing w:before="100" w:beforeAutospacing="1"/>
      <w:ind w:left="200" w:firstLine="420"/>
    </w:pPr>
    <w:rPr>
      <w:rFonts w:ascii="Calibri" w:hAnsi="Calibri"/>
      <w:sz w:val="21"/>
      <w:szCs w:val="21"/>
    </w:rPr>
  </w:style>
  <w:style w:type="paragraph" w:styleId="13">
    <w:name w:val="Body Text First Indent"/>
    <w:basedOn w:val="10"/>
    <w:next w:val="1"/>
    <w:link w:val="70"/>
    <w:qFormat/>
    <w:locked/>
    <w:uiPriority w:val="0"/>
    <w:pPr>
      <w:widowControl/>
      <w:spacing w:before="0" w:line="360" w:lineRule="auto"/>
      <w:ind w:firstLine="420" w:firstLineChars="100"/>
    </w:pPr>
    <w:rPr>
      <w:rFonts w:eastAsia="宋体"/>
      <w:sz w:val="24"/>
      <w:szCs w:val="24"/>
    </w:rPr>
  </w:style>
  <w:style w:type="paragraph" w:styleId="14">
    <w:name w:val="toc 3"/>
    <w:basedOn w:val="1"/>
    <w:next w:val="1"/>
    <w:qFormat/>
    <w:locked/>
    <w:uiPriority w:val="39"/>
    <w:pPr>
      <w:widowControl w:val="0"/>
      <w:spacing w:line="240" w:lineRule="auto"/>
      <w:ind w:left="840" w:leftChars="400" w:firstLine="567" w:firstLineChars="0"/>
    </w:pPr>
    <w:rPr>
      <w:rFonts w:eastAsia="仿宋_GB2312"/>
      <w:sz w:val="28"/>
      <w:szCs w:val="20"/>
    </w:rPr>
  </w:style>
  <w:style w:type="paragraph" w:styleId="15">
    <w:name w:val="Plain Text"/>
    <w:basedOn w:val="1"/>
    <w:link w:val="67"/>
    <w:unhideWhenUsed/>
    <w:qFormat/>
    <w:locked/>
    <w:uiPriority w:val="99"/>
    <w:pPr>
      <w:spacing w:line="240" w:lineRule="auto"/>
      <w:ind w:firstLine="0" w:firstLineChars="0"/>
    </w:pPr>
    <w:rPr>
      <w:rFonts w:ascii="宋体" w:hAnsi="Courier New"/>
      <w:sz w:val="20"/>
      <w:szCs w:val="20"/>
    </w:rPr>
  </w:style>
  <w:style w:type="paragraph" w:styleId="16">
    <w:name w:val="Balloon Text"/>
    <w:basedOn w:val="1"/>
    <w:next w:val="10"/>
    <w:link w:val="71"/>
    <w:semiHidden/>
    <w:qFormat/>
    <w:uiPriority w:val="0"/>
    <w:pPr>
      <w:spacing w:line="240" w:lineRule="auto"/>
    </w:pPr>
    <w:rPr>
      <w:sz w:val="18"/>
      <w:szCs w:val="18"/>
    </w:rPr>
  </w:style>
  <w:style w:type="paragraph" w:styleId="17">
    <w:name w:val="footer"/>
    <w:basedOn w:val="1"/>
    <w:link w:val="72"/>
    <w:qFormat/>
    <w:uiPriority w:val="99"/>
    <w:pPr>
      <w:tabs>
        <w:tab w:val="center" w:pos="4153"/>
        <w:tab w:val="right" w:pos="8306"/>
      </w:tabs>
      <w:spacing w:line="240" w:lineRule="auto"/>
    </w:pPr>
    <w:rPr>
      <w:sz w:val="18"/>
      <w:szCs w:val="18"/>
    </w:rPr>
  </w:style>
  <w:style w:type="paragraph" w:styleId="18">
    <w:name w:val="header"/>
    <w:basedOn w:val="1"/>
    <w:link w:val="73"/>
    <w:qFormat/>
    <w:uiPriority w:val="0"/>
    <w:pPr>
      <w:pBdr>
        <w:bottom w:val="single" w:color="auto" w:sz="6" w:space="1"/>
      </w:pBdr>
      <w:tabs>
        <w:tab w:val="center" w:pos="4153"/>
        <w:tab w:val="right" w:pos="8306"/>
      </w:tabs>
      <w:spacing w:line="240" w:lineRule="auto"/>
      <w:jc w:val="center"/>
    </w:pPr>
    <w:rPr>
      <w:sz w:val="18"/>
      <w:szCs w:val="18"/>
    </w:rPr>
  </w:style>
  <w:style w:type="paragraph" w:styleId="19">
    <w:name w:val="toc 1"/>
    <w:basedOn w:val="1"/>
    <w:next w:val="1"/>
    <w:unhideWhenUsed/>
    <w:qFormat/>
    <w:locked/>
    <w:uiPriority w:val="99"/>
    <w:pPr>
      <w:widowControl w:val="0"/>
      <w:spacing w:line="240" w:lineRule="auto"/>
      <w:ind w:firstLine="0" w:firstLineChars="0"/>
    </w:pPr>
    <w:rPr>
      <w:rFonts w:ascii="Calibri" w:hAnsi="Calibri"/>
      <w:sz w:val="21"/>
      <w:szCs w:val="21"/>
    </w:rPr>
  </w:style>
  <w:style w:type="paragraph" w:styleId="20">
    <w:name w:val="List"/>
    <w:basedOn w:val="1"/>
    <w:qFormat/>
    <w:locked/>
    <w:uiPriority w:val="0"/>
    <w:pPr>
      <w:ind w:left="200" w:hanging="200" w:hangingChars="200"/>
    </w:pPr>
  </w:style>
  <w:style w:type="paragraph" w:styleId="21">
    <w:name w:val="table of figures"/>
    <w:basedOn w:val="1"/>
    <w:next w:val="1"/>
    <w:qFormat/>
    <w:locked/>
    <w:uiPriority w:val="0"/>
    <w:pPr>
      <w:ind w:left="200" w:leftChars="200" w:hanging="200" w:hangingChars="200"/>
    </w:pPr>
  </w:style>
  <w:style w:type="paragraph" w:styleId="22">
    <w:name w:val="toc 2"/>
    <w:basedOn w:val="1"/>
    <w:next w:val="1"/>
    <w:qFormat/>
    <w:locked/>
    <w:uiPriority w:val="39"/>
    <w:pPr>
      <w:ind w:left="420" w:leftChars="200"/>
    </w:pPr>
  </w:style>
  <w:style w:type="paragraph" w:styleId="23">
    <w:name w:val="Body Text 2"/>
    <w:basedOn w:val="1"/>
    <w:link w:val="74"/>
    <w:qFormat/>
    <w:locked/>
    <w:uiPriority w:val="0"/>
    <w:pPr>
      <w:widowControl w:val="0"/>
      <w:autoSpaceDE w:val="0"/>
      <w:autoSpaceDN w:val="0"/>
      <w:spacing w:after="120" w:line="480" w:lineRule="auto"/>
      <w:ind w:firstLine="0" w:firstLineChars="0"/>
      <w:textAlignment w:val="baseline"/>
    </w:pPr>
    <w:rPr>
      <w:sz w:val="21"/>
      <w:szCs w:val="20"/>
    </w:rPr>
  </w:style>
  <w:style w:type="paragraph" w:styleId="24">
    <w:name w:val="Normal (Web)"/>
    <w:basedOn w:val="1"/>
    <w:link w:val="75"/>
    <w:unhideWhenUsed/>
    <w:qFormat/>
    <w:uiPriority w:val="99"/>
    <w:pPr>
      <w:spacing w:before="100" w:beforeAutospacing="1" w:after="100" w:afterAutospacing="1" w:line="240" w:lineRule="auto"/>
      <w:ind w:firstLine="0" w:firstLineChars="0"/>
    </w:pPr>
    <w:rPr>
      <w:rFonts w:ascii="宋体" w:hAnsi="宋体"/>
    </w:rPr>
  </w:style>
  <w:style w:type="paragraph" w:styleId="25">
    <w:name w:val="Title"/>
    <w:basedOn w:val="1"/>
    <w:next w:val="1"/>
    <w:link w:val="63"/>
    <w:qFormat/>
    <w:locked/>
    <w:uiPriority w:val="0"/>
    <w:pPr>
      <w:spacing w:before="240" w:after="60"/>
      <w:jc w:val="center"/>
      <w:outlineLvl w:val="0"/>
    </w:pPr>
    <w:rPr>
      <w:rFonts w:ascii="Calibri Light" w:hAnsi="Calibri Light" w:cs="Times New Roman"/>
      <w:b/>
      <w:bCs/>
      <w:sz w:val="32"/>
      <w:szCs w:val="32"/>
    </w:rPr>
  </w:style>
  <w:style w:type="paragraph" w:styleId="26">
    <w:name w:val="annotation subject"/>
    <w:basedOn w:val="9"/>
    <w:next w:val="9"/>
    <w:link w:val="76"/>
    <w:semiHidden/>
    <w:qFormat/>
    <w:uiPriority w:val="0"/>
    <w:rPr>
      <w:b/>
      <w:bCs/>
    </w:rPr>
  </w:style>
  <w:style w:type="table" w:styleId="28">
    <w:name w:val="Table Grid"/>
    <w:basedOn w:val="2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qFormat/>
    <w:locked/>
    <w:uiPriority w:val="0"/>
    <w:rPr>
      <w:b/>
    </w:rPr>
  </w:style>
  <w:style w:type="character" w:styleId="31">
    <w:name w:val="Emphasis"/>
    <w:qFormat/>
    <w:locked/>
    <w:uiPriority w:val="20"/>
    <w:rPr>
      <w:i/>
    </w:rPr>
  </w:style>
  <w:style w:type="character" w:styleId="32">
    <w:name w:val="Hyperlink"/>
    <w:qFormat/>
    <w:locked/>
    <w:uiPriority w:val="99"/>
    <w:rPr>
      <w:color w:val="136EC2"/>
      <w:u w:val="single"/>
    </w:rPr>
  </w:style>
  <w:style w:type="character" w:styleId="33">
    <w:name w:val="HTML Code"/>
    <w:qFormat/>
    <w:locked/>
    <w:uiPriority w:val="0"/>
    <w:rPr>
      <w:rFonts w:ascii="Courier New" w:hAnsi="Courier New"/>
      <w:sz w:val="20"/>
    </w:rPr>
  </w:style>
  <w:style w:type="character" w:styleId="34">
    <w:name w:val="annotation reference"/>
    <w:qFormat/>
    <w:uiPriority w:val="0"/>
    <w:rPr>
      <w:sz w:val="21"/>
      <w:szCs w:val="21"/>
    </w:rPr>
  </w:style>
  <w:style w:type="character" w:customStyle="1" w:styleId="35">
    <w:name w:val="标题 2 字符"/>
    <w:link w:val="3"/>
    <w:qFormat/>
    <w:uiPriority w:val="99"/>
    <w:rPr>
      <w:rFonts w:ascii="Cambria" w:hAnsi="Cambria" w:eastAsia="宋体" w:cs="Times New Roman"/>
      <w:b/>
      <w:bCs/>
      <w:kern w:val="2"/>
      <w:sz w:val="32"/>
      <w:szCs w:val="32"/>
    </w:rPr>
  </w:style>
  <w:style w:type="paragraph" w:customStyle="1" w:styleId="36">
    <w:name w:val="表格内容（）"/>
    <w:basedOn w:val="1"/>
    <w:link w:val="45"/>
    <w:qFormat/>
    <w:uiPriority w:val="0"/>
    <w:pPr>
      <w:widowControl w:val="0"/>
      <w:spacing w:line="240" w:lineRule="auto"/>
      <w:ind w:firstLine="0" w:firstLineChars="0"/>
      <w:jc w:val="center"/>
    </w:pPr>
    <w:rPr>
      <w:color w:val="00B0F0"/>
      <w:sz w:val="21"/>
      <w:szCs w:val="21"/>
    </w:rPr>
  </w:style>
  <w:style w:type="paragraph" w:customStyle="1" w:styleId="37">
    <w:name w:val="表格标题（）"/>
    <w:basedOn w:val="1"/>
    <w:link w:val="58"/>
    <w:qFormat/>
    <w:uiPriority w:val="0"/>
    <w:pPr>
      <w:widowControl w:val="0"/>
      <w:spacing w:line="240" w:lineRule="auto"/>
      <w:ind w:firstLine="0" w:firstLineChars="0"/>
      <w:jc w:val="center"/>
    </w:pPr>
    <w:rPr>
      <w:rFonts w:eastAsia="黑体"/>
      <w:color w:val="000000"/>
      <w:lang w:val="zh-CN" w:bidi="he-IL"/>
    </w:rPr>
  </w:style>
  <w:style w:type="paragraph" w:customStyle="1" w:styleId="38">
    <w:name w:val="正文（）"/>
    <w:basedOn w:val="1"/>
    <w:link w:val="39"/>
    <w:qFormat/>
    <w:uiPriority w:val="0"/>
    <w:pPr>
      <w:wordWrap w:val="0"/>
    </w:pPr>
    <w:rPr>
      <w:color w:val="000000"/>
    </w:rPr>
  </w:style>
  <w:style w:type="character" w:customStyle="1" w:styleId="39">
    <w:name w:val="正文（） Char"/>
    <w:link w:val="38"/>
    <w:qFormat/>
    <w:uiPriority w:val="0"/>
    <w:rPr>
      <w:rFonts w:ascii="Times New Roman" w:hAnsi="Times New Roman" w:eastAsia="宋体" w:cs="宋体"/>
      <w:color w:val="000000"/>
      <w:sz w:val="24"/>
      <w:szCs w:val="24"/>
    </w:rPr>
  </w:style>
  <w:style w:type="character" w:customStyle="1" w:styleId="40">
    <w:name w:val="标题 4 字符"/>
    <w:link w:val="5"/>
    <w:semiHidden/>
    <w:qFormat/>
    <w:uiPriority w:val="0"/>
    <w:rPr>
      <w:rFonts w:ascii="Cambria" w:hAnsi="Cambria" w:eastAsia="宋体" w:cs="Times New Roman"/>
      <w:b/>
      <w:bCs/>
      <w:kern w:val="2"/>
      <w:sz w:val="28"/>
      <w:szCs w:val="28"/>
    </w:rPr>
  </w:style>
  <w:style w:type="character" w:customStyle="1" w:styleId="41">
    <w:name w:val="正文缩进 字符"/>
    <w:link w:val="8"/>
    <w:qFormat/>
    <w:uiPriority w:val="0"/>
    <w:rPr>
      <w:rFonts w:eastAsia="仿宋_GB2312"/>
      <w:kern w:val="2"/>
      <w:sz w:val="28"/>
    </w:rPr>
  </w:style>
  <w:style w:type="paragraph" w:customStyle="1" w:styleId="42">
    <w:name w:val="表格内容"/>
    <w:basedOn w:val="20"/>
    <w:next w:val="1"/>
    <w:qFormat/>
    <w:uiPriority w:val="0"/>
    <w:pPr>
      <w:spacing w:line="240" w:lineRule="auto"/>
    </w:pPr>
    <w:rPr>
      <w:sz w:val="21"/>
    </w:rPr>
  </w:style>
  <w:style w:type="paragraph" w:customStyle="1" w:styleId="43">
    <w:name w:val="表格"/>
    <w:basedOn w:val="1"/>
    <w:next w:val="1"/>
    <w:link w:val="44"/>
    <w:qFormat/>
    <w:uiPriority w:val="0"/>
    <w:pPr>
      <w:widowControl w:val="0"/>
      <w:autoSpaceDE w:val="0"/>
      <w:autoSpaceDN w:val="0"/>
      <w:spacing w:line="240" w:lineRule="auto"/>
      <w:ind w:firstLine="0" w:firstLineChars="0"/>
      <w:jc w:val="center"/>
    </w:pPr>
    <w:rPr>
      <w:rFonts w:eastAsia="楷体_GB2312"/>
      <w:sz w:val="21"/>
      <w:szCs w:val="20"/>
    </w:rPr>
  </w:style>
  <w:style w:type="character" w:customStyle="1" w:styleId="44">
    <w:name w:val="表格 Char Char"/>
    <w:link w:val="43"/>
    <w:qFormat/>
    <w:uiPriority w:val="0"/>
    <w:rPr>
      <w:rFonts w:eastAsia="楷体_GB2312"/>
      <w:sz w:val="21"/>
    </w:rPr>
  </w:style>
  <w:style w:type="character" w:customStyle="1" w:styleId="45">
    <w:name w:val="表格内容（） Char"/>
    <w:link w:val="36"/>
    <w:qFormat/>
    <w:uiPriority w:val="0"/>
    <w:rPr>
      <w:color w:val="00B0F0"/>
      <w:kern w:val="2"/>
      <w:sz w:val="21"/>
      <w:szCs w:val="21"/>
    </w:rPr>
  </w:style>
  <w:style w:type="character" w:customStyle="1" w:styleId="46">
    <w:name w:val="标题 3 字符"/>
    <w:link w:val="4"/>
    <w:qFormat/>
    <w:uiPriority w:val="99"/>
    <w:rPr>
      <w:rFonts w:eastAsia="黑体"/>
      <w:bCs/>
      <w:color w:val="5B9BD5"/>
      <w:kern w:val="2"/>
      <w:sz w:val="28"/>
      <w:szCs w:val="32"/>
    </w:rPr>
  </w:style>
  <w:style w:type="paragraph" w:customStyle="1" w:styleId="47">
    <w:name w:val="表格文字"/>
    <w:basedOn w:val="1"/>
    <w:qFormat/>
    <w:uiPriority w:val="0"/>
    <w:pPr>
      <w:adjustRightInd w:val="0"/>
      <w:snapToGrid w:val="0"/>
      <w:spacing w:line="240" w:lineRule="auto"/>
      <w:jc w:val="center"/>
    </w:pPr>
    <w:rPr>
      <w:sz w:val="21"/>
    </w:rPr>
  </w:style>
  <w:style w:type="paragraph" w:customStyle="1" w:styleId="48">
    <w:name w:val="表格内文字"/>
    <w:basedOn w:val="1"/>
    <w:qFormat/>
    <w:uiPriority w:val="0"/>
    <w:pPr>
      <w:tabs>
        <w:tab w:val="left" w:pos="1980"/>
        <w:tab w:val="left" w:pos="3825"/>
        <w:tab w:val="left" w:pos="4680"/>
      </w:tabs>
      <w:jc w:val="center"/>
    </w:pPr>
    <w:rPr>
      <w:color w:val="000000"/>
      <w:szCs w:val="21"/>
    </w:rPr>
  </w:style>
  <w:style w:type="paragraph" w:customStyle="1" w:styleId="49">
    <w:name w:val="表头标题"/>
    <w:qFormat/>
    <w:uiPriority w:val="0"/>
    <w:pPr>
      <w:widowControl w:val="0"/>
      <w:spacing w:line="360" w:lineRule="auto"/>
      <w:jc w:val="center"/>
    </w:pPr>
    <w:rPr>
      <w:rFonts w:ascii="Times New Roman" w:hAnsi="Times New Roman" w:eastAsia="宋体" w:cs="Times New Roman"/>
      <w:b/>
      <w:kern w:val="2"/>
      <w:sz w:val="24"/>
      <w:szCs w:val="21"/>
      <w:lang w:val="en-US" w:eastAsia="zh-CN" w:bidi="ar-SA"/>
    </w:rPr>
  </w:style>
  <w:style w:type="paragraph" w:customStyle="1" w:styleId="50">
    <w:name w:val="样式 正文文本缩进 + 行距: 1.5 倍行距"/>
    <w:basedOn w:val="1"/>
    <w:qFormat/>
    <w:uiPriority w:val="0"/>
    <w:pPr>
      <w:spacing w:after="120"/>
      <w:ind w:left="90" w:leftChars="32" w:firstLine="560"/>
    </w:pPr>
  </w:style>
  <w:style w:type="paragraph" w:customStyle="1" w:styleId="51">
    <w:name w:val="正文1"/>
    <w:basedOn w:val="11"/>
    <w:link w:val="82"/>
    <w:qFormat/>
    <w:uiPriority w:val="0"/>
    <w:pPr>
      <w:widowControl w:val="0"/>
      <w:spacing w:after="0"/>
      <w:ind w:left="0" w:leftChars="0"/>
    </w:pPr>
    <w:rPr>
      <w:szCs w:val="20"/>
    </w:rPr>
  </w:style>
  <w:style w:type="paragraph" w:customStyle="1" w:styleId="52">
    <w:name w:val="Default"/>
    <w:basedOn w:val="53"/>
    <w:next w:val="54"/>
    <w:qFormat/>
    <w:uiPriority w:val="0"/>
    <w:pPr>
      <w:widowControl w:val="0"/>
      <w:autoSpaceDE w:val="0"/>
      <w:autoSpaceDN w:val="0"/>
      <w:spacing w:line="240" w:lineRule="auto"/>
      <w:ind w:firstLine="0" w:firstLineChars="0"/>
    </w:pPr>
    <w:rPr>
      <w:rFonts w:hAnsi="宋体"/>
      <w:color w:val="000000"/>
    </w:rPr>
  </w:style>
  <w:style w:type="paragraph" w:customStyle="1" w:styleId="53">
    <w:name w:val="纯文本1"/>
    <w:basedOn w:val="1"/>
    <w:qFormat/>
    <w:uiPriority w:val="0"/>
    <w:pPr>
      <w:adjustRightInd w:val="0"/>
      <w:textAlignment w:val="baseline"/>
    </w:pPr>
    <w:rPr>
      <w:rFonts w:ascii="宋体" w:hAnsi="Courier New"/>
    </w:rPr>
  </w:style>
  <w:style w:type="paragraph" w:customStyle="1" w:styleId="54">
    <w:name w:val="样式35"/>
    <w:next w:val="1"/>
    <w:qFormat/>
    <w:uiPriority w:val="0"/>
    <w:pPr>
      <w:widowControl w:val="0"/>
      <w:spacing w:line="312" w:lineRule="auto"/>
      <w:ind w:firstLine="567"/>
      <w:jc w:val="both"/>
    </w:pPr>
    <w:rPr>
      <w:rFonts w:ascii="宋体" w:hAnsi="Calibri" w:eastAsia="宋体" w:cs="宋体"/>
      <w:kern w:val="2"/>
      <w:sz w:val="28"/>
      <w:lang w:val="en-US" w:eastAsia="zh-CN" w:bidi="ar-SA"/>
    </w:rPr>
  </w:style>
  <w:style w:type="paragraph" w:customStyle="1" w:styleId="55">
    <w:name w:val="二级标题（）"/>
    <w:basedOn w:val="1"/>
    <w:link w:val="57"/>
    <w:qFormat/>
    <w:uiPriority w:val="0"/>
    <w:pPr>
      <w:widowControl w:val="0"/>
      <w:ind w:firstLine="0" w:firstLineChars="0"/>
      <w:outlineLvl w:val="1"/>
    </w:pPr>
    <w:rPr>
      <w:rFonts w:eastAsia="黑体"/>
      <w:sz w:val="30"/>
      <w:szCs w:val="30"/>
    </w:rPr>
  </w:style>
  <w:style w:type="paragraph" w:customStyle="1" w:styleId="56">
    <w:name w:val="三级标题（）"/>
    <w:basedOn w:val="1"/>
    <w:link w:val="62"/>
    <w:qFormat/>
    <w:uiPriority w:val="0"/>
    <w:pPr>
      <w:widowControl w:val="0"/>
      <w:tabs>
        <w:tab w:val="left" w:pos="3840"/>
      </w:tabs>
      <w:ind w:firstLine="0" w:firstLineChars="0"/>
      <w:outlineLvl w:val="2"/>
    </w:pPr>
    <w:rPr>
      <w:rFonts w:eastAsia="黑体"/>
      <w:sz w:val="28"/>
      <w:szCs w:val="30"/>
    </w:rPr>
  </w:style>
  <w:style w:type="character" w:customStyle="1" w:styleId="57">
    <w:name w:val="二级标题（） Char"/>
    <w:link w:val="55"/>
    <w:qFormat/>
    <w:uiPriority w:val="0"/>
    <w:rPr>
      <w:rFonts w:eastAsia="黑体"/>
      <w:color w:val="5B9BD5"/>
      <w:kern w:val="2"/>
      <w:sz w:val="30"/>
      <w:szCs w:val="30"/>
    </w:rPr>
  </w:style>
  <w:style w:type="character" w:customStyle="1" w:styleId="58">
    <w:name w:val="表格标题（） Char"/>
    <w:link w:val="37"/>
    <w:qFormat/>
    <w:uiPriority w:val="0"/>
    <w:rPr>
      <w:rFonts w:eastAsia="黑体"/>
      <w:color w:val="000000"/>
      <w:kern w:val="2"/>
      <w:sz w:val="24"/>
      <w:szCs w:val="24"/>
      <w:lang w:val="zh-CN" w:bidi="he-IL"/>
    </w:rPr>
  </w:style>
  <w:style w:type="paragraph" w:customStyle="1" w:styleId="59">
    <w:name w:val="一级标题（）"/>
    <w:basedOn w:val="1"/>
    <w:link w:val="60"/>
    <w:qFormat/>
    <w:uiPriority w:val="0"/>
    <w:pPr>
      <w:widowControl w:val="0"/>
      <w:ind w:firstLine="0" w:firstLineChars="0"/>
      <w:jc w:val="center"/>
      <w:outlineLvl w:val="0"/>
    </w:pPr>
    <w:rPr>
      <w:rFonts w:eastAsia="黑体"/>
      <w:bCs/>
      <w:sz w:val="32"/>
      <w:szCs w:val="28"/>
    </w:rPr>
  </w:style>
  <w:style w:type="character" w:customStyle="1" w:styleId="60">
    <w:name w:val="一级标题（） Char"/>
    <w:link w:val="59"/>
    <w:qFormat/>
    <w:uiPriority w:val="0"/>
    <w:rPr>
      <w:rFonts w:eastAsia="黑体"/>
      <w:bCs/>
      <w:color w:val="5B9BD5"/>
      <w:kern w:val="2"/>
      <w:sz w:val="32"/>
      <w:szCs w:val="28"/>
    </w:rPr>
  </w:style>
  <w:style w:type="paragraph" w:customStyle="1" w:styleId="61">
    <w:name w:val="四级标题（）"/>
    <w:basedOn w:val="1"/>
    <w:link w:val="77"/>
    <w:qFormat/>
    <w:uiPriority w:val="0"/>
    <w:pPr>
      <w:keepNext/>
      <w:widowControl w:val="0"/>
      <w:suppressAutoHyphens/>
      <w:ind w:firstLine="0" w:firstLineChars="0"/>
      <w:textAlignment w:val="baseline"/>
      <w:outlineLvl w:val="3"/>
    </w:pPr>
    <w:rPr>
      <w:rFonts w:ascii="Calibri" w:hAnsi="Calibri" w:eastAsia="黑体"/>
      <w:bCs/>
      <w:kern w:val="28"/>
      <w:lang w:bidi="he-IL"/>
    </w:rPr>
  </w:style>
  <w:style w:type="character" w:customStyle="1" w:styleId="62">
    <w:name w:val="三级标题（） Char"/>
    <w:link w:val="56"/>
    <w:qFormat/>
    <w:uiPriority w:val="0"/>
    <w:rPr>
      <w:rFonts w:eastAsia="黑体"/>
      <w:color w:val="5B9BD5"/>
      <w:kern w:val="2"/>
      <w:sz w:val="28"/>
      <w:szCs w:val="30"/>
    </w:rPr>
  </w:style>
  <w:style w:type="character" w:customStyle="1" w:styleId="63">
    <w:name w:val="标题 字符"/>
    <w:link w:val="25"/>
    <w:qFormat/>
    <w:uiPriority w:val="0"/>
    <w:rPr>
      <w:rFonts w:ascii="Calibri Light" w:hAnsi="Calibri Light" w:cs="Times New Roman"/>
      <w:b/>
      <w:bCs/>
      <w:color w:val="5B9BD5"/>
      <w:kern w:val="2"/>
      <w:sz w:val="32"/>
      <w:szCs w:val="32"/>
    </w:rPr>
  </w:style>
  <w:style w:type="character" w:customStyle="1" w:styleId="64">
    <w:name w:val="标题 5 字符"/>
    <w:link w:val="6"/>
    <w:qFormat/>
    <w:uiPriority w:val="0"/>
    <w:rPr>
      <w:rFonts w:eastAsia="仿宋_GB2312"/>
      <w:sz w:val="28"/>
    </w:rPr>
  </w:style>
  <w:style w:type="character" w:customStyle="1" w:styleId="65">
    <w:name w:val="批注文字 字符"/>
    <w:link w:val="9"/>
    <w:qFormat/>
    <w:uiPriority w:val="0"/>
    <w:rPr>
      <w:color w:val="5B9BD5"/>
      <w:kern w:val="2"/>
      <w:sz w:val="24"/>
      <w:szCs w:val="24"/>
    </w:rPr>
  </w:style>
  <w:style w:type="character" w:customStyle="1" w:styleId="66">
    <w:name w:val="正文文本 字符"/>
    <w:link w:val="10"/>
    <w:qFormat/>
    <w:uiPriority w:val="99"/>
    <w:rPr>
      <w:rFonts w:eastAsia="仿宋_GB2312"/>
      <w:kern w:val="2"/>
      <w:sz w:val="28"/>
    </w:rPr>
  </w:style>
  <w:style w:type="character" w:customStyle="1" w:styleId="67">
    <w:name w:val="纯文本 字符"/>
    <w:link w:val="15"/>
    <w:qFormat/>
    <w:uiPriority w:val="99"/>
    <w:rPr>
      <w:rFonts w:ascii="宋体" w:hAnsi="Courier New" w:cs="宋体"/>
    </w:rPr>
  </w:style>
  <w:style w:type="character" w:customStyle="1" w:styleId="68">
    <w:name w:val="正文文本缩进 字符"/>
    <w:link w:val="11"/>
    <w:qFormat/>
    <w:uiPriority w:val="99"/>
    <w:rPr>
      <w:color w:val="5B9BD5"/>
      <w:kern w:val="2"/>
      <w:sz w:val="24"/>
      <w:szCs w:val="24"/>
    </w:rPr>
  </w:style>
  <w:style w:type="character" w:customStyle="1" w:styleId="69">
    <w:name w:val="正文文本首行缩进 2 字符"/>
    <w:link w:val="12"/>
    <w:qFormat/>
    <w:uiPriority w:val="99"/>
    <w:rPr>
      <w:rFonts w:ascii="Calibri" w:hAnsi="Calibri" w:cs="宋体"/>
      <w:color w:val="5B9BD5"/>
      <w:kern w:val="2"/>
      <w:sz w:val="21"/>
      <w:szCs w:val="21"/>
    </w:rPr>
  </w:style>
  <w:style w:type="character" w:customStyle="1" w:styleId="70">
    <w:name w:val="正文文本首行缩进 字符"/>
    <w:link w:val="13"/>
    <w:qFormat/>
    <w:uiPriority w:val="0"/>
    <w:rPr>
      <w:rFonts w:ascii="宋体" w:hAnsi="宋体" w:eastAsia="仿宋_GB2312" w:cs="宋体"/>
      <w:kern w:val="2"/>
      <w:sz w:val="24"/>
      <w:szCs w:val="24"/>
    </w:rPr>
  </w:style>
  <w:style w:type="character" w:customStyle="1" w:styleId="71">
    <w:name w:val="批注框文本 字符"/>
    <w:link w:val="16"/>
    <w:semiHidden/>
    <w:qFormat/>
    <w:uiPriority w:val="0"/>
    <w:rPr>
      <w:color w:val="5B9BD5"/>
      <w:kern w:val="2"/>
      <w:sz w:val="18"/>
      <w:szCs w:val="18"/>
    </w:rPr>
  </w:style>
  <w:style w:type="character" w:customStyle="1" w:styleId="72">
    <w:name w:val="页脚 字符"/>
    <w:link w:val="17"/>
    <w:qFormat/>
    <w:uiPriority w:val="99"/>
    <w:rPr>
      <w:color w:val="5B9BD5"/>
      <w:kern w:val="2"/>
      <w:sz w:val="18"/>
      <w:szCs w:val="18"/>
    </w:rPr>
  </w:style>
  <w:style w:type="character" w:customStyle="1" w:styleId="73">
    <w:name w:val="页眉 字符"/>
    <w:link w:val="18"/>
    <w:qFormat/>
    <w:uiPriority w:val="0"/>
    <w:rPr>
      <w:color w:val="5B9BD5"/>
      <w:kern w:val="2"/>
      <w:sz w:val="18"/>
      <w:szCs w:val="18"/>
    </w:rPr>
  </w:style>
  <w:style w:type="character" w:customStyle="1" w:styleId="74">
    <w:name w:val="正文文本 2 字符"/>
    <w:link w:val="23"/>
    <w:qFormat/>
    <w:uiPriority w:val="0"/>
    <w:rPr>
      <w:sz w:val="21"/>
    </w:rPr>
  </w:style>
  <w:style w:type="character" w:customStyle="1" w:styleId="75">
    <w:name w:val="普通(网站) 字符"/>
    <w:link w:val="24"/>
    <w:qFormat/>
    <w:locked/>
    <w:uiPriority w:val="0"/>
    <w:rPr>
      <w:rFonts w:ascii="宋体" w:hAnsi="宋体" w:cs="宋体"/>
      <w:sz w:val="24"/>
      <w:szCs w:val="24"/>
    </w:rPr>
  </w:style>
  <w:style w:type="character" w:customStyle="1" w:styleId="76">
    <w:name w:val="批注主题 字符"/>
    <w:link w:val="26"/>
    <w:semiHidden/>
    <w:qFormat/>
    <w:uiPriority w:val="0"/>
    <w:rPr>
      <w:b/>
      <w:bCs/>
      <w:color w:val="5B9BD5"/>
      <w:kern w:val="2"/>
      <w:sz w:val="24"/>
      <w:szCs w:val="24"/>
    </w:rPr>
  </w:style>
  <w:style w:type="character" w:customStyle="1" w:styleId="77">
    <w:name w:val="四级标题（） Char"/>
    <w:link w:val="61"/>
    <w:qFormat/>
    <w:uiPriority w:val="0"/>
    <w:rPr>
      <w:rFonts w:ascii="Calibri" w:hAnsi="Calibri" w:eastAsia="黑体"/>
      <w:bCs/>
      <w:color w:val="5B9BD5"/>
      <w:kern w:val="28"/>
      <w:sz w:val="24"/>
      <w:szCs w:val="24"/>
      <w:lang w:bidi="he-IL"/>
    </w:rPr>
  </w:style>
  <w:style w:type="character" w:customStyle="1" w:styleId="78">
    <w:name w:val="规范表格目录 Char Char"/>
    <w:link w:val="79"/>
    <w:qFormat/>
    <w:locked/>
    <w:uiPriority w:val="0"/>
    <w:rPr>
      <w:rFonts w:ascii="黑体" w:hAnsi="黑体" w:eastAsia="黑体"/>
      <w:kern w:val="2"/>
      <w:sz w:val="24"/>
      <w:szCs w:val="28"/>
    </w:rPr>
  </w:style>
  <w:style w:type="paragraph" w:customStyle="1" w:styleId="79">
    <w:name w:val="规范表格目录"/>
    <w:basedOn w:val="21"/>
    <w:link w:val="78"/>
    <w:qFormat/>
    <w:uiPriority w:val="0"/>
    <w:pPr>
      <w:widowControl w:val="0"/>
      <w:spacing w:beforeLines="30" w:line="240" w:lineRule="auto"/>
      <w:ind w:left="0" w:leftChars="0" w:firstLine="0" w:firstLineChars="0"/>
      <w:jc w:val="center"/>
    </w:pPr>
    <w:rPr>
      <w:rFonts w:ascii="黑体" w:hAnsi="黑体" w:eastAsia="黑体"/>
      <w:szCs w:val="28"/>
    </w:rPr>
  </w:style>
  <w:style w:type="character" w:customStyle="1" w:styleId="80">
    <w:name w:val="规范表格文 Char"/>
    <w:link w:val="81"/>
    <w:qFormat/>
    <w:locked/>
    <w:uiPriority w:val="0"/>
    <w:rPr>
      <w:kern w:val="2"/>
      <w:sz w:val="21"/>
      <w:szCs w:val="24"/>
    </w:rPr>
  </w:style>
  <w:style w:type="paragraph" w:customStyle="1" w:styleId="81">
    <w:name w:val="规范表格文"/>
    <w:basedOn w:val="10"/>
    <w:link w:val="80"/>
    <w:qFormat/>
    <w:uiPriority w:val="0"/>
    <w:pPr>
      <w:spacing w:before="0" w:after="0"/>
      <w:ind w:firstLine="0"/>
      <w:jc w:val="center"/>
    </w:pPr>
    <w:rPr>
      <w:rFonts w:eastAsia="宋体"/>
      <w:sz w:val="21"/>
      <w:szCs w:val="24"/>
    </w:rPr>
  </w:style>
  <w:style w:type="character" w:customStyle="1" w:styleId="82">
    <w:name w:val="正文1 Char"/>
    <w:link w:val="51"/>
    <w:qFormat/>
    <w:locked/>
    <w:uiPriority w:val="0"/>
    <w:rPr>
      <w:rFonts w:cs="宋体"/>
      <w:kern w:val="2"/>
      <w:sz w:val="24"/>
    </w:rPr>
  </w:style>
  <w:style w:type="character" w:customStyle="1" w:styleId="83">
    <w:name w:val="样式 样式 样式 首行缩进:  2 字符 + 居中 + 行距: 固定值 17 磅 Char Char"/>
    <w:link w:val="84"/>
    <w:qFormat/>
    <w:uiPriority w:val="0"/>
    <w:rPr>
      <w:rFonts w:cs="宋体"/>
      <w:color w:val="000000"/>
      <w:kern w:val="2"/>
      <w:sz w:val="21"/>
    </w:rPr>
  </w:style>
  <w:style w:type="paragraph" w:customStyle="1" w:styleId="84">
    <w:name w:val="样式 样式 样式 首行缩进:  2 字符 + 居中 + 行距: 固定值 17 磅"/>
    <w:basedOn w:val="1"/>
    <w:link w:val="83"/>
    <w:qFormat/>
    <w:uiPriority w:val="0"/>
    <w:pPr>
      <w:widowControl w:val="0"/>
      <w:spacing w:line="340" w:lineRule="exact"/>
      <w:ind w:firstLine="0" w:firstLineChars="0"/>
      <w:jc w:val="center"/>
    </w:pPr>
    <w:rPr>
      <w:color w:val="000000"/>
      <w:sz w:val="21"/>
      <w:szCs w:val="20"/>
    </w:rPr>
  </w:style>
  <w:style w:type="character" w:customStyle="1" w:styleId="85">
    <w:name w:val="规范正文 Char"/>
    <w:link w:val="86"/>
    <w:qFormat/>
    <w:locked/>
    <w:uiPriority w:val="0"/>
    <w:rPr>
      <w:color w:val="000000"/>
      <w:kern w:val="2"/>
      <w:sz w:val="24"/>
      <w:szCs w:val="24"/>
    </w:rPr>
  </w:style>
  <w:style w:type="paragraph" w:customStyle="1" w:styleId="86">
    <w:name w:val="规范正文"/>
    <w:basedOn w:val="1"/>
    <w:next w:val="1"/>
    <w:link w:val="85"/>
    <w:qFormat/>
    <w:uiPriority w:val="0"/>
    <w:pPr>
      <w:widowControl w:val="0"/>
      <w:topLinePunct/>
    </w:pPr>
    <w:rPr>
      <w:color w:val="000000"/>
    </w:rPr>
  </w:style>
  <w:style w:type="character" w:customStyle="1" w:styleId="87">
    <w:name w:val="报告书表格文（林） Char"/>
    <w:link w:val="88"/>
    <w:qFormat/>
    <w:locked/>
    <w:uiPriority w:val="0"/>
    <w:rPr>
      <w:kern w:val="2"/>
      <w:sz w:val="21"/>
      <w:szCs w:val="24"/>
    </w:rPr>
  </w:style>
  <w:style w:type="paragraph" w:customStyle="1" w:styleId="88">
    <w:name w:val="报告书表格文（林）"/>
    <w:basedOn w:val="1"/>
    <w:link w:val="87"/>
    <w:qFormat/>
    <w:uiPriority w:val="0"/>
    <w:pPr>
      <w:widowControl w:val="0"/>
      <w:spacing w:line="280" w:lineRule="exact"/>
      <w:ind w:firstLine="0" w:firstLineChars="0"/>
      <w:jc w:val="center"/>
    </w:pPr>
    <w:rPr>
      <w:sz w:val="21"/>
    </w:rPr>
  </w:style>
  <w:style w:type="character" w:customStyle="1" w:styleId="89">
    <w:name w:val="格式的格式 Char"/>
    <w:link w:val="90"/>
    <w:qFormat/>
    <w:locked/>
    <w:uiPriority w:val="0"/>
    <w:rPr>
      <w:kern w:val="2"/>
      <w:sz w:val="24"/>
      <w:szCs w:val="24"/>
    </w:rPr>
  </w:style>
  <w:style w:type="paragraph" w:customStyle="1" w:styleId="90">
    <w:name w:val="格式的格式"/>
    <w:basedOn w:val="1"/>
    <w:link w:val="89"/>
    <w:qFormat/>
    <w:uiPriority w:val="0"/>
    <w:pPr>
      <w:widowControl w:val="0"/>
    </w:pPr>
  </w:style>
  <w:style w:type="character" w:customStyle="1" w:styleId="91">
    <w:name w:val="zhang正文 Char1"/>
    <w:link w:val="92"/>
    <w:qFormat/>
    <w:uiPriority w:val="0"/>
    <w:rPr>
      <w:rFonts w:ascii="宋体" w:hAnsi="宋体" w:eastAsia="楷体_GB2312" w:cs="Courier New"/>
      <w:kern w:val="2"/>
      <w:sz w:val="28"/>
      <w:szCs w:val="32"/>
      <w:lang w:val="en-US" w:eastAsia="zh-CN" w:bidi="ar-SA"/>
    </w:rPr>
  </w:style>
  <w:style w:type="paragraph" w:customStyle="1" w:styleId="92">
    <w:name w:val="zhang正文"/>
    <w:basedOn w:val="11"/>
    <w:next w:val="1"/>
    <w:link w:val="91"/>
    <w:qFormat/>
    <w:uiPriority w:val="0"/>
    <w:pPr>
      <w:widowControl w:val="0"/>
      <w:autoSpaceDE w:val="0"/>
      <w:autoSpaceDN w:val="0"/>
      <w:spacing w:after="0" w:line="500" w:lineRule="exact"/>
      <w:ind w:left="0" w:leftChars="0" w:firstLine="539" w:firstLineChars="0"/>
      <w:textAlignment w:val="baseline"/>
    </w:pPr>
    <w:rPr>
      <w:rFonts w:eastAsia="楷体_GB2312"/>
      <w:sz w:val="28"/>
      <w:szCs w:val="20"/>
    </w:rPr>
  </w:style>
  <w:style w:type="character" w:customStyle="1" w:styleId="93">
    <w:name w:val="正文文本缩进 Char1"/>
    <w:qFormat/>
    <w:uiPriority w:val="0"/>
    <w:rPr>
      <w:rFonts w:ascii="宋体" w:hAnsi="宋体" w:eastAsia="仿宋_GB2312" w:cs="Courier New"/>
      <w:kern w:val="2"/>
      <w:sz w:val="28"/>
      <w:szCs w:val="32"/>
      <w:lang w:val="en-US" w:eastAsia="zh-CN" w:bidi="ar-SA"/>
    </w:rPr>
  </w:style>
  <w:style w:type="character" w:customStyle="1" w:styleId="94">
    <w:name w:val="font31"/>
    <w:qFormat/>
    <w:uiPriority w:val="0"/>
    <w:rPr>
      <w:rFonts w:hint="default" w:ascii="Times New Roman" w:hAnsi="Times New Roman" w:cs="Times New Roman"/>
      <w:color w:val="000000"/>
      <w:sz w:val="18"/>
      <w:szCs w:val="18"/>
      <w:u w:val="none"/>
      <w:vertAlign w:val="subscript"/>
    </w:rPr>
  </w:style>
  <w:style w:type="character" w:customStyle="1" w:styleId="95">
    <w:name w:val="font11"/>
    <w:qFormat/>
    <w:uiPriority w:val="0"/>
    <w:rPr>
      <w:rFonts w:hint="default" w:ascii="Times New Roman" w:hAnsi="Times New Roman" w:cs="Times New Roman"/>
      <w:color w:val="000000"/>
      <w:sz w:val="18"/>
      <w:szCs w:val="18"/>
      <w:u w:val="none"/>
    </w:rPr>
  </w:style>
  <w:style w:type="character" w:customStyle="1" w:styleId="96">
    <w:name w:val="font21"/>
    <w:qFormat/>
    <w:uiPriority w:val="0"/>
    <w:rPr>
      <w:rFonts w:hint="eastAsia" w:ascii="宋体" w:hAnsi="宋体" w:eastAsia="宋体"/>
      <w:color w:val="000000"/>
      <w:sz w:val="18"/>
      <w:szCs w:val="18"/>
      <w:u w:val="none"/>
    </w:rPr>
  </w:style>
  <w:style w:type="character" w:customStyle="1" w:styleId="97">
    <w:name w:val="表格内正文1 Char"/>
    <w:link w:val="98"/>
    <w:qFormat/>
    <w:uiPriority w:val="0"/>
    <w:rPr>
      <w:rFonts w:cs="Calibri"/>
      <w:kern w:val="2"/>
      <w:sz w:val="21"/>
      <w:szCs w:val="24"/>
    </w:rPr>
  </w:style>
  <w:style w:type="paragraph" w:customStyle="1" w:styleId="98">
    <w:name w:val="表格内正文1"/>
    <w:basedOn w:val="1"/>
    <w:next w:val="1"/>
    <w:link w:val="97"/>
    <w:qFormat/>
    <w:uiPriority w:val="0"/>
    <w:pPr>
      <w:spacing w:line="240" w:lineRule="auto"/>
      <w:ind w:firstLine="0" w:firstLineChars="0"/>
      <w:jc w:val="center"/>
    </w:pPr>
    <w:rPr>
      <w:sz w:val="21"/>
    </w:rPr>
  </w:style>
  <w:style w:type="character" w:customStyle="1" w:styleId="99">
    <w:name w:val="正文格式111 Char"/>
    <w:link w:val="100"/>
    <w:qFormat/>
    <w:locked/>
    <w:uiPriority w:val="0"/>
    <w:rPr>
      <w:bCs/>
      <w:sz w:val="24"/>
      <w:szCs w:val="24"/>
    </w:rPr>
  </w:style>
  <w:style w:type="paragraph" w:customStyle="1" w:styleId="100">
    <w:name w:val="正文格式111"/>
    <w:basedOn w:val="1"/>
    <w:link w:val="99"/>
    <w:qFormat/>
    <w:uiPriority w:val="0"/>
    <w:pPr>
      <w:widowControl w:val="0"/>
      <w:spacing w:line="420" w:lineRule="auto"/>
      <w:ind w:firstLine="480"/>
    </w:pPr>
    <w:rPr>
      <w:bCs/>
    </w:rPr>
  </w:style>
  <w:style w:type="character" w:customStyle="1" w:styleId="101">
    <w:name w:val="15"/>
    <w:qFormat/>
    <w:uiPriority w:val="0"/>
    <w:rPr>
      <w:rFonts w:hint="eastAsia" w:ascii="宋体" w:hAnsi="宋体" w:eastAsia="宋体"/>
      <w:color w:val="4BACC6"/>
      <w:sz w:val="24"/>
      <w:szCs w:val="24"/>
    </w:rPr>
  </w:style>
  <w:style w:type="character" w:customStyle="1" w:styleId="102">
    <w:name w:val="10"/>
    <w:qFormat/>
    <w:uiPriority w:val="0"/>
    <w:rPr>
      <w:rFonts w:hint="default" w:ascii="Times New Roman" w:hAnsi="Times New Roman" w:cs="Times New Roman"/>
    </w:rPr>
  </w:style>
  <w:style w:type="character" w:customStyle="1" w:styleId="103">
    <w:name w:val="16"/>
    <w:qFormat/>
    <w:uiPriority w:val="0"/>
    <w:rPr>
      <w:rFonts w:hint="default" w:ascii="Times New Roman" w:hAnsi="Times New Roman" w:cs="Times New Roman"/>
    </w:rPr>
  </w:style>
  <w:style w:type="character" w:customStyle="1" w:styleId="104">
    <w:name w:val="1表格 Char"/>
    <w:link w:val="105"/>
    <w:qFormat/>
    <w:uiPriority w:val="0"/>
    <w:rPr>
      <w:rFonts w:ascii="宋体" w:hAnsi="宋体" w:cs="宋体"/>
      <w:sz w:val="21"/>
      <w:szCs w:val="21"/>
    </w:rPr>
  </w:style>
  <w:style w:type="paragraph" w:customStyle="1" w:styleId="105">
    <w:name w:val="1表格"/>
    <w:basedOn w:val="1"/>
    <w:link w:val="104"/>
    <w:qFormat/>
    <w:uiPriority w:val="0"/>
    <w:pPr>
      <w:spacing w:line="240" w:lineRule="auto"/>
      <w:ind w:firstLine="0" w:firstLineChars="0"/>
      <w:jc w:val="center"/>
    </w:pPr>
    <w:rPr>
      <w:rFonts w:ascii="宋体" w:hAnsi="宋体"/>
      <w:sz w:val="21"/>
      <w:szCs w:val="21"/>
    </w:rPr>
  </w:style>
  <w:style w:type="character" w:customStyle="1" w:styleId="106">
    <w:name w:val="副标题 Char"/>
    <w:qFormat/>
    <w:uiPriority w:val="0"/>
    <w:rPr>
      <w:rFonts w:ascii="Cambria" w:hAnsi="Cambria" w:eastAsia="宋体" w:cs="Times New Roman"/>
      <w:b/>
      <w:bCs/>
      <w:kern w:val="28"/>
      <w:sz w:val="32"/>
      <w:szCs w:val="32"/>
    </w:rPr>
  </w:style>
  <w:style w:type="character" w:customStyle="1" w:styleId="107">
    <w:name w:val="font01"/>
    <w:qFormat/>
    <w:uiPriority w:val="0"/>
    <w:rPr>
      <w:rFonts w:hint="eastAsia" w:ascii="宋体" w:hAnsi="宋体" w:eastAsia="宋体"/>
      <w:color w:val="000000"/>
      <w:sz w:val="20"/>
      <w:szCs w:val="20"/>
      <w:u w:val="none"/>
    </w:rPr>
  </w:style>
  <w:style w:type="character" w:customStyle="1" w:styleId="108">
    <w:name w:val="font41"/>
    <w:qFormat/>
    <w:uiPriority w:val="0"/>
    <w:rPr>
      <w:rFonts w:hint="default" w:ascii="Times New Roman" w:hAnsi="Times New Roman" w:cs="Times New Roman"/>
      <w:color w:val="000000"/>
      <w:sz w:val="20"/>
      <w:szCs w:val="20"/>
      <w:u w:val="none"/>
      <w:vertAlign w:val="subscript"/>
    </w:rPr>
  </w:style>
  <w:style w:type="character" w:customStyle="1" w:styleId="109">
    <w:name w:val="纯文本 Char1"/>
    <w:qFormat/>
    <w:uiPriority w:val="0"/>
    <w:rPr>
      <w:rFonts w:ascii="宋体" w:hAnsi="Courier New" w:cs="Courier New"/>
      <w:color w:val="5B9BD5"/>
      <w:kern w:val="2"/>
      <w:sz w:val="21"/>
      <w:szCs w:val="21"/>
    </w:rPr>
  </w:style>
  <w:style w:type="character" w:customStyle="1" w:styleId="110">
    <w:name w:val="font51"/>
    <w:qFormat/>
    <w:uiPriority w:val="0"/>
    <w:rPr>
      <w:rFonts w:hint="default" w:ascii="Times New Roman" w:hAnsi="Times New Roman" w:cs="Times New Roman"/>
      <w:color w:val="000000"/>
      <w:sz w:val="21"/>
      <w:szCs w:val="21"/>
      <w:u w:val="none"/>
      <w:vertAlign w:val="subscript"/>
    </w:rPr>
  </w:style>
  <w:style w:type="paragraph" w:customStyle="1" w:styleId="111">
    <w:name w:val="表格的格式"/>
    <w:basedOn w:val="1"/>
    <w:qFormat/>
    <w:uiPriority w:val="0"/>
    <w:pPr>
      <w:widowControl w:val="0"/>
      <w:spacing w:line="240" w:lineRule="auto"/>
      <w:ind w:firstLine="0" w:firstLineChars="0"/>
      <w:jc w:val="center"/>
    </w:pPr>
    <w:rPr>
      <w:sz w:val="21"/>
      <w:szCs w:val="21"/>
    </w:rPr>
  </w:style>
  <w:style w:type="paragraph" w:customStyle="1" w:styleId="112">
    <w:name w:val="1表格头"/>
    <w:basedOn w:val="105"/>
    <w:qFormat/>
    <w:uiPriority w:val="0"/>
    <w:rPr>
      <w:rFonts w:eastAsia="黑体"/>
      <w:sz w:val="24"/>
      <w:szCs w:val="24"/>
    </w:rPr>
  </w:style>
  <w:style w:type="paragraph" w:customStyle="1" w:styleId="113">
    <w:name w:val="5文章"/>
    <w:basedOn w:val="1"/>
    <w:qFormat/>
    <w:uiPriority w:val="0"/>
    <w:pPr>
      <w:spacing w:line="240" w:lineRule="auto"/>
    </w:pPr>
    <w:rPr>
      <w:rFonts w:ascii="Calibri" w:hAnsi="Calibri"/>
    </w:rPr>
  </w:style>
  <w:style w:type="paragraph" w:customStyle="1" w:styleId="114">
    <w:name w:val="font2"/>
    <w:basedOn w:val="1"/>
    <w:qFormat/>
    <w:uiPriority w:val="0"/>
    <w:pPr>
      <w:spacing w:before="100" w:beforeAutospacing="1" w:after="100" w:afterAutospacing="1" w:line="240" w:lineRule="auto"/>
      <w:ind w:firstLine="0" w:firstLineChars="0"/>
    </w:pPr>
    <w:rPr>
      <w:rFonts w:ascii="宋体" w:hAnsi="宋体"/>
      <w:color w:val="FF0000"/>
    </w:rPr>
  </w:style>
  <w:style w:type="paragraph" w:customStyle="1" w:styleId="115">
    <w:name w:val="5文章(治)"/>
    <w:basedOn w:val="1"/>
    <w:qFormat/>
    <w:uiPriority w:val="0"/>
    <w:pPr>
      <w:spacing w:line="240" w:lineRule="auto"/>
      <w:ind w:firstLine="480"/>
    </w:pPr>
    <w:rPr>
      <w:rFonts w:ascii="宋体" w:hAnsi="宋体"/>
    </w:rPr>
  </w:style>
  <w:style w:type="paragraph" w:customStyle="1" w:styleId="116">
    <w:name w:val="【表格文字】"/>
    <w:basedOn w:val="1"/>
    <w:next w:val="1"/>
    <w:qFormat/>
    <w:uiPriority w:val="0"/>
    <w:pPr>
      <w:widowControl w:val="0"/>
      <w:spacing w:line="240" w:lineRule="auto"/>
      <w:ind w:firstLine="0" w:firstLineChars="0"/>
      <w:jc w:val="center"/>
    </w:pPr>
    <w:rPr>
      <w:sz w:val="21"/>
      <w:szCs w:val="21"/>
    </w:rPr>
  </w:style>
  <w:style w:type="paragraph" w:customStyle="1" w:styleId="117">
    <w:name w:val="111正文格式111"/>
    <w:basedOn w:val="1"/>
    <w:qFormat/>
    <w:uiPriority w:val="0"/>
    <w:pPr>
      <w:spacing w:line="240" w:lineRule="auto"/>
    </w:pPr>
    <w:rPr>
      <w:rFonts w:ascii="Calibri" w:hAnsi="Calibri"/>
      <w:bCs/>
    </w:rPr>
  </w:style>
  <w:style w:type="paragraph" w:customStyle="1" w:styleId="118">
    <w:name w:val="111表格的格式"/>
    <w:basedOn w:val="81"/>
    <w:qFormat/>
    <w:uiPriority w:val="0"/>
    <w:pPr>
      <w:widowControl/>
      <w:adjustRightInd w:val="0"/>
      <w:snapToGrid w:val="0"/>
      <w:spacing w:before="100" w:beforeAutospacing="1"/>
    </w:pPr>
    <w:rPr>
      <w:rFonts w:ascii="Calibri" w:hAnsi="Calibri"/>
      <w:szCs w:val="21"/>
    </w:rPr>
  </w:style>
  <w:style w:type="paragraph" w:customStyle="1" w:styleId="119">
    <w:name w:val="font3"/>
    <w:basedOn w:val="1"/>
    <w:qFormat/>
    <w:uiPriority w:val="0"/>
    <w:pPr>
      <w:spacing w:before="100" w:beforeAutospacing="1" w:after="100" w:afterAutospacing="1" w:line="240" w:lineRule="auto"/>
      <w:ind w:firstLine="0" w:firstLineChars="0"/>
    </w:pPr>
    <w:rPr>
      <w:rFonts w:ascii="宋体" w:hAnsi="宋体"/>
      <w:color w:val="000000"/>
    </w:rPr>
  </w:style>
  <w:style w:type="paragraph" w:customStyle="1" w:styleId="120">
    <w:name w:val="正文 ylp"/>
    <w:basedOn w:val="1"/>
    <w:qFormat/>
    <w:uiPriority w:val="0"/>
    <w:pPr>
      <w:widowControl w:val="0"/>
      <w:spacing w:line="432" w:lineRule="auto"/>
      <w:ind w:firstLine="480"/>
    </w:pPr>
    <w:rPr>
      <w:color w:val="0000FF"/>
    </w:rPr>
  </w:style>
  <w:style w:type="paragraph" w:customStyle="1" w:styleId="121">
    <w:name w:val="表格文本"/>
    <w:basedOn w:val="1"/>
    <w:next w:val="1"/>
    <w:qFormat/>
    <w:uiPriority w:val="0"/>
    <w:pPr>
      <w:widowControl w:val="0"/>
      <w:spacing w:line="240" w:lineRule="exact"/>
      <w:ind w:firstLine="0" w:firstLineChars="0"/>
      <w:jc w:val="center"/>
    </w:pPr>
    <w:rPr>
      <w:sz w:val="21"/>
      <w:szCs w:val="21"/>
    </w:rPr>
  </w:style>
  <w:style w:type="paragraph" w:customStyle="1" w:styleId="122">
    <w:name w:val="2标题(治)"/>
    <w:basedOn w:val="3"/>
    <w:qFormat/>
    <w:uiPriority w:val="0"/>
    <w:pPr>
      <w:widowControl w:val="0"/>
      <w:spacing w:before="120" w:after="0" w:line="360" w:lineRule="auto"/>
      <w:ind w:firstLine="0" w:firstLineChars="0"/>
      <w:outlineLvl w:val="0"/>
    </w:pPr>
    <w:rPr>
      <w:rFonts w:ascii="Times New Roman" w:hAnsi="Times New Roman" w:eastAsia="黑体"/>
    </w:rPr>
  </w:style>
  <w:style w:type="paragraph" w:customStyle="1" w:styleId="123">
    <w:name w:val="CM11"/>
    <w:basedOn w:val="1"/>
    <w:next w:val="1"/>
    <w:qFormat/>
    <w:uiPriority w:val="0"/>
    <w:pPr>
      <w:widowControl w:val="0"/>
      <w:autoSpaceDE w:val="0"/>
      <w:autoSpaceDN w:val="0"/>
      <w:spacing w:line="520" w:lineRule="atLeast"/>
      <w:ind w:firstLine="0" w:firstLineChars="0"/>
    </w:pPr>
    <w:rPr>
      <w:rFonts w:ascii="宋体"/>
      <w:szCs w:val="20"/>
    </w:rPr>
  </w:style>
  <w:style w:type="paragraph" w:customStyle="1" w:styleId="124">
    <w:name w:val="et7"/>
    <w:basedOn w:val="1"/>
    <w:qFormat/>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bottom"/>
    </w:pPr>
    <w:rPr>
      <w:rFonts w:ascii="宋体" w:hAnsi="宋体"/>
    </w:rPr>
  </w:style>
  <w:style w:type="paragraph" w:customStyle="1" w:styleId="125">
    <w:name w:val="表头111"/>
    <w:basedOn w:val="1"/>
    <w:qFormat/>
    <w:uiPriority w:val="0"/>
    <w:pPr>
      <w:widowControl w:val="0"/>
      <w:spacing w:line="240" w:lineRule="auto"/>
      <w:ind w:firstLine="0" w:firstLineChars="0"/>
      <w:jc w:val="center"/>
    </w:pPr>
    <w:rPr>
      <w:rFonts w:eastAsia="黑体"/>
      <w:color w:val="0000FF"/>
    </w:rPr>
  </w:style>
  <w:style w:type="paragraph" w:customStyle="1" w:styleId="126">
    <w:name w:val="正文2"/>
    <w:qFormat/>
    <w:uiPriority w:val="0"/>
    <w:pPr>
      <w:jc w:val="both"/>
    </w:pPr>
    <w:rPr>
      <w:rFonts w:ascii="黑体" w:hAnsi="黑体" w:eastAsia="宋体" w:cs="宋体"/>
      <w:kern w:val="2"/>
      <w:sz w:val="21"/>
      <w:szCs w:val="21"/>
      <w:lang w:val="en-US" w:eastAsia="zh-CN" w:bidi="ar-SA"/>
    </w:rPr>
  </w:style>
  <w:style w:type="paragraph" w:customStyle="1" w:styleId="127">
    <w:name w:val="11111表土"/>
    <w:basedOn w:val="1"/>
    <w:qFormat/>
    <w:uiPriority w:val="0"/>
    <w:pPr>
      <w:spacing w:line="240" w:lineRule="auto"/>
      <w:ind w:firstLine="0" w:firstLineChars="0"/>
      <w:jc w:val="center"/>
    </w:pPr>
    <w:rPr>
      <w:rFonts w:ascii="Calibri" w:hAnsi="Calibri" w:eastAsia="黑体"/>
      <w:sz w:val="20"/>
      <w:szCs w:val="20"/>
    </w:rPr>
  </w:style>
  <w:style w:type="paragraph" w:customStyle="1" w:styleId="128">
    <w:name w:val="0正文"/>
    <w:basedOn w:val="1"/>
    <w:link w:val="188"/>
    <w:qFormat/>
    <w:uiPriority w:val="0"/>
    <w:pPr>
      <w:widowControl w:val="0"/>
    </w:pPr>
    <w:rPr>
      <w:color w:val="FF0000"/>
    </w:rPr>
  </w:style>
  <w:style w:type="paragraph" w:customStyle="1" w:styleId="129">
    <w:name w:val="表正文"/>
    <w:basedOn w:val="1"/>
    <w:qFormat/>
    <w:uiPriority w:val="0"/>
    <w:pPr>
      <w:widowControl w:val="0"/>
    </w:pPr>
  </w:style>
  <w:style w:type="paragraph" w:customStyle="1" w:styleId="130">
    <w:name w:val="正文文本1"/>
    <w:basedOn w:val="1"/>
    <w:qFormat/>
    <w:uiPriority w:val="0"/>
    <w:pPr>
      <w:widowControl w:val="0"/>
      <w:shd w:val="clear" w:color="auto" w:fill="FFFFFF"/>
      <w:spacing w:before="360" w:after="100" w:afterAutospacing="1" w:line="533" w:lineRule="exact"/>
      <w:ind w:firstLine="480" w:firstLineChars="0"/>
      <w:jc w:val="distribute"/>
    </w:pPr>
    <w:rPr>
      <w:rFonts w:ascii="宋体" w:hAnsi="宋体"/>
      <w:spacing w:val="4"/>
      <w:sz w:val="22"/>
      <w:szCs w:val="22"/>
    </w:rPr>
  </w:style>
  <w:style w:type="paragraph" w:customStyle="1" w:styleId="131">
    <w:name w:val="111正文的格式"/>
    <w:basedOn w:val="1"/>
    <w:qFormat/>
    <w:uiPriority w:val="0"/>
    <w:pPr>
      <w:spacing w:line="240" w:lineRule="auto"/>
    </w:pPr>
    <w:rPr>
      <w:rFonts w:ascii="宋体" w:hAnsi="宋体"/>
      <w:bCs/>
    </w:rPr>
  </w:style>
  <w:style w:type="paragraph" w:customStyle="1" w:styleId="132">
    <w:name w:val="Table Paragraph"/>
    <w:basedOn w:val="1"/>
    <w:qFormat/>
    <w:uiPriority w:val="0"/>
    <w:pPr>
      <w:widowControl w:val="0"/>
      <w:autoSpaceDE w:val="0"/>
      <w:autoSpaceDN w:val="0"/>
      <w:spacing w:line="240" w:lineRule="auto"/>
      <w:ind w:firstLine="0" w:firstLineChars="0"/>
      <w:jc w:val="center"/>
    </w:pPr>
    <w:rPr>
      <w:sz w:val="22"/>
      <w:szCs w:val="22"/>
    </w:rPr>
  </w:style>
  <w:style w:type="paragraph" w:customStyle="1" w:styleId="133">
    <w:name w:val="表内容"/>
    <w:qFormat/>
    <w:uiPriority w:val="0"/>
    <w:pPr>
      <w:widowControl w:val="0"/>
      <w:ind w:left="-30" w:leftChars="-30" w:right="-30" w:rightChars="-30"/>
      <w:jc w:val="center"/>
    </w:pPr>
    <w:rPr>
      <w:rFonts w:ascii="Times New Roman" w:hAnsi="Times New Roman" w:eastAsia="宋体" w:cs="Times New Roman"/>
      <w:kern w:val="2"/>
      <w:sz w:val="21"/>
      <w:szCs w:val="21"/>
      <w:lang w:val="en-US" w:eastAsia="zh-CN" w:bidi="ar-SA"/>
    </w:rPr>
  </w:style>
  <w:style w:type="paragraph" w:customStyle="1" w:styleId="134">
    <w:name w:val="文本样式"/>
    <w:basedOn w:val="1"/>
    <w:qFormat/>
    <w:uiPriority w:val="0"/>
    <w:pPr>
      <w:widowControl w:val="0"/>
    </w:pPr>
  </w:style>
  <w:style w:type="paragraph" w:customStyle="1" w:styleId="135">
    <w:name w:val="正文(首行缩进)"/>
    <w:basedOn w:val="1"/>
    <w:qFormat/>
    <w:uiPriority w:val="0"/>
    <w:pPr>
      <w:spacing w:line="240" w:lineRule="auto"/>
      <w:ind w:firstLine="480"/>
    </w:pPr>
    <w:rPr>
      <w:rFonts w:ascii="Calibri" w:hAnsi="Calibri"/>
    </w:rPr>
  </w:style>
  <w:style w:type="paragraph" w:customStyle="1" w:styleId="136">
    <w:name w:val="font0"/>
    <w:basedOn w:val="1"/>
    <w:qFormat/>
    <w:uiPriority w:val="0"/>
    <w:pPr>
      <w:spacing w:before="100" w:beforeAutospacing="1" w:after="100" w:afterAutospacing="1" w:line="240" w:lineRule="auto"/>
      <w:ind w:firstLine="0" w:firstLineChars="0"/>
    </w:pPr>
    <w:rPr>
      <w:rFonts w:ascii="宋体" w:hAnsi="宋体"/>
      <w:color w:val="000000"/>
    </w:rPr>
  </w:style>
  <w:style w:type="paragraph" w:customStyle="1" w:styleId="137">
    <w:name w:val="A报告宋体小四"/>
    <w:basedOn w:val="1"/>
    <w:qFormat/>
    <w:uiPriority w:val="0"/>
    <w:pPr>
      <w:widowControl w:val="0"/>
    </w:pPr>
    <w:rPr>
      <w:color w:val="000000"/>
    </w:rPr>
  </w:style>
  <w:style w:type="paragraph" w:customStyle="1" w:styleId="138">
    <w:name w:val="et3"/>
    <w:basedOn w:val="1"/>
    <w:qFormat/>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pPr>
    <w:rPr>
      <w:rFonts w:ascii="宋体" w:hAnsi="宋体"/>
    </w:rPr>
  </w:style>
  <w:style w:type="paragraph" w:customStyle="1" w:styleId="139">
    <w:name w:val="et6"/>
    <w:basedOn w:val="1"/>
    <w:qFormat/>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bottom"/>
    </w:pPr>
    <w:rPr>
      <w:rFonts w:ascii="宋体" w:hAnsi="宋体"/>
      <w:color w:val="FF0000"/>
    </w:rPr>
  </w:style>
  <w:style w:type="paragraph" w:customStyle="1" w:styleId="140">
    <w:name w:val="表格固定文字"/>
    <w:basedOn w:val="1"/>
    <w:qFormat/>
    <w:uiPriority w:val="0"/>
    <w:pPr>
      <w:widowControl w:val="0"/>
      <w:spacing w:line="240" w:lineRule="auto"/>
      <w:ind w:firstLine="0" w:firstLineChars="0"/>
    </w:pPr>
    <w:rPr>
      <w:sz w:val="21"/>
    </w:rPr>
  </w:style>
  <w:style w:type="paragraph" w:customStyle="1" w:styleId="141">
    <w:name w:val="111表格"/>
    <w:basedOn w:val="1"/>
    <w:qFormat/>
    <w:uiPriority w:val="0"/>
    <w:pPr>
      <w:spacing w:line="240" w:lineRule="auto"/>
      <w:ind w:firstLine="0" w:firstLineChars="0"/>
      <w:jc w:val="center"/>
    </w:pPr>
    <w:rPr>
      <w:color w:val="FF0000"/>
      <w:sz w:val="21"/>
      <w:szCs w:val="21"/>
    </w:rPr>
  </w:style>
  <w:style w:type="paragraph" w:customStyle="1" w:styleId="142">
    <w:name w:val="font1"/>
    <w:basedOn w:val="1"/>
    <w:qFormat/>
    <w:uiPriority w:val="0"/>
    <w:pPr>
      <w:spacing w:before="100" w:beforeAutospacing="1" w:after="100" w:afterAutospacing="1" w:line="240" w:lineRule="auto"/>
      <w:ind w:firstLine="0" w:firstLineChars="0"/>
    </w:pPr>
    <w:rPr>
      <w:rFonts w:ascii="Arial" w:hAnsi="Arial" w:cs="Arial"/>
      <w:color w:val="000000"/>
      <w:sz w:val="20"/>
      <w:szCs w:val="20"/>
    </w:rPr>
  </w:style>
  <w:style w:type="paragraph" w:customStyle="1" w:styleId="143">
    <w:name w:val="et4"/>
    <w:basedOn w:val="1"/>
    <w:qFormat/>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bottom"/>
    </w:pPr>
    <w:rPr>
      <w:rFonts w:ascii="Arial" w:hAnsi="Arial" w:cs="Arial"/>
      <w:color w:val="000000"/>
      <w:sz w:val="20"/>
      <w:szCs w:val="20"/>
    </w:rPr>
  </w:style>
  <w:style w:type="paragraph" w:customStyle="1" w:styleId="144">
    <w:name w:val="et5"/>
    <w:basedOn w:val="1"/>
    <w:qFormat/>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bottom"/>
    </w:pPr>
    <w:rPr>
      <w:rFonts w:ascii="宋体" w:hAnsi="宋体"/>
      <w:color w:val="000000"/>
    </w:rPr>
  </w:style>
  <w:style w:type="paragraph" w:customStyle="1" w:styleId="145">
    <w:name w:val="正文-yss"/>
    <w:basedOn w:val="1"/>
    <w:qFormat/>
    <w:uiPriority w:val="0"/>
    <w:pPr>
      <w:widowControl w:val="0"/>
      <w:wordWrap w:val="0"/>
      <w:autoSpaceDE w:val="0"/>
      <w:autoSpaceDN w:val="0"/>
      <w:ind w:firstLine="720"/>
    </w:pPr>
  </w:style>
  <w:style w:type="paragraph" w:customStyle="1" w:styleId="146">
    <w:name w:val="表格标题"/>
    <w:basedOn w:val="1"/>
    <w:qFormat/>
    <w:uiPriority w:val="0"/>
    <w:pPr>
      <w:widowControl w:val="0"/>
      <w:spacing w:beforeLines="20" w:afterLines="20" w:line="240" w:lineRule="auto"/>
      <w:ind w:firstLine="0" w:firstLineChars="0"/>
      <w:jc w:val="center"/>
    </w:pPr>
    <w:rPr>
      <w:b/>
    </w:rPr>
  </w:style>
  <w:style w:type="paragraph" w:customStyle="1" w:styleId="147">
    <w:name w:val="7表格（治）"/>
    <w:basedOn w:val="1"/>
    <w:qFormat/>
    <w:uiPriority w:val="0"/>
    <w:pPr>
      <w:widowControl w:val="0"/>
      <w:spacing w:line="240" w:lineRule="auto"/>
      <w:ind w:firstLine="0" w:firstLineChars="0"/>
      <w:jc w:val="center"/>
    </w:pPr>
    <w:rPr>
      <w:color w:val="000000"/>
      <w:sz w:val="21"/>
      <w:szCs w:val="21"/>
    </w:rPr>
  </w:style>
  <w:style w:type="paragraph" w:customStyle="1" w:styleId="148">
    <w:name w:val="Char Char Char Char Char Char Char Char Char1 Char"/>
    <w:basedOn w:val="1"/>
    <w:semiHidden/>
    <w:qFormat/>
    <w:uiPriority w:val="0"/>
    <w:pPr>
      <w:widowControl w:val="0"/>
      <w:spacing w:line="240" w:lineRule="auto"/>
      <w:ind w:firstLine="0" w:firstLineChars="0"/>
    </w:pPr>
    <w:rPr>
      <w:rFonts w:ascii="宋体" w:hAnsi="宋体" w:cs="Courier New"/>
      <w:sz w:val="32"/>
      <w:szCs w:val="32"/>
    </w:rPr>
  </w:style>
  <w:style w:type="paragraph" w:customStyle="1" w:styleId="149">
    <w:name w:val="6表格"/>
    <w:basedOn w:val="1"/>
    <w:qFormat/>
    <w:uiPriority w:val="0"/>
    <w:pPr>
      <w:widowControl w:val="0"/>
      <w:spacing w:line="240" w:lineRule="auto"/>
      <w:ind w:firstLine="0" w:firstLineChars="0"/>
      <w:jc w:val="center"/>
    </w:pPr>
    <w:rPr>
      <w:sz w:val="21"/>
      <w:szCs w:val="21"/>
    </w:rPr>
  </w:style>
  <w:style w:type="paragraph" w:customStyle="1" w:styleId="150">
    <w:name w:val="5段落"/>
    <w:basedOn w:val="1"/>
    <w:qFormat/>
    <w:uiPriority w:val="0"/>
    <w:pPr>
      <w:widowControl w:val="0"/>
      <w:spacing w:line="240" w:lineRule="auto"/>
      <w:ind w:firstLine="0" w:firstLineChars="0"/>
    </w:pPr>
    <w:rPr>
      <w:sz w:val="21"/>
      <w:szCs w:val="21"/>
    </w:rPr>
  </w:style>
  <w:style w:type="paragraph" w:customStyle="1" w:styleId="151">
    <w:name w:val="表格名称"/>
    <w:basedOn w:val="1"/>
    <w:qFormat/>
    <w:uiPriority w:val="0"/>
    <w:pPr>
      <w:widowControl w:val="0"/>
      <w:ind w:firstLine="0" w:firstLineChars="0"/>
      <w:jc w:val="center"/>
    </w:pPr>
    <w:rPr>
      <w:rFonts w:ascii="Calibri" w:hAnsi="Calibri"/>
      <w:b/>
      <w:sz w:val="21"/>
      <w:szCs w:val="21"/>
    </w:rPr>
  </w:style>
  <w:style w:type="paragraph" w:customStyle="1" w:styleId="152">
    <w:name w:val="正文ylp"/>
    <w:basedOn w:val="1"/>
    <w:qFormat/>
    <w:uiPriority w:val="0"/>
  </w:style>
  <w:style w:type="paragraph" w:customStyle="1" w:styleId="153">
    <w:name w:val="正文 New New New New New New New"/>
    <w:basedOn w:val="1"/>
    <w:qFormat/>
    <w:uiPriority w:val="0"/>
    <w:pPr>
      <w:widowControl w:val="0"/>
      <w:spacing w:line="240" w:lineRule="auto"/>
      <w:ind w:firstLine="0" w:firstLineChars="0"/>
    </w:pPr>
    <w:rPr>
      <w:sz w:val="21"/>
      <w:szCs w:val="21"/>
    </w:rPr>
  </w:style>
  <w:style w:type="character" w:customStyle="1" w:styleId="154">
    <w:name w:val="正文文本 + 间距 -1 pt"/>
    <w:qFormat/>
    <w:uiPriority w:val="0"/>
    <w:rPr>
      <w:rFonts w:ascii="宋体" w:hAnsi="宋体" w:eastAsia="宋体" w:cs="宋体"/>
      <w:color w:val="000000"/>
      <w:spacing w:val="-20"/>
      <w:w w:val="100"/>
      <w:position w:val="0"/>
      <w:sz w:val="20"/>
      <w:szCs w:val="20"/>
      <w:u w:val="none"/>
      <w:lang w:val="en-US"/>
    </w:rPr>
  </w:style>
  <w:style w:type="character" w:customStyle="1" w:styleId="155">
    <w:name w:val="正文文本 + 间距 1 pt"/>
    <w:qFormat/>
    <w:uiPriority w:val="0"/>
    <w:rPr>
      <w:rFonts w:ascii="宋体" w:hAnsi="宋体" w:eastAsia="宋体" w:cs="宋体"/>
      <w:color w:val="000000"/>
      <w:spacing w:val="30"/>
      <w:w w:val="100"/>
      <w:position w:val="0"/>
      <w:sz w:val="20"/>
      <w:szCs w:val="20"/>
      <w:u w:val="none"/>
      <w:lang w:val="zh-TW"/>
    </w:rPr>
  </w:style>
  <w:style w:type="character" w:customStyle="1" w:styleId="156">
    <w:name w:val="doc_title"/>
    <w:qFormat/>
    <w:uiPriority w:val="0"/>
  </w:style>
  <w:style w:type="paragraph" w:customStyle="1" w:styleId="157">
    <w:name w:val="b-free-read-leaf"/>
    <w:basedOn w:val="1"/>
    <w:qFormat/>
    <w:uiPriority w:val="0"/>
    <w:pPr>
      <w:spacing w:before="100" w:beforeAutospacing="1" w:after="100" w:afterAutospacing="1" w:line="240" w:lineRule="auto"/>
      <w:ind w:firstLine="0" w:firstLineChars="0"/>
    </w:pPr>
    <w:rPr>
      <w:rFonts w:ascii="宋体" w:hAnsi="宋体"/>
    </w:rPr>
  </w:style>
  <w:style w:type="character" w:customStyle="1" w:styleId="158">
    <w:name w:val="font61"/>
    <w:qFormat/>
    <w:uiPriority w:val="0"/>
    <w:rPr>
      <w:rFonts w:hint="default" w:ascii="Times New Roman" w:hAnsi="Times New Roman" w:cs="Times New Roman"/>
      <w:color w:val="5B9BD5"/>
      <w:sz w:val="21"/>
      <w:szCs w:val="21"/>
      <w:u w:val="none"/>
    </w:rPr>
  </w:style>
  <w:style w:type="character" w:customStyle="1" w:styleId="159">
    <w:name w:val="font71"/>
    <w:qFormat/>
    <w:uiPriority w:val="0"/>
    <w:rPr>
      <w:rFonts w:hint="default" w:ascii="Times New Roman" w:hAnsi="Times New Roman" w:cs="Times New Roman"/>
      <w:color w:val="000000"/>
      <w:sz w:val="21"/>
      <w:szCs w:val="21"/>
      <w:u w:val="none"/>
      <w:vertAlign w:val="superscript"/>
    </w:rPr>
  </w:style>
  <w:style w:type="paragraph" w:customStyle="1" w:styleId="160">
    <w:name w:val="表格字体"/>
    <w:basedOn w:val="1"/>
    <w:qFormat/>
    <w:uiPriority w:val="0"/>
    <w:pPr>
      <w:spacing w:line="240" w:lineRule="auto"/>
      <w:ind w:firstLine="0" w:firstLineChars="0"/>
      <w:jc w:val="center"/>
    </w:pPr>
    <w:rPr>
      <w:sz w:val="21"/>
      <w:szCs w:val="21"/>
    </w:rPr>
  </w:style>
  <w:style w:type="table" w:customStyle="1" w:styleId="161">
    <w:name w:val="Table Normal"/>
    <w:basedOn w:val="27"/>
    <w:qFormat/>
    <w:uiPriority w:val="0"/>
    <w:rPr>
      <w:rFonts w:eastAsia="Times New Roman"/>
    </w:rPr>
    <w:tblPr>
      <w:tblCellMar>
        <w:left w:w="0" w:type="dxa"/>
        <w:right w:w="0" w:type="dxa"/>
      </w:tblCellMar>
    </w:tblPr>
  </w:style>
  <w:style w:type="paragraph" w:customStyle="1" w:styleId="162">
    <w:name w:val="表格5号居中"/>
    <w:basedOn w:val="1"/>
    <w:next w:val="1"/>
    <w:qFormat/>
    <w:uiPriority w:val="0"/>
    <w:pPr>
      <w:widowControl w:val="0"/>
      <w:spacing w:line="240" w:lineRule="auto"/>
      <w:ind w:firstLine="0" w:firstLineChars="0"/>
      <w:jc w:val="center"/>
    </w:pPr>
    <w:rPr>
      <w:iCs/>
      <w:color w:val="000000"/>
      <w:sz w:val="21"/>
      <w:szCs w:val="21"/>
    </w:rPr>
  </w:style>
  <w:style w:type="paragraph" w:customStyle="1" w:styleId="163">
    <w:name w:val="Table Text"/>
    <w:basedOn w:val="1"/>
    <w:semiHidden/>
    <w:qFormat/>
    <w:uiPriority w:val="0"/>
    <w:pPr>
      <w:kinsoku w:val="0"/>
      <w:autoSpaceDE w:val="0"/>
      <w:autoSpaceDN w:val="0"/>
      <w:spacing w:line="240" w:lineRule="auto"/>
      <w:ind w:firstLine="0" w:firstLineChars="0"/>
      <w:textAlignment w:val="baseline"/>
    </w:pPr>
    <w:rPr>
      <w:rFonts w:ascii="宋体" w:hAnsi="宋体"/>
      <w:color w:val="000000"/>
    </w:rPr>
  </w:style>
  <w:style w:type="character" w:customStyle="1" w:styleId="164">
    <w:name w:val="text_oteqz"/>
    <w:qFormat/>
    <w:uiPriority w:val="0"/>
  </w:style>
  <w:style w:type="character" w:customStyle="1" w:styleId="165">
    <w:name w:val="supwrap_iq8ib"/>
    <w:qFormat/>
    <w:uiPriority w:val="0"/>
  </w:style>
  <w:style w:type="paragraph" w:customStyle="1" w:styleId="166">
    <w:name w:val="图表题目"/>
    <w:basedOn w:val="1"/>
    <w:next w:val="43"/>
    <w:qFormat/>
    <w:uiPriority w:val="0"/>
    <w:pPr>
      <w:spacing w:line="240" w:lineRule="auto"/>
      <w:ind w:firstLine="0" w:firstLineChars="0"/>
      <w:jc w:val="center"/>
    </w:pPr>
    <w:rPr>
      <w:rFonts w:cs="Times New Roman"/>
      <w:b/>
      <w:kern w:val="2"/>
    </w:rPr>
  </w:style>
  <w:style w:type="paragraph" w:customStyle="1" w:styleId="167">
    <w:name w:val="标题4"/>
    <w:basedOn w:val="1"/>
    <w:next w:val="1"/>
    <w:qFormat/>
    <w:uiPriority w:val="0"/>
    <w:pPr>
      <w:ind w:firstLine="0" w:firstLineChars="0"/>
      <w:outlineLvl w:val="3"/>
    </w:pPr>
    <w:rPr>
      <w:rFonts w:cs="Times New Roman"/>
      <w:b/>
      <w:kern w:val="2"/>
    </w:rPr>
  </w:style>
  <w:style w:type="paragraph" w:customStyle="1" w:styleId="168">
    <w:name w:val="表格正文"/>
    <w:basedOn w:val="1"/>
    <w:qFormat/>
    <w:uiPriority w:val="0"/>
    <w:pPr>
      <w:ind w:firstLine="420"/>
    </w:pPr>
  </w:style>
  <w:style w:type="paragraph" w:customStyle="1" w:styleId="169">
    <w:name w:val="表头"/>
    <w:basedOn w:val="43"/>
    <w:next w:val="1"/>
    <w:qFormat/>
    <w:uiPriority w:val="0"/>
    <w:pPr>
      <w:adjustRightInd w:val="0"/>
      <w:snapToGrid w:val="0"/>
    </w:pPr>
    <w:rPr>
      <w:b/>
      <w:sz w:val="24"/>
      <w:lang w:bidi="he-IL"/>
    </w:rPr>
  </w:style>
  <w:style w:type="paragraph" w:customStyle="1" w:styleId="170">
    <w:name w:val="a表格"/>
    <w:basedOn w:val="1"/>
    <w:qFormat/>
    <w:uiPriority w:val="0"/>
    <w:pPr>
      <w:snapToGrid w:val="0"/>
      <w:jc w:val="center"/>
    </w:pPr>
  </w:style>
  <w:style w:type="paragraph" w:customStyle="1" w:styleId="171">
    <w:name w:val="正文（小四）"/>
    <w:qFormat/>
    <w:uiPriority w:val="0"/>
    <w:pPr>
      <w:spacing w:line="360" w:lineRule="auto"/>
      <w:ind w:firstLine="200" w:firstLineChars="200"/>
      <w:jc w:val="both"/>
    </w:pPr>
    <w:rPr>
      <w:rFonts w:ascii="Times New Roman" w:hAnsi="Times New Roman" w:eastAsia="宋体" w:cs="Times New Roman"/>
      <w:bCs/>
      <w:color w:val="000000"/>
      <w:kern w:val="2"/>
      <w:sz w:val="24"/>
      <w:szCs w:val="32"/>
      <w:lang w:val="en-US" w:eastAsia="zh-CN" w:bidi="ar-SA"/>
    </w:rPr>
  </w:style>
  <w:style w:type="paragraph" w:customStyle="1" w:styleId="172">
    <w:name w:val="表格的字"/>
    <w:basedOn w:val="173"/>
    <w:next w:val="1"/>
    <w:qFormat/>
    <w:uiPriority w:val="0"/>
    <w:rPr>
      <w:szCs w:val="21"/>
    </w:rPr>
  </w:style>
  <w:style w:type="paragraph" w:customStyle="1" w:styleId="173">
    <w:name w:val="项目基本情况的字"/>
    <w:basedOn w:val="1"/>
    <w:qFormat/>
    <w:uiPriority w:val="0"/>
    <w:pPr>
      <w:jc w:val="center"/>
    </w:pPr>
  </w:style>
  <w:style w:type="character" w:customStyle="1" w:styleId="174">
    <w:name w:val="font81"/>
    <w:qFormat/>
    <w:uiPriority w:val="0"/>
    <w:rPr>
      <w:rFonts w:hint="eastAsia" w:ascii="MS Gothic" w:hAnsi="MS Gothic" w:eastAsia="MS Gothic" w:cs="MS Gothic"/>
      <w:color w:val="FF0000"/>
      <w:sz w:val="24"/>
      <w:szCs w:val="24"/>
      <w:u w:val="none"/>
    </w:rPr>
  </w:style>
  <w:style w:type="character" w:customStyle="1" w:styleId="175">
    <w:name w:val="font91"/>
    <w:qFormat/>
    <w:uiPriority w:val="0"/>
    <w:rPr>
      <w:rFonts w:hint="default" w:ascii="Times New Roman" w:hAnsi="Times New Roman" w:cs="Times New Roman"/>
      <w:color w:val="FF0000"/>
      <w:sz w:val="24"/>
      <w:szCs w:val="24"/>
      <w:u w:val="none"/>
    </w:rPr>
  </w:style>
  <w:style w:type="paragraph" w:customStyle="1" w:styleId="176">
    <w:name w:val="888表格内容"/>
    <w:basedOn w:val="1"/>
    <w:qFormat/>
    <w:uiPriority w:val="0"/>
    <w:pPr>
      <w:spacing w:line="240" w:lineRule="auto"/>
      <w:ind w:firstLine="0" w:firstLineChars="0"/>
      <w:jc w:val="center"/>
    </w:pPr>
    <w:rPr>
      <w:sz w:val="21"/>
    </w:rPr>
  </w:style>
  <w:style w:type="paragraph" w:customStyle="1" w:styleId="177">
    <w:name w:val="样式 正文文本缩进 + 宋体 小四 居中 行距: 固定值 23 磅1"/>
    <w:basedOn w:val="1"/>
    <w:qFormat/>
    <w:uiPriority w:val="0"/>
    <w:pPr>
      <w:spacing w:line="460" w:lineRule="exact"/>
      <w:ind w:left="-181" w:leftChars="-86"/>
    </w:pPr>
    <w:rPr>
      <w:rFonts w:ascii="宋体" w:hAnsi="宋体"/>
      <w:color w:val="000000"/>
    </w:rPr>
  </w:style>
  <w:style w:type="paragraph" w:customStyle="1" w:styleId="178">
    <w:name w:val="正文233"/>
    <w:basedOn w:val="1"/>
    <w:qFormat/>
    <w:uiPriority w:val="0"/>
    <w:pPr>
      <w:ind w:firstLine="560"/>
    </w:pPr>
    <w:rPr>
      <w:szCs w:val="21"/>
    </w:rPr>
  </w:style>
  <w:style w:type="paragraph" w:customStyle="1" w:styleId="179">
    <w:name w:val="4表格标题"/>
    <w:basedOn w:val="180"/>
    <w:qFormat/>
    <w:uiPriority w:val="0"/>
    <w:pPr>
      <w:widowControl w:val="0"/>
      <w:numPr>
        <w:ilvl w:val="3"/>
        <w:numId w:val="1"/>
      </w:numPr>
      <w:ind w:left="0"/>
      <w:jc w:val="center"/>
    </w:pPr>
    <w:rPr>
      <w:rFonts w:cs="Times New Roman"/>
      <w:b/>
      <w:sz w:val="21"/>
    </w:rPr>
  </w:style>
  <w:style w:type="paragraph" w:customStyle="1" w:styleId="180">
    <w:name w:val="段落"/>
    <w:basedOn w:val="1"/>
    <w:qFormat/>
    <w:uiPriority w:val="0"/>
    <w:pPr>
      <w:adjustRightInd w:val="0"/>
      <w:snapToGrid w:val="0"/>
      <w:ind w:firstLine="420"/>
    </w:pPr>
    <w:rPr>
      <w:rFonts w:ascii="gbsnu54" w:hAnsi="gbsnu54" w:cs="gbsnu54"/>
      <w:bCs/>
      <w:color w:val="000000"/>
      <w:szCs w:val="16"/>
    </w:rPr>
  </w:style>
  <w:style w:type="paragraph" w:customStyle="1" w:styleId="181">
    <w:name w:val="表格表头"/>
    <w:qFormat/>
    <w:uiPriority w:val="0"/>
    <w:pPr>
      <w:widowControl w:val="0"/>
      <w:autoSpaceDE w:val="0"/>
      <w:autoSpaceDN w:val="0"/>
      <w:adjustRightInd w:val="0"/>
      <w:snapToGrid w:val="0"/>
      <w:spacing w:beforeLines="50"/>
      <w:jc w:val="center"/>
      <w:textAlignment w:val="baseline"/>
    </w:pPr>
    <w:rPr>
      <w:rFonts w:ascii="Times New Roman" w:hAnsi="Times New Roman" w:eastAsia="黑体" w:cs="Times New Roman"/>
      <w:sz w:val="28"/>
      <w:lang w:val="en-US" w:eastAsia="zh-CN" w:bidi="ar-SA"/>
    </w:rPr>
  </w:style>
  <w:style w:type="paragraph" w:customStyle="1" w:styleId="182">
    <w:name w:val="环评 表格"/>
    <w:qFormat/>
    <w:uiPriority w:val="0"/>
    <w:pPr>
      <w:widowControl w:val="0"/>
      <w:pBdr>
        <w:top w:val="none" w:color="auto" w:sz="0" w:space="1"/>
        <w:left w:val="dashed" w:color="FFFFFF" w:sz="4" w:space="4"/>
        <w:bottom w:val="none" w:color="auto" w:sz="0" w:space="1"/>
        <w:right w:val="dashed" w:color="FFFFFF" w:sz="4" w:space="4"/>
      </w:pBdr>
      <w:jc w:val="center"/>
    </w:pPr>
    <w:rPr>
      <w:rFonts w:ascii="Calibri" w:hAnsi="Calibri" w:eastAsia="宋体" w:cs="Calibri"/>
      <w:kern w:val="2"/>
      <w:sz w:val="21"/>
      <w:szCs w:val="21"/>
      <w:lang w:val="en-US" w:eastAsia="en-US" w:bidi="ar-SA"/>
    </w:rPr>
  </w:style>
  <w:style w:type="paragraph" w:customStyle="1" w:styleId="183">
    <w:name w:val="常用"/>
    <w:basedOn w:val="1"/>
    <w:qFormat/>
    <w:uiPriority w:val="0"/>
    <w:rPr>
      <w:rFonts w:ascii="宋体" w:hAnsi="宋体"/>
      <w:szCs w:val="28"/>
    </w:rPr>
  </w:style>
  <w:style w:type="paragraph" w:customStyle="1" w:styleId="184">
    <w:name w:val="正文（无网格）"/>
    <w:basedOn w:val="1"/>
    <w:qFormat/>
    <w:uiPriority w:val="0"/>
    <w:pPr>
      <w:adjustRightInd w:val="0"/>
      <w:snapToGrid w:val="0"/>
      <w:ind w:firstLine="480"/>
    </w:pPr>
    <w:rPr>
      <w:szCs w:val="20"/>
    </w:rPr>
  </w:style>
  <w:style w:type="paragraph" w:customStyle="1" w:styleId="185">
    <w:name w:val="样式 宋体 两端对齐 首行缩进:  2 字符"/>
    <w:basedOn w:val="1"/>
    <w:qFormat/>
    <w:uiPriority w:val="0"/>
    <w:pPr>
      <w:ind w:firstLine="480"/>
    </w:pPr>
    <w:rPr>
      <w:rFonts w:ascii="宋体" w:hAnsi="宋体"/>
      <w:szCs w:val="20"/>
    </w:rPr>
  </w:style>
  <w:style w:type="paragraph" w:customStyle="1" w:styleId="186">
    <w:name w:val="0表格正文"/>
    <w:basedOn w:val="1"/>
    <w:qFormat/>
    <w:uiPriority w:val="0"/>
    <w:pPr>
      <w:adjustRightInd w:val="0"/>
      <w:snapToGrid w:val="0"/>
      <w:spacing w:line="240" w:lineRule="auto"/>
      <w:ind w:firstLine="0" w:firstLineChars="0"/>
      <w:jc w:val="center"/>
    </w:pPr>
    <w:rPr>
      <w:sz w:val="21"/>
      <w:lang w:bidi="en-US"/>
    </w:rPr>
  </w:style>
  <w:style w:type="paragraph" w:customStyle="1" w:styleId="187">
    <w:name w:val="报告书正文（林）"/>
    <w:basedOn w:val="1"/>
    <w:qFormat/>
    <w:uiPriority w:val="0"/>
    <w:pPr>
      <w:topLinePunct/>
      <w:textAlignment w:val="baseline"/>
    </w:pPr>
    <w:rPr>
      <w:color w:val="000000"/>
    </w:rPr>
  </w:style>
  <w:style w:type="character" w:customStyle="1" w:styleId="188">
    <w:name w:val="0正文 Char Char"/>
    <w:link w:val="128"/>
    <w:qFormat/>
    <w:uiPriority w:val="0"/>
    <w:rPr>
      <w:color w:val="FF0000"/>
    </w:rPr>
  </w:style>
  <w:style w:type="character" w:customStyle="1" w:styleId="189">
    <w:name w:val="样式 zhang正文 + 宋体 小四 Char"/>
    <w:link w:val="190"/>
    <w:qFormat/>
    <w:uiPriority w:val="0"/>
    <w:rPr>
      <w:rFonts w:ascii="宋体" w:hAnsi="宋体" w:eastAsia="宋体" w:cs="Courier New"/>
      <w:kern w:val="2"/>
      <w:sz w:val="24"/>
      <w:szCs w:val="32"/>
      <w:lang w:val="en-US" w:eastAsia="zh-CN" w:bidi="ar-SA"/>
    </w:rPr>
  </w:style>
  <w:style w:type="paragraph" w:customStyle="1" w:styleId="190">
    <w:name w:val="样式 zhang正文 + 宋体 小四"/>
    <w:basedOn w:val="92"/>
    <w:link w:val="189"/>
    <w:qFormat/>
    <w:uiPriority w:val="0"/>
    <w:rPr>
      <w:rFonts w:ascii="宋体" w:hAnsi="宋体" w:eastAsia="宋体"/>
      <w:sz w:val="24"/>
    </w:rPr>
  </w:style>
  <w:style w:type="paragraph" w:customStyle="1" w:styleId="191">
    <w:name w:val="Char Char Char Char Char Char Char Char Char1 Char1"/>
    <w:basedOn w:val="1"/>
    <w:semiHidden/>
    <w:qFormat/>
    <w:uiPriority w:val="0"/>
    <w:pPr>
      <w:ind w:firstLine="0"/>
    </w:pPr>
    <w:rPr>
      <w:rFonts w:ascii="宋体" w:hAnsi="宋体" w:cs="Courier New"/>
      <w:sz w:val="32"/>
      <w:szCs w:val="32"/>
    </w:rPr>
  </w:style>
  <w:style w:type="paragraph" w:customStyle="1" w:styleId="192">
    <w:name w:val="11正文"/>
    <w:basedOn w:val="193"/>
    <w:qFormat/>
    <w:uiPriority w:val="0"/>
    <w:pPr>
      <w:adjustRightInd w:val="0"/>
      <w:snapToGrid w:val="0"/>
      <w:ind w:firstLine="200"/>
    </w:pPr>
    <w:rPr>
      <w:color w:val="0000FF"/>
    </w:rPr>
  </w:style>
  <w:style w:type="paragraph" w:customStyle="1" w:styleId="193">
    <w:name w:val="正文的格式"/>
    <w:basedOn w:val="1"/>
    <w:qFormat/>
    <w:uiPriority w:val="0"/>
    <w:pPr>
      <w:ind w:firstLine="480"/>
    </w:pPr>
  </w:style>
  <w:style w:type="paragraph" w:customStyle="1" w:styleId="194">
    <w:name w:val="111正文"/>
    <w:basedOn w:val="1"/>
    <w:qFormat/>
    <w:uiPriority w:val="0"/>
    <w:pPr>
      <w:tabs>
        <w:tab w:val="left" w:pos="7276"/>
      </w:tabs>
      <w:adjustRightInd w:val="0"/>
      <w:snapToGrid w:val="0"/>
      <w:ind w:firstLine="480"/>
    </w:pPr>
    <w:rPr>
      <w:color w:val="C00000"/>
      <w:szCs w:val="32"/>
    </w:rPr>
  </w:style>
  <w:style w:type="paragraph" w:customStyle="1" w:styleId="195">
    <w:name w:val="章1正文样式"/>
    <w:basedOn w:val="1"/>
    <w:qFormat/>
    <w:uiPriority w:val="0"/>
    <w:pPr>
      <w:adjustRightInd w:val="0"/>
      <w:snapToGrid w:val="0"/>
      <w:ind w:firstLine="720"/>
    </w:pPr>
    <w:rPr>
      <w:rFonts w:hint="eastAsia" w:cs="Times New Roman"/>
      <w:szCs w:val="21"/>
    </w:rPr>
  </w:style>
  <w:style w:type="paragraph" w:customStyle="1" w:styleId="196">
    <w:name w:val="表格样式"/>
    <w:basedOn w:val="1"/>
    <w:next w:val="1"/>
    <w:qFormat/>
    <w:uiPriority w:val="0"/>
    <w:pPr>
      <w:keepNext/>
      <w:overflowPunct w:val="0"/>
      <w:snapToGrid w:val="0"/>
      <w:spacing w:line="340" w:lineRule="exact"/>
      <w:ind w:firstLine="0"/>
      <w:jc w:val="center"/>
    </w:pPr>
    <w:rPr>
      <w:rFonts w:hint="eastAsia" w:cs="Times New Roman"/>
      <w:bCs/>
      <w:color w:val="000000"/>
      <w:kern w:val="44"/>
      <w:szCs w:val="30"/>
    </w:rPr>
  </w:style>
  <w:style w:type="paragraph" w:customStyle="1" w:styleId="197">
    <w:name w:val="9表格内容"/>
    <w:basedOn w:val="1"/>
    <w:next w:val="1"/>
    <w:qFormat/>
    <w:uiPriority w:val="0"/>
    <w:pPr>
      <w:jc w:val="center"/>
    </w:pPr>
    <w:rPr>
      <w:szCs w:val="28"/>
    </w:rPr>
  </w:style>
  <w:style w:type="paragraph" w:customStyle="1" w:styleId="198">
    <w:name w:val="111表头"/>
    <w:basedOn w:val="199"/>
    <w:qFormat/>
    <w:uiPriority w:val="0"/>
    <w:pPr>
      <w:adjustRightInd/>
      <w:snapToGrid/>
      <w:spacing w:before="0" w:beforeLines="0"/>
    </w:pPr>
    <w:rPr>
      <w:color w:val="auto"/>
    </w:rPr>
  </w:style>
  <w:style w:type="paragraph" w:customStyle="1" w:styleId="199">
    <w:name w:val="表头 ylp"/>
    <w:basedOn w:val="1"/>
    <w:qFormat/>
    <w:uiPriority w:val="0"/>
    <w:pPr>
      <w:adjustRightInd w:val="0"/>
      <w:snapToGrid w:val="0"/>
      <w:spacing w:before="50" w:beforeLines="50" w:line="240" w:lineRule="auto"/>
      <w:ind w:firstLine="0" w:firstLineChars="0"/>
      <w:jc w:val="center"/>
    </w:pPr>
    <w:rPr>
      <w:rFonts w:eastAsia="黑体"/>
      <w:color w:val="0000FF"/>
      <w:lang w:bidi="he-IL"/>
    </w:rPr>
  </w:style>
  <w:style w:type="paragraph" w:customStyle="1" w:styleId="200">
    <w:name w:val="标题333"/>
    <w:basedOn w:val="201"/>
    <w:qFormat/>
    <w:uiPriority w:val="0"/>
    <w:pPr>
      <w:numPr>
        <w:ilvl w:val="0"/>
        <w:numId w:val="0"/>
      </w:numPr>
      <w:tabs>
        <w:tab w:val="left" w:pos="630"/>
      </w:tabs>
      <w:adjustRightInd w:val="0"/>
      <w:snapToGrid w:val="0"/>
      <w:spacing w:before="0" w:beforeLines="0" w:after="0" w:afterLines="0"/>
      <w:outlineLvl w:val="2"/>
    </w:pPr>
    <w:rPr>
      <w:b w:val="0"/>
    </w:rPr>
  </w:style>
  <w:style w:type="paragraph" w:customStyle="1" w:styleId="201">
    <w:name w:val="报告书标题2（林）"/>
    <w:basedOn w:val="3"/>
    <w:next w:val="1"/>
    <w:qFormat/>
    <w:uiPriority w:val="0"/>
    <w:pPr>
      <w:widowControl w:val="0"/>
      <w:numPr>
        <w:ilvl w:val="1"/>
        <w:numId w:val="2"/>
      </w:numPr>
      <w:tabs>
        <w:tab w:val="left" w:pos="630"/>
      </w:tabs>
      <w:spacing w:before="50" w:beforeLines="50" w:after="50" w:afterLines="50" w:line="360" w:lineRule="auto"/>
    </w:pPr>
    <w:rPr>
      <w:rFonts w:eastAsia="黑体"/>
      <w:bCs w:val="0"/>
      <w:kern w:val="2"/>
      <w:sz w:val="28"/>
      <w:szCs w:val="28"/>
    </w:rPr>
  </w:style>
  <w:style w:type="paragraph" w:customStyle="1" w:styleId="202">
    <w:name w:val="111表头1"/>
    <w:basedOn w:val="1"/>
    <w:qFormat/>
    <w:uiPriority w:val="0"/>
    <w:pPr>
      <w:adjustRightInd w:val="0"/>
      <w:snapToGrid w:val="0"/>
      <w:spacing w:line="240" w:lineRule="auto"/>
      <w:ind w:firstLine="0" w:firstLineChars="0"/>
      <w:jc w:val="center"/>
    </w:pPr>
    <w:rPr>
      <w:rFonts w:eastAsia="黑体"/>
      <w:szCs w:val="22"/>
    </w:rPr>
  </w:style>
  <w:style w:type="paragraph" w:customStyle="1" w:styleId="203">
    <w:name w:val="标题444"/>
    <w:basedOn w:val="187"/>
    <w:qFormat/>
    <w:uiPriority w:val="0"/>
    <w:pPr>
      <w:adjustRightInd w:val="0"/>
      <w:snapToGrid w:val="0"/>
      <w:ind w:firstLine="0" w:firstLineChars="0"/>
      <w:outlineLvl w:val="3"/>
    </w:pPr>
    <w:rPr>
      <w:rFonts w:eastAsia="黑体"/>
    </w:rPr>
  </w:style>
  <w:style w:type="paragraph" w:customStyle="1" w:styleId="204">
    <w:name w:val="样式 首行缩进:  2 字符1"/>
    <w:basedOn w:val="1"/>
    <w:qFormat/>
    <w:uiPriority w:val="0"/>
    <w:pPr>
      <w:adjustRightInd w:val="0"/>
      <w:snapToGrid w:val="0"/>
      <w:ind w:firstLine="480"/>
    </w:pPr>
    <w:rPr>
      <w:color w:val="000000"/>
    </w:rPr>
  </w:style>
  <w:style w:type="paragraph" w:customStyle="1" w:styleId="205">
    <w:name w:val="正文-2"/>
    <w:basedOn w:val="1"/>
    <w:qFormat/>
    <w:uiPriority w:val="0"/>
    <w:pPr>
      <w:wordWrap w:val="0"/>
      <w:autoSpaceDE w:val="0"/>
      <w:autoSpaceDN w:val="0"/>
      <w:adjustRightInd w:val="0"/>
      <w:snapToGrid w:val="0"/>
      <w:ind w:firstLine="720"/>
    </w:pPr>
    <w:rPr>
      <w:rFonts w:hint="eastAsia"/>
      <w:szCs w:val="21"/>
    </w:rPr>
  </w:style>
  <w:style w:type="paragraph" w:customStyle="1" w:styleId="206">
    <w:name w:val="表格的字  使用这个版本"/>
    <w:basedOn w:val="1"/>
    <w:qFormat/>
    <w:uiPriority w:val="0"/>
    <w:pPr>
      <w:adjustRightInd w:val="0"/>
      <w:snapToGrid w:val="0"/>
      <w:spacing w:line="240" w:lineRule="auto"/>
      <w:ind w:firstLine="0" w:firstLineChars="0"/>
      <w:jc w:val="center"/>
    </w:pPr>
    <w:rPr>
      <w:sz w:val="21"/>
    </w:rPr>
  </w:style>
  <w:style w:type="paragraph" w:customStyle="1" w:styleId="207">
    <w:name w:val="6表(图)头(治)"/>
    <w:next w:val="1"/>
    <w:qFormat/>
    <w:uiPriority w:val="0"/>
    <w:pPr>
      <w:widowControl w:val="0"/>
      <w:jc w:val="center"/>
    </w:pPr>
    <w:rPr>
      <w:rFonts w:ascii="minorBidi" w:hAnsi="minorBidi" w:eastAsia="等线" w:cs="minorBidi"/>
      <w:b/>
      <w:bCs/>
      <w:color w:val="FF0000"/>
      <w:sz w:val="21"/>
      <w:szCs w:val="21"/>
      <w:lang w:val="en-US" w:eastAsia="zh-CN" w:bidi="ar-SA"/>
    </w:rPr>
  </w:style>
  <w:style w:type="paragraph" w:customStyle="1" w:styleId="208">
    <w:name w:val="金皇-正文"/>
    <w:basedOn w:val="1"/>
    <w:qFormat/>
    <w:uiPriority w:val="0"/>
  </w:style>
  <w:style w:type="paragraph" w:customStyle="1" w:styleId="209">
    <w:name w:val="表表表表"/>
    <w:basedOn w:val="47"/>
    <w:qFormat/>
    <w:uiPriority w:val="0"/>
    <w:pPr>
      <w:adjustRightInd/>
      <w:snapToGrid/>
    </w:pPr>
    <w:rPr>
      <w:sz w:val="20"/>
      <w:szCs w:val="21"/>
    </w:rPr>
  </w:style>
  <w:style w:type="paragraph" w:customStyle="1" w:styleId="210">
    <w:name w:val="正文缩进2字符"/>
    <w:basedOn w:val="1"/>
    <w:qFormat/>
    <w:uiPriority w:val="0"/>
    <w:pPr>
      <w:ind w:firstLine="1300"/>
    </w:pPr>
    <w:rPr>
      <w:rFonts w:hint="eastAsia"/>
    </w:rPr>
  </w:style>
  <w:style w:type="paragraph" w:customStyle="1" w:styleId="211">
    <w:name w:val="填表"/>
    <w:basedOn w:val="1"/>
    <w:qFormat/>
    <w:uiPriority w:val="0"/>
    <w:rPr>
      <w:szCs w:val="21"/>
    </w:rPr>
  </w:style>
  <w:style w:type="paragraph" w:customStyle="1" w:styleId="212">
    <w:name w:val="z表（图）头"/>
    <w:basedOn w:val="1"/>
    <w:qFormat/>
    <w:uiPriority w:val="0"/>
    <w:pPr>
      <w:adjustRightInd w:val="0"/>
      <w:jc w:val="center"/>
      <w:outlineLvl w:val="4"/>
    </w:pPr>
    <w:rPr>
      <w:rFonts w:eastAsia="黑体"/>
      <w:b/>
      <w:color w:val="000000"/>
    </w:rPr>
  </w:style>
  <w:style w:type="paragraph" w:customStyle="1" w:styleId="213">
    <w:name w:val="闽创报告正文"/>
    <w:basedOn w:val="128"/>
    <w:qFormat/>
    <w:uiPriority w:val="0"/>
    <w:pPr>
      <w:tabs>
        <w:tab w:val="left" w:pos="0"/>
      </w:tabs>
    </w:pPr>
    <w:rPr>
      <w:color w:val="000000"/>
    </w:rPr>
  </w:style>
  <w:style w:type="paragraph" w:customStyle="1" w:styleId="214">
    <w:name w:val="Normal"/>
    <w:qFormat/>
    <w:uiPriority w:val="0"/>
    <w:pPr>
      <w:jc w:val="both"/>
    </w:pPr>
    <w:rPr>
      <w:rFonts w:ascii="黑体" w:hAnsi="黑体" w:eastAsia="宋体" w:cs="宋体"/>
      <w:kern w:val="2"/>
      <w:sz w:val="21"/>
      <w:szCs w:val="21"/>
      <w:lang w:val="en-US" w:eastAsia="zh-CN" w:bidi="ar-SA"/>
    </w:rPr>
  </w:style>
  <w:style w:type="character" w:customStyle="1" w:styleId="215">
    <w:name w:val="表格内容 Char1"/>
    <w:qFormat/>
    <w:uiPriority w:val="0"/>
    <w:rPr>
      <w:rFonts w:ascii="宋体" w:hAnsi="宋体" w:eastAsia="宋体"/>
      <w:kern w:val="0"/>
      <w:sz w:val="21"/>
    </w:rPr>
  </w:style>
  <w:style w:type="paragraph" w:customStyle="1" w:styleId="216">
    <w:name w:val="4正文"/>
    <w:basedOn w:val="1"/>
    <w:qFormat/>
    <w:uiPriority w:val="0"/>
    <w:pPr>
      <w:adjustRightInd w:val="0"/>
      <w:snapToGrid w:val="0"/>
      <w:spacing w:line="360" w:lineRule="auto"/>
      <w:ind w:firstLine="480" w:firstLineChars="200"/>
    </w:pPr>
    <w:rPr>
      <w:rFonts w:eastAsia="宋体" w:cs="宋体"/>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header" Target="header2.xml"/><Relationship Id="rId7" Type="http://schemas.openxmlformats.org/officeDocument/2006/relationships/footer" Target="footer2.xml"/><Relationship Id="rId66" Type="http://schemas.microsoft.com/office/2011/relationships/people" Target="people.xml"/><Relationship Id="rId65" Type="http://schemas.openxmlformats.org/officeDocument/2006/relationships/fontTable" Target="fontTable.xml"/><Relationship Id="rId64" Type="http://schemas.openxmlformats.org/officeDocument/2006/relationships/customXml" Target="../customXml/item2.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footer" Target="footer1.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file:///C:\Users\Admin\AppData\Local\Temp\ksohtml16752\wps5.png" TargetMode="External"/><Relationship Id="rId54" Type="http://schemas.openxmlformats.org/officeDocument/2006/relationships/image" Target="media/image33.png"/><Relationship Id="rId53" Type="http://schemas.openxmlformats.org/officeDocument/2006/relationships/image" Target="media/image32.png"/><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header" Target="header1.xml"/><Relationship Id="rId49" Type="http://schemas.openxmlformats.org/officeDocument/2006/relationships/image" Target="media/image28.wmf"/><Relationship Id="rId48" Type="http://schemas.openxmlformats.org/officeDocument/2006/relationships/oleObject" Target="embeddings/oleObject1.bin"/><Relationship Id="rId47" Type="http://schemas.openxmlformats.org/officeDocument/2006/relationships/image" Target="file:///C:\Users\Admin\AppData\Local\Temp\ksohtml12936\wps12.png" TargetMode="External"/><Relationship Id="rId46" Type="http://schemas.openxmlformats.org/officeDocument/2006/relationships/image" Target="media/image27.png"/><Relationship Id="rId45" Type="http://schemas.openxmlformats.org/officeDocument/2006/relationships/image" Target="file:///C:\Users\Admin\AppData\Local\Temp\ksohtml12936\wps11.png" TargetMode="External"/><Relationship Id="rId44" Type="http://schemas.openxmlformats.org/officeDocument/2006/relationships/image" Target="media/image26.png"/><Relationship Id="rId43" Type="http://schemas.openxmlformats.org/officeDocument/2006/relationships/image" Target="file:///C:\Users\Admin\AppData\Local\Temp\ksohtml12936\wps10.png" TargetMode="External"/><Relationship Id="rId42" Type="http://schemas.openxmlformats.org/officeDocument/2006/relationships/image" Target="media/image25.png"/><Relationship Id="rId41" Type="http://schemas.openxmlformats.org/officeDocument/2006/relationships/image" Target="file:///C:\Users\Admin\AppData\Local\Temp\ksohtml12936\wps9.png" TargetMode="External"/><Relationship Id="rId40" Type="http://schemas.openxmlformats.org/officeDocument/2006/relationships/image" Target="media/image24.png"/><Relationship Id="rId4" Type="http://schemas.openxmlformats.org/officeDocument/2006/relationships/endnotes" Target="endnotes.xml"/><Relationship Id="rId39" Type="http://schemas.openxmlformats.org/officeDocument/2006/relationships/image" Target="file:///C:\Users\Admin\AppData\Local\Temp\ksohtml12936\wps8.png" TargetMode="External"/><Relationship Id="rId38" Type="http://schemas.openxmlformats.org/officeDocument/2006/relationships/image" Target="media/image23.png"/><Relationship Id="rId37" Type="http://schemas.openxmlformats.org/officeDocument/2006/relationships/image" Target="file:///C:\Users\Admin\AppData\Local\Temp\ksohtml12936\wps7.png" TargetMode="External"/><Relationship Id="rId36" Type="http://schemas.openxmlformats.org/officeDocument/2006/relationships/image" Target="media/image22.png"/><Relationship Id="rId35" Type="http://schemas.openxmlformats.org/officeDocument/2006/relationships/image" Target="file:///C:\Users\Admin\AppData\Local\Temp\ksohtml12936\wps6.png" TargetMode="External"/><Relationship Id="rId34" Type="http://schemas.openxmlformats.org/officeDocument/2006/relationships/image" Target="media/image21.png"/><Relationship Id="rId33" Type="http://schemas.openxmlformats.org/officeDocument/2006/relationships/image" Target="file:///C:\Users\Admin\AppData\Local\Temp\ksohtml12936\wps5.png" TargetMode="External"/><Relationship Id="rId32" Type="http://schemas.openxmlformats.org/officeDocument/2006/relationships/image" Target="media/image20.png"/><Relationship Id="rId31" Type="http://schemas.openxmlformats.org/officeDocument/2006/relationships/image" Target="file:///C:\Users\Admin\AppData\Local\Temp\ksohtml12936\wps4.png" TargetMode="External"/><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file:///C:\Users\Admin\AppData\Local\Temp\ksohtml12936\wps3.png" TargetMode="External"/><Relationship Id="rId28" Type="http://schemas.openxmlformats.org/officeDocument/2006/relationships/image" Target="media/image18.png"/><Relationship Id="rId27" Type="http://schemas.openxmlformats.org/officeDocument/2006/relationships/image" Target="file:///C:\Users\Admin\AppData\Local\Temp\ksohtml12936\wps2.png" TargetMode="External"/><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7"/>
    <customShpInfo spid="_x0000_s2051"/>
    <customShpInfo spid="_x0000_s2234"/>
    <customShpInfo spid="_x0000_s2210"/>
    <customShpInfo spid="_x0000_s2213"/>
    <customShpInfo spid="_x0000_s2215"/>
    <customShpInfo spid="_x0000_s2417"/>
    <customShpInfo spid="_x0000_s2418"/>
    <customShpInfo spid="_x0000_s2419"/>
    <customShpInfo spid="_x0000_s2420"/>
  </customShpExts>
  <extobjs>
    <extobj name="ECB019B1-382A-4266-B25C-5B523AA43C14-1">
      <extobjdata type="ECB019B1-382A-4266-B25C-5B523AA43C14" data="ewoJIkZpbGVJZCIgOiAiNDQxMTM1MzE4ODkyIiwKCSJHcm91cElkIiA6ICIyMzQwNjY2MTAiLAoJIkltYWdlIiA6ICJpVkJPUncwS0dnb0FBQUFOU1VoRVVnQUFBOW9BQUFMRkNBWUFBQUE4NEp1OUFBQUFBWE5TUjBJQXJzNGM2UUFBSUFCSlJFRlVlSnpzM1hsOEZPWDlCL0RQZDJZRENRSUtLcUx5VTlRb0dFbDJabFpybGFyWTFxdFN0UjcxUU5GS3E2alY0bEdxVnNXSzFiWjQxS05XeFZwRjZvVUNWbXZGZXR0NmdOblpUU0NDalVnMXlpRnlDSVFrdS90OGYzL3NiRnhDamsyeUlSeWY5K3ZGS3pNN3p6eEhXaWY3bmVjQ2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vRmI4ZjhIclJ2dVpnVjJGQUFBQUFFbEZUa1N1UW1DQyIsCgkiVGhlbWUiIDogIiIsCgkiVHlwZSIgOiAiZmxvdyIsCgkiVXNlcklkIiA6ICIyOTQ3MTI0MjciLAoJIlZlcnNpb24iIDogIjk1Igp9Cg=="/>
    </extobj>
    <extobj name="ECB019B1-382A-4266-B25C-5B523AA43C14-2">
      <extobjdata type="ECB019B1-382A-4266-B25C-5B523AA43C14" data="ewoJIkZpbGVJZCIgOiAiNDM4NDAwNDY5MDY5IiwKCSJHcm91cElkIiA6ICIyMzQwNjY2MTAiLAoJIkltYWdlIiA6ICJpVkJPUncwS0dnb0FBQUFOU1VoRVVnQUFCV2NBQUFOYkNBWUFBQUF1Umkzd0FBQUFBWE5TUjBJQXJzNGM2UUFBSUFCSlJFRlVlSnpzM1htWVhGV2QvL0hQOTFiMWtxVTdKSktnR0RBT1BRWXJTWFhkV3lxaWlDQ0lPeTY0b0NPamdndnVJamlqUHhVRVpkd1gzRVhVVVVTZEFSVlhRRkJVY0VPcmJuVjMwc2F4eGFCQkVBSUoyYnU3Nm41L2YvU3RXRFM5cFpkVUl1L1g4L1RUZGU4NTk1enZUVCsyeGFkUG5Tc0J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RSmY0ZjAyWjFHRGdjRENBQUFBQUFFbEZUa1N1UW1DQyIsCgkiVGhlbWUiIDogIiIsCgkiVHlwZSIgOiAiZmxvdyIsCgkiVXNlcklkIiA6ICIyOTQ3MTI0MjciLAoJIlZlcnNpb24iIDogIjM5Igp9Cg=="/>
    </extobj>
    <extobj name="ECB019B1-382A-4266-B25C-5B523AA43C14-3">
      <extobjdata type="ECB019B1-382A-4266-B25C-5B523AA43C14" data="ewoJIkZpbGVJZCIgOiAiNDA2MjkyNDQyMzUwIiwKCSJHcm91cElkIiA6ICIyMzQwNjY2MTAiLAoJIkltYWdlIiA6ICJpVkJPUncwS0dnb0FBQUFOU1VoRVVnQUFCRk1BQUFMckNBWUFBQUF5YmNpekFBQUFBWE5TUjBJQXJzNGM2UUFBSUFCSlJFRlVlSnpzM1htY1hGV1ovL0h2YzIvMWtoVVNJSVNRWVlJRUV6dEpkNTNiSUM0b091cmdvSUlMRGlxNEw0amp4dUJQSGNGOTFNRmx4bkhCZGR3VlVaeHh3NDBaTjNCY3NPK3Q3a0FrWXdZekVnUU1FTEtRdGVzK3Z6LzZWaWc2dlZUMW1xUS83OWNycjY2NjU5eHpuK3AwVXRYUFBlYzVFZ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GdwL1EvS1dXb1JvbnhScGdBQUFBQkpSVTVFcmtKZ2dnPT0iLAoJIlRoZW1lIiA6ICIiLAoJIlR5cGUiIDogImZsb3ciLAoJIlVzZXJJZCIgOiAiMjk0NzEyNDI3IiwKCSJWZXJzaW9uIiA6ICI3NyIKfQo="/>
    </extobj>
    <extobj name="ECB019B1-382A-4266-B25C-5B523AA43C14-4">
      <extobjdata type="ECB019B1-382A-4266-B25C-5B523AA43C14" data="ewoJIkZpbGVJZCIgOiAiNDM4NDQxNDM4NzY3IiwKCSJHcm91cElkIiA6ICIyMzQwNjY2MTAiLAoJIkltYWdlIiA6ICJpVkJPUncwS0dnb0FBQUFOU1VoRVVnQUFCZG9BQUFPMkNBWUFBQUQvbENVbEFBQUFBWE5TUjBJQXJzNGM2UUFBSUFCSlJFRlVlSnpzM1h0OG5WV2RMLzd2Mm51blNkTUxMYlJRb1VDQlFOdVVKdGs3QWxXSDZ6Z3FxQngxUEhqRzhjcUlpak9pRGpMajVUYzRPdUtvTTRKM1JQMDV4Nk1pTTQ3ejArTmxQRWZ3d3NVTDBpUU5OTnlLRktpbENBaTBsRFp0c3Rmdmp5YVp0RFJ0MnFUZENYMi9YeTlmM2M5NjF1WDdKQ2ptazlYMVJ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k2QS80L0xJTUtVZ2NGUHBFQUFBQUFTVVZPUks1Q1lJST0iLAoJIlRoZW1lIiA6ICIiLAoJIlR5cGUiIDogImZsb3ciLAoJIlVzZXJJZCIgOiAiMjk0NzEyNDI3IiwKCSJWZXJzaW9uIiA6ICIzNiIKfQo="/>
    </extobj>
  </extobj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4BE162C-A7D7-4D13-BB94-F8827A4CEE93}">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85</Pages>
  <Words>48772</Words>
  <Characters>56242</Characters>
  <Lines>5451</Lines>
  <Paragraphs>5137</Paragraphs>
  <TotalTime>3</TotalTime>
  <ScaleCrop>false</ScaleCrop>
  <LinksUpToDate>false</LinksUpToDate>
  <CharactersWithSpaces>56603</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2024-09-11T09:39:00Z</dcterms:created>
  <dc:creator>lhj</dc:creator>
  <cp:lastModifiedBy>NTKO</cp:lastModifiedBy>
  <cp:lastPrinted>2025-10-10T07:15:00Z</cp:lastPrinted>
  <dcterms:modified xsi:type="dcterms:W3CDTF">2025-11-14T03:01:07Z</dcterms:modified>
  <dc:title>附件2</dc:title>
  <cp:revision>65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88B24FFF18294236B43B7AD75B56C4E7_13</vt:lpwstr>
  </property>
  <property fmtid="{D5CDD505-2E9C-101B-9397-08002B2CF9AE}" pid="4" name="KSOTemplateDocerSaveRecord">
    <vt:lpwstr>eyJoZGlkIjoiMzBkNjMzZDA5OWU1MjU0MjM0ZWRiM2UyYmYyZGFlYmIiLCJ1c2VySWQiOiIyOTQ3MTI0MjcifQ==</vt:lpwstr>
  </property>
</Properties>
</file>