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206DDE">
      <w:pPr>
        <w:rPr>
          <w:rFonts w:hint="default" w:ascii="Times New Roman" w:hAnsi="Times New Roman" w:eastAsia="仿宋_GB2312" w:cs="Times New Roman"/>
          <w:color w:val="000000" w:themeColor="text1"/>
          <w:sz w:val="36"/>
          <w:szCs w:val="36"/>
          <w:lang w:eastAsia="zh-CN"/>
          <w14:textFill>
            <w14:solidFill>
              <w14:schemeClr w14:val="tx1"/>
            </w14:solidFill>
          </w14:textFill>
        </w:rPr>
      </w:pPr>
      <w:r>
        <w:rPr>
          <w:rFonts w:hint="default" w:ascii="Times New Roman" w:hAnsi="Times New Roman" w:eastAsia="仿宋_GB2312" w:cs="Times New Roman"/>
          <w:color w:val="000000" w:themeColor="text1"/>
          <w:sz w:val="36"/>
          <w:szCs w:val="36"/>
          <w:lang w:eastAsia="zh-CN"/>
          <w14:textFill>
            <w14:solidFill>
              <w14:schemeClr w14:val="tx1"/>
            </w14:solidFill>
          </w14:textFill>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5612765" cy="8150225"/>
            <wp:effectExtent l="0" t="0" r="635" b="3175"/>
            <wp:wrapNone/>
            <wp:docPr id="1" name="图片 1" descr="打印编号：1763548879000 (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打印编号：1763548879000 (1)_02"/>
                    <pic:cNvPicPr>
                      <a:picLocks noChangeAspect="1"/>
                    </pic:cNvPicPr>
                  </pic:nvPicPr>
                  <pic:blipFill>
                    <a:blip r:embed="rId18"/>
                    <a:stretch>
                      <a:fillRect/>
                    </a:stretch>
                  </pic:blipFill>
                  <pic:spPr>
                    <a:xfrm>
                      <a:off x="0" y="0"/>
                      <a:ext cx="5612765" cy="8150225"/>
                    </a:xfrm>
                    <a:prstGeom prst="rect">
                      <a:avLst/>
                    </a:prstGeom>
                  </pic:spPr>
                </pic:pic>
              </a:graphicData>
            </a:graphic>
          </wp:anchor>
        </w:drawing>
      </w:r>
    </w:p>
    <w:p w14:paraId="7C5BCBE3">
      <w:pPr>
        <w:rPr>
          <w:rFonts w:hint="default" w:ascii="Times New Roman" w:hAnsi="Times New Roman" w:eastAsia="仿宋_GB2312" w:cs="Times New Roman"/>
          <w:color w:val="000000" w:themeColor="text1"/>
          <w:sz w:val="36"/>
          <w:szCs w:val="36"/>
          <w14:textFill>
            <w14:solidFill>
              <w14:schemeClr w14:val="tx1"/>
            </w14:solidFill>
          </w14:textFill>
        </w:rPr>
      </w:pPr>
    </w:p>
    <w:p w14:paraId="5DE9D38E">
      <w:pPr>
        <w:rPr>
          <w:rFonts w:hint="default" w:ascii="Times New Roman" w:hAnsi="Times New Roman" w:eastAsia="仿宋_GB2312" w:cs="Times New Roman"/>
          <w:color w:val="000000" w:themeColor="text1"/>
          <w:sz w:val="36"/>
          <w:szCs w:val="36"/>
          <w14:textFill>
            <w14:solidFill>
              <w14:schemeClr w14:val="tx1"/>
            </w14:solidFill>
          </w14:textFill>
        </w:rPr>
      </w:pPr>
    </w:p>
    <w:p w14:paraId="4BBB602F">
      <w:pPr>
        <w:adjustRightInd w:val="0"/>
        <w:snapToGrid w:val="0"/>
        <w:jc w:val="center"/>
        <w:outlineLvl w:val="0"/>
        <w:rPr>
          <w:rFonts w:hint="default" w:ascii="Times New Roman" w:hAnsi="Times New Roman" w:eastAsia="方正小标宋_GBK" w:cs="Times New Roman"/>
          <w:bCs/>
          <w:color w:val="000000" w:themeColor="text1"/>
          <w:sz w:val="72"/>
          <w:szCs w:val="72"/>
          <w14:textFill>
            <w14:solidFill>
              <w14:schemeClr w14:val="tx1"/>
            </w14:solidFill>
          </w14:textFill>
        </w:rPr>
      </w:pPr>
      <w:bookmarkStart w:id="0" w:name="_Toc16675"/>
      <w:bookmarkStart w:id="1" w:name="_Toc13884"/>
      <w:bookmarkStart w:id="2" w:name="_Toc3158"/>
      <w:bookmarkStart w:id="3" w:name="_Toc3761"/>
      <w:r>
        <w:rPr>
          <w:rFonts w:hint="default" w:ascii="Times New Roman" w:hAnsi="Times New Roman" w:eastAsia="方正小标宋_GBK" w:cs="Times New Roman"/>
          <w:bCs/>
          <w:color w:val="000000" w:themeColor="text1"/>
          <w:sz w:val="72"/>
          <w:szCs w:val="72"/>
          <w14:textFill>
            <w14:solidFill>
              <w14:schemeClr w14:val="tx1"/>
            </w14:solidFill>
          </w14:textFill>
        </w:rPr>
        <w:t>建设项目环境影响报告表</w:t>
      </w:r>
      <w:bookmarkEnd w:id="0"/>
      <w:bookmarkEnd w:id="1"/>
      <w:bookmarkEnd w:id="2"/>
      <w:bookmarkEnd w:id="3"/>
    </w:p>
    <w:p w14:paraId="50225C6F">
      <w:pPr>
        <w:adjustRightInd w:val="0"/>
        <w:snapToGrid w:val="0"/>
        <w:spacing w:before="192" w:beforeLines="80"/>
        <w:jc w:val="center"/>
        <w:rPr>
          <w:rFonts w:hint="default" w:ascii="Times New Roman" w:hAnsi="Times New Roman" w:eastAsia="楷体_GB2312" w:cs="Times New Roman"/>
          <w:bCs/>
          <w:color w:val="000000" w:themeColor="text1"/>
          <w:sz w:val="48"/>
          <w:szCs w:val="48"/>
          <w:lang w:eastAsia="zh-CN"/>
          <w14:textFill>
            <w14:solidFill>
              <w14:schemeClr w14:val="tx1"/>
            </w14:solidFill>
          </w14:textFill>
        </w:rPr>
      </w:pPr>
      <w:r>
        <w:rPr>
          <w:rFonts w:hint="default" w:ascii="Times New Roman" w:hAnsi="Times New Roman" w:eastAsia="楷体_GB2312" w:cs="Times New Roman"/>
          <w:bCs/>
          <w:color w:val="000000" w:themeColor="text1"/>
          <w:sz w:val="48"/>
          <w:szCs w:val="48"/>
          <w:lang w:eastAsia="zh-CN"/>
          <w14:textFill>
            <w14:solidFill>
              <w14:schemeClr w14:val="tx1"/>
            </w14:solidFill>
          </w14:textFill>
        </w:rPr>
        <w:t>(</w:t>
      </w:r>
      <w:r>
        <w:rPr>
          <w:rFonts w:hint="default" w:ascii="Times New Roman" w:hAnsi="Times New Roman" w:eastAsia="楷体_GB2312" w:cs="Times New Roman"/>
          <w:bCs/>
          <w:color w:val="000000" w:themeColor="text1"/>
          <w:sz w:val="48"/>
          <w:szCs w:val="48"/>
          <w14:textFill>
            <w14:solidFill>
              <w14:schemeClr w14:val="tx1"/>
            </w14:solidFill>
          </w14:textFill>
        </w:rPr>
        <w:t>污染影响类</w:t>
      </w:r>
      <w:r>
        <w:rPr>
          <w:rFonts w:hint="default" w:ascii="Times New Roman" w:hAnsi="Times New Roman" w:eastAsia="楷体_GB2312" w:cs="Times New Roman"/>
          <w:bCs/>
          <w:color w:val="000000" w:themeColor="text1"/>
          <w:sz w:val="48"/>
          <w:szCs w:val="48"/>
          <w:lang w:eastAsia="zh-CN"/>
          <w14:textFill>
            <w14:solidFill>
              <w14:schemeClr w14:val="tx1"/>
            </w14:solidFill>
          </w14:textFill>
        </w:rPr>
        <w:t>)</w:t>
      </w:r>
    </w:p>
    <w:p w14:paraId="0B851DB0">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outlineLvl w:val="9"/>
        <w:rPr>
          <w:rFonts w:hint="default" w:ascii="Times New Roman" w:hAnsi="Times New Roman" w:eastAsia="华文仿宋" w:cs="Times New Roman"/>
          <w:color w:val="000000" w:themeColor="text1"/>
          <w:kern w:val="44"/>
          <w:sz w:val="44"/>
          <w:szCs w:val="44"/>
          <w14:textFill>
            <w14:solidFill>
              <w14:schemeClr w14:val="tx1"/>
            </w14:solidFill>
          </w14:textFill>
        </w:rPr>
      </w:pPr>
    </w:p>
    <w:p w14:paraId="6462180C">
      <w:pPr>
        <w:jc w:val="center"/>
        <w:rPr>
          <w:rFonts w:hint="default" w:ascii="Times New Roman" w:hAnsi="Times New Roman" w:eastAsia="仿宋" w:cs="Times New Roman"/>
          <w:color w:val="000000" w:themeColor="text1"/>
          <w:sz w:val="52"/>
          <w:szCs w:val="52"/>
          <w14:textFill>
            <w14:solidFill>
              <w14:schemeClr w14:val="tx1"/>
            </w14:solidFill>
          </w14:textFill>
        </w:rPr>
      </w:pPr>
    </w:p>
    <w:p w14:paraId="266CB293">
      <w:pPr>
        <w:ind w:firstLine="1040"/>
        <w:rPr>
          <w:rFonts w:hint="default" w:ascii="Times New Roman" w:hAnsi="Times New Roman" w:eastAsia="仿宋" w:cs="Times New Roman"/>
          <w:color w:val="000000" w:themeColor="text1"/>
          <w:sz w:val="44"/>
          <w:szCs w:val="44"/>
          <w14:textFill>
            <w14:solidFill>
              <w14:schemeClr w14:val="tx1"/>
            </w14:solidFill>
          </w14:textFill>
        </w:rPr>
      </w:pPr>
    </w:p>
    <w:p w14:paraId="64E1FBAB">
      <w:pPr>
        <w:ind w:firstLine="1040"/>
        <w:rPr>
          <w:rFonts w:hint="default" w:ascii="Times New Roman" w:hAnsi="Times New Roman" w:eastAsia="仿宋" w:cs="Times New Roman"/>
          <w:color w:val="000000" w:themeColor="text1"/>
          <w:sz w:val="44"/>
          <w:szCs w:val="44"/>
          <w14:textFill>
            <w14:solidFill>
              <w14:schemeClr w14:val="tx1"/>
            </w14:solidFill>
          </w14:textFill>
        </w:rPr>
      </w:pPr>
    </w:p>
    <w:p w14:paraId="7F3B919D">
      <w:pPr>
        <w:ind w:firstLine="1040"/>
        <w:rPr>
          <w:rFonts w:hint="default" w:ascii="Times New Roman" w:hAnsi="Times New Roman" w:eastAsia="仿宋" w:cs="Times New Roman"/>
          <w:color w:val="000000" w:themeColor="text1"/>
          <w:sz w:val="44"/>
          <w:szCs w:val="44"/>
          <w14:textFill>
            <w14:solidFill>
              <w14:schemeClr w14:val="tx1"/>
            </w14:solidFill>
          </w14:textFill>
        </w:rPr>
      </w:pPr>
    </w:p>
    <w:p w14:paraId="3475E339">
      <w:pPr>
        <w:ind w:firstLine="1040"/>
        <w:rPr>
          <w:rFonts w:hint="default" w:ascii="Times New Roman" w:hAnsi="Times New Roman" w:eastAsia="仿宋" w:cs="Times New Roman"/>
          <w:color w:val="000000" w:themeColor="text1"/>
          <w:sz w:val="44"/>
          <w:szCs w:val="44"/>
          <w14:textFill>
            <w14:solidFill>
              <w14:schemeClr w14:val="tx1"/>
            </w14:solidFill>
          </w14:textFill>
        </w:rPr>
      </w:pPr>
    </w:p>
    <w:p w14:paraId="7669F376">
      <w:pPr>
        <w:adjustRightInd w:val="0"/>
        <w:snapToGrid w:val="0"/>
        <w:spacing w:line="288" w:lineRule="auto"/>
        <w:ind w:firstLine="1040"/>
        <w:rPr>
          <w:rFonts w:hint="default" w:ascii="Times New Roman" w:hAnsi="Times New Roman" w:eastAsia="仿宋_GB2312" w:cs="Times New Roman"/>
          <w:color w:val="000000" w:themeColor="text1"/>
          <w:sz w:val="36"/>
          <w:szCs w:val="36"/>
          <w:u w:val="single"/>
          <w14:textFill>
            <w14:solidFill>
              <w14:schemeClr w14:val="tx1"/>
            </w14:solidFill>
          </w14:textFill>
        </w:rPr>
      </w:pPr>
    </w:p>
    <w:p w14:paraId="0CD2156B">
      <w:pPr>
        <w:adjustRightInd w:val="0"/>
        <w:snapToGrid w:val="0"/>
        <w:spacing w:line="288" w:lineRule="auto"/>
        <w:ind w:firstLine="1040"/>
        <w:rPr>
          <w:rFonts w:hint="default" w:ascii="Times New Roman" w:hAnsi="Times New Roman" w:eastAsia="仿宋_GB2312" w:cs="Times New Roman"/>
          <w:color w:val="000000" w:themeColor="text1"/>
          <w:sz w:val="36"/>
          <w:szCs w:val="36"/>
          <w14:textFill>
            <w14:solidFill>
              <w14:schemeClr w14:val="tx1"/>
            </w14:solidFill>
          </w14:textFill>
        </w:rPr>
      </w:pPr>
    </w:p>
    <w:p w14:paraId="1DFA2C85">
      <w:pPr>
        <w:keepNext w:val="0"/>
        <w:keepLines w:val="0"/>
        <w:pageBreakBefore w:val="0"/>
        <w:widowControl w:val="0"/>
        <w:kinsoku/>
        <w:wordWrap/>
        <w:overflowPunct/>
        <w:topLinePunct w:val="0"/>
        <w:autoSpaceDE/>
        <w:autoSpaceDN/>
        <w:bidi w:val="0"/>
        <w:adjustRightInd w:val="0"/>
        <w:snapToGrid w:val="0"/>
        <w:spacing w:line="288" w:lineRule="auto"/>
        <w:ind w:firstLine="360" w:firstLineChars="100"/>
        <w:jc w:val="both"/>
        <w:textAlignment w:val="auto"/>
        <w:rPr>
          <w:rFonts w:hint="default" w:ascii="Times New Roman" w:hAnsi="Times New Roman" w:eastAsia="仿宋_GB2312" w:cs="Times New Roman"/>
          <w:color w:val="000000" w:themeColor="text1"/>
          <w:sz w:val="36"/>
          <w:szCs w:val="36"/>
          <w:u w:val="single"/>
          <w:lang w:val="en-US" w:eastAsia="zh-CN"/>
          <w14:textFill>
            <w14:solidFill>
              <w14:schemeClr w14:val="tx1"/>
            </w14:solidFill>
          </w14:textFill>
        </w:rPr>
      </w:pPr>
      <w:r>
        <w:rPr>
          <w:rFonts w:hint="default" w:ascii="Times New Roman" w:hAnsi="Times New Roman" w:eastAsia="仿宋_GB2312" w:cs="Times New Roman"/>
          <w:color w:val="000000" w:themeColor="text1"/>
          <w:sz w:val="36"/>
          <w:szCs w:val="36"/>
          <w14:textFill>
            <w14:solidFill>
              <w14:schemeClr w14:val="tx1"/>
            </w14:solidFill>
          </w14:textFill>
        </w:rPr>
        <w:t>项目名称：</w:t>
      </w:r>
      <w:r>
        <w:rPr>
          <w:rFonts w:hint="default" w:ascii="Times New Roman" w:hAnsi="Times New Roman" w:eastAsia="仿宋_GB2312" w:cs="Times New Roman"/>
          <w:color w:val="000000" w:themeColor="text1"/>
          <w:sz w:val="36"/>
          <w:szCs w:val="36"/>
          <w:u w:val="single"/>
          <w:lang w:val="en-US" w:eastAsia="zh-CN"/>
          <w14:textFill>
            <w14:solidFill>
              <w14:schemeClr w14:val="tx1"/>
            </w14:solidFill>
          </w14:textFill>
        </w:rPr>
        <w:t>福州市福清亿树资源再生有限公司年回收加</w:t>
      </w:r>
    </w:p>
    <w:p w14:paraId="57954BB4">
      <w:pPr>
        <w:keepNext w:val="0"/>
        <w:keepLines w:val="0"/>
        <w:pageBreakBefore w:val="0"/>
        <w:widowControl w:val="0"/>
        <w:kinsoku/>
        <w:wordWrap/>
        <w:overflowPunct/>
        <w:topLinePunct w:val="0"/>
        <w:autoSpaceDE/>
        <w:autoSpaceDN/>
        <w:bidi w:val="0"/>
        <w:adjustRightInd w:val="0"/>
        <w:snapToGrid w:val="0"/>
        <w:spacing w:line="288" w:lineRule="auto"/>
        <w:ind w:firstLine="1980" w:firstLineChars="550"/>
        <w:jc w:val="both"/>
        <w:textAlignment w:val="auto"/>
        <w:rPr>
          <w:rFonts w:hint="default" w:ascii="Times New Roman" w:hAnsi="Times New Roman" w:eastAsia="仿宋_GB2312" w:cs="Times New Roman"/>
          <w:color w:val="000000" w:themeColor="text1"/>
          <w:sz w:val="36"/>
          <w:szCs w:val="36"/>
          <w:u w:val="single"/>
          <w:lang w:val="en-US" w:eastAsia="zh-CN"/>
          <w14:textFill>
            <w14:solidFill>
              <w14:schemeClr w14:val="tx1"/>
            </w14:solidFill>
          </w14:textFill>
        </w:rPr>
      </w:pPr>
      <w:r>
        <w:rPr>
          <w:rFonts w:hint="default" w:ascii="Times New Roman" w:hAnsi="Times New Roman" w:eastAsia="仿宋_GB2312" w:cs="Times New Roman"/>
          <w:color w:val="000000" w:themeColor="text1"/>
          <w:sz w:val="36"/>
          <w:szCs w:val="36"/>
          <w:u w:val="single"/>
          <w:lang w:val="en-US" w:eastAsia="zh-CN"/>
          <w14:textFill>
            <w14:solidFill>
              <w14:schemeClr w14:val="tx1"/>
            </w14:solidFill>
          </w14:textFill>
        </w:rPr>
        <w:t xml:space="preserve">工输液瓶（袋）10400吨、年回收加工破碎  </w:t>
      </w:r>
    </w:p>
    <w:p w14:paraId="1FB6F688">
      <w:pPr>
        <w:keepNext w:val="0"/>
        <w:keepLines w:val="0"/>
        <w:pageBreakBefore w:val="0"/>
        <w:widowControl w:val="0"/>
        <w:kinsoku/>
        <w:wordWrap/>
        <w:overflowPunct/>
        <w:topLinePunct w:val="0"/>
        <w:autoSpaceDE/>
        <w:autoSpaceDN/>
        <w:bidi w:val="0"/>
        <w:adjustRightInd w:val="0"/>
        <w:snapToGrid w:val="0"/>
        <w:spacing w:line="288" w:lineRule="auto"/>
        <w:ind w:firstLine="1980" w:firstLineChars="550"/>
        <w:jc w:val="both"/>
        <w:textAlignment w:val="auto"/>
        <w:rPr>
          <w:rFonts w:hint="default" w:ascii="Times New Roman" w:hAnsi="Times New Roman" w:eastAsia="仿宋_GB2312" w:cs="Times New Roman"/>
          <w:color w:val="000000" w:themeColor="text1"/>
          <w:sz w:val="36"/>
          <w:szCs w:val="36"/>
          <w:u w:val="single"/>
          <w:lang w:val="en-US"/>
          <w14:textFill>
            <w14:solidFill>
              <w14:schemeClr w14:val="tx1"/>
            </w14:solidFill>
          </w14:textFill>
        </w:rPr>
      </w:pPr>
      <w:r>
        <w:rPr>
          <w:rFonts w:hint="default" w:ascii="Times New Roman" w:hAnsi="Times New Roman" w:eastAsia="仿宋_GB2312" w:cs="Times New Roman"/>
          <w:color w:val="000000" w:themeColor="text1"/>
          <w:sz w:val="36"/>
          <w:szCs w:val="36"/>
          <w:u w:val="single"/>
          <w:lang w:val="en-US" w:eastAsia="zh-CN"/>
          <w14:textFill>
            <w14:solidFill>
              <w14:schemeClr w14:val="tx1"/>
            </w14:solidFill>
          </w14:textFill>
        </w:rPr>
        <w:t xml:space="preserve">          生活塑料4000吨项目         </w:t>
      </w:r>
    </w:p>
    <w:p w14:paraId="66BD288D">
      <w:pPr>
        <w:keepNext w:val="0"/>
        <w:keepLines w:val="0"/>
        <w:pageBreakBefore w:val="0"/>
        <w:widowControl w:val="0"/>
        <w:kinsoku/>
        <w:wordWrap/>
        <w:overflowPunct/>
        <w:topLinePunct w:val="0"/>
        <w:autoSpaceDE/>
        <w:autoSpaceDN/>
        <w:bidi w:val="0"/>
        <w:adjustRightInd w:val="0"/>
        <w:snapToGrid w:val="0"/>
        <w:spacing w:line="288" w:lineRule="auto"/>
        <w:ind w:firstLine="360" w:firstLineChars="100"/>
        <w:textAlignment w:val="auto"/>
        <w:rPr>
          <w:rFonts w:hint="default" w:ascii="Times New Roman" w:hAnsi="Times New Roman" w:eastAsia="仿宋_GB2312" w:cs="Times New Roman"/>
          <w:color w:val="000000" w:themeColor="text1"/>
          <w:sz w:val="36"/>
          <w:szCs w:val="36"/>
          <w:u w:val="single"/>
          <w:lang w:val="en-US" w:eastAsia="zh-CN"/>
          <w14:textFill>
            <w14:solidFill>
              <w14:schemeClr w14:val="tx1"/>
            </w14:solidFill>
          </w14:textFill>
        </w:rPr>
      </w:pPr>
      <w:r>
        <w:rPr>
          <w:rFonts w:hint="default" w:ascii="Times New Roman" w:hAnsi="Times New Roman" w:eastAsia="仿宋_GB2312" w:cs="Times New Roman"/>
          <w:color w:val="000000" w:themeColor="text1"/>
          <w:sz w:val="36"/>
          <w:szCs w:val="36"/>
          <w14:textFill>
            <w14:solidFill>
              <w14:schemeClr w14:val="tx1"/>
            </w14:solidFill>
          </w14:textFill>
        </w:rPr>
        <w:t>建设单位</w:t>
      </w:r>
      <w:r>
        <w:rPr>
          <w:rFonts w:hint="default" w:ascii="Times New Roman" w:hAnsi="Times New Roman" w:eastAsia="仿宋_GB2312" w:cs="Times New Roman"/>
          <w:color w:val="000000" w:themeColor="text1"/>
          <w:sz w:val="36"/>
          <w:szCs w:val="36"/>
          <w:lang w:eastAsia="zh-CN"/>
          <w14:textFill>
            <w14:solidFill>
              <w14:schemeClr w14:val="tx1"/>
            </w14:solidFill>
          </w14:textFill>
        </w:rPr>
        <w:t>(</w:t>
      </w:r>
      <w:r>
        <w:rPr>
          <w:rFonts w:hint="default" w:ascii="Times New Roman" w:hAnsi="Times New Roman" w:eastAsia="仿宋_GB2312" w:cs="Times New Roman"/>
          <w:color w:val="000000" w:themeColor="text1"/>
          <w:sz w:val="36"/>
          <w:szCs w:val="36"/>
          <w14:textFill>
            <w14:solidFill>
              <w14:schemeClr w14:val="tx1"/>
            </w14:solidFill>
          </w14:textFill>
        </w:rPr>
        <w:t>盖章</w:t>
      </w:r>
      <w:r>
        <w:rPr>
          <w:rFonts w:hint="default" w:ascii="Times New Roman" w:hAnsi="Times New Roman" w:eastAsia="仿宋_GB2312" w:cs="Times New Roman"/>
          <w:color w:val="000000" w:themeColor="text1"/>
          <w:sz w:val="36"/>
          <w:szCs w:val="36"/>
          <w:lang w:eastAsia="zh-CN"/>
          <w14:textFill>
            <w14:solidFill>
              <w14:schemeClr w14:val="tx1"/>
            </w14:solidFill>
          </w14:textFill>
        </w:rPr>
        <w:t>)</w:t>
      </w:r>
      <w:r>
        <w:rPr>
          <w:rFonts w:hint="default" w:ascii="Times New Roman" w:hAnsi="Times New Roman" w:eastAsia="仿宋_GB2312" w:cs="Times New Roman"/>
          <w:color w:val="000000" w:themeColor="text1"/>
          <w:sz w:val="36"/>
          <w:szCs w:val="36"/>
          <w14:textFill>
            <w14:solidFill>
              <w14:schemeClr w14:val="tx1"/>
            </w14:solidFill>
          </w14:textFill>
        </w:rPr>
        <w:t>：</w:t>
      </w:r>
      <w:r>
        <w:rPr>
          <w:rFonts w:hint="default" w:ascii="Times New Roman" w:hAnsi="Times New Roman" w:eastAsia="仿宋_GB2312" w:cs="Times New Roman"/>
          <w:color w:val="000000" w:themeColor="text1"/>
          <w:sz w:val="36"/>
          <w:szCs w:val="36"/>
          <w:u w:val="single"/>
          <w:lang w:val="en-US" w:eastAsia="zh-CN"/>
          <w14:textFill>
            <w14:solidFill>
              <w14:schemeClr w14:val="tx1"/>
            </w14:solidFill>
          </w14:textFill>
        </w:rPr>
        <w:t xml:space="preserve">福州市福清亿树资源再生有限公司            </w:t>
      </w:r>
    </w:p>
    <w:p w14:paraId="49D8D7E6">
      <w:pPr>
        <w:keepNext w:val="0"/>
        <w:keepLines w:val="0"/>
        <w:pageBreakBefore w:val="0"/>
        <w:widowControl w:val="0"/>
        <w:kinsoku/>
        <w:wordWrap/>
        <w:overflowPunct/>
        <w:topLinePunct w:val="0"/>
        <w:autoSpaceDE/>
        <w:autoSpaceDN/>
        <w:bidi w:val="0"/>
        <w:adjustRightInd w:val="0"/>
        <w:snapToGrid w:val="0"/>
        <w:spacing w:line="288" w:lineRule="auto"/>
        <w:ind w:firstLine="360" w:firstLineChars="100"/>
        <w:textAlignment w:val="auto"/>
        <w:rPr>
          <w:rFonts w:hint="default" w:ascii="Times New Roman" w:hAnsi="Times New Roman" w:eastAsia="仿宋_GB2312" w:cs="Times New Roman"/>
          <w:color w:val="000000" w:themeColor="text1"/>
          <w:sz w:val="36"/>
          <w:szCs w:val="36"/>
          <w:u w:val="single"/>
          <w:lang w:val="en-US"/>
          <w14:textFill>
            <w14:solidFill>
              <w14:schemeClr w14:val="tx1"/>
            </w14:solidFill>
          </w14:textFill>
        </w:rPr>
      </w:pPr>
      <w:r>
        <w:rPr>
          <w:rFonts w:hint="default" w:ascii="Times New Roman" w:hAnsi="Times New Roman" w:eastAsia="仿宋_GB2312" w:cs="Times New Roman"/>
          <w:color w:val="000000" w:themeColor="text1"/>
          <w:sz w:val="36"/>
          <w:szCs w:val="36"/>
          <w14:textFill>
            <w14:solidFill>
              <w14:schemeClr w14:val="tx1"/>
            </w14:solidFill>
          </w14:textFill>
        </w:rPr>
        <w:t>编制日期：</w:t>
      </w:r>
      <w:r>
        <w:rPr>
          <w:rFonts w:hint="default" w:ascii="Times New Roman" w:hAnsi="Times New Roman" w:eastAsia="仿宋_GB2312" w:cs="Times New Roman"/>
          <w:color w:val="000000" w:themeColor="text1"/>
          <w:sz w:val="36"/>
          <w:szCs w:val="36"/>
          <w:u w:val="single"/>
          <w:lang w:val="en-US" w:eastAsia="zh-CN"/>
          <w14:textFill>
            <w14:solidFill>
              <w14:schemeClr w14:val="tx1"/>
            </w14:solidFill>
          </w14:textFill>
        </w:rPr>
        <w:t>2025年11月</w:t>
      </w:r>
      <w:r>
        <w:rPr>
          <w:rFonts w:hint="default" w:ascii="Times New Roman" w:hAnsi="Times New Roman" w:eastAsia="仿宋_GB2312" w:cs="Times New Roman"/>
          <w:color w:val="000000" w:themeColor="text1"/>
          <w:sz w:val="36"/>
          <w:szCs w:val="36"/>
          <w:u w:val="single"/>
          <w:lang w:eastAsia="zh-CN"/>
          <w14:textFill>
            <w14:solidFill>
              <w14:schemeClr w14:val="tx1"/>
            </w14:solidFill>
          </w14:textFill>
        </w:rPr>
        <w:t xml:space="preserve">     </w:t>
      </w:r>
      <w:r>
        <w:rPr>
          <w:rFonts w:hint="default" w:ascii="Times New Roman" w:hAnsi="Times New Roman" w:eastAsia="仿宋_GB2312" w:cs="Times New Roman"/>
          <w:color w:val="000000" w:themeColor="text1"/>
          <w:sz w:val="36"/>
          <w:szCs w:val="36"/>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6"/>
          <w:szCs w:val="36"/>
          <w:u w:val="single"/>
          <w:lang w:eastAsia="zh-CN"/>
          <w14:textFill>
            <w14:solidFill>
              <w14:schemeClr w14:val="tx1"/>
            </w14:solidFill>
          </w14:textFill>
        </w:rPr>
        <w:t xml:space="preserve">   </w:t>
      </w:r>
      <w:r>
        <w:rPr>
          <w:rFonts w:hint="default" w:ascii="Times New Roman" w:hAnsi="Times New Roman" w:eastAsia="仿宋_GB2312" w:cs="Times New Roman"/>
          <w:color w:val="000000" w:themeColor="text1"/>
          <w:sz w:val="36"/>
          <w:szCs w:val="36"/>
          <w:u w:val="single"/>
          <w:lang w:val="en-US" w:eastAsia="zh-CN"/>
          <w14:textFill>
            <w14:solidFill>
              <w14:schemeClr w14:val="tx1"/>
            </w14:solidFill>
          </w14:textFill>
        </w:rPr>
        <w:t xml:space="preserve">      </w:t>
      </w:r>
    </w:p>
    <w:p w14:paraId="2BDCDDD7">
      <w:pPr>
        <w:adjustRightInd w:val="0"/>
        <w:snapToGrid w:val="0"/>
        <w:spacing w:line="288" w:lineRule="auto"/>
        <w:ind w:firstLine="1040"/>
        <w:rPr>
          <w:rFonts w:hint="default" w:ascii="Times New Roman" w:hAnsi="Times New Roman" w:eastAsia="仿宋_GB2312" w:cs="Times New Roman"/>
          <w:color w:val="000000" w:themeColor="text1"/>
          <w:sz w:val="36"/>
          <w:szCs w:val="36"/>
          <w14:textFill>
            <w14:solidFill>
              <w14:schemeClr w14:val="tx1"/>
            </w14:solidFill>
          </w14:textFill>
        </w:rPr>
      </w:pPr>
      <w:bookmarkStart w:id="4" w:name="_Hlk57884087"/>
    </w:p>
    <w:p w14:paraId="39646BB0">
      <w:pPr>
        <w:adjustRightInd w:val="0"/>
        <w:snapToGrid w:val="0"/>
        <w:spacing w:line="288" w:lineRule="auto"/>
        <w:ind w:firstLine="1040"/>
        <w:rPr>
          <w:rFonts w:hint="default" w:ascii="Times New Roman" w:hAnsi="Times New Roman" w:eastAsia="仿宋_GB2312" w:cs="Times New Roman"/>
          <w:color w:val="000000" w:themeColor="text1"/>
          <w:sz w:val="36"/>
          <w:szCs w:val="36"/>
          <w14:textFill>
            <w14:solidFill>
              <w14:schemeClr w14:val="tx1"/>
            </w14:solidFill>
          </w14:textFill>
        </w:rPr>
      </w:pPr>
    </w:p>
    <w:p w14:paraId="3D7434BE">
      <w:pPr>
        <w:adjustRightInd w:val="0"/>
        <w:snapToGrid w:val="0"/>
        <w:spacing w:line="288" w:lineRule="auto"/>
        <w:ind w:firstLine="1040"/>
        <w:rPr>
          <w:rFonts w:hint="default" w:ascii="Times New Roman" w:hAnsi="Times New Roman" w:eastAsia="仿宋_GB2312" w:cs="Times New Roman"/>
          <w:color w:val="000000" w:themeColor="text1"/>
          <w:sz w:val="36"/>
          <w:szCs w:val="36"/>
          <w14:textFill>
            <w14:solidFill>
              <w14:schemeClr w14:val="tx1"/>
            </w14:solidFill>
          </w14:textFill>
        </w:rPr>
      </w:pPr>
    </w:p>
    <w:bookmarkEnd w:id="4"/>
    <w:p w14:paraId="30F8E1ED">
      <w:pPr>
        <w:adjustRightInd w:val="0"/>
        <w:snapToGrid w:val="0"/>
        <w:spacing w:line="288" w:lineRule="auto"/>
        <w:jc w:val="center"/>
        <w:outlineLvl w:val="0"/>
        <w:rPr>
          <w:rFonts w:hint="default" w:ascii="Times New Roman" w:hAnsi="Times New Roman" w:eastAsia="楷体_GB2312" w:cs="Times New Roman"/>
          <w:color w:val="000000" w:themeColor="text1"/>
          <w:sz w:val="36"/>
          <w:szCs w:val="36"/>
          <w14:textFill>
            <w14:solidFill>
              <w14:schemeClr w14:val="tx1"/>
            </w14:solidFill>
          </w14:textFill>
        </w:rPr>
      </w:pPr>
      <w:bookmarkStart w:id="5" w:name="_Toc2928"/>
      <w:bookmarkStart w:id="6" w:name="_Toc17679"/>
      <w:bookmarkStart w:id="7" w:name="_Toc19968"/>
      <w:bookmarkStart w:id="8" w:name="_Toc3608"/>
      <w:r>
        <w:rPr>
          <w:rFonts w:hint="default" w:ascii="Times New Roman" w:hAnsi="Times New Roman" w:eastAsia="楷体_GB2312" w:cs="Times New Roman"/>
          <w:color w:val="000000" w:themeColor="text1"/>
          <w:sz w:val="36"/>
          <w:szCs w:val="36"/>
          <w14:textFill>
            <w14:solidFill>
              <w14:schemeClr w14:val="tx1"/>
            </w14:solidFill>
          </w14:textFill>
        </w:rPr>
        <w:t>中华人民共和国生态环境部制</w:t>
      </w:r>
      <w:bookmarkEnd w:id="5"/>
      <w:bookmarkEnd w:id="6"/>
      <w:bookmarkEnd w:id="7"/>
      <w:bookmarkEnd w:id="8"/>
    </w:p>
    <w:p w14:paraId="442A0CCB">
      <w:pPr>
        <w:adjustRightInd w:val="0"/>
        <w:snapToGrid w:val="0"/>
        <w:spacing w:line="288" w:lineRule="auto"/>
        <w:ind w:firstLine="1040"/>
        <w:rPr>
          <w:rFonts w:hint="default" w:ascii="Times New Roman" w:hAnsi="Times New Roman" w:eastAsia="仿宋_GB2312" w:cs="Times New Roman"/>
          <w:color w:val="000000" w:themeColor="text1"/>
          <w:sz w:val="36"/>
          <w:szCs w:val="36"/>
          <w14:textFill>
            <w14:solidFill>
              <w14:schemeClr w14:val="tx1"/>
            </w14:solidFill>
          </w14:textFill>
        </w:rPr>
        <w:sectPr>
          <w:headerReference r:id="rId3" w:type="default"/>
          <w:footerReference r:id="rId4" w:type="default"/>
          <w:footerReference r:id="rId5" w:type="even"/>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14:paraId="2AB39DC8">
      <w:pPr>
        <w:adjustRightInd w:val="0"/>
        <w:snapToGrid w:val="0"/>
        <w:spacing w:line="288" w:lineRule="auto"/>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p>
    <w:sdt>
      <w:sdtP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id w:val="147464940"/>
        <w15:color w:val="DBDBDB"/>
        <w:docPartObj>
          <w:docPartGallery w:val="Table of Contents"/>
          <w:docPartUnique/>
        </w:docPartObj>
      </w:sdtPr>
      <w:sdtEndP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sdtEndPr>
      <w:sdtContent>
        <w:p w14:paraId="5732020E">
          <w:pPr>
            <w:spacing w:before="221" w:line="229" w:lineRule="auto"/>
            <w:ind w:left="5133"/>
            <w:rPr>
              <w:rFonts w:hint="default" w:ascii="Times New Roman" w:hAnsi="Times New Roman" w:eastAsia="宋体" w:cs="Times New Roman"/>
              <w:color w:val="000000" w:themeColor="text1"/>
              <w:sz w:val="24"/>
              <w:szCs w:val="24"/>
              <w14:textFill>
                <w14:solidFill>
                  <w14:schemeClr w14:val="tx1"/>
                </w14:solidFill>
              </w14:textFill>
            </w:rPr>
            <w:sectPr>
              <w:headerReference r:id="rId6" w:type="default"/>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3985ED09">
          <w:pPr>
            <w:keepNext w:val="0"/>
            <w:keepLines w:val="0"/>
            <w:pageBreakBefore w:val="0"/>
            <w:kinsoku/>
            <w:wordWrap/>
            <w:overflowPunct/>
            <w:topLinePunct w:val="0"/>
            <w:autoSpaceDE/>
            <w:autoSpaceDN/>
            <w:bidi w:val="0"/>
            <w:adjustRightInd/>
            <w:snapToGrid/>
            <w:spacing w:before="0" w:after="0" w:line="440" w:lineRule="exact"/>
            <w:ind w:left="0" w:leftChars="0" w:right="0" w:rightChars="0" w:firstLine="0" w:firstLineChars="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目录</w:t>
          </w:r>
        </w:p>
        <w:p w14:paraId="21DB9806">
          <w:pPr>
            <w:pStyle w:val="21"/>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TOC \o "1-1" \h \u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p>
        <w:p w14:paraId="2ED5001F">
          <w:pPr>
            <w:pStyle w:val="21"/>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_Toc2755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一、建设项目基本情况</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_Toc2755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14:paraId="20CCFE82">
          <w:pPr>
            <w:pStyle w:val="21"/>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_Toc32357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二、建设项目工程分析</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_Toc32357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16</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14:paraId="077F3AE0">
          <w:pPr>
            <w:pStyle w:val="21"/>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_Toc22575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三、区域环境质量现状、环境保护目标及评价标准</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_Toc22575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26</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14:paraId="4D6FD464">
          <w:pPr>
            <w:pStyle w:val="21"/>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_Toc21866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eastAsia="zh-CN"/>
              <w14:textFill>
                <w14:solidFill>
                  <w14:schemeClr w14:val="tx1"/>
                </w14:solidFill>
              </w14:textFill>
            </w:rPr>
            <w:t>四、</w:t>
          </w:r>
          <w:r>
            <w:rPr>
              <w:rFonts w:hint="default" w:ascii="Times New Roman" w:hAnsi="Times New Roman" w:eastAsia="宋体" w:cs="Times New Roman"/>
              <w:color w:val="000000" w:themeColor="text1"/>
              <w:sz w:val="24"/>
              <w:szCs w:val="24"/>
              <w14:textFill>
                <w14:solidFill>
                  <w14:schemeClr w14:val="tx1"/>
                </w14:solidFill>
              </w14:textFill>
            </w:rPr>
            <w:t>主要环境影响和保护措施</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_Toc21866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36</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14:paraId="527D6C71">
          <w:pPr>
            <w:pStyle w:val="21"/>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_Toc991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五、环境保护措施监督检查清单</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_Toc991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60</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14:paraId="6C78251E">
          <w:pPr>
            <w:pStyle w:val="21"/>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_Toc29758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六、结论</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_Toc29758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62</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14:paraId="0E0B6166">
          <w:pPr>
            <w:pStyle w:val="21"/>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_Toc9558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附件一：委托书</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_Toc9558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b/>
            </w:rPr>
            <w:t>错误！未定义书签。</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14:paraId="55F038B6">
          <w:pPr>
            <w:pStyle w:val="21"/>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_Toc27426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eastAsia="zh-CN"/>
              <w14:textFill>
                <w14:solidFill>
                  <w14:schemeClr w14:val="tx1"/>
                </w14:solidFill>
              </w14:textFill>
            </w:rPr>
            <w:t>附件三</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：营业执照及法人身份证复印件</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_Toc27426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b/>
            </w:rPr>
            <w:t>错误！未定义书签。</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14:paraId="11DE6579">
          <w:pPr>
            <w:pStyle w:val="21"/>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_Toc12148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eastAsia="zh-CN"/>
              <w14:textFill>
                <w14:solidFill>
                  <w14:schemeClr w14:val="tx1"/>
                </w14:solidFill>
              </w14:textFill>
            </w:rPr>
            <w:t>附件四</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：出租方产权证明</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_Toc12148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b/>
            </w:rPr>
            <w:t>错误！未定义书签。</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14:paraId="1BDACFE4">
          <w:pPr>
            <w:pStyle w:val="21"/>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_Toc32398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附件五：厂房租赁合同</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_Toc32398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b/>
            </w:rPr>
            <w:t>错误！未定义书签。</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14:paraId="7D3DB6B1">
          <w:pPr>
            <w:pStyle w:val="21"/>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_Toc25985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附件六：接管证明</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_Toc25985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b/>
            </w:rPr>
            <w:t>错误！未定义书签。</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14:paraId="34E05218">
          <w:pPr>
            <w:pStyle w:val="21"/>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_Toc31379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附件七：厂区</w:t>
          </w:r>
          <w:r>
            <w:rPr>
              <w:rFonts w:hint="eastAsia" w:cs="Times New Roman"/>
              <w:color w:val="000000" w:themeColor="text1"/>
              <w:sz w:val="24"/>
              <w:szCs w:val="24"/>
              <w:lang w:val="en-US" w:eastAsia="zh-CN"/>
              <w14:textFill>
                <w14:solidFill>
                  <w14:schemeClr w14:val="tx1"/>
                </w14:solidFill>
              </w14:textFill>
            </w:rPr>
            <w:t>总平面图</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_Toc31379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b/>
            </w:rPr>
            <w:t>错误！未定义书签。</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14:paraId="4BB249DD">
          <w:pPr>
            <w:pStyle w:val="21"/>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HYPERLINK \l _Toc18829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附件八：总量指标承诺函</w:t>
          </w:r>
          <w:r>
            <w:rPr>
              <w:rFonts w:hint="default" w:ascii="Times New Roman" w:hAnsi="Times New Roman" w:eastAsia="宋体" w:cs="Times New Roman"/>
              <w:color w:val="000000" w:themeColor="text1"/>
              <w:sz w:val="24"/>
              <w:szCs w:val="24"/>
              <w14:textFill>
                <w14:solidFill>
                  <w14:schemeClr w14:val="tx1"/>
                </w14:solidFill>
              </w14:textFill>
            </w:rPr>
            <w:tab/>
          </w: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PAGEREF _Toc18829 \h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b/>
            </w:rPr>
            <w:t>错误！未定义书签。</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fldChar w:fldCharType="end"/>
          </w:r>
        </w:p>
        <w:p w14:paraId="62313314">
          <w:pPr>
            <w:pStyle w:val="21"/>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end"/>
          </w:r>
        </w:p>
      </w:sdtContent>
    </w:sdt>
    <w:p w14:paraId="3A0B66D5">
      <w:pPr>
        <w:pStyle w:val="21"/>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TOC \o "1-1" \h \u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p>
    <w:p w14:paraId="102B5150">
      <w:pPr>
        <w:pStyle w:val="21"/>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附图1 项目地理位置图</w:t>
      </w:r>
    </w:p>
    <w:p w14:paraId="3B17D026">
      <w:pPr>
        <w:pStyle w:val="21"/>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附图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 xml:space="preserve"> 项目周边环境示意图</w:t>
      </w:r>
    </w:p>
    <w:p w14:paraId="0A264C02">
      <w:pPr>
        <w:pStyle w:val="21"/>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附图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 项目周边现状拍摄图</w:t>
      </w:r>
    </w:p>
    <w:p w14:paraId="29668E3C">
      <w:pPr>
        <w:pStyle w:val="21"/>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附图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 xml:space="preserve"> </w:t>
      </w:r>
      <w:r>
        <w:rPr>
          <w:rFonts w:hint="default" w:ascii="Times New Roman" w:hAnsi="Times New Roman" w:eastAsia="宋体" w:cs="Times New Roman"/>
          <w:color w:val="000000" w:themeColor="text1"/>
          <w:sz w:val="24"/>
          <w:szCs w:val="24"/>
          <w:lang w:eastAsia="zh-CN"/>
          <w14:textFill>
            <w14:solidFill>
              <w14:schemeClr w14:val="tx1"/>
            </w14:solidFill>
          </w14:textFill>
        </w:rPr>
        <w:t>引用项目</w:t>
      </w:r>
      <w:r>
        <w:rPr>
          <w:rFonts w:hint="default" w:ascii="Times New Roman" w:hAnsi="Times New Roman" w:eastAsia="宋体" w:cs="Times New Roman"/>
          <w:color w:val="000000" w:themeColor="text1"/>
          <w:sz w:val="24"/>
          <w:szCs w:val="24"/>
          <w14:textFill>
            <w14:solidFill>
              <w14:schemeClr w14:val="tx1"/>
            </w14:solidFill>
          </w14:textFill>
        </w:rPr>
        <w:t>大气监测点</w:t>
      </w:r>
      <w:r>
        <w:rPr>
          <w:rFonts w:hint="default" w:ascii="Times New Roman" w:hAnsi="Times New Roman" w:eastAsia="宋体" w:cs="Times New Roman"/>
          <w:color w:val="000000" w:themeColor="text1"/>
          <w:sz w:val="24"/>
          <w:szCs w:val="24"/>
          <w:lang w:eastAsia="zh-CN"/>
          <w14:textFill>
            <w14:solidFill>
              <w14:schemeClr w14:val="tx1"/>
            </w14:solidFill>
          </w14:textFill>
        </w:rPr>
        <w:t>位</w:t>
      </w:r>
      <w:r>
        <w:rPr>
          <w:rFonts w:hint="default" w:ascii="Times New Roman" w:hAnsi="Times New Roman" w:eastAsia="宋体" w:cs="Times New Roman"/>
          <w:color w:val="000000" w:themeColor="text1"/>
          <w:sz w:val="24"/>
          <w:szCs w:val="24"/>
          <w14:textFill>
            <w14:solidFill>
              <w14:schemeClr w14:val="tx1"/>
            </w14:solidFill>
          </w14:textFill>
        </w:rPr>
        <w:t>图</w:t>
      </w:r>
    </w:p>
    <w:p w14:paraId="460412E8">
      <w:pPr>
        <w:pStyle w:val="21"/>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附图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5 </w:t>
      </w:r>
      <w:r>
        <w:rPr>
          <w:rFonts w:hint="default" w:ascii="Times New Roman" w:hAnsi="Times New Roman" w:eastAsia="宋体" w:cs="Times New Roman"/>
          <w:color w:val="000000" w:themeColor="text1"/>
          <w:sz w:val="24"/>
          <w:szCs w:val="24"/>
          <w:lang w:eastAsia="zh-CN"/>
          <w14:textFill>
            <w14:solidFill>
              <w14:schemeClr w14:val="tx1"/>
            </w14:solidFill>
          </w14:textFill>
        </w:rPr>
        <w:t>蓝谷海工装备产业综合体（一期）总平面图</w:t>
      </w:r>
    </w:p>
    <w:p w14:paraId="7041F997">
      <w:pPr>
        <w:pStyle w:val="21"/>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附图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14:textFill>
            <w14:solidFill>
              <w14:schemeClr w14:val="tx1"/>
            </w14:solidFill>
          </w14:textFill>
        </w:rPr>
        <w:t xml:space="preserve">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B37厂房</w:t>
      </w:r>
      <w:r>
        <w:rPr>
          <w:rFonts w:hint="default" w:ascii="Times New Roman" w:hAnsi="Times New Roman" w:eastAsia="宋体" w:cs="Times New Roman"/>
          <w:color w:val="000000" w:themeColor="text1"/>
          <w:sz w:val="24"/>
          <w:szCs w:val="24"/>
          <w:lang w:eastAsia="zh-CN"/>
          <w14:textFill>
            <w14:solidFill>
              <w14:schemeClr w14:val="tx1"/>
            </w14:solidFill>
          </w14:textFill>
        </w:rPr>
        <w:t>平面布置图</w:t>
      </w:r>
    </w:p>
    <w:p w14:paraId="27F0A1B8">
      <w:pPr>
        <w:pStyle w:val="21"/>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附图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14:textFill>
            <w14:solidFill>
              <w14:schemeClr w14:val="tx1"/>
            </w14:solidFill>
          </w14:textFill>
        </w:rPr>
        <w:t xml:space="preserve"> </w:t>
      </w:r>
      <w:r>
        <w:rPr>
          <w:rFonts w:hint="default" w:ascii="Times New Roman" w:hAnsi="Times New Roman" w:eastAsia="宋体" w:cs="Times New Roman"/>
          <w:color w:val="000000" w:themeColor="text1"/>
          <w:sz w:val="24"/>
          <w:szCs w:val="24"/>
          <w:lang w:eastAsia="zh-CN"/>
          <w14:textFill>
            <w14:solidFill>
              <w14:schemeClr w14:val="tx1"/>
            </w14:solidFill>
          </w14:textFill>
        </w:rPr>
        <w:t>闽台（福州）蓝色经济产业园总体规划修编（</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2017-2035</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-土地利用规划图</w:t>
      </w:r>
    </w:p>
    <w:p w14:paraId="42057331">
      <w:pPr>
        <w:pStyle w:val="21"/>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附图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14:textFill>
            <w14:solidFill>
              <w14:schemeClr w14:val="tx1"/>
            </w14:solidFill>
          </w14:textFill>
        </w:rPr>
        <w:t xml:space="preserve">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闽台(福州)蓝色经济产业园总体规划修编(2017-2035)--产业分布示意图</w:t>
      </w:r>
    </w:p>
    <w:p w14:paraId="1454CB96">
      <w:pPr>
        <w:pStyle w:val="21"/>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附图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14:textFill>
            <w14:solidFill>
              <w14:schemeClr w14:val="tx1"/>
            </w14:solidFill>
          </w14:textFill>
        </w:rPr>
        <w:t xml:space="preserve">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闽台(福州)蓝色经济产业园总体规划修编(2017-2035)--污水工程规划图</w:t>
      </w:r>
    </w:p>
    <w:p w14:paraId="57B01756">
      <w:pPr>
        <w:pStyle w:val="21"/>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sectPr>
          <w:headerReference r:id="rId8" w:type="default"/>
          <w:footerReference r:id="rId9" w:type="default"/>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附图10 2025年夏季福建省近岸海域235个国省控监测数据截图</w:t>
      </w:r>
    </w:p>
    <w:p w14:paraId="543C6AE1">
      <w:pPr>
        <w:pStyle w:val="23"/>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pPr>
      <w:bookmarkStart w:id="9" w:name="_Toc2755"/>
      <w:r>
        <w:rPr>
          <w:rFonts w:hint="default" w:ascii="Times New Roman" w:hAnsi="Times New Roman" w:eastAsia="黑体" w:cs="Times New Roman"/>
          <w:snapToGrid w:val="0"/>
          <w:color w:val="000000" w:themeColor="text1"/>
          <w:sz w:val="30"/>
          <w:szCs w:val="30"/>
          <w14:textFill>
            <w14:solidFill>
              <w14:schemeClr w14:val="tx1"/>
            </w14:solidFill>
          </w14:textFill>
        </w:rPr>
        <w:t>一、建设项目基本情况</w:t>
      </w:r>
      <w:bookmarkEnd w:id="9"/>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06"/>
        <w:gridCol w:w="678"/>
        <w:gridCol w:w="2097"/>
        <w:gridCol w:w="2113"/>
        <w:gridCol w:w="3176"/>
      </w:tblGrid>
      <w:tr w14:paraId="50EB02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84" w:type="dxa"/>
            <w:gridSpan w:val="2"/>
            <w:noWrap w:val="0"/>
            <w:tcMar>
              <w:top w:w="16" w:type="dxa"/>
              <w:left w:w="16" w:type="dxa"/>
              <w:right w:w="16" w:type="dxa"/>
            </w:tcMar>
            <w:vAlign w:val="center"/>
          </w:tcPr>
          <w:p w14:paraId="1F7C4C0A">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建设项目名称</w:t>
            </w:r>
          </w:p>
        </w:tc>
        <w:tc>
          <w:tcPr>
            <w:tcW w:w="7386" w:type="dxa"/>
            <w:gridSpan w:val="3"/>
            <w:noWrap w:val="0"/>
            <w:vAlign w:val="center"/>
          </w:tcPr>
          <w:p w14:paraId="4F71E055">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福州市福清亿树资源再生有限公司年回收加工输液瓶（袋）10400吨、年回收加工破碎生活塑料4000吨项目</w:t>
            </w:r>
          </w:p>
        </w:tc>
      </w:tr>
      <w:tr w14:paraId="1413D4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84" w:type="dxa"/>
            <w:gridSpan w:val="2"/>
            <w:noWrap w:val="0"/>
            <w:tcMar>
              <w:top w:w="16" w:type="dxa"/>
              <w:left w:w="16" w:type="dxa"/>
              <w:right w:w="16" w:type="dxa"/>
            </w:tcMar>
            <w:vAlign w:val="center"/>
          </w:tcPr>
          <w:p w14:paraId="33E0CF1B">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项目代码</w:t>
            </w:r>
          </w:p>
        </w:tc>
        <w:tc>
          <w:tcPr>
            <w:tcW w:w="7386" w:type="dxa"/>
            <w:gridSpan w:val="3"/>
            <w:noWrap w:val="0"/>
            <w:vAlign w:val="center"/>
          </w:tcPr>
          <w:p w14:paraId="4DA35C87">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2511-350181-04-01-357900</w:t>
            </w:r>
          </w:p>
        </w:tc>
      </w:tr>
      <w:tr w14:paraId="2DB400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84" w:type="dxa"/>
            <w:gridSpan w:val="2"/>
            <w:noWrap w:val="0"/>
            <w:tcMar>
              <w:top w:w="16" w:type="dxa"/>
              <w:left w:w="16" w:type="dxa"/>
              <w:right w:w="16" w:type="dxa"/>
            </w:tcMar>
            <w:vAlign w:val="center"/>
          </w:tcPr>
          <w:p w14:paraId="0B993C65">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建设单位联系人</w:t>
            </w:r>
          </w:p>
        </w:tc>
        <w:tc>
          <w:tcPr>
            <w:tcW w:w="2097" w:type="dxa"/>
            <w:noWrap w:val="0"/>
            <w:vAlign w:val="center"/>
          </w:tcPr>
          <w:p w14:paraId="7E69E17F">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cs="Times New Roman"/>
                <w:color w:val="000000"/>
                <w:szCs w:val="21"/>
                <w:lang w:eastAsia="zh-CN"/>
              </w:rPr>
              <w:t>林</w:t>
            </w:r>
            <w:r>
              <w:rPr>
                <w:rFonts w:hint="eastAsia" w:cs="Times New Roman"/>
                <w:color w:val="000000"/>
                <w:szCs w:val="21"/>
                <w:lang w:val="en-US" w:eastAsia="zh-CN"/>
              </w:rPr>
              <w:t>**</w:t>
            </w:r>
          </w:p>
        </w:tc>
        <w:tc>
          <w:tcPr>
            <w:tcW w:w="2113" w:type="dxa"/>
            <w:noWrap w:val="0"/>
            <w:vAlign w:val="center"/>
          </w:tcPr>
          <w:p w14:paraId="5E76CA5E">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联系方式</w:t>
            </w:r>
          </w:p>
        </w:tc>
        <w:tc>
          <w:tcPr>
            <w:tcW w:w="3176" w:type="dxa"/>
            <w:noWrap w:val="0"/>
            <w:vAlign w:val="center"/>
          </w:tcPr>
          <w:p w14:paraId="56602185">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cs="Times New Roman"/>
                <w:color w:val="000000"/>
                <w:szCs w:val="21"/>
                <w:lang w:eastAsia="zh-CN"/>
              </w:rPr>
              <w:t>137</w:t>
            </w:r>
            <w:r>
              <w:rPr>
                <w:rFonts w:hint="eastAsia" w:cs="Times New Roman"/>
                <w:color w:val="000000"/>
                <w:szCs w:val="21"/>
                <w:lang w:val="en-US" w:eastAsia="zh-CN"/>
              </w:rPr>
              <w:t>****</w:t>
            </w:r>
            <w:r>
              <w:rPr>
                <w:rFonts w:hint="default" w:ascii="Times New Roman" w:hAnsi="Times New Roman" w:cs="Times New Roman"/>
                <w:color w:val="000000"/>
                <w:szCs w:val="21"/>
                <w:lang w:eastAsia="zh-CN"/>
              </w:rPr>
              <w:t>3832</w:t>
            </w:r>
          </w:p>
        </w:tc>
      </w:tr>
      <w:tr w14:paraId="73C457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8" w:hRule="atLeast"/>
          <w:jc w:val="center"/>
        </w:trPr>
        <w:tc>
          <w:tcPr>
            <w:tcW w:w="1484" w:type="dxa"/>
            <w:gridSpan w:val="2"/>
            <w:noWrap w:val="0"/>
            <w:tcMar>
              <w:top w:w="16" w:type="dxa"/>
              <w:left w:w="16" w:type="dxa"/>
              <w:right w:w="16" w:type="dxa"/>
            </w:tcMar>
            <w:vAlign w:val="center"/>
          </w:tcPr>
          <w:p w14:paraId="1A123A08">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建设地点</w:t>
            </w:r>
          </w:p>
        </w:tc>
        <w:tc>
          <w:tcPr>
            <w:tcW w:w="7386" w:type="dxa"/>
            <w:gridSpan w:val="3"/>
            <w:noWrap w:val="0"/>
            <w:vAlign w:val="center"/>
          </w:tcPr>
          <w:p w14:paraId="5EAB3D46">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福建省福州市福清市</w:t>
            </w:r>
            <w:r>
              <w:rPr>
                <w:rFonts w:hint="default" w:ascii="Times New Roman" w:hAnsi="Times New Roman" w:cs="Times New Roman"/>
                <w:color w:val="000000" w:themeColor="text1"/>
                <w:szCs w:val="21"/>
                <w:lang w:eastAsia="zh-CN"/>
                <w14:textFill>
                  <w14:solidFill>
                    <w14:schemeClr w14:val="tx1"/>
                  </w14:solidFill>
                </w14:textFill>
              </w:rPr>
              <w:t>江镜镇</w:t>
            </w:r>
            <w:r>
              <w:rPr>
                <w:rFonts w:hint="default" w:ascii="Times New Roman" w:hAnsi="Times New Roman" w:eastAsia="宋体" w:cs="Times New Roman"/>
                <w:color w:val="000000" w:themeColor="text1"/>
                <w:szCs w:val="21"/>
                <w:lang w:eastAsia="zh-CN"/>
                <w14:textFill>
                  <w14:solidFill>
                    <w14:schemeClr w14:val="tx1"/>
                  </w14:solidFill>
                </w14:textFill>
              </w:rPr>
              <w:t>闽台（福州）蓝色经济产业园（租赁</w:t>
            </w:r>
            <w:r>
              <w:rPr>
                <w:rFonts w:hint="default" w:ascii="Times New Roman" w:hAnsi="Times New Roman" w:cs="Times New Roman"/>
                <w:color w:val="000000" w:themeColor="text1"/>
                <w:szCs w:val="21"/>
                <w:lang w:eastAsia="zh-CN"/>
                <w14:textFill>
                  <w14:solidFill>
                    <w14:schemeClr w14:val="tx1"/>
                  </w14:solidFill>
                </w14:textFill>
              </w:rPr>
              <w:t>福州锦佳商贸有限公司B37栋厂房（二期）</w:t>
            </w:r>
            <w:r>
              <w:rPr>
                <w:rFonts w:hint="default" w:ascii="Times New Roman" w:hAnsi="Times New Roman" w:eastAsia="宋体" w:cs="Times New Roman"/>
                <w:color w:val="000000" w:themeColor="text1"/>
                <w:szCs w:val="21"/>
                <w:lang w:eastAsia="zh-CN"/>
                <w14:textFill>
                  <w14:solidFill>
                    <w14:schemeClr w14:val="tx1"/>
                  </w14:solidFill>
                </w14:textFill>
              </w:rPr>
              <w:t>）</w:t>
            </w:r>
          </w:p>
        </w:tc>
      </w:tr>
      <w:tr w14:paraId="6AA7A5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84" w:type="dxa"/>
            <w:gridSpan w:val="2"/>
            <w:noWrap w:val="0"/>
            <w:tcMar>
              <w:top w:w="16" w:type="dxa"/>
              <w:left w:w="16" w:type="dxa"/>
              <w:right w:w="16" w:type="dxa"/>
            </w:tcMar>
            <w:vAlign w:val="center"/>
          </w:tcPr>
          <w:p w14:paraId="240A2CC1">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地理坐标</w:t>
            </w:r>
          </w:p>
        </w:tc>
        <w:tc>
          <w:tcPr>
            <w:tcW w:w="7386" w:type="dxa"/>
            <w:gridSpan w:val="3"/>
            <w:noWrap w:val="0"/>
            <w:vAlign w:val="center"/>
          </w:tcPr>
          <w:p w14:paraId="7390A80D">
            <w:pPr>
              <w:keepNext w:val="0"/>
              <w:keepLines w:val="0"/>
              <w:pageBreakBefore w:val="0"/>
              <w:widowControl w:val="0"/>
              <w:kinsoku/>
              <w:wordWrap/>
              <w:overflowPunct/>
              <w:topLinePunct w:val="0"/>
              <w:bidi w:val="0"/>
              <w:spacing w:line="340" w:lineRule="exact"/>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经度：119°23′12.59</w:t>
            </w:r>
            <w:r>
              <w:rPr>
                <w:rFonts w:hint="default" w:ascii="Times New Roman" w:hAnsi="Times New Roman" w:cs="Times New Roman"/>
                <w:color w:val="000000" w:themeColor="text1"/>
                <w:szCs w:val="21"/>
                <w:lang w:val="en-US" w:eastAsia="zh-CN"/>
                <w14:textFill>
                  <w14:solidFill>
                    <w14:schemeClr w14:val="tx1"/>
                  </w14:solidFill>
                </w14:textFill>
              </w:rPr>
              <w:t>6</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w:t>
            </w:r>
            <w:r>
              <w:rPr>
                <w:rFonts w:hint="default" w:ascii="Times New Roman" w:hAnsi="Times New Roman" w:eastAsia="宋体" w:cs="Times New Roman"/>
                <w:color w:val="000000" w:themeColor="text1"/>
                <w:szCs w:val="21"/>
                <w:lang w:eastAsia="zh-CN"/>
                <w14:textFill>
                  <w14:solidFill>
                    <w14:schemeClr w14:val="tx1"/>
                  </w14:solidFill>
                </w14:textFill>
              </w:rPr>
              <w:t>纬度：25°31′42.906″，地理位置图详见附图</w:t>
            </w:r>
            <w:r>
              <w:rPr>
                <w:rFonts w:hint="default" w:ascii="Times New Roman" w:hAnsi="Times New Roman" w:eastAsia="宋体" w:cs="Times New Roman"/>
                <w:color w:val="000000" w:themeColor="text1"/>
                <w:szCs w:val="21"/>
                <w:lang w:val="en-US" w:eastAsia="zh-CN"/>
                <w14:textFill>
                  <w14:solidFill>
                    <w14:schemeClr w14:val="tx1"/>
                  </w14:solidFill>
                </w14:textFill>
              </w:rPr>
              <w:t>1</w:t>
            </w:r>
          </w:p>
        </w:tc>
      </w:tr>
      <w:tr w14:paraId="4BE6D0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484" w:type="dxa"/>
            <w:gridSpan w:val="2"/>
            <w:noWrap w:val="0"/>
            <w:tcMar>
              <w:top w:w="16" w:type="dxa"/>
              <w:left w:w="16" w:type="dxa"/>
              <w:right w:w="16" w:type="dxa"/>
            </w:tcMar>
            <w:vAlign w:val="center"/>
          </w:tcPr>
          <w:p w14:paraId="74E48F5A">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国民经济</w:t>
            </w:r>
          </w:p>
          <w:p w14:paraId="34753471">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行业类别</w:t>
            </w:r>
          </w:p>
        </w:tc>
        <w:tc>
          <w:tcPr>
            <w:tcW w:w="2097" w:type="dxa"/>
            <w:noWrap w:val="0"/>
            <w:vAlign w:val="center"/>
          </w:tcPr>
          <w:p w14:paraId="13AC2B80">
            <w:pPr>
              <w:pStyle w:val="16"/>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C</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4220</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(非金属废料和碎屑加工处理)</w:t>
            </w:r>
          </w:p>
        </w:tc>
        <w:tc>
          <w:tcPr>
            <w:tcW w:w="2113" w:type="dxa"/>
            <w:noWrap w:val="0"/>
            <w:vAlign w:val="center"/>
          </w:tcPr>
          <w:p w14:paraId="1E3644FA">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zCs w:val="21"/>
                <w14:textFill>
                  <w14:solidFill>
                    <w14:schemeClr w14:val="tx1"/>
                  </w14:solidFill>
                </w14:textFill>
              </w:rPr>
            </w:pPr>
            <w:bookmarkStart w:id="10" w:name="_Hlk49843745"/>
            <w:r>
              <w:rPr>
                <w:rFonts w:hint="default" w:ascii="Times New Roman" w:hAnsi="Times New Roman" w:eastAsia="宋体" w:cs="Times New Roman"/>
                <w:color w:val="000000" w:themeColor="text1"/>
                <w:szCs w:val="21"/>
                <w14:textFill>
                  <w14:solidFill>
                    <w14:schemeClr w14:val="tx1"/>
                  </w14:solidFill>
                </w14:textFill>
              </w:rPr>
              <w:t>建设项目</w:t>
            </w:r>
          </w:p>
          <w:p w14:paraId="4A3543AB">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行业类别</w:t>
            </w:r>
            <w:bookmarkEnd w:id="10"/>
          </w:p>
        </w:tc>
        <w:tc>
          <w:tcPr>
            <w:tcW w:w="3176" w:type="dxa"/>
            <w:noWrap w:val="0"/>
            <w:vAlign w:val="center"/>
          </w:tcPr>
          <w:p w14:paraId="0856B7B2">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三十九、废弃资源综合利用业</w:t>
            </w:r>
            <w:r>
              <w:rPr>
                <w:rFonts w:hint="default" w:ascii="Times New Roman" w:hAnsi="Times New Roman" w:cs="Times New Roman"/>
                <w:color w:val="000000" w:themeColor="text1"/>
                <w:szCs w:val="21"/>
                <w:lang w:val="en-US" w:eastAsia="zh-CN"/>
                <w14:textFill>
                  <w14:solidFill>
                    <w14:schemeClr w14:val="tx1"/>
                  </w14:solidFill>
                </w14:textFill>
              </w:rPr>
              <w:t>42-85金属废料和碎屑加工处理 421；非金属废料和碎屑加工处 理422（421和422均不含原料为危险废物的，均不含仅分拣、破碎的）</w:t>
            </w:r>
          </w:p>
        </w:tc>
      </w:tr>
      <w:tr w14:paraId="2623A0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484" w:type="dxa"/>
            <w:gridSpan w:val="2"/>
            <w:noWrap w:val="0"/>
            <w:tcMar>
              <w:top w:w="16" w:type="dxa"/>
              <w:left w:w="16" w:type="dxa"/>
              <w:right w:w="16" w:type="dxa"/>
            </w:tcMar>
            <w:vAlign w:val="center"/>
          </w:tcPr>
          <w:p w14:paraId="0AF85BB4">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建设性质</w:t>
            </w:r>
          </w:p>
        </w:tc>
        <w:tc>
          <w:tcPr>
            <w:tcW w:w="2097" w:type="dxa"/>
            <w:noWrap w:val="0"/>
            <w:vAlign w:val="center"/>
          </w:tcPr>
          <w:p w14:paraId="35794E33">
            <w:pPr>
              <w:keepNext w:val="0"/>
              <w:keepLines w:val="0"/>
              <w:pageBreakBefore w:val="0"/>
              <w:widowControl w:val="0"/>
              <w:kinsoku/>
              <w:wordWrap/>
              <w:overflowPunct/>
              <w:topLinePunct w:val="0"/>
              <w:bidi w:val="0"/>
              <w:spacing w:line="340" w:lineRule="exact"/>
              <w:jc w:val="left"/>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新建（迁建）</w:t>
            </w:r>
          </w:p>
          <w:p w14:paraId="575A7572">
            <w:pPr>
              <w:keepNext w:val="0"/>
              <w:keepLines w:val="0"/>
              <w:pageBreakBefore w:val="0"/>
              <w:widowControl w:val="0"/>
              <w:kinsoku/>
              <w:wordWrap/>
              <w:overflowPunct/>
              <w:topLinePunct w:val="0"/>
              <w:bidi w:val="0"/>
              <w:spacing w:line="340" w:lineRule="exact"/>
              <w:jc w:val="left"/>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sym w:font="Wingdings 2" w:char="00A3"/>
            </w:r>
            <w:r>
              <w:rPr>
                <w:rFonts w:hint="default" w:ascii="Times New Roman" w:hAnsi="Times New Roman" w:eastAsia="宋体" w:cs="Times New Roman"/>
                <w:color w:val="000000" w:themeColor="text1"/>
                <w:szCs w:val="21"/>
                <w14:textFill>
                  <w14:solidFill>
                    <w14:schemeClr w14:val="tx1"/>
                  </w14:solidFill>
                </w14:textFill>
              </w:rPr>
              <w:t>改建</w:t>
            </w:r>
          </w:p>
          <w:p w14:paraId="2AF50E06">
            <w:pPr>
              <w:keepNext w:val="0"/>
              <w:keepLines w:val="0"/>
              <w:pageBreakBefore w:val="0"/>
              <w:widowControl w:val="0"/>
              <w:kinsoku/>
              <w:wordWrap/>
              <w:overflowPunct/>
              <w:topLinePunct w:val="0"/>
              <w:bidi w:val="0"/>
              <w:spacing w:line="340" w:lineRule="exact"/>
              <w:jc w:val="left"/>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sym w:font="Wingdings 2" w:char="00A3"/>
            </w:r>
            <w:r>
              <w:rPr>
                <w:rFonts w:hint="default" w:ascii="Times New Roman" w:hAnsi="Times New Roman" w:eastAsia="宋体" w:cs="Times New Roman"/>
                <w:color w:val="000000" w:themeColor="text1"/>
                <w:szCs w:val="21"/>
                <w14:textFill>
                  <w14:solidFill>
                    <w14:schemeClr w14:val="tx1"/>
                  </w14:solidFill>
                </w14:textFill>
              </w:rPr>
              <w:t>扩建</w:t>
            </w:r>
          </w:p>
          <w:p w14:paraId="14E76759">
            <w:pPr>
              <w:keepNext w:val="0"/>
              <w:keepLines w:val="0"/>
              <w:pageBreakBefore w:val="0"/>
              <w:widowControl w:val="0"/>
              <w:kinsoku/>
              <w:wordWrap/>
              <w:overflowPunct/>
              <w:topLinePunct w:val="0"/>
              <w:bidi w:val="0"/>
              <w:spacing w:line="340" w:lineRule="exact"/>
              <w:jc w:val="left"/>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技术改造</w:t>
            </w:r>
          </w:p>
        </w:tc>
        <w:tc>
          <w:tcPr>
            <w:tcW w:w="2113" w:type="dxa"/>
            <w:noWrap w:val="0"/>
            <w:vAlign w:val="center"/>
          </w:tcPr>
          <w:p w14:paraId="3DEB944E">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建设项目</w:t>
            </w:r>
          </w:p>
          <w:p w14:paraId="4F64F693">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申报情形</w:t>
            </w:r>
          </w:p>
        </w:tc>
        <w:tc>
          <w:tcPr>
            <w:tcW w:w="3176" w:type="dxa"/>
            <w:noWrap w:val="0"/>
            <w:vAlign w:val="center"/>
          </w:tcPr>
          <w:p w14:paraId="0025249D">
            <w:pPr>
              <w:keepNext w:val="0"/>
              <w:keepLines w:val="0"/>
              <w:pageBreakBefore w:val="0"/>
              <w:widowControl w:val="0"/>
              <w:kinsoku/>
              <w:wordWrap/>
              <w:overflowPunct/>
              <w:topLinePunct w:val="0"/>
              <w:bidi w:val="0"/>
              <w:spacing w:line="340" w:lineRule="exact"/>
              <w:jc w:val="left"/>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sym w:font="Wingdings 2" w:char="0052"/>
            </w:r>
            <w:r>
              <w:rPr>
                <w:rFonts w:hint="default" w:ascii="Times New Roman" w:hAnsi="Times New Roman" w:eastAsia="宋体" w:cs="Times New Roman"/>
                <w:color w:val="000000" w:themeColor="text1"/>
                <w:szCs w:val="21"/>
                <w14:textFill>
                  <w14:solidFill>
                    <w14:schemeClr w14:val="tx1"/>
                  </w14:solidFill>
                </w14:textFill>
              </w:rPr>
              <w:t xml:space="preserve">首次申报项目             </w:t>
            </w:r>
          </w:p>
          <w:p w14:paraId="18FB1214">
            <w:pPr>
              <w:keepNext w:val="0"/>
              <w:keepLines w:val="0"/>
              <w:pageBreakBefore w:val="0"/>
              <w:widowControl w:val="0"/>
              <w:kinsoku/>
              <w:wordWrap/>
              <w:overflowPunct/>
              <w:topLinePunct w:val="0"/>
              <w:bidi w:val="0"/>
              <w:spacing w:line="340" w:lineRule="exact"/>
              <w:jc w:val="left"/>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sym w:font="Wingdings 2" w:char="00A3"/>
            </w:r>
            <w:r>
              <w:rPr>
                <w:rFonts w:hint="default" w:ascii="Times New Roman" w:hAnsi="Times New Roman" w:eastAsia="宋体" w:cs="Times New Roman"/>
                <w:color w:val="000000" w:themeColor="text1"/>
                <w:szCs w:val="21"/>
                <w14:textFill>
                  <w14:solidFill>
                    <w14:schemeClr w14:val="tx1"/>
                  </w14:solidFill>
                </w14:textFill>
              </w:rPr>
              <w:t>不予批准后再次申报项目</w:t>
            </w:r>
          </w:p>
          <w:p w14:paraId="070153A4">
            <w:pPr>
              <w:keepNext w:val="0"/>
              <w:keepLines w:val="0"/>
              <w:pageBreakBefore w:val="0"/>
              <w:widowControl w:val="0"/>
              <w:kinsoku/>
              <w:wordWrap/>
              <w:overflowPunct/>
              <w:topLinePunct w:val="0"/>
              <w:bidi w:val="0"/>
              <w:spacing w:line="340" w:lineRule="exact"/>
              <w:jc w:val="left"/>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sym w:font="Wingdings 2" w:char="00A3"/>
            </w:r>
            <w:r>
              <w:rPr>
                <w:rFonts w:hint="default" w:ascii="Times New Roman" w:hAnsi="Times New Roman" w:eastAsia="宋体" w:cs="Times New Roman"/>
                <w:color w:val="000000" w:themeColor="text1"/>
                <w:szCs w:val="21"/>
                <w14:textFill>
                  <w14:solidFill>
                    <w14:schemeClr w14:val="tx1"/>
                  </w14:solidFill>
                </w14:textFill>
              </w:rPr>
              <w:t xml:space="preserve">超五年重新审核项目     </w:t>
            </w:r>
          </w:p>
          <w:p w14:paraId="0BA0FF55">
            <w:pPr>
              <w:keepNext w:val="0"/>
              <w:keepLines w:val="0"/>
              <w:pageBreakBefore w:val="0"/>
              <w:widowControl w:val="0"/>
              <w:kinsoku/>
              <w:wordWrap/>
              <w:overflowPunct/>
              <w:topLinePunct w:val="0"/>
              <w:bidi w:val="0"/>
              <w:spacing w:line="340" w:lineRule="exact"/>
              <w:jc w:val="left"/>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sym w:font="Wingdings 2" w:char="00A3"/>
            </w:r>
            <w:r>
              <w:rPr>
                <w:rFonts w:hint="default" w:ascii="Times New Roman" w:hAnsi="Times New Roman" w:eastAsia="宋体" w:cs="Times New Roman"/>
                <w:color w:val="000000" w:themeColor="text1"/>
                <w:szCs w:val="21"/>
                <w14:textFill>
                  <w14:solidFill>
                    <w14:schemeClr w14:val="tx1"/>
                  </w14:solidFill>
                </w14:textFill>
              </w:rPr>
              <w:t>重大变动重新报批项目</w:t>
            </w:r>
          </w:p>
        </w:tc>
      </w:tr>
      <w:tr w14:paraId="7EFA00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484" w:type="dxa"/>
            <w:gridSpan w:val="2"/>
            <w:noWrap w:val="0"/>
            <w:tcMar>
              <w:top w:w="16" w:type="dxa"/>
              <w:left w:w="16" w:type="dxa"/>
              <w:right w:w="16" w:type="dxa"/>
            </w:tcMar>
            <w:vAlign w:val="center"/>
          </w:tcPr>
          <w:p w14:paraId="510E63AC">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项目审批（核准/</w:t>
            </w:r>
          </w:p>
          <w:p w14:paraId="09FB2155">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备案）部门（选填）</w:t>
            </w:r>
          </w:p>
        </w:tc>
        <w:tc>
          <w:tcPr>
            <w:tcW w:w="2097" w:type="dxa"/>
            <w:noWrap w:val="0"/>
            <w:vAlign w:val="center"/>
          </w:tcPr>
          <w:p w14:paraId="3BEA1613">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福清市发展改革局</w:t>
            </w:r>
          </w:p>
        </w:tc>
        <w:tc>
          <w:tcPr>
            <w:tcW w:w="2113" w:type="dxa"/>
            <w:noWrap w:val="0"/>
            <w:vAlign w:val="center"/>
          </w:tcPr>
          <w:p w14:paraId="1A6282B3">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项目审批（核准/</w:t>
            </w:r>
          </w:p>
          <w:p w14:paraId="7F3A88BD">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备案）文号（选填）</w:t>
            </w:r>
          </w:p>
        </w:tc>
        <w:tc>
          <w:tcPr>
            <w:tcW w:w="3176" w:type="dxa"/>
            <w:noWrap w:val="0"/>
            <w:vAlign w:val="center"/>
          </w:tcPr>
          <w:p w14:paraId="58A21A0F">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eastAsia="zh-CN"/>
                <w14:textFill>
                  <w14:solidFill>
                    <w14:schemeClr w14:val="tx1"/>
                  </w14:solidFill>
                </w14:textFill>
              </w:rPr>
              <w:t>闽发改备[2025]A060421号</w:t>
            </w:r>
          </w:p>
        </w:tc>
      </w:tr>
      <w:tr w14:paraId="07925B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84" w:type="dxa"/>
            <w:gridSpan w:val="2"/>
            <w:noWrap w:val="0"/>
            <w:tcMar>
              <w:top w:w="16" w:type="dxa"/>
              <w:left w:w="16" w:type="dxa"/>
              <w:right w:w="16" w:type="dxa"/>
            </w:tcMar>
            <w:vAlign w:val="center"/>
          </w:tcPr>
          <w:p w14:paraId="76D61829">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总投资（万元）</w:t>
            </w:r>
          </w:p>
        </w:tc>
        <w:tc>
          <w:tcPr>
            <w:tcW w:w="2097" w:type="dxa"/>
            <w:noWrap w:val="0"/>
            <w:vAlign w:val="center"/>
          </w:tcPr>
          <w:p w14:paraId="6B535A12">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w:t>
            </w:r>
            <w:r>
              <w:rPr>
                <w:rFonts w:hint="default" w:ascii="Times New Roman" w:hAnsi="Times New Roman" w:eastAsia="宋体" w:cs="Times New Roman"/>
                <w:color w:val="auto"/>
                <w:szCs w:val="21"/>
                <w:lang w:val="en-US" w:eastAsia="zh-CN"/>
              </w:rPr>
              <w:t>200</w:t>
            </w:r>
          </w:p>
        </w:tc>
        <w:tc>
          <w:tcPr>
            <w:tcW w:w="2113" w:type="dxa"/>
            <w:noWrap w:val="0"/>
            <w:tcMar>
              <w:top w:w="16" w:type="dxa"/>
              <w:left w:w="16" w:type="dxa"/>
              <w:right w:w="16" w:type="dxa"/>
            </w:tcMar>
            <w:vAlign w:val="center"/>
          </w:tcPr>
          <w:p w14:paraId="11B64754">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环保投资（万元）</w:t>
            </w:r>
          </w:p>
        </w:tc>
        <w:tc>
          <w:tcPr>
            <w:tcW w:w="3176" w:type="dxa"/>
            <w:noWrap w:val="0"/>
            <w:vAlign w:val="center"/>
          </w:tcPr>
          <w:p w14:paraId="205E3A86">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24</w:t>
            </w:r>
          </w:p>
        </w:tc>
      </w:tr>
      <w:tr w14:paraId="050DA0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84" w:type="dxa"/>
            <w:gridSpan w:val="2"/>
            <w:noWrap w:val="0"/>
            <w:tcMar>
              <w:top w:w="16" w:type="dxa"/>
              <w:left w:w="16" w:type="dxa"/>
              <w:right w:w="16" w:type="dxa"/>
            </w:tcMar>
            <w:vAlign w:val="center"/>
          </w:tcPr>
          <w:p w14:paraId="0395C01F">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环保投资占比（%）</w:t>
            </w:r>
          </w:p>
        </w:tc>
        <w:tc>
          <w:tcPr>
            <w:tcW w:w="2097" w:type="dxa"/>
            <w:noWrap w:val="0"/>
            <w:vAlign w:val="center"/>
          </w:tcPr>
          <w:p w14:paraId="728B16C3">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w:t>
            </w:r>
          </w:p>
        </w:tc>
        <w:tc>
          <w:tcPr>
            <w:tcW w:w="2113" w:type="dxa"/>
            <w:noWrap w:val="0"/>
            <w:tcMar>
              <w:top w:w="16" w:type="dxa"/>
              <w:left w:w="16" w:type="dxa"/>
              <w:right w:w="16" w:type="dxa"/>
            </w:tcMar>
            <w:vAlign w:val="center"/>
          </w:tcPr>
          <w:p w14:paraId="5572D3A4">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施工工期</w:t>
            </w:r>
          </w:p>
        </w:tc>
        <w:tc>
          <w:tcPr>
            <w:tcW w:w="3176" w:type="dxa"/>
            <w:noWrap w:val="0"/>
            <w:vAlign w:val="center"/>
          </w:tcPr>
          <w:p w14:paraId="281765DB">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202</w:t>
            </w:r>
            <w:r>
              <w:rPr>
                <w:rFonts w:hint="default" w:ascii="Times New Roman" w:hAnsi="Times New Roman" w:cs="Times New Roman"/>
                <w:color w:val="auto"/>
                <w:szCs w:val="21"/>
                <w:lang w:val="en-US" w:eastAsia="zh-CN"/>
              </w:rPr>
              <w:t>6</w:t>
            </w:r>
            <w:r>
              <w:rPr>
                <w:rFonts w:hint="default" w:ascii="Times New Roman" w:hAnsi="Times New Roman" w:eastAsia="宋体" w:cs="Times New Roman"/>
                <w:color w:val="auto"/>
                <w:szCs w:val="21"/>
                <w:lang w:val="en-US" w:eastAsia="zh-CN"/>
              </w:rPr>
              <w:t>年</w:t>
            </w:r>
            <w:r>
              <w:rPr>
                <w:rFonts w:hint="default" w:ascii="Times New Roman" w:hAnsi="Times New Roman" w:cs="Times New Roman"/>
                <w:color w:val="auto"/>
                <w:szCs w:val="21"/>
                <w:lang w:val="en-US" w:eastAsia="zh-CN"/>
              </w:rPr>
              <w:t>1</w:t>
            </w:r>
            <w:r>
              <w:rPr>
                <w:rFonts w:hint="default" w:ascii="Times New Roman" w:hAnsi="Times New Roman" w:eastAsia="宋体" w:cs="Times New Roman"/>
                <w:color w:val="auto"/>
                <w:szCs w:val="21"/>
                <w:lang w:val="en-US" w:eastAsia="zh-CN"/>
              </w:rPr>
              <w:t>月</w:t>
            </w:r>
            <w:r>
              <w:rPr>
                <w:rFonts w:hint="default" w:ascii="Times New Roman" w:hAnsi="Times New Roman" w:cs="Times New Roman"/>
                <w:color w:val="auto"/>
                <w:szCs w:val="21"/>
                <w:lang w:val="en-US" w:eastAsia="zh-CN"/>
              </w:rPr>
              <w:t>～</w:t>
            </w:r>
            <w:r>
              <w:rPr>
                <w:rFonts w:hint="default" w:ascii="Times New Roman" w:hAnsi="Times New Roman" w:eastAsia="宋体" w:cs="Times New Roman"/>
                <w:color w:val="auto"/>
                <w:szCs w:val="21"/>
                <w:lang w:val="en-US" w:eastAsia="zh-CN"/>
              </w:rPr>
              <w:t>202</w:t>
            </w:r>
            <w:r>
              <w:rPr>
                <w:rFonts w:hint="default" w:ascii="Times New Roman" w:hAnsi="Times New Roman" w:cs="Times New Roman"/>
                <w:color w:val="auto"/>
                <w:szCs w:val="21"/>
                <w:lang w:val="en-US" w:eastAsia="zh-CN"/>
              </w:rPr>
              <w:t>6</w:t>
            </w:r>
            <w:r>
              <w:rPr>
                <w:rFonts w:hint="default" w:ascii="Times New Roman" w:hAnsi="Times New Roman" w:eastAsia="宋体" w:cs="Times New Roman"/>
                <w:color w:val="auto"/>
                <w:szCs w:val="21"/>
                <w:lang w:val="en-US" w:eastAsia="zh-CN"/>
              </w:rPr>
              <w:t>年</w:t>
            </w:r>
            <w:r>
              <w:rPr>
                <w:rFonts w:hint="default" w:ascii="Times New Roman" w:hAnsi="Times New Roman" w:cs="Times New Roman"/>
                <w:color w:val="auto"/>
                <w:szCs w:val="21"/>
                <w:lang w:val="en-US" w:eastAsia="zh-CN"/>
              </w:rPr>
              <w:t>3</w:t>
            </w:r>
            <w:r>
              <w:rPr>
                <w:rFonts w:hint="default" w:ascii="Times New Roman" w:hAnsi="Times New Roman" w:eastAsia="宋体" w:cs="Times New Roman"/>
                <w:color w:val="auto"/>
                <w:szCs w:val="21"/>
                <w:lang w:val="en-US" w:eastAsia="zh-CN"/>
              </w:rPr>
              <w:t>月，</w:t>
            </w:r>
          </w:p>
          <w:p w14:paraId="12602C76">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3</w:t>
            </w:r>
            <w:r>
              <w:rPr>
                <w:rFonts w:hint="default" w:ascii="Times New Roman" w:hAnsi="Times New Roman" w:eastAsia="宋体" w:cs="Times New Roman"/>
                <w:color w:val="auto"/>
                <w:szCs w:val="21"/>
                <w:lang w:val="en-US" w:eastAsia="zh-CN"/>
              </w:rPr>
              <w:t>个月</w:t>
            </w:r>
          </w:p>
        </w:tc>
      </w:tr>
      <w:tr w14:paraId="59AF56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84" w:type="dxa"/>
            <w:gridSpan w:val="2"/>
            <w:noWrap w:val="0"/>
            <w:tcMar>
              <w:top w:w="16" w:type="dxa"/>
              <w:left w:w="16" w:type="dxa"/>
              <w:right w:w="16" w:type="dxa"/>
            </w:tcMar>
            <w:vAlign w:val="center"/>
          </w:tcPr>
          <w:p w14:paraId="3C98EC5C">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是否开工建设</w:t>
            </w:r>
          </w:p>
        </w:tc>
        <w:tc>
          <w:tcPr>
            <w:tcW w:w="2097" w:type="dxa"/>
            <w:noWrap w:val="0"/>
            <w:vAlign w:val="center"/>
          </w:tcPr>
          <w:p w14:paraId="0DE3752E">
            <w:pPr>
              <w:keepNext w:val="0"/>
              <w:keepLines w:val="0"/>
              <w:pageBreakBefore w:val="0"/>
              <w:widowControl w:val="0"/>
              <w:kinsoku/>
              <w:wordWrap/>
              <w:overflowPunct/>
              <w:topLinePunct w:val="0"/>
              <w:bidi w:val="0"/>
              <w:adjustRightInd w:val="0"/>
              <w:snapToGrid w:val="0"/>
              <w:spacing w:line="340" w:lineRule="exact"/>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否</w:t>
            </w:r>
          </w:p>
          <w:p w14:paraId="08129A47">
            <w:pPr>
              <w:keepNext w:val="0"/>
              <w:keepLines w:val="0"/>
              <w:pageBreakBefore w:val="0"/>
              <w:widowControl w:val="0"/>
              <w:kinsoku/>
              <w:wordWrap/>
              <w:overflowPunct/>
              <w:topLinePunct w:val="0"/>
              <w:bidi w:val="0"/>
              <w:adjustRightInd w:val="0"/>
              <w:snapToGrid w:val="0"/>
              <w:spacing w:line="340" w:lineRule="exact"/>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是：</w:t>
            </w:r>
            <w:r>
              <w:rPr>
                <w:rFonts w:hint="default" w:ascii="Times New Roman" w:hAnsi="Times New Roman" w:eastAsia="宋体" w:cs="Times New Roman"/>
                <w:color w:val="000000" w:themeColor="text1"/>
                <w:szCs w:val="21"/>
                <w:u w:val="single"/>
                <w14:textFill>
                  <w14:solidFill>
                    <w14:schemeClr w14:val="tx1"/>
                  </w14:solidFill>
                </w14:textFill>
              </w:rPr>
              <w:t xml:space="preserve">             </w:t>
            </w:r>
          </w:p>
        </w:tc>
        <w:tc>
          <w:tcPr>
            <w:tcW w:w="2113" w:type="dxa"/>
            <w:noWrap w:val="0"/>
            <w:tcMar>
              <w:top w:w="16" w:type="dxa"/>
              <w:left w:w="16" w:type="dxa"/>
              <w:right w:w="16" w:type="dxa"/>
            </w:tcMar>
            <w:vAlign w:val="center"/>
          </w:tcPr>
          <w:p w14:paraId="6208A691">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用地（用海）</w:t>
            </w:r>
          </w:p>
          <w:p w14:paraId="1F368DAB">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面积（m</w:t>
            </w:r>
            <w:r>
              <w:rPr>
                <w:rFonts w:hint="default" w:ascii="Times New Roman" w:hAnsi="Times New Roman" w:eastAsia="宋体" w:cs="Times New Roman"/>
                <w:color w:val="000000" w:themeColor="text1"/>
                <w:spacing w:val="0"/>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p>
        </w:tc>
        <w:tc>
          <w:tcPr>
            <w:tcW w:w="3176" w:type="dxa"/>
            <w:noWrap w:val="0"/>
            <w:vAlign w:val="center"/>
          </w:tcPr>
          <w:p w14:paraId="20948982">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1723.62</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pacing w:val="0"/>
                <w:sz w:val="21"/>
                <w:szCs w:val="21"/>
                <w:highlight w:val="none"/>
                <w:vertAlign w:val="superscript"/>
                <w14:textFill>
                  <w14:solidFill>
                    <w14:schemeClr w14:val="tx1"/>
                  </w14:solidFill>
                </w14:textFill>
              </w:rPr>
              <w:t>2</w:t>
            </w:r>
          </w:p>
        </w:tc>
      </w:tr>
      <w:tr w14:paraId="7A2F1B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06" w:type="dxa"/>
            <w:noWrap w:val="0"/>
            <w:vAlign w:val="center"/>
          </w:tcPr>
          <w:p w14:paraId="29A6D69C">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专项评价设置情况</w:t>
            </w:r>
          </w:p>
        </w:tc>
        <w:tc>
          <w:tcPr>
            <w:tcW w:w="8064" w:type="dxa"/>
            <w:gridSpan w:val="4"/>
            <w:noWrap w:val="0"/>
            <w:vAlign w:val="center"/>
          </w:tcPr>
          <w:p w14:paraId="26C594F5">
            <w:pPr>
              <w:pStyle w:val="120"/>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根据《建设项目环境影响报告表编制技术指南(污染影响类)(试行)》，项目工程专项设置情况参照表1专项评价设置原则表，项目不设置专项评价</w:t>
            </w:r>
            <w:r>
              <w:rPr>
                <w:rFonts w:hint="default" w:ascii="Times New Roman" w:hAnsi="Times New Roman" w:cs="Times New Roman"/>
                <w:color w:val="000000" w:themeColor="text1"/>
                <w:lang w:eastAsia="zh-CN"/>
                <w14:textFill>
                  <w14:solidFill>
                    <w14:schemeClr w14:val="tx1"/>
                  </w14:solidFill>
                </w14:textFill>
              </w:rPr>
              <w:t>。</w:t>
            </w:r>
          </w:p>
          <w:p w14:paraId="58AD22BB">
            <w:pPr>
              <w:spacing w:before="120" w:beforeLines="50"/>
              <w:jc w:val="center"/>
              <w:rPr>
                <w:rFonts w:hint="default" w:ascii="Times New Roman" w:hAnsi="Times New Roman" w:eastAsia="黑体" w:cs="Times New Roman"/>
                <w:bCs/>
                <w:color w:val="000000" w:themeColor="text1"/>
                <w:kern w:val="44"/>
                <w:sz w:val="24"/>
                <w:szCs w:val="24"/>
                <w:lang w:val="en-US" w:eastAsia="zh-CN" w:bidi="ar-SA"/>
                <w14:textFill>
                  <w14:solidFill>
                    <w14:schemeClr w14:val="tx1"/>
                  </w14:solidFill>
                </w14:textFill>
              </w:rPr>
            </w:pPr>
          </w:p>
          <w:p w14:paraId="5566065A">
            <w:pPr>
              <w:spacing w:before="120" w:beforeLines="50"/>
              <w:jc w:val="center"/>
              <w:rPr>
                <w:rFonts w:hint="default" w:ascii="Times New Roman" w:hAnsi="Times New Roman" w:eastAsia="黑体" w:cs="Times New Roman"/>
                <w:bCs/>
                <w:color w:val="000000" w:themeColor="text1"/>
                <w:kern w:val="44"/>
                <w:sz w:val="24"/>
                <w:szCs w:val="24"/>
                <w:lang w:val="en-US" w:eastAsia="zh-CN" w:bidi="ar-SA"/>
                <w14:textFill>
                  <w14:solidFill>
                    <w14:schemeClr w14:val="tx1"/>
                  </w14:solidFill>
                </w14:textFill>
              </w:rPr>
            </w:pPr>
          </w:p>
          <w:p w14:paraId="4419FAF2">
            <w:pPr>
              <w:spacing w:before="120" w:beforeLines="50"/>
              <w:jc w:val="center"/>
              <w:rPr>
                <w:rFonts w:hint="default" w:ascii="Times New Roman" w:hAnsi="Times New Roman" w:eastAsia="黑体" w:cs="Times New Roman"/>
                <w:bCs/>
                <w:color w:val="000000" w:themeColor="text1"/>
                <w:kern w:val="44"/>
                <w:sz w:val="24"/>
                <w:szCs w:val="24"/>
                <w:lang w:val="en-US" w:eastAsia="zh-CN" w:bidi="ar-SA"/>
                <w14:textFill>
                  <w14:solidFill>
                    <w14:schemeClr w14:val="tx1"/>
                  </w14:solidFill>
                </w14:textFill>
              </w:rPr>
            </w:pPr>
          </w:p>
          <w:p w14:paraId="3F2247DF">
            <w:pPr>
              <w:spacing w:before="120" w:beforeLines="50"/>
              <w:jc w:val="center"/>
              <w:rPr>
                <w:rFonts w:hint="default" w:ascii="Times New Roman" w:hAnsi="Times New Roman" w:eastAsia="黑体" w:cs="Times New Roman"/>
                <w:bCs/>
                <w:color w:val="000000" w:themeColor="text1"/>
                <w:kern w:val="44"/>
                <w:sz w:val="21"/>
                <w:szCs w:val="21"/>
                <w:lang w:val="en-US" w:eastAsia="zh-CN" w:bidi="ar-SA"/>
                <w14:textFill>
                  <w14:solidFill>
                    <w14:schemeClr w14:val="tx1"/>
                  </w14:solidFill>
                </w14:textFill>
              </w:rPr>
            </w:pPr>
            <w:r>
              <w:rPr>
                <w:rFonts w:hint="default" w:ascii="Times New Roman" w:hAnsi="Times New Roman" w:eastAsia="黑体" w:cs="Times New Roman"/>
                <w:bCs/>
                <w:color w:val="000000" w:themeColor="text1"/>
                <w:kern w:val="44"/>
                <w:sz w:val="24"/>
                <w:szCs w:val="24"/>
                <w:lang w:val="en-US" w:eastAsia="zh-CN" w:bidi="ar-SA"/>
                <w14:textFill>
                  <w14:solidFill>
                    <w14:schemeClr w14:val="tx1"/>
                  </w14:solidFill>
                </w14:textFill>
              </w:rPr>
              <w:t>表1-1  项目专项评价设置表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911"/>
              <w:gridCol w:w="4449"/>
              <w:gridCol w:w="1749"/>
              <w:gridCol w:w="739"/>
            </w:tblGrid>
            <w:tr w14:paraId="26DA6C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80" w:type="pct"/>
                  <w:noWrap w:val="0"/>
                  <w:vAlign w:val="center"/>
                </w:tcPr>
                <w:p w14:paraId="127200A8">
                  <w:pPr>
                    <w:pStyle w:val="12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专项评价类别</w:t>
                  </w:r>
                </w:p>
              </w:tc>
              <w:tc>
                <w:tcPr>
                  <w:tcW w:w="2834" w:type="pct"/>
                  <w:noWrap w:val="0"/>
                  <w:vAlign w:val="center"/>
                </w:tcPr>
                <w:p w14:paraId="6E180E9F">
                  <w:pPr>
                    <w:pStyle w:val="12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涉及项目类别</w:t>
                  </w:r>
                </w:p>
              </w:tc>
              <w:tc>
                <w:tcPr>
                  <w:tcW w:w="1114" w:type="pct"/>
                  <w:noWrap w:val="0"/>
                  <w:vAlign w:val="center"/>
                </w:tcPr>
                <w:p w14:paraId="54A430D0">
                  <w:pPr>
                    <w:pStyle w:val="12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本项目评价</w:t>
                  </w:r>
                </w:p>
              </w:tc>
              <w:tc>
                <w:tcPr>
                  <w:tcW w:w="471" w:type="pct"/>
                  <w:noWrap w:val="0"/>
                  <w:vAlign w:val="center"/>
                </w:tcPr>
                <w:p w14:paraId="68D9D7D0">
                  <w:pPr>
                    <w:pStyle w:val="12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是否设置专项</w:t>
                  </w:r>
                </w:p>
              </w:tc>
            </w:tr>
            <w:tr w14:paraId="618B93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80" w:type="pct"/>
                  <w:noWrap w:val="0"/>
                  <w:vAlign w:val="center"/>
                </w:tcPr>
                <w:p w14:paraId="337A691D">
                  <w:pPr>
                    <w:pStyle w:val="12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大气</w:t>
                  </w:r>
                </w:p>
              </w:tc>
              <w:tc>
                <w:tcPr>
                  <w:tcW w:w="2834" w:type="pct"/>
                  <w:noWrap w:val="0"/>
                  <w:vAlign w:val="center"/>
                </w:tcPr>
                <w:p w14:paraId="3BCA0B3F">
                  <w:pPr>
                    <w:pStyle w:val="12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排放废气含有毒有害污染物、二噁英、苯并[a]芘、氰化物、氯气且厂界外500米范围内有环境空气保护目标的建设项目</w:t>
                  </w:r>
                </w:p>
              </w:tc>
              <w:tc>
                <w:tcPr>
                  <w:tcW w:w="1114" w:type="pct"/>
                  <w:noWrap w:val="0"/>
                  <w:vAlign w:val="center"/>
                </w:tcPr>
                <w:p w14:paraId="5C799309">
                  <w:pPr>
                    <w:pStyle w:val="121"/>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不涉及</w:t>
                  </w:r>
                </w:p>
              </w:tc>
              <w:tc>
                <w:tcPr>
                  <w:tcW w:w="471" w:type="pct"/>
                  <w:noWrap w:val="0"/>
                  <w:vAlign w:val="center"/>
                </w:tcPr>
                <w:p w14:paraId="715EA533">
                  <w:pPr>
                    <w:pStyle w:val="12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否</w:t>
                  </w:r>
                </w:p>
              </w:tc>
            </w:tr>
            <w:tr w14:paraId="1D82D54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80" w:type="pct"/>
                  <w:noWrap w:val="0"/>
                  <w:vAlign w:val="center"/>
                </w:tcPr>
                <w:p w14:paraId="6714D3EB">
                  <w:pPr>
                    <w:pStyle w:val="12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地表水</w:t>
                  </w:r>
                </w:p>
              </w:tc>
              <w:tc>
                <w:tcPr>
                  <w:tcW w:w="2834" w:type="pct"/>
                  <w:noWrap w:val="0"/>
                  <w:vAlign w:val="center"/>
                </w:tcPr>
                <w:p w14:paraId="71934F9D">
                  <w:pPr>
                    <w:pStyle w:val="12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新增工业废水直排建设项目(槽罐车外送污水处理厂的除外)；新增废水直排的污水集中处理厂</w:t>
                  </w:r>
                </w:p>
              </w:tc>
              <w:tc>
                <w:tcPr>
                  <w:tcW w:w="1114" w:type="pct"/>
                  <w:noWrap w:val="0"/>
                  <w:vAlign w:val="center"/>
                </w:tcPr>
                <w:p w14:paraId="47621D22">
                  <w:pPr>
                    <w:pStyle w:val="12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不涉及</w:t>
                  </w:r>
                </w:p>
              </w:tc>
              <w:tc>
                <w:tcPr>
                  <w:tcW w:w="471" w:type="pct"/>
                  <w:noWrap w:val="0"/>
                  <w:vAlign w:val="center"/>
                </w:tcPr>
                <w:p w14:paraId="27ED6589">
                  <w:pPr>
                    <w:pStyle w:val="12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否</w:t>
                  </w:r>
                </w:p>
              </w:tc>
            </w:tr>
            <w:tr w14:paraId="2EFFAA5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80" w:type="pct"/>
                  <w:noWrap w:val="0"/>
                  <w:vAlign w:val="center"/>
                </w:tcPr>
                <w:p w14:paraId="0EC2FB04">
                  <w:pPr>
                    <w:pStyle w:val="12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w:t>
                  </w:r>
                </w:p>
                <w:p w14:paraId="44CF2B0B">
                  <w:pPr>
                    <w:pStyle w:val="12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风险</w:t>
                  </w:r>
                </w:p>
              </w:tc>
              <w:tc>
                <w:tcPr>
                  <w:tcW w:w="2834" w:type="pct"/>
                  <w:noWrap w:val="0"/>
                  <w:vAlign w:val="center"/>
                </w:tcPr>
                <w:p w14:paraId="0B52EBC3">
                  <w:pPr>
                    <w:pStyle w:val="12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有毒有害和易燃易爆危险物质存储量超过临界量的建设项目</w:t>
                  </w:r>
                </w:p>
              </w:tc>
              <w:tc>
                <w:tcPr>
                  <w:tcW w:w="1114" w:type="pct"/>
                  <w:noWrap w:val="0"/>
                  <w:vAlign w:val="center"/>
                </w:tcPr>
                <w:p w14:paraId="7D4F23F3">
                  <w:pPr>
                    <w:pStyle w:val="12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不涉及</w:t>
                  </w:r>
                </w:p>
              </w:tc>
              <w:tc>
                <w:tcPr>
                  <w:tcW w:w="471" w:type="pct"/>
                  <w:noWrap w:val="0"/>
                  <w:vAlign w:val="center"/>
                </w:tcPr>
                <w:p w14:paraId="356F2B4E">
                  <w:pPr>
                    <w:pStyle w:val="12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否</w:t>
                  </w:r>
                </w:p>
              </w:tc>
            </w:tr>
            <w:tr w14:paraId="7C8222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80" w:type="pct"/>
                  <w:noWrap w:val="0"/>
                  <w:vAlign w:val="center"/>
                </w:tcPr>
                <w:p w14:paraId="3422508E">
                  <w:pPr>
                    <w:pStyle w:val="12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w:t>
                  </w:r>
                </w:p>
              </w:tc>
              <w:tc>
                <w:tcPr>
                  <w:tcW w:w="2834" w:type="pct"/>
                  <w:noWrap w:val="0"/>
                  <w:vAlign w:val="center"/>
                </w:tcPr>
                <w:p w14:paraId="53D27EA4">
                  <w:pPr>
                    <w:pStyle w:val="12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取水口下游500米范围内有重要水生生物的自然产卵场、索饵场、越冬场和洄游通道的新增河道取水的污染类建设项目</w:t>
                  </w:r>
                </w:p>
              </w:tc>
              <w:tc>
                <w:tcPr>
                  <w:tcW w:w="1114" w:type="pct"/>
                  <w:noWrap w:val="0"/>
                  <w:vAlign w:val="center"/>
                </w:tcPr>
                <w:p w14:paraId="3FD60247">
                  <w:pPr>
                    <w:pStyle w:val="12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不涉及</w:t>
                  </w:r>
                </w:p>
              </w:tc>
              <w:tc>
                <w:tcPr>
                  <w:tcW w:w="471" w:type="pct"/>
                  <w:noWrap w:val="0"/>
                  <w:vAlign w:val="center"/>
                </w:tcPr>
                <w:p w14:paraId="3E199F77">
                  <w:pPr>
                    <w:pStyle w:val="12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否</w:t>
                  </w:r>
                </w:p>
              </w:tc>
            </w:tr>
            <w:tr w14:paraId="44A379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80" w:type="pct"/>
                  <w:noWrap w:val="0"/>
                  <w:vAlign w:val="center"/>
                </w:tcPr>
                <w:p w14:paraId="4C24153B">
                  <w:pPr>
                    <w:pStyle w:val="12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海洋</w:t>
                  </w:r>
                </w:p>
              </w:tc>
              <w:tc>
                <w:tcPr>
                  <w:tcW w:w="2834" w:type="pct"/>
                  <w:noWrap w:val="0"/>
                  <w:vAlign w:val="center"/>
                </w:tcPr>
                <w:p w14:paraId="4787CDAE">
                  <w:pPr>
                    <w:pStyle w:val="12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直接向海排放污染物的海洋工程建设项目</w:t>
                  </w:r>
                </w:p>
              </w:tc>
              <w:tc>
                <w:tcPr>
                  <w:tcW w:w="1114" w:type="pct"/>
                  <w:noWrap w:val="0"/>
                  <w:vAlign w:val="center"/>
                </w:tcPr>
                <w:p w14:paraId="1DA63062">
                  <w:pPr>
                    <w:pStyle w:val="12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不涉及</w:t>
                  </w:r>
                </w:p>
              </w:tc>
              <w:tc>
                <w:tcPr>
                  <w:tcW w:w="471" w:type="pct"/>
                  <w:noWrap w:val="0"/>
                  <w:vAlign w:val="center"/>
                </w:tcPr>
                <w:p w14:paraId="49AA8C3C">
                  <w:pPr>
                    <w:pStyle w:val="12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否</w:t>
                  </w:r>
                </w:p>
              </w:tc>
            </w:tr>
          </w:tbl>
          <w:p w14:paraId="2B045874">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000000" w:themeColor="text1"/>
                <w:kern w:val="0"/>
                <w:szCs w:val="21"/>
                <w:lang w:eastAsia="zh-CN"/>
                <w14:textFill>
                  <w14:solidFill>
                    <w14:schemeClr w14:val="tx1"/>
                  </w14:solidFill>
                </w14:textFill>
              </w:rPr>
            </w:pPr>
          </w:p>
        </w:tc>
      </w:tr>
      <w:tr w14:paraId="2A1E07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06" w:type="dxa"/>
            <w:noWrap w:val="0"/>
            <w:vAlign w:val="center"/>
          </w:tcPr>
          <w:p w14:paraId="4EFFB706">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规划情况</w:t>
            </w:r>
          </w:p>
        </w:tc>
        <w:tc>
          <w:tcPr>
            <w:tcW w:w="8064" w:type="dxa"/>
            <w:gridSpan w:val="4"/>
            <w:noWrap w:val="0"/>
            <w:vAlign w:val="center"/>
          </w:tcPr>
          <w:p w14:paraId="627B55AA">
            <w:pPr>
              <w:keepNext w:val="0"/>
              <w:keepLines w:val="0"/>
              <w:pageBreakBefore w:val="0"/>
              <w:widowControl w:val="0"/>
              <w:kinsoku/>
              <w:wordWrap/>
              <w:overflowPunct/>
              <w:topLinePunct w:val="0"/>
              <w:autoSpaceDE w:val="0"/>
              <w:autoSpaceDN w:val="0"/>
              <w:bidi w:val="0"/>
              <w:adjustRightInd w:val="0"/>
              <w:snapToGrid w:val="0"/>
              <w:spacing w:line="340" w:lineRule="exact"/>
              <w:jc w:val="both"/>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规划名称：《闽台(福州)蓝色经济产业园总体规划修编(2017-2035)》</w:t>
            </w:r>
          </w:p>
          <w:p w14:paraId="54439DAA">
            <w:pPr>
              <w:keepNext w:val="0"/>
              <w:keepLines w:val="0"/>
              <w:pageBreakBefore w:val="0"/>
              <w:widowControl w:val="0"/>
              <w:kinsoku/>
              <w:wordWrap/>
              <w:overflowPunct/>
              <w:topLinePunct w:val="0"/>
              <w:autoSpaceDE w:val="0"/>
              <w:autoSpaceDN w:val="0"/>
              <w:bidi w:val="0"/>
              <w:adjustRightInd w:val="0"/>
              <w:snapToGrid w:val="0"/>
              <w:spacing w:line="340" w:lineRule="exact"/>
              <w:jc w:val="both"/>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审批机关：福州市人民政府</w:t>
            </w:r>
          </w:p>
          <w:p w14:paraId="185605BA">
            <w:pPr>
              <w:keepNext w:val="0"/>
              <w:keepLines w:val="0"/>
              <w:pageBreakBefore w:val="0"/>
              <w:widowControl w:val="0"/>
              <w:kinsoku/>
              <w:wordWrap/>
              <w:overflowPunct/>
              <w:topLinePunct w:val="0"/>
              <w:autoSpaceDE w:val="0"/>
              <w:autoSpaceDN w:val="0"/>
              <w:bidi w:val="0"/>
              <w:adjustRightInd w:val="0"/>
              <w:snapToGrid w:val="0"/>
              <w:spacing w:line="340" w:lineRule="exact"/>
              <w:jc w:val="both"/>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审批文件名称及文号：无</w:t>
            </w:r>
          </w:p>
        </w:tc>
      </w:tr>
      <w:tr w14:paraId="71244B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06" w:type="dxa"/>
            <w:noWrap w:val="0"/>
            <w:vAlign w:val="center"/>
          </w:tcPr>
          <w:p w14:paraId="31CC7837">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规划环境影响</w:t>
            </w:r>
          </w:p>
          <w:p w14:paraId="71CC27DA">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评价情况</w:t>
            </w:r>
          </w:p>
        </w:tc>
        <w:tc>
          <w:tcPr>
            <w:tcW w:w="8064" w:type="dxa"/>
            <w:gridSpan w:val="4"/>
            <w:noWrap w:val="0"/>
            <w:vAlign w:val="center"/>
          </w:tcPr>
          <w:p w14:paraId="7C025A9E">
            <w:pPr>
              <w:pStyle w:val="122"/>
              <w:keepNext w:val="0"/>
              <w:keepLines w:val="0"/>
              <w:pageBreakBefore w:val="0"/>
              <w:widowControl w:val="0"/>
              <w:kinsoku/>
              <w:wordWrap/>
              <w:overflowPunct/>
              <w:topLinePunct w:val="0"/>
              <w:bidi w:val="0"/>
              <w:spacing w:line="340" w:lineRule="exact"/>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规划环评名称：《闽台（福州）蓝色经济产业园总体规划修编（2017</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2035年）环境影响报告书》</w:t>
            </w:r>
          </w:p>
          <w:p w14:paraId="2910F8FF">
            <w:pPr>
              <w:pStyle w:val="122"/>
              <w:keepNext w:val="0"/>
              <w:keepLines w:val="0"/>
              <w:pageBreakBefore w:val="0"/>
              <w:widowControl w:val="0"/>
              <w:kinsoku/>
              <w:wordWrap/>
              <w:overflowPunct/>
              <w:topLinePunct w:val="0"/>
              <w:bidi w:val="0"/>
              <w:spacing w:line="340" w:lineRule="exact"/>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召集审查机关：福州市生态环境局</w:t>
            </w:r>
          </w:p>
          <w:p w14:paraId="5F093723">
            <w:pPr>
              <w:keepNext w:val="0"/>
              <w:keepLines w:val="0"/>
              <w:pageBreakBefore w:val="0"/>
              <w:widowControl w:val="0"/>
              <w:kinsoku/>
              <w:wordWrap/>
              <w:overflowPunct/>
              <w:topLinePunct w:val="0"/>
              <w:autoSpaceDE w:val="0"/>
              <w:autoSpaceDN w:val="0"/>
              <w:bidi w:val="0"/>
              <w:adjustRightInd w:val="0"/>
              <w:snapToGrid w:val="0"/>
              <w:spacing w:line="340" w:lineRule="exact"/>
              <w:jc w:val="left"/>
              <w:textAlignment w:val="auto"/>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审批文件名称及文号：《福州市生态环境局关于印发闽台（福州）蓝色经济产业园总体规划修编（2017-2035）环境影响报告书审查小组意见的通知》（榕环保评〔2019〕7号）</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r>
      <w:tr w14:paraId="6A72EC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06" w:type="dxa"/>
            <w:noWrap w:val="0"/>
            <w:vAlign w:val="center"/>
          </w:tcPr>
          <w:p w14:paraId="6E2FCBB5">
            <w:pPr>
              <w:keepNext w:val="0"/>
              <w:keepLines w:val="0"/>
              <w:pageBreakBefore w:val="0"/>
              <w:widowControl w:val="0"/>
              <w:kinsoku/>
              <w:wordWrap/>
              <w:overflowPunct/>
              <w:topLinePunct w:val="0"/>
              <w:autoSpaceDE w:val="0"/>
              <w:autoSpaceDN w:val="0"/>
              <w:bidi w:val="0"/>
              <w:adjustRightInd w:val="0"/>
              <w:snapToGrid w:val="0"/>
              <w:spacing w:line="340" w:lineRule="exact"/>
              <w:jc w:val="center"/>
              <w:textAlignment w:val="auto"/>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规划及规划环境影响评价符合性分析</w:t>
            </w:r>
          </w:p>
        </w:tc>
        <w:tc>
          <w:tcPr>
            <w:tcW w:w="8064" w:type="dxa"/>
            <w:gridSpan w:val="4"/>
            <w:noWrap w:val="0"/>
            <w:vAlign w:val="center"/>
          </w:tcPr>
          <w:p w14:paraId="3E37CBB7">
            <w:pPr>
              <w:keepNext w:val="0"/>
              <w:keepLines w:val="0"/>
              <w:pageBreakBefore w:val="0"/>
              <w:widowControl w:val="0"/>
              <w:kinsoku/>
              <w:wordWrap/>
              <w:overflowPunct/>
              <w:topLinePunct w:val="0"/>
              <w:bidi w:val="0"/>
              <w:adjustRightInd w:val="0"/>
              <w:snapToGrid w:val="0"/>
              <w:spacing w:line="360" w:lineRule="auto"/>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1、与《闽台(福州)蓝色经济产业园总体规划修编(2017-2035)》符合性分析</w:t>
            </w:r>
          </w:p>
          <w:p w14:paraId="2D7C66E9">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lang w:val="en-GB"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本项目位于闽台（福州）蓝色经济产业园（租赁</w:t>
            </w:r>
            <w:r>
              <w:rPr>
                <w:rFonts w:hint="default" w:ascii="Times New Roman" w:hAnsi="Times New Roman" w:cs="Times New Roman"/>
                <w:color w:val="000000" w:themeColor="text1"/>
                <w:sz w:val="24"/>
                <w:lang w:eastAsia="zh-CN"/>
                <w14:textFill>
                  <w14:solidFill>
                    <w14:schemeClr w14:val="tx1"/>
                  </w14:solidFill>
                </w14:textFill>
              </w:rPr>
              <w:t>福州锦佳商贸有限公司厂房</w:t>
            </w:r>
            <w:r>
              <w:rPr>
                <w:rFonts w:hint="default" w:ascii="Times New Roman" w:hAnsi="Times New Roman" w:eastAsia="宋体" w:cs="Times New Roman"/>
                <w:color w:val="000000" w:themeColor="text1"/>
                <w:sz w:val="24"/>
                <w:lang w:eastAsia="zh-CN"/>
                <w14:textFill>
                  <w14:solidFill>
                    <w14:schemeClr w14:val="tx1"/>
                  </w14:solidFill>
                </w14:textFill>
              </w:rPr>
              <w:t>），依据《闽台(福州)蓝色经济产业园总体规划修编(2017-2035)》，项目用地性质为工业用地，符合其地块用途要求。项目主要从事</w:t>
            </w:r>
            <w:r>
              <w:rPr>
                <w:rFonts w:hint="default" w:ascii="Times New Roman" w:hAnsi="Times New Roman" w:cs="Times New Roman"/>
                <w:color w:val="000000" w:themeColor="text1"/>
                <w:sz w:val="24"/>
                <w:lang w:eastAsia="zh-CN"/>
                <w14:textFill>
                  <w14:solidFill>
                    <w14:schemeClr w14:val="tx1"/>
                  </w14:solidFill>
                </w14:textFill>
              </w:rPr>
              <w:t>未被污染的输液瓶（袋）及生活塑料的回收加工</w:t>
            </w:r>
            <w:r>
              <w:rPr>
                <w:rFonts w:hint="default" w:ascii="Times New Roman" w:hAnsi="Times New Roman" w:eastAsia="宋体" w:cs="Times New Roman"/>
                <w:color w:val="000000" w:themeColor="text1"/>
                <w:sz w:val="24"/>
                <w:lang w:eastAsia="zh-CN"/>
                <w14:textFill>
                  <w14:solidFill>
                    <w14:schemeClr w14:val="tx1"/>
                  </w14:solidFill>
                </w14:textFill>
              </w:rPr>
              <w:t>，属于工业企业，因此项目选址</w:t>
            </w:r>
            <w:r>
              <w:rPr>
                <w:rFonts w:hint="default" w:ascii="Times New Roman" w:hAnsi="Times New Roman" w:eastAsia="宋体" w:cs="Times New Roman"/>
                <w:color w:val="000000" w:themeColor="text1"/>
                <w:sz w:val="24"/>
                <w:lang w:val="en-US" w:eastAsia="zh-CN"/>
                <w14:textFill>
                  <w14:solidFill>
                    <w14:schemeClr w14:val="tx1"/>
                  </w14:solidFill>
                </w14:textFill>
              </w:rPr>
              <w:t>《闽台(福州)蓝色经济产业园总体规划修编(2017-2035)》土地利用规划</w:t>
            </w:r>
            <w:r>
              <w:rPr>
                <w:rFonts w:hint="default" w:ascii="Times New Roman" w:hAnsi="Times New Roman" w:eastAsia="宋体" w:cs="Times New Roman"/>
                <w:color w:val="000000" w:themeColor="text1"/>
                <w:sz w:val="24"/>
                <w:lang w:eastAsia="zh-CN"/>
                <w14:textFill>
                  <w14:solidFill>
                    <w14:schemeClr w14:val="tx1"/>
                  </w14:solidFill>
                </w14:textFill>
              </w:rPr>
              <w:t>。</w:t>
            </w:r>
          </w:p>
          <w:p w14:paraId="116A054C">
            <w:pPr>
              <w:keepNext w:val="0"/>
              <w:keepLines w:val="0"/>
              <w:pageBreakBefore w:val="0"/>
              <w:widowControl w:val="0"/>
              <w:kinsoku/>
              <w:wordWrap/>
              <w:overflowPunct/>
              <w:topLinePunct w:val="0"/>
              <w:bidi w:val="0"/>
              <w:adjustRightInd w:val="0"/>
              <w:snapToGrid w:val="0"/>
              <w:spacing w:line="360" w:lineRule="auto"/>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2、与规划环评及批复符合性分析</w:t>
            </w:r>
          </w:p>
          <w:p w14:paraId="36D4AAE8">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本项目与《</w:t>
            </w:r>
            <w:r>
              <w:rPr>
                <w:rFonts w:hint="default" w:ascii="Times New Roman" w:hAnsi="Times New Roman" w:eastAsia="宋体" w:cs="Times New Roman"/>
                <w:color w:val="000000" w:themeColor="text1"/>
                <w:sz w:val="24"/>
                <w:lang w:val="en-US" w:eastAsia="zh-CN"/>
                <w14:textFill>
                  <w14:solidFill>
                    <w14:schemeClr w14:val="tx1"/>
                  </w14:solidFill>
                </w14:textFill>
              </w:rPr>
              <w:t>闽台(福州)蓝色经济产业园总体规划修编(2017-2035)环境影响报告书</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及其审批意见(榕环保评[2019]7号)产业政策符合性分析详见表1-2。</w:t>
            </w:r>
          </w:p>
          <w:p w14:paraId="4771B070">
            <w:pPr>
              <w:keepNext w:val="0"/>
              <w:keepLines w:val="0"/>
              <w:pageBreakBefore w:val="0"/>
              <w:widowControl w:val="0"/>
              <w:kinsoku/>
              <w:wordWrap/>
              <w:overflowPunct/>
              <w:topLinePunct w:val="0"/>
              <w:autoSpaceDE/>
              <w:autoSpaceDN/>
              <w:bidi w:val="0"/>
              <w:adjustRightInd/>
              <w:snapToGrid/>
              <w:spacing w:before="163" w:beforeLines="50" w:line="240" w:lineRule="auto"/>
              <w:jc w:val="center"/>
              <w:textAlignment w:val="auto"/>
              <w:rPr>
                <w:rFonts w:hint="default" w:ascii="Times New Roman" w:hAnsi="Times New Roman" w:eastAsia="宋体" w:cs="Times New Roman"/>
                <w:color w:val="000000" w:themeColor="text1"/>
                <w:sz w:val="24"/>
                <w:u w:val="none"/>
                <w:lang w:val="en-US" w:eastAsia="zh-CN"/>
                <w14:textFill>
                  <w14:solidFill>
                    <w14:schemeClr w14:val="tx1"/>
                  </w14:solidFill>
                </w14:textFill>
              </w:rPr>
            </w:pPr>
            <w:r>
              <w:rPr>
                <w:rFonts w:hint="default" w:ascii="Times New Roman" w:hAnsi="Times New Roman" w:eastAsia="黑体" w:cs="Times New Roman"/>
                <w:color w:val="000000" w:themeColor="text1"/>
                <w:sz w:val="24"/>
                <w:szCs w:val="24"/>
                <w:u w:val="none"/>
                <w:lang w:val="en-US" w:eastAsia="zh-CN"/>
                <w14:textFill>
                  <w14:solidFill>
                    <w14:schemeClr w14:val="tx1"/>
                  </w14:solidFill>
                </w14:textFill>
              </w:rPr>
              <w:t xml:space="preserve">表1-2 </w:t>
            </w:r>
            <w:r>
              <w:rPr>
                <w:rFonts w:hint="default" w:ascii="Times New Roman" w:hAnsi="Times New Roman" w:eastAsia="黑体" w:cs="Times New Roman"/>
                <w:color w:val="000000" w:themeColor="text1"/>
                <w:sz w:val="24"/>
                <w:szCs w:val="24"/>
                <w:u w:val="none"/>
                <w:lang w:eastAsia="zh-CN"/>
                <w14:textFill>
                  <w14:solidFill>
                    <w14:schemeClr w14:val="tx1"/>
                  </w14:solidFill>
                </w14:textFill>
              </w:rPr>
              <w:t>《</w:t>
            </w:r>
            <w:r>
              <w:rPr>
                <w:rFonts w:hint="default" w:ascii="Times New Roman" w:hAnsi="Times New Roman" w:eastAsia="黑体" w:cs="Times New Roman"/>
                <w:color w:val="000000" w:themeColor="text1"/>
                <w:sz w:val="24"/>
                <w:szCs w:val="24"/>
                <w:u w:val="none"/>
                <w:lang w:val="en-US" w:eastAsia="zh-CN"/>
                <w14:textFill>
                  <w14:solidFill>
                    <w14:schemeClr w14:val="tx1"/>
                  </w14:solidFill>
                </w14:textFill>
              </w:rPr>
              <w:t>闽台(福州)蓝色经济产业园总体规划修编(2017-2035)环境影响报告书</w:t>
            </w:r>
            <w:r>
              <w:rPr>
                <w:rFonts w:hint="default" w:ascii="Times New Roman" w:hAnsi="Times New Roman" w:eastAsia="黑体" w:cs="Times New Roman"/>
                <w:color w:val="000000" w:themeColor="text1"/>
                <w:sz w:val="24"/>
                <w:szCs w:val="24"/>
                <w:u w:val="none"/>
                <w:lang w:eastAsia="zh-CN"/>
                <w14:textFill>
                  <w14:solidFill>
                    <w14:schemeClr w14:val="tx1"/>
                  </w14:solidFill>
                </w14:textFill>
              </w:rPr>
              <w:t>》</w:t>
            </w:r>
            <w:r>
              <w:rPr>
                <w:rFonts w:hint="default" w:ascii="Times New Roman" w:hAnsi="Times New Roman" w:eastAsia="黑体" w:cs="Times New Roman"/>
                <w:color w:val="000000" w:themeColor="text1"/>
                <w:sz w:val="24"/>
                <w:szCs w:val="24"/>
                <w:u w:val="none"/>
                <w:lang w:val="en-US" w:eastAsia="zh-CN"/>
                <w14:textFill>
                  <w14:solidFill>
                    <w14:schemeClr w14:val="tx1"/>
                  </w14:solidFill>
                </w14:textFill>
              </w:rPr>
              <w:t>及其审批意见产业、环保准入条件符合性分析</w:t>
            </w:r>
          </w:p>
          <w:tbl>
            <w:tblPr>
              <w:tblStyle w:val="29"/>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9"/>
              <w:gridCol w:w="2877"/>
              <w:gridCol w:w="3494"/>
              <w:gridCol w:w="627"/>
            </w:tblGrid>
            <w:tr w14:paraId="2188EE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5" w:type="pct"/>
                  <w:tcBorders>
                    <w:tl2br w:val="nil"/>
                    <w:tr2bl w:val="nil"/>
                  </w:tcBorders>
                  <w:noWrap w:val="0"/>
                  <w:vAlign w:val="center"/>
                </w:tcPr>
                <w:p w14:paraId="2B090CB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类别</w:t>
                  </w:r>
                </w:p>
              </w:tc>
              <w:tc>
                <w:tcPr>
                  <w:tcW w:w="1835" w:type="pct"/>
                  <w:tcBorders>
                    <w:tl2br w:val="nil"/>
                    <w:tr2bl w:val="nil"/>
                  </w:tcBorders>
                  <w:noWrap w:val="0"/>
                  <w:vAlign w:val="center"/>
                </w:tcPr>
                <w:p w14:paraId="101E675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报告书产业规划及规划审查要求</w:t>
                  </w:r>
                </w:p>
              </w:tc>
              <w:tc>
                <w:tcPr>
                  <w:tcW w:w="2228" w:type="pct"/>
                  <w:tcBorders>
                    <w:tl2br w:val="nil"/>
                    <w:tr2bl w:val="nil"/>
                  </w:tcBorders>
                  <w:noWrap w:val="0"/>
                  <w:vAlign w:val="center"/>
                </w:tcPr>
                <w:p w14:paraId="3A068A2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本项目情况</w:t>
                  </w:r>
                </w:p>
              </w:tc>
              <w:tc>
                <w:tcPr>
                  <w:tcW w:w="400" w:type="pct"/>
                  <w:tcBorders>
                    <w:tl2br w:val="nil"/>
                    <w:tr2bl w:val="nil"/>
                  </w:tcBorders>
                  <w:noWrap w:val="0"/>
                  <w:vAlign w:val="center"/>
                </w:tcPr>
                <w:p w14:paraId="58C59AA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符合性</w:t>
                  </w:r>
                </w:p>
              </w:tc>
            </w:tr>
            <w:tr w14:paraId="08EA08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35" w:type="pct"/>
                  <w:vMerge w:val="restart"/>
                  <w:tcBorders>
                    <w:tl2br w:val="nil"/>
                    <w:tr2bl w:val="nil"/>
                  </w:tcBorders>
                  <w:noWrap w:val="0"/>
                  <w:vAlign w:val="center"/>
                </w:tcPr>
                <w:p w14:paraId="274E0EA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产业准入条件要求</w:t>
                  </w:r>
                </w:p>
              </w:tc>
              <w:tc>
                <w:tcPr>
                  <w:tcW w:w="1835" w:type="pct"/>
                  <w:tcBorders>
                    <w:tl2br w:val="nil"/>
                    <w:tr2bl w:val="nil"/>
                  </w:tcBorders>
                  <w:noWrap w:val="0"/>
                  <w:vAlign w:val="center"/>
                </w:tcPr>
                <w:p w14:paraId="38D097F6">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u w:val="none"/>
                      <w:vertAlign w:val="baseline"/>
                      <w:lang w:val="en-US" w:eastAsia="zh-CN"/>
                      <w14:textFill>
                        <w14:solidFill>
                          <w14:schemeClr w14:val="tx1"/>
                        </w14:solidFill>
                      </w14:textFill>
                    </w:rPr>
                    <w:t>规划环评</w:t>
                  </w:r>
                  <w:r>
                    <w:rPr>
                      <w:rFonts w:hint="default" w:ascii="Times New Roman" w:hAnsi="Times New Roman" w:cs="Times New Roman"/>
                      <w:b/>
                      <w:bCs/>
                      <w:color w:val="000000" w:themeColor="text1"/>
                      <w:sz w:val="21"/>
                      <w:szCs w:val="21"/>
                      <w:u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本规划区鼓励发展节地、节水、环境风险小、环保型的海洋装备制造产业、智能制造与智能服务产业(新能源汽车产业)、铝精深加工与电子功能性523材料产业、海洋生物产业为主导的产业。禁止引进电镀行业等排放有毒有害重金属、持久性有机污染物的工业项目，排放VOCs量大的项目。</w:t>
                  </w:r>
                </w:p>
              </w:tc>
              <w:tc>
                <w:tcPr>
                  <w:tcW w:w="2228" w:type="pct"/>
                  <w:vMerge w:val="restart"/>
                  <w:tcBorders>
                    <w:tl2br w:val="nil"/>
                    <w:tr2bl w:val="nil"/>
                  </w:tcBorders>
                  <w:noWrap w:val="0"/>
                  <w:vAlign w:val="center"/>
                </w:tcPr>
                <w:p w14:paraId="08F7552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本项目位于产业综合体核心区，从事</w:t>
                  </w:r>
                  <w:r>
                    <w:rPr>
                      <w:rFonts w:hint="default" w:ascii="Times New Roman" w:hAnsi="Times New Roman" w:cs="Times New Roman"/>
                      <w:color w:val="000000" w:themeColor="text1"/>
                      <w:sz w:val="21"/>
                      <w:szCs w:val="21"/>
                      <w:u w:val="none"/>
                      <w:vertAlign w:val="baseline"/>
                      <w:lang w:val="en-US" w:eastAsia="zh-CN"/>
                      <w14:textFill>
                        <w14:solidFill>
                          <w14:schemeClr w14:val="tx1"/>
                        </w14:solidFill>
                      </w14:textFill>
                    </w:rPr>
                    <w:t>未被污染的输液瓶（袋）及生活塑料的回收加工</w:t>
                  </w:r>
                  <w: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，不属于《产业结构调整指导目录(2024年本)》中的淘汰类；满足行业准入条件；不属于《福建省人民政府关于加强重点流域水环境综</w:t>
                  </w:r>
                  <w:r>
                    <w:rPr>
                      <w:rFonts w:hint="default" w:ascii="Times New Roman" w:hAnsi="Times New Roman" w:cs="Times New Roman"/>
                      <w:color w:val="000000" w:themeColor="text1"/>
                      <w:sz w:val="21"/>
                      <w:szCs w:val="21"/>
                      <w:u w:val="none"/>
                      <w:vertAlign w:val="baseline"/>
                      <w:lang w:val="en-US" w:eastAsia="zh-CN"/>
                      <w14:textFill>
                        <w14:solidFill>
                          <w14:schemeClr w14:val="tx1"/>
                        </w14:solidFill>
                      </w14:textFill>
                    </w:rPr>
                    <w:t>合</w:t>
                  </w:r>
                  <w: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整治的意见》中禁止的产业；满足《福建省水污染防治行动计划工作</w:t>
                  </w:r>
                  <w:r>
                    <w:rPr>
                      <w:rFonts w:hint="default" w:ascii="Times New Roman" w:hAnsi="Times New Roman" w:cs="Times New Roman"/>
                      <w:color w:val="000000" w:themeColor="text1"/>
                      <w:sz w:val="21"/>
                      <w:szCs w:val="21"/>
                      <w:u w:val="none"/>
                      <w:vertAlign w:val="baseline"/>
                      <w:lang w:val="en-US" w:eastAsia="zh-CN"/>
                      <w14:textFill>
                        <w14:solidFill>
                          <w14:schemeClr w14:val="tx1"/>
                        </w14:solidFill>
                      </w14:textFill>
                    </w:rPr>
                    <w:t>方案</w:t>
                  </w:r>
                  <w: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》相关要求；符合《福建省工业项目建设用地控制指标2013年本)》要求。本项目不属于产业综合体核心区禁止和限制引入项目</w:t>
                  </w:r>
                  <w:r>
                    <w:rPr>
                      <w:rFonts w:hint="eastAsia" w:cs="Times New Roman"/>
                      <w:color w:val="000000" w:themeColor="text1"/>
                      <w:sz w:val="21"/>
                      <w:szCs w:val="21"/>
                      <w:u w:val="none"/>
                      <w:vertAlign w:val="baseline"/>
                      <w:lang w:val="en-US" w:eastAsia="zh-CN"/>
                      <w14:textFill>
                        <w14:solidFill>
                          <w14:schemeClr w14:val="tx1"/>
                        </w14:solidFill>
                      </w14:textFill>
                    </w:rPr>
                    <w:t>且</w:t>
                  </w:r>
                  <w: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清洁生产能够达到国内先进水平。因此本项目建设与闽台(福州)蓝色经济产业园产业定位不冲突。</w:t>
                  </w:r>
                </w:p>
              </w:tc>
              <w:tc>
                <w:tcPr>
                  <w:tcW w:w="400" w:type="pct"/>
                  <w:vMerge w:val="restart"/>
                  <w:tcBorders>
                    <w:tl2br w:val="nil"/>
                    <w:tr2bl w:val="nil"/>
                  </w:tcBorders>
                  <w:noWrap w:val="0"/>
                  <w:vAlign w:val="center"/>
                </w:tcPr>
                <w:p w14:paraId="65DAAA1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符合</w:t>
                  </w:r>
                </w:p>
              </w:tc>
            </w:tr>
            <w:tr w14:paraId="7557C5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535" w:type="pct"/>
                  <w:vMerge w:val="continue"/>
                  <w:tcBorders>
                    <w:tl2br w:val="nil"/>
                    <w:tr2bl w:val="nil"/>
                  </w:tcBorders>
                  <w:noWrap w:val="0"/>
                  <w:vAlign w:val="center"/>
                </w:tcPr>
                <w:p w14:paraId="325DD8E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p>
              </w:tc>
              <w:tc>
                <w:tcPr>
                  <w:tcW w:w="1835" w:type="pct"/>
                  <w:tcBorders>
                    <w:tl2br w:val="nil"/>
                    <w:tr2bl w:val="nil"/>
                  </w:tcBorders>
                  <w:noWrap w:val="0"/>
                  <w:vAlign w:val="center"/>
                </w:tcPr>
                <w:p w14:paraId="2B71A78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审查意见：</w:t>
                  </w:r>
                  <w:r>
                    <w:rPr>
                      <w:rFonts w:hint="default" w:ascii="Times New Roman" w:hAnsi="Times New Roman" w:cs="Times New Roman"/>
                      <w:color w:val="000000" w:themeColor="text1"/>
                      <w:szCs w:val="21"/>
                      <w14:textFill>
                        <w14:solidFill>
                          <w14:schemeClr w14:val="tx1"/>
                        </w14:solidFill>
                      </w14:textFill>
                    </w:rPr>
                    <w:t>重点产业发展海洋装备制造、智能制造与智能服务、铝精深加工与电子功能性材料产业。禁止引入专业电镀项目，配套电镀工序含重金属废水应做到“零”排放。禁止引入以氮、磷排放为主的项目，严格控制挥发性有机物排放，装备涂装鼓励使用水性漆工艺。</w:t>
                  </w:r>
                </w:p>
              </w:tc>
              <w:tc>
                <w:tcPr>
                  <w:tcW w:w="2228" w:type="pct"/>
                  <w:vMerge w:val="continue"/>
                  <w:tcBorders>
                    <w:tl2br w:val="nil"/>
                    <w:tr2bl w:val="nil"/>
                  </w:tcBorders>
                  <w:noWrap w:val="0"/>
                  <w:vAlign w:val="center"/>
                </w:tcPr>
                <w:p w14:paraId="4408619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p>
              </w:tc>
              <w:tc>
                <w:tcPr>
                  <w:tcW w:w="400" w:type="pct"/>
                  <w:vMerge w:val="continue"/>
                  <w:tcBorders>
                    <w:tl2br w:val="nil"/>
                    <w:tr2bl w:val="nil"/>
                  </w:tcBorders>
                  <w:noWrap w:val="0"/>
                  <w:vAlign w:val="center"/>
                </w:tcPr>
                <w:p w14:paraId="226FB13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p>
              </w:tc>
            </w:tr>
            <w:tr w14:paraId="320808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8" w:hRule="atLeast"/>
              </w:trPr>
              <w:tc>
                <w:tcPr>
                  <w:tcW w:w="535" w:type="pct"/>
                  <w:vMerge w:val="restart"/>
                  <w:tcBorders>
                    <w:tl2br w:val="nil"/>
                    <w:tr2bl w:val="nil"/>
                  </w:tcBorders>
                  <w:noWrap w:val="0"/>
                  <w:vAlign w:val="center"/>
                </w:tcPr>
                <w:p w14:paraId="4CC5F71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环保准入条件要求</w:t>
                  </w:r>
                </w:p>
              </w:tc>
              <w:tc>
                <w:tcPr>
                  <w:tcW w:w="1835" w:type="pct"/>
                  <w:tcBorders>
                    <w:tl2br w:val="nil"/>
                    <w:tr2bl w:val="nil"/>
                  </w:tcBorders>
                  <w:noWrap w:val="0"/>
                  <w:vAlign w:val="center"/>
                </w:tcPr>
                <w:p w14:paraId="0ABE9D2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u w:val="none"/>
                      <w:vertAlign w:val="baseline"/>
                      <w:lang w:val="en-US" w:eastAsia="zh-CN"/>
                      <w14:textFill>
                        <w14:solidFill>
                          <w14:schemeClr w14:val="tx1"/>
                        </w14:solidFill>
                      </w14:textFill>
                    </w:rPr>
                    <w:t>规划环评：</w:t>
                  </w:r>
                  <w: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入区项目在三废排放、环保治理措施方面必须符合国家、地方环保要求，单位工业增加值的主要污染物排放量至少应达到同行业国内先进水平，主要污染物排放必须满足园区总量控制要求。禁止引入以氮、磷排放为主的项目，严格控制挥发性有机物排放，装备涂装鼓励使用水性漆工艺；入园企业的清洁生产要达至国内先进水平。园区应禁止新增排放一类重金属及持久性有机污染物的项目，严格控制以排放氨氮、总磷等为主要污染物的项目。</w:t>
                  </w:r>
                </w:p>
              </w:tc>
              <w:tc>
                <w:tcPr>
                  <w:tcW w:w="2228" w:type="pct"/>
                  <w:vMerge w:val="restart"/>
                  <w:tcBorders>
                    <w:tl2br w:val="nil"/>
                    <w:tr2bl w:val="nil"/>
                  </w:tcBorders>
                  <w:noWrap w:val="0"/>
                  <w:vAlign w:val="center"/>
                </w:tcPr>
                <w:p w14:paraId="3C6CBE3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本项目建设符合国家和地方产业导向；符合国家清洁生产标准要求，属于低污染、低耗水型企业。项目外排污染物为非甲烷总烃、生活污水，不含有第一类重金属及持久性有机污染物。项目的建设符合闽台(福州)蓝色经济产业园产业引进的环保准入条件中的相关要求。</w:t>
                  </w:r>
                </w:p>
              </w:tc>
              <w:tc>
                <w:tcPr>
                  <w:tcW w:w="400" w:type="pct"/>
                  <w:vMerge w:val="restart"/>
                  <w:tcBorders>
                    <w:tl2br w:val="nil"/>
                    <w:tr2bl w:val="nil"/>
                  </w:tcBorders>
                  <w:noWrap w:val="0"/>
                  <w:vAlign w:val="center"/>
                </w:tcPr>
                <w:p w14:paraId="2CCED58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符合</w:t>
                  </w:r>
                </w:p>
              </w:tc>
            </w:tr>
            <w:tr w14:paraId="5889BD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535" w:type="pct"/>
                  <w:vMerge w:val="continue"/>
                  <w:tcBorders>
                    <w:tl2br w:val="nil"/>
                    <w:tr2bl w:val="nil"/>
                  </w:tcBorders>
                  <w:noWrap w:val="0"/>
                  <w:vAlign w:val="center"/>
                </w:tcPr>
                <w:p w14:paraId="544B3EB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p>
              </w:tc>
              <w:tc>
                <w:tcPr>
                  <w:tcW w:w="1835" w:type="pct"/>
                  <w:tcBorders>
                    <w:tl2br w:val="nil"/>
                    <w:tr2bl w:val="nil"/>
                  </w:tcBorders>
                  <w:noWrap w:val="0"/>
                  <w:vAlign w:val="center"/>
                </w:tcPr>
                <w:p w14:paraId="5D875C8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审查意见：</w:t>
                  </w:r>
                  <w:r>
                    <w:rPr>
                      <w:rFonts w:hint="default" w:ascii="Times New Roman" w:hAnsi="Times New Roman" w:cs="Times New Roman"/>
                      <w:color w:val="000000" w:themeColor="text1"/>
                      <w:szCs w:val="21"/>
                      <w14:textFill>
                        <w14:solidFill>
                          <w14:schemeClr w14:val="tx1"/>
                        </w14:solidFill>
                      </w14:textFill>
                    </w:rPr>
                    <w:t>落实污染物排放总量控制要求，采取有效措施减少C0D、石油类、氨氮、总氮、酸雾、油雾、氟化物、氮氧化物、挥发性有机物等各类污染物排放，园区污染物排放总量应纳入当地政府污染物排放总量控制计划。</w:t>
                  </w:r>
                </w:p>
              </w:tc>
              <w:tc>
                <w:tcPr>
                  <w:tcW w:w="2228" w:type="pct"/>
                  <w:vMerge w:val="continue"/>
                  <w:tcBorders>
                    <w:tl2br w:val="nil"/>
                    <w:tr2bl w:val="nil"/>
                  </w:tcBorders>
                  <w:noWrap w:val="0"/>
                  <w:vAlign w:val="center"/>
                </w:tcPr>
                <w:p w14:paraId="28E84DD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p>
              </w:tc>
              <w:tc>
                <w:tcPr>
                  <w:tcW w:w="400" w:type="pct"/>
                  <w:vMerge w:val="continue"/>
                  <w:tcBorders>
                    <w:tl2br w:val="nil"/>
                    <w:tr2bl w:val="nil"/>
                  </w:tcBorders>
                  <w:noWrap w:val="0"/>
                  <w:vAlign w:val="center"/>
                </w:tcPr>
                <w:p w14:paraId="40D5389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p>
              </w:tc>
            </w:tr>
          </w:tbl>
          <w:p w14:paraId="18ACF4C7">
            <w:pPr>
              <w:keepNext/>
              <w:keepLines w:val="0"/>
              <w:pageBreakBefore w:val="0"/>
              <w:widowControl w:val="0"/>
              <w:kinsoku/>
              <w:wordWrap/>
              <w:overflowPunct w:val="0"/>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000000" w:themeColor="text1"/>
                <w:kern w:val="0"/>
                <w:szCs w:val="21"/>
                <w:lang w:eastAsia="zh-CN"/>
                <w14:textFill>
                  <w14:solidFill>
                    <w14:schemeClr w14:val="tx1"/>
                  </w14:solidFill>
                </w14:textFill>
              </w:rPr>
            </w:pPr>
          </w:p>
        </w:tc>
      </w:tr>
      <w:tr w14:paraId="6E3529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06" w:type="dxa"/>
            <w:noWrap w:val="0"/>
            <w:vAlign w:val="center"/>
          </w:tcPr>
          <w:p w14:paraId="027B224D">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其他符合性分析</w:t>
            </w:r>
          </w:p>
        </w:tc>
        <w:tc>
          <w:tcPr>
            <w:tcW w:w="8064" w:type="dxa"/>
            <w:gridSpan w:val="4"/>
            <w:noWrap w:val="0"/>
            <w:vAlign w:val="center"/>
          </w:tcPr>
          <w:p w14:paraId="4F112116">
            <w:pPr>
              <w:pStyle w:val="86"/>
              <w:keepNext w:val="0"/>
              <w:keepLines w:val="0"/>
              <w:pageBreakBefore w:val="0"/>
              <w:widowControl w:val="0"/>
              <w:tabs>
                <w:tab w:val="left" w:pos="4347"/>
              </w:tabs>
              <w:kinsoku/>
              <w:wordWrap/>
              <w:overflowPunct/>
              <w:topLinePunct w:val="0"/>
              <w:autoSpaceDE w:val="0"/>
              <w:autoSpaceDN w:val="0"/>
              <w:bidi w:val="0"/>
              <w:adjustRightInd w:val="0"/>
              <w:snapToGrid w:val="0"/>
              <w:spacing w:before="157" w:beforeLines="50" w:line="360" w:lineRule="auto"/>
              <w:jc w:val="both"/>
              <w:textAlignment w:val="auto"/>
              <w:outlineLvl w:val="2"/>
              <w:rPr>
                <w:rFonts w:hint="default" w:ascii="Times New Roman" w:hAnsi="Times New Roman" w:eastAsia="宋体" w:cs="Times New Roman"/>
                <w:b/>
                <w:color w:val="000000" w:themeColor="text1"/>
                <w:szCs w:val="24"/>
                <w:highlight w:val="none"/>
                <w14:textFill>
                  <w14:solidFill>
                    <w14:schemeClr w14:val="tx1"/>
                  </w14:solidFill>
                </w14:textFill>
              </w:rPr>
            </w:pPr>
            <w:r>
              <w:rPr>
                <w:rFonts w:hint="default" w:ascii="Times New Roman" w:hAnsi="Times New Roman" w:eastAsia="宋体" w:cs="Times New Roman"/>
                <w:b/>
                <w:color w:val="000000" w:themeColor="text1"/>
                <w:szCs w:val="24"/>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szCs w:val="24"/>
                <w:highlight w:val="none"/>
                <w14:textFill>
                  <w14:solidFill>
                    <w14:schemeClr w14:val="tx1"/>
                  </w14:solidFill>
                </w14:textFill>
              </w:rPr>
              <w:t>产业政策适宜性分析</w:t>
            </w:r>
          </w:p>
          <w:p w14:paraId="5253C802">
            <w:pPr>
              <w:keepNext/>
              <w:keepLines w:val="0"/>
              <w:pageBreakBefore w:val="0"/>
              <w:widowControl w:val="0"/>
              <w:kinsoku/>
              <w:wordWrap/>
              <w:overflowPunct w:val="0"/>
              <w:topLinePunct w:val="0"/>
              <w:autoSpaceDE/>
              <w:autoSpaceDN/>
              <w:bidi w:val="0"/>
              <w:adjustRightInd/>
              <w:snapToGrid w:val="0"/>
              <w:spacing w:before="0" w:after="0" w:line="360" w:lineRule="auto"/>
              <w:ind w:left="0" w:firstLine="480" w:firstLineChars="200"/>
              <w:textAlignment w:val="auto"/>
              <w:outlineLvl w:val="9"/>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本项目为未被污染的输液瓶（袋）及生活塑料的回收加工，根据</w:t>
            </w:r>
            <w:r>
              <w:rPr>
                <w:rFonts w:hint="eastAsia" w:cs="Times New Roman"/>
                <w:b w:val="0"/>
                <w:bCs w:val="0"/>
                <w:color w:val="000000" w:themeColor="text1"/>
                <w:spacing w:val="0"/>
                <w:kern w:val="2"/>
                <w:sz w:val="24"/>
                <w:szCs w:val="24"/>
                <w:lang w:val="en-US" w:eastAsia="zh-CN" w:bidi="ar-SA"/>
                <w14:textFill>
                  <w14:solidFill>
                    <w14:schemeClr w14:val="tx1"/>
                  </w14:solidFill>
                </w14:textFill>
              </w:rPr>
              <w:t>国家卫生健康委员会</w:t>
            </w:r>
            <w:r>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等部门联合发布的《关于在医疗机构推进生活垃圾分类管理的通知》（国卫办医发〔2017〕30 号）明确规定了使用后输液瓶（袋）的分类管理要求。“医疗机构内产生的生活垃圾按照属性分为有害垃圾、易腐垃圾、可回收物和其他垃圾四类。可回收物主要包括未经患者血液、体液、排泄物等污染的输液瓶（袋），塑料类包装袋、包装盒、包装箱、纸张、纸质外包装物，废弃电器电子产品，经过擦拭或熏蒸方式消毒处理后废弃的病床、轮椅、输液架等”“对于未被患者血液、体液和排泄物等污染的输液瓶（袋），应当在其与输液管连接处去除输液管后单独集中回收、存放。去除后的输液管、针头等应当严格按照医疗废物管理，严禁混入未被污染的输液瓶（袋）及其他生活垃圾中。”“残留少量经稀释的普通药液的输液瓶（袋），可以按照未被污染的输液瓶（袋）处理。医疗机构应当科学、规范、节约用药，提高药物使用效率，减少浪费，降低药品消耗和环境承载压力。”。</w:t>
            </w:r>
          </w:p>
          <w:p w14:paraId="4826A8FA">
            <w:pPr>
              <w:keepNext/>
              <w:keepLines w:val="0"/>
              <w:pageBreakBefore w:val="0"/>
              <w:widowControl w:val="0"/>
              <w:kinsoku/>
              <w:wordWrap/>
              <w:overflowPunct w:val="0"/>
              <w:topLinePunct w:val="0"/>
              <w:autoSpaceDE/>
              <w:autoSpaceDN/>
              <w:bidi w:val="0"/>
              <w:adjustRightInd/>
              <w:snapToGrid w:val="0"/>
              <w:spacing w:before="0" w:after="0" w:line="360" w:lineRule="auto"/>
              <w:ind w:left="0" w:firstLine="480" w:firstLineChars="200"/>
              <w:textAlignment w:val="auto"/>
              <w:outlineLvl w:val="9"/>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根据国卫办医发〔2017〕30 号和国卫医函〔2021〕238 号可知，未被患者血液、体液和排泄物等污染的输液瓶（袋）属于可回收物，可作为再生资源回收利用；本项目仅回收</w:t>
            </w:r>
            <w:r>
              <w:rPr>
                <w:rFonts w:hint="default" w:ascii="Times New Roman" w:hAnsi="Times New Roman" w:eastAsia="宋体" w:cs="Times New Roman"/>
                <w:b/>
                <w:bCs/>
                <w:color w:val="000000" w:themeColor="text1"/>
                <w:spacing w:val="0"/>
                <w:kern w:val="2"/>
                <w:sz w:val="24"/>
                <w:szCs w:val="24"/>
                <w:lang w:val="en-US" w:eastAsia="zh-CN" w:bidi="ar-SA"/>
                <w14:textFill>
                  <w14:solidFill>
                    <w14:schemeClr w14:val="tx1"/>
                  </w14:solidFill>
                </w14:textFill>
              </w:rPr>
              <w:t>已去除针头及输液管的未被患者血液、体液和排泄物污染的普通废弃输液瓶（不带输液针头）</w:t>
            </w:r>
            <w:r>
              <w:rPr>
                <w:rFonts w:hint="default" w:ascii="Times New Roman" w:hAnsi="Times New Roman" w:cs="Times New Roman"/>
                <w:b/>
                <w:bCs/>
                <w:color w:val="000000" w:themeColor="text1"/>
                <w:spacing w:val="0"/>
                <w:kern w:val="2"/>
                <w:sz w:val="24"/>
                <w:szCs w:val="24"/>
                <w:lang w:val="en-US" w:eastAsia="zh-CN" w:bidi="ar-SA"/>
                <w14:textFill>
                  <w14:solidFill>
                    <w14:schemeClr w14:val="tx1"/>
                  </w14:solidFill>
                </w14:textFill>
              </w:rPr>
              <w:t>及生活源塑料</w:t>
            </w:r>
            <w:r>
              <w:rPr>
                <w:rFonts w:hint="default" w:ascii="Times New Roman" w:hAnsi="Times New Roman" w:eastAsia="宋体" w:cs="Times New Roman"/>
                <w:b/>
                <w:bCs/>
                <w:color w:val="000000" w:themeColor="text1"/>
                <w:spacing w:val="0"/>
                <w:kern w:val="2"/>
                <w:sz w:val="24"/>
                <w:szCs w:val="24"/>
                <w:lang w:val="en-US" w:eastAsia="zh-CN" w:bidi="ar-SA"/>
                <w14:textFill>
                  <w14:solidFill>
                    <w14:schemeClr w14:val="tx1"/>
                  </w14:solidFill>
                </w14:textFill>
              </w:rPr>
              <w:t>进行清洗、破碎加工</w:t>
            </w:r>
            <w:r>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w:t>
            </w:r>
            <w:r>
              <w:rPr>
                <w:rFonts w:hint="default" w:ascii="Times New Roman" w:hAnsi="Times New Roman" w:eastAsia="宋体" w:cs="Times New Roman"/>
                <w:b/>
                <w:bCs/>
                <w:color w:val="000000" w:themeColor="text1"/>
                <w:spacing w:val="0"/>
                <w:kern w:val="2"/>
                <w:sz w:val="24"/>
                <w:szCs w:val="24"/>
                <w:lang w:val="en-US" w:eastAsia="zh-CN" w:bidi="ar-SA"/>
                <w14:textFill>
                  <w14:solidFill>
                    <w14:schemeClr w14:val="tx1"/>
                  </w14:solidFill>
                </w14:textFill>
              </w:rPr>
              <w:t>不回收</w:t>
            </w:r>
            <w:r>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传染病区或用于传染病患者、疑似传染病患者以及采取隔离措施的其他患者的输液瓶（袋）、输液涉及使用细胞毒性药物（如肿瘤化疗药物等）的输液瓶（袋）、输液涉及使用麻醉类药品、精神类药品、易制毒药品和放射性药品的输液瓶（袋），</w:t>
            </w:r>
            <w:r>
              <w:rPr>
                <w:rFonts w:hint="default" w:ascii="Times New Roman" w:hAnsi="Times New Roman" w:eastAsia="宋体" w:cs="Times New Roman"/>
                <w:b/>
                <w:bCs/>
                <w:color w:val="000000" w:themeColor="text1"/>
                <w:spacing w:val="0"/>
                <w:kern w:val="2"/>
                <w:sz w:val="24"/>
                <w:szCs w:val="24"/>
                <w:lang w:val="en-US" w:eastAsia="zh-CN" w:bidi="ar-SA"/>
                <w14:textFill>
                  <w14:solidFill>
                    <w14:schemeClr w14:val="tx1"/>
                  </w14:solidFill>
                </w14:textFill>
              </w:rPr>
              <w:t>不回收</w:t>
            </w:r>
            <w:r>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危险废物类废塑料，</w:t>
            </w:r>
            <w:r>
              <w:rPr>
                <w:rFonts w:hint="default" w:ascii="Times New Roman" w:hAnsi="Times New Roman" w:eastAsia="宋体" w:cs="Times New Roman"/>
                <w:b/>
                <w:bCs/>
                <w:color w:val="000000" w:themeColor="text1"/>
                <w:spacing w:val="0"/>
                <w:kern w:val="2"/>
                <w:sz w:val="24"/>
                <w:szCs w:val="24"/>
                <w:lang w:val="en-US" w:eastAsia="zh-CN" w:bidi="ar-SA"/>
                <w14:textFill>
                  <w14:solidFill>
                    <w14:schemeClr w14:val="tx1"/>
                  </w14:solidFill>
                </w14:textFill>
              </w:rPr>
              <w:t>不回收</w:t>
            </w:r>
            <w:r>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废旧塑料薄膜、盛装农药、化肥、废染料、强酸、强碱及其他化学品包装瓶，项目加工后的塑料颗粒不得用于原用途。</w:t>
            </w:r>
          </w:p>
          <w:p w14:paraId="376448AD">
            <w:pPr>
              <w:keepNext/>
              <w:keepLines w:val="0"/>
              <w:pageBreakBefore w:val="0"/>
              <w:widowControl w:val="0"/>
              <w:kinsoku/>
              <w:wordWrap/>
              <w:overflowPunct w:val="0"/>
              <w:topLinePunct w:val="0"/>
              <w:autoSpaceDE/>
              <w:autoSpaceDN/>
              <w:bidi w:val="0"/>
              <w:adjustRightInd/>
              <w:snapToGrid w:val="0"/>
              <w:spacing w:before="0" w:after="0" w:line="360" w:lineRule="auto"/>
              <w:ind w:left="0" w:firstLine="480" w:firstLineChars="200"/>
              <w:textAlignment w:val="auto"/>
              <w:outlineLvl w:val="9"/>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根据《产业结构调整指导目录》（2024年本）（2024年2月1日起施行），项目属于“鼓励类”中“四十二、环境保护与资源节约综合利用----8、废钢铁、废有色金属、废纸、废橡胶、废玻璃、废塑料、废旧木材以及报废汽车、废弃电器电子产品、废旧船舶、废旧电池、废轮胎、废弃木质材料、废旧农具、废旧纺织品及纺织废料和边角料、废旧光伏组件、废旧风机叶片、废弃油脂等城市典型废弃物循环利用、技术设备开发及应用。因此，项目符合国家现行产业政策。</w:t>
            </w:r>
          </w:p>
          <w:p w14:paraId="57FD377D">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pacing w:val="0"/>
                <w:sz w:val="24"/>
                <w14:textFill>
                  <w14:solidFill>
                    <w14:schemeClr w14:val="tx1"/>
                  </w14:solidFill>
                </w14:textFill>
              </w:rPr>
            </w:pPr>
            <w:r>
              <w:rPr>
                <w:rFonts w:hint="default" w:ascii="Times New Roman" w:hAnsi="Times New Roman" w:eastAsia="宋体" w:cs="Times New Roman"/>
                <w:color w:val="000000" w:themeColor="text1"/>
                <w:spacing w:val="0"/>
                <w:sz w:val="24"/>
                <w:highlight w:val="none"/>
                <w14:textFill>
                  <w14:solidFill>
                    <w14:schemeClr w14:val="tx1"/>
                  </w14:solidFill>
                </w14:textFill>
              </w:rPr>
              <w:t>项目于</w:t>
            </w:r>
            <w:r>
              <w:rPr>
                <w:rFonts w:hint="default" w:ascii="Times New Roman" w:hAnsi="Times New Roman" w:cs="Times New Roman"/>
                <w:color w:val="000000" w:themeColor="text1"/>
                <w:spacing w:val="0"/>
                <w:sz w:val="24"/>
                <w:highlight w:val="none"/>
                <w:lang w:eastAsia="zh-CN"/>
                <w14:textFill>
                  <w14:solidFill>
                    <w14:schemeClr w14:val="tx1"/>
                  </w14:solidFill>
                </w14:textFill>
              </w:rPr>
              <w:t>2025年11月12日</w:t>
            </w:r>
            <w:r>
              <w:rPr>
                <w:rFonts w:hint="default" w:ascii="Times New Roman" w:hAnsi="Times New Roman" w:eastAsia="宋体" w:cs="Times New Roman"/>
                <w:color w:val="000000" w:themeColor="text1"/>
                <w:spacing w:val="0"/>
                <w:sz w:val="24"/>
                <w:highlight w:val="none"/>
                <w14:textFill>
                  <w14:solidFill>
                    <w14:schemeClr w14:val="tx1"/>
                  </w14:solidFill>
                </w14:textFill>
              </w:rPr>
              <w:t>通过了</w:t>
            </w:r>
            <w:r>
              <w:rPr>
                <w:rFonts w:hint="default" w:ascii="Times New Roman" w:hAnsi="Times New Roman" w:eastAsia="宋体" w:cs="Times New Roman"/>
                <w:color w:val="000000" w:themeColor="text1"/>
                <w:spacing w:val="0"/>
                <w:sz w:val="24"/>
                <w:highlight w:val="none"/>
                <w:lang w:eastAsia="zh-CN"/>
                <w14:textFill>
                  <w14:solidFill>
                    <w14:schemeClr w14:val="tx1"/>
                  </w14:solidFill>
                </w14:textFill>
              </w:rPr>
              <w:t>福清市发展和改革局</w:t>
            </w:r>
            <w:r>
              <w:rPr>
                <w:rFonts w:hint="default" w:ascii="Times New Roman" w:hAnsi="Times New Roman" w:eastAsia="宋体" w:cs="Times New Roman"/>
                <w:color w:val="000000" w:themeColor="text1"/>
                <w:spacing w:val="0"/>
                <w:sz w:val="24"/>
                <w:highlight w:val="none"/>
                <w14:textFill>
                  <w14:solidFill>
                    <w14:schemeClr w14:val="tx1"/>
                  </w14:solidFill>
                </w14:textFill>
              </w:rPr>
              <w:t>的备案(详见附件</w:t>
            </w:r>
            <w:r>
              <w:rPr>
                <w:rFonts w:hint="eastAsia" w:ascii="Times New Roman" w:hAnsi="Times New Roman" w:cs="Times New Roman"/>
                <w:color w:val="000000" w:themeColor="text1"/>
                <w:spacing w:val="0"/>
                <w:sz w:val="24"/>
                <w:highlight w:val="none"/>
                <w:lang w:val="en-US" w:eastAsia="zh-CN"/>
                <w14:textFill>
                  <w14:solidFill>
                    <w14:schemeClr w14:val="tx1"/>
                  </w14:solidFill>
                </w14:textFill>
              </w:rPr>
              <w:t>二</w:t>
            </w:r>
            <w:r>
              <w:rPr>
                <w:rFonts w:hint="default" w:ascii="Times New Roman" w:hAnsi="Times New Roman" w:eastAsia="宋体" w:cs="Times New Roman"/>
                <w:color w:val="000000" w:themeColor="text1"/>
                <w:spacing w:val="0"/>
                <w:sz w:val="24"/>
                <w:highlight w:val="none"/>
                <w14:textFill>
                  <w14:solidFill>
                    <w14:schemeClr w14:val="tx1"/>
                  </w14:solidFill>
                </w14:textFill>
              </w:rPr>
              <w:t>)，因此项目</w:t>
            </w:r>
            <w:r>
              <w:rPr>
                <w:rFonts w:hint="default" w:ascii="Times New Roman" w:hAnsi="Times New Roman" w:eastAsia="宋体" w:cs="Times New Roman"/>
                <w:color w:val="000000" w:themeColor="text1"/>
                <w:spacing w:val="0"/>
                <w:sz w:val="24"/>
                <w14:textFill>
                  <w14:solidFill>
                    <w14:schemeClr w14:val="tx1"/>
                  </w14:solidFill>
                </w14:textFill>
              </w:rPr>
              <w:t>的建设内容符合当前国家</w:t>
            </w:r>
            <w:r>
              <w:rPr>
                <w:rFonts w:hint="default" w:ascii="Times New Roman" w:hAnsi="Times New Roman" w:eastAsia="宋体" w:cs="Times New Roman"/>
                <w:color w:val="000000" w:themeColor="text1"/>
                <w:spacing w:val="0"/>
                <w:sz w:val="24"/>
                <w:lang w:eastAsia="zh-CN"/>
                <w14:textFill>
                  <w14:solidFill>
                    <w14:schemeClr w14:val="tx1"/>
                  </w14:solidFill>
                </w14:textFill>
              </w:rPr>
              <w:t>和地方</w:t>
            </w:r>
            <w:r>
              <w:rPr>
                <w:rFonts w:hint="default" w:ascii="Times New Roman" w:hAnsi="Times New Roman" w:eastAsia="宋体" w:cs="Times New Roman"/>
                <w:color w:val="000000" w:themeColor="text1"/>
                <w:spacing w:val="0"/>
                <w:sz w:val="24"/>
                <w14:textFill>
                  <w14:solidFill>
                    <w14:schemeClr w14:val="tx1"/>
                  </w14:solidFill>
                </w14:textFill>
              </w:rPr>
              <w:t>的产业政策。</w:t>
            </w:r>
          </w:p>
          <w:p w14:paraId="7045C8BA">
            <w:pPr>
              <w:pStyle w:val="86"/>
              <w:keepNext w:val="0"/>
              <w:keepLines w:val="0"/>
              <w:pageBreakBefore w:val="0"/>
              <w:widowControl w:val="0"/>
              <w:tabs>
                <w:tab w:val="left" w:pos="4347"/>
              </w:tabs>
              <w:kinsoku/>
              <w:wordWrap/>
              <w:overflowPunct/>
              <w:topLinePunct w:val="0"/>
              <w:bidi w:val="0"/>
              <w:adjustRightInd w:val="0"/>
              <w:snapToGrid w:val="0"/>
              <w:spacing w:line="360" w:lineRule="auto"/>
              <w:jc w:val="both"/>
              <w:textAlignment w:val="auto"/>
              <w:outlineLvl w:val="2"/>
              <w:rPr>
                <w:rFonts w:hint="default" w:ascii="Times New Roman" w:hAnsi="Times New Roman" w:eastAsia="宋体" w:cs="Times New Roman"/>
                <w:b/>
                <w:color w:val="000000" w:themeColor="text1"/>
                <w:szCs w:val="24"/>
                <w:highlight w:val="none"/>
                <w14:textFill>
                  <w14:solidFill>
                    <w14:schemeClr w14:val="tx1"/>
                  </w14:solidFill>
                </w14:textFill>
              </w:rPr>
            </w:pPr>
            <w:r>
              <w:rPr>
                <w:rFonts w:hint="default" w:ascii="Times New Roman" w:hAnsi="Times New Roman" w:eastAsia="宋体" w:cs="Times New Roman"/>
                <w:b/>
                <w:color w:val="000000" w:themeColor="text1"/>
                <w:szCs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Cs w:val="24"/>
                <w:highlight w:val="none"/>
                <w14:textFill>
                  <w14:solidFill>
                    <w14:schemeClr w14:val="tx1"/>
                  </w14:solidFill>
                </w14:textFill>
              </w:rPr>
              <w:t>环境功能区划符合性分析</w:t>
            </w:r>
          </w:p>
          <w:p w14:paraId="2741F0B8">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项目运营期</w:t>
            </w:r>
            <w:r>
              <w:rPr>
                <w:rFonts w:hint="eastAsia" w:ascii="Times New Roman" w:hAnsi="Times New Roman" w:cs="Times New Roman"/>
                <w:color w:val="000000" w:themeColor="text1"/>
                <w:sz w:val="24"/>
                <w:lang w:val="en-US" w:eastAsia="zh-CN"/>
                <w14:textFill>
                  <w14:solidFill>
                    <w14:schemeClr w14:val="tx1"/>
                  </w14:solidFill>
                </w14:textFill>
              </w:rPr>
              <w:t>无废气产生</w:t>
            </w:r>
            <w:r>
              <w:rPr>
                <w:rFonts w:hint="default" w:ascii="Times New Roman" w:hAnsi="Times New Roman" w:eastAsia="宋体" w:cs="Times New Roman"/>
                <w:color w:val="000000" w:themeColor="text1"/>
                <w:sz w:val="24"/>
                <w:lang w:eastAsia="zh-CN"/>
                <w14:textFill>
                  <w14:solidFill>
                    <w14:schemeClr w14:val="tx1"/>
                  </w14:solidFill>
                </w14:textFill>
              </w:rPr>
              <w:t>，对周围环境空气不会产生显著影响，符合《环境空气质量标准》(GB3095-2012)及其修改单中二级标准。</w:t>
            </w:r>
            <w:r>
              <w:rPr>
                <w:rFonts w:hint="eastAsia" w:ascii="Times New Roman" w:hAnsi="Times New Roman" w:cs="Times New Roman"/>
                <w:color w:val="000000" w:themeColor="text1"/>
                <w:sz w:val="24"/>
                <w:lang w:val="en-US" w:eastAsia="zh-CN"/>
                <w14:textFill>
                  <w14:solidFill>
                    <w14:schemeClr w14:val="tx1"/>
                  </w14:solidFill>
                </w14:textFill>
              </w:rPr>
              <w:t>项目生产废水经处理后同</w:t>
            </w:r>
            <w:r>
              <w:rPr>
                <w:rFonts w:hint="default" w:ascii="Times New Roman" w:hAnsi="Times New Roman" w:eastAsia="宋体" w:cs="Times New Roman"/>
                <w:color w:val="000000" w:themeColor="text1"/>
                <w:sz w:val="24"/>
                <w:lang w:eastAsia="zh-CN"/>
                <w14:textFill>
                  <w14:solidFill>
                    <w14:schemeClr w14:val="tx1"/>
                  </w14:solidFill>
                </w14:textFill>
              </w:rPr>
              <w:t>生活</w:t>
            </w:r>
            <w:r>
              <w:rPr>
                <w:rFonts w:hint="default" w:ascii="Times New Roman" w:hAnsi="Times New Roman" w:eastAsia="宋体" w:cs="Times New Roman"/>
                <w:color w:val="000000" w:themeColor="text1"/>
                <w:sz w:val="24"/>
                <w:szCs w:val="24"/>
                <w:lang w:eastAsia="zh-CN"/>
                <w14:textFill>
                  <w14:solidFill>
                    <w14:schemeClr w14:val="tx1"/>
                  </w14:solidFill>
                </w14:textFill>
              </w:rPr>
              <w:t>污水</w:t>
            </w:r>
            <w:r>
              <w:rPr>
                <w:rFonts w:hint="eastAsia" w:ascii="Times New Roman" w:hAnsi="Times New Roman" w:cs="Times New Roman"/>
                <w:color w:val="000000" w:themeColor="text1"/>
                <w:sz w:val="24"/>
                <w:szCs w:val="24"/>
                <w:lang w:val="en-US" w:eastAsia="zh-CN"/>
                <w14:textFill>
                  <w14:solidFill>
                    <w14:schemeClr w14:val="tx1"/>
                  </w14:solidFill>
                </w14:textFill>
              </w:rPr>
              <w:t>一起</w:t>
            </w:r>
            <w:r>
              <w:rPr>
                <w:rFonts w:hint="default" w:ascii="Times New Roman" w:hAnsi="Times New Roman" w:eastAsia="宋体" w:cs="Times New Roman"/>
                <w:color w:val="000000" w:themeColor="text1"/>
                <w:sz w:val="24"/>
                <w:szCs w:val="24"/>
                <w:lang w:eastAsia="zh-CN"/>
                <w14:textFill>
                  <w14:solidFill>
                    <w14:schemeClr w14:val="tx1"/>
                  </w14:solidFill>
                </w14:textFill>
              </w:rPr>
              <w:t>排入市政污水管网，送往江镜华侨农场污水处理厂集中处理，不直接排入周边地表水体，几乎不会改变纳污水域的环境质量现状</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项目在采取一定的噪声污染防治措施后，项目产生的噪声不会对周围环境产生显著影响，项目所在区域的环境噪声符合《声环境质量标准》(GB3096-2008)的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类标准，因此，项目建设符合环境功能规划。</w:t>
            </w:r>
          </w:p>
          <w:p w14:paraId="1EF9001B">
            <w:pPr>
              <w:pStyle w:val="86"/>
              <w:numPr>
                <w:ilvl w:val="0"/>
                <w:numId w:val="0"/>
              </w:numPr>
              <w:tabs>
                <w:tab w:val="left" w:pos="4347"/>
              </w:tabs>
              <w:adjustRightInd/>
              <w:spacing w:line="360" w:lineRule="auto"/>
              <w:jc w:val="both"/>
              <w:outlineLvl w:val="2"/>
              <w:rPr>
                <w:rFonts w:hint="default" w:ascii="Times New Roman" w:hAnsi="Times New Roman" w:eastAsia="宋体" w:cs="Times New Roman"/>
                <w:b/>
                <w:color w:val="000000" w:themeColor="text1"/>
                <w:szCs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Cs w:val="24"/>
                <w:highlight w:val="none"/>
                <w:lang w:val="en-US" w:eastAsia="zh-CN"/>
                <w14:textFill>
                  <w14:solidFill>
                    <w14:schemeClr w14:val="tx1"/>
                  </w14:solidFill>
                </w14:textFill>
              </w:rPr>
              <w:t>3、选址合理性分析</w:t>
            </w:r>
          </w:p>
          <w:p w14:paraId="1B7ADC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本项目选址于闽台（福州）蓝色经济产业园（租赁</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福州锦佳商贸有限公司</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lang w:val="zh-CN"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根据建设单位提供的不动产权证(闽（2023）福清市不动产权第</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0017239</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号和《闽台(福州)蓝色经济产业园总体规划修编(2017-2035)》，项目所在地土地用途为工业，本场所为非住宅、非违法建筑，不在</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拆</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迁范围，符合安全生产经营条件，本项目主要从事</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未被污染的输液瓶（袋）及生活塑料的回收加工</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，属于工业企业，因此，项目选址符合土地利用规划的要求，故项目选址合理。</w:t>
            </w:r>
          </w:p>
          <w:p w14:paraId="7077DCCA">
            <w:pPr>
              <w:pStyle w:val="86"/>
              <w:keepNext w:val="0"/>
              <w:keepLines w:val="0"/>
              <w:pageBreakBefore w:val="0"/>
              <w:widowControl w:val="0"/>
              <w:tabs>
                <w:tab w:val="left" w:pos="4347"/>
              </w:tabs>
              <w:kinsoku/>
              <w:wordWrap/>
              <w:overflowPunct/>
              <w:topLinePunct w:val="0"/>
              <w:bidi w:val="0"/>
              <w:adjustRightInd w:val="0"/>
              <w:snapToGrid w:val="0"/>
              <w:spacing w:line="360" w:lineRule="auto"/>
              <w:jc w:val="both"/>
              <w:textAlignment w:val="auto"/>
              <w:outlineLvl w:val="2"/>
              <w:rPr>
                <w:rFonts w:hint="default" w:ascii="Times New Roman" w:hAnsi="Times New Roman" w:eastAsia="宋体" w:cs="Times New Roman"/>
                <w:b/>
                <w:color w:val="000000" w:themeColor="text1"/>
                <w:szCs w:val="24"/>
                <w:highlight w:val="none"/>
                <w14:textFill>
                  <w14:solidFill>
                    <w14:schemeClr w14:val="tx1"/>
                  </w14:solidFill>
                </w14:textFill>
              </w:rPr>
            </w:pPr>
            <w:r>
              <w:rPr>
                <w:rFonts w:hint="default" w:ascii="Times New Roman" w:hAnsi="Times New Roman" w:eastAsia="宋体" w:cs="Times New Roman"/>
                <w:b/>
                <w:color w:val="000000" w:themeColor="text1"/>
                <w:szCs w:val="24"/>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szCs w:val="24"/>
                <w:highlight w:val="none"/>
                <w14:textFill>
                  <w14:solidFill>
                    <w14:schemeClr w14:val="tx1"/>
                  </w14:solidFill>
                </w14:textFill>
              </w:rPr>
              <w:t>与周边相容性分析</w:t>
            </w:r>
          </w:p>
          <w:p w14:paraId="2B776F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项目位于闽台（福州）蓝色经济产业园（租赁</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福州锦佳商贸有限公司B37栋厂房（二期）</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根据现场勘查，</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周边以工业企业为主，项目周边环境</w:t>
            </w:r>
            <w:r>
              <w:rPr>
                <w:rFonts w:hint="default" w:ascii="Times New Roman" w:hAnsi="Times New Roman" w:cs="Times New Roman"/>
                <w:color w:val="000000" w:themeColor="text1"/>
                <w:spacing w:val="0"/>
                <w:sz w:val="24"/>
                <w:szCs w:val="24"/>
                <w:highlight w:val="none"/>
                <w:lang w:eastAsia="zh-CN"/>
                <w14:textFill>
                  <w14:solidFill>
                    <w14:schemeClr w14:val="tx1"/>
                  </w14:solidFill>
                </w14:textFill>
              </w:rPr>
              <w:t>现状</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示意图详见附图</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项目周边环境现状拍摄图详见附图</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建设单位在确实落实本评价提出的各项污染治理措施的前提下，可实现污染物达标排放</w:t>
            </w:r>
            <w:r>
              <w:rPr>
                <w:rFonts w:hint="eastAsia" w:cs="Times New Roman"/>
                <w:color w:val="000000" w:themeColor="text1"/>
                <w:spacing w:val="0"/>
                <w:sz w:val="24"/>
                <w:szCs w:val="24"/>
                <w:highlight w:val="none"/>
                <w:lang w:eastAsia="zh-CN"/>
                <w14:textFill>
                  <w14:solidFill>
                    <w14:schemeClr w14:val="tx1"/>
                  </w14:solidFill>
                </w14:textFill>
              </w:rPr>
              <w:t>且</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各污染物排放源强较低，运营期产生的“三废”及噪声对周边环境影响不明显，因此，项目建设与周边环境基本相容。</w:t>
            </w:r>
          </w:p>
          <w:p w14:paraId="18FBA118">
            <w:pPr>
              <w:autoSpaceDE/>
              <w:autoSpaceDN/>
              <w:spacing w:line="360" w:lineRule="auto"/>
              <w:ind w:firstLine="480" w:firstLineChars="200"/>
              <w:rPr>
                <w:rFonts w:hint="default" w:ascii="Times New Roman" w:hAnsi="Times New Roman" w:eastAsia="宋体" w:cs="Times New Roman"/>
                <w:color w:val="000000" w:themeColor="text1"/>
                <w:spacing w:val="0"/>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本评价要求建设单位合理设计厂区平面布置，完善废水、废气、噪声及固废治理的环保措施，保证项目产生的废水、废气、噪声及固废都能实现达标排放，最大程度降低项目对周围居民点的影响。</w:t>
            </w:r>
          </w:p>
          <w:p w14:paraId="4423FFD1">
            <w:pPr>
              <w:pStyle w:val="86"/>
              <w:tabs>
                <w:tab w:val="left" w:pos="4347"/>
              </w:tabs>
              <w:adjustRightInd/>
              <w:spacing w:line="360" w:lineRule="auto"/>
              <w:jc w:val="both"/>
              <w:outlineLvl w:val="2"/>
              <w:rPr>
                <w:rFonts w:hint="default" w:ascii="Times New Roman" w:hAnsi="Times New Roman" w:eastAsia="宋体" w:cs="Times New Roman"/>
                <w:b/>
                <w:color w:val="000000" w:themeColor="text1"/>
                <w:szCs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Cs w:val="24"/>
                <w:highlight w:val="none"/>
                <w:lang w:val="en-US" w:eastAsia="zh-CN"/>
                <w14:textFill>
                  <w14:solidFill>
                    <w14:schemeClr w14:val="tx1"/>
                  </w14:solidFill>
                </w14:textFill>
              </w:rPr>
              <w:t>5、“三线一单”控制要求的符合性分析</w:t>
            </w:r>
          </w:p>
          <w:p w14:paraId="4EC75B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w:t>
            </w:r>
            <w:r>
              <w:rPr>
                <w:rFonts w:hint="default" w:ascii="Times New Roman" w:hAnsi="Times New Roman" w:eastAsia="宋体" w:cs="Times New Roman"/>
                <w:color w:val="000000" w:themeColor="text1"/>
                <w:sz w:val="24"/>
                <w:szCs w:val="24"/>
                <w:lang w:val="en-GB" w:eastAsia="zh-CN"/>
                <w14:textFill>
                  <w14:solidFill>
                    <w14:schemeClr w14:val="tx1"/>
                  </w14:solidFill>
                </w14:textFill>
              </w:rPr>
              <w:t>福州市人民政府关于实施“三线一单”生态分区管控的通知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》(榕政综〔2021〕178号)</w:t>
            </w:r>
            <w:r>
              <w:rPr>
                <w:rFonts w:hint="default" w:ascii="Times New Roman" w:hAnsi="Times New Roman" w:eastAsia="宋体" w:cs="Times New Roman"/>
                <w:color w:val="auto"/>
                <w:sz w:val="24"/>
              </w:rPr>
              <w:t>以及《福建省人民政府关于实施“三线一单”生态环境分区管控的通知》</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闽政﹝2020﹞12号</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，项目与福州市“三线一单”管控要求符合性分析如下：</w:t>
            </w:r>
          </w:p>
          <w:p w14:paraId="20CC27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(1)生态红线</w:t>
            </w:r>
          </w:p>
          <w:p w14:paraId="49457D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位于陆域范围，按照《福建省生态保护红线划定方案(报批稿)》(闽政函〔2018〕70号)，福州市陆域生态保护红线划定面积为2497.75平方千米，占全市陆域国土面积的21.06%。经对照“福州市生态保护红线陆海统筹范围图”，项目建设区未涉及生态保护红线，因此项目建设与生态保护红线管控要求不冲突。</w:t>
            </w:r>
          </w:p>
          <w:p w14:paraId="7CD78D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(2)环境质量底线</w:t>
            </w:r>
          </w:p>
          <w:p w14:paraId="415945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①水环境质量底线</w:t>
            </w:r>
          </w:p>
          <w:p w14:paraId="4F94BF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所在区域属于《福州市人民政府关于实施“三线一单”生态分区管控的通知》中划定的水环境工业污染重点管控区。水环境质量底线目标为：到2025年，国省控断面水质优良(达到或优于Ⅲ类)比例总体达到90.0%，福清海口桥断面水质稳定达到Ⅳ类；县级以上集中式饮用水水源水质达标率达100%。到2030年，国省控断面水质优良(达到或优于Ⅲ类)比例总体达到90.0%；县级以上城市建成区黑臭水体总体得到消除；县级以上集中式饮用水水源水质达标率达100%。到2035年，国省考断面水质优良(达到或优于Ⅲ类)比例总体达到95.0%；生态系统实现良性循环。</w:t>
            </w:r>
          </w:p>
          <w:p w14:paraId="5A42F157">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auto"/>
                <w:sz w:val="24"/>
                <w:szCs w:val="24"/>
                <w:highlight w:val="none"/>
                <w:lang w:val="en-US" w:eastAsia="zh-CN"/>
              </w:rPr>
              <w:t>本项目生产废水</w:t>
            </w:r>
            <w:r>
              <w:rPr>
                <w:rFonts w:hint="default" w:ascii="Times New Roman" w:hAnsi="Times New Roman" w:cs="Times New Roman"/>
                <w:color w:val="auto"/>
                <w:sz w:val="24"/>
                <w:szCs w:val="24"/>
                <w:highlight w:val="none"/>
                <w:lang w:val="en-US" w:eastAsia="zh-CN"/>
              </w:rPr>
              <w:t>经处理后</w:t>
            </w:r>
            <w:r>
              <w:rPr>
                <w:rFonts w:hint="default" w:ascii="Times New Roman" w:hAnsi="Times New Roman" w:eastAsia="宋体" w:cs="Times New Roman"/>
                <w:color w:val="auto"/>
                <w:sz w:val="24"/>
                <w:szCs w:val="24"/>
                <w:highlight w:val="none"/>
                <w:lang w:val="en-US" w:eastAsia="zh-CN"/>
              </w:rPr>
              <w:t>排放</w:t>
            </w:r>
            <w:r>
              <w:rPr>
                <w:rFonts w:hint="default" w:ascii="Times New Roman" w:hAnsi="Times New Roman" w:cs="Times New Roman"/>
                <w:color w:val="auto"/>
                <w:sz w:val="24"/>
                <w:szCs w:val="24"/>
                <w:highlight w:val="none"/>
                <w:lang w:val="en-US" w:eastAsia="zh-CN"/>
              </w:rPr>
              <w:t>到市政污水处理厂</w:t>
            </w:r>
            <w:r>
              <w:rPr>
                <w:rFonts w:hint="default" w:ascii="Times New Roman" w:hAnsi="Times New Roman" w:cs="Times New Roman"/>
                <w:color w:val="0000FF"/>
                <w:sz w:val="24"/>
                <w:szCs w:val="24"/>
                <w:lang w:eastAsia="zh-CN"/>
              </w:rPr>
              <w:t>，</w:t>
            </w:r>
            <w:r>
              <w:rPr>
                <w:rFonts w:hint="default" w:ascii="Times New Roman" w:hAnsi="Times New Roman" w:cs="Times New Roman"/>
                <w:color w:val="000000" w:themeColor="text1"/>
                <w:sz w:val="24"/>
                <w:szCs w:val="24"/>
                <w:lang w:val="en-US" w:eastAsia="zh-CN"/>
                <w14:textFill>
                  <w14:solidFill>
                    <w14:schemeClr w14:val="tx1"/>
                  </w14:solidFill>
                </w14:textFill>
              </w:rPr>
              <w:t>生活污水</w:t>
            </w:r>
            <w:r>
              <w:rPr>
                <w:rFonts w:hint="default" w:ascii="Times New Roman" w:hAnsi="Times New Roman" w:cs="Times New Roman"/>
                <w:color w:val="000000" w:themeColor="text1"/>
                <w:sz w:val="24"/>
                <w:szCs w:val="24"/>
                <w14:textFill>
                  <w14:solidFill>
                    <w14:schemeClr w14:val="tx1"/>
                  </w14:solidFill>
                </w14:textFill>
              </w:rPr>
              <w:t>经化粪池处理后</w:t>
            </w:r>
            <w:r>
              <w:rPr>
                <w:rFonts w:hint="default" w:ascii="Times New Roman" w:hAnsi="Times New Roman" w:cs="Times New Roman"/>
                <w:color w:val="000000" w:themeColor="text1"/>
                <w:sz w:val="24"/>
                <w:szCs w:val="24"/>
                <w:lang w:eastAsia="zh-CN"/>
                <w14:textFill>
                  <w14:solidFill>
                    <w14:schemeClr w14:val="tx1"/>
                  </w14:solidFill>
                </w14:textFill>
              </w:rPr>
              <w:t>由</w:t>
            </w:r>
            <w:r>
              <w:rPr>
                <w:rFonts w:hint="default" w:ascii="Times New Roman" w:hAnsi="Times New Roman" w:cs="Times New Roman"/>
                <w:color w:val="000000" w:themeColor="text1"/>
                <w:sz w:val="24"/>
                <w:szCs w:val="24"/>
                <w14:textFill>
                  <w14:solidFill>
                    <w14:schemeClr w14:val="tx1"/>
                  </w14:solidFill>
                </w14:textFill>
              </w:rPr>
              <w:t>市政污水管网</w:t>
            </w:r>
            <w:r>
              <w:rPr>
                <w:rFonts w:hint="default" w:ascii="Times New Roman" w:hAnsi="Times New Roman" w:cs="Times New Roman"/>
                <w:color w:val="000000" w:themeColor="text1"/>
                <w:sz w:val="24"/>
                <w:szCs w:val="24"/>
                <w:lang w:eastAsia="zh-CN"/>
                <w14:textFill>
                  <w14:solidFill>
                    <w14:schemeClr w14:val="tx1"/>
                  </w14:solidFill>
                </w14:textFill>
              </w:rPr>
              <w:t>排入江镜华侨农场污水处理厂</w:t>
            </w:r>
            <w:r>
              <w:rPr>
                <w:rFonts w:hint="default" w:ascii="Times New Roman" w:hAnsi="Times New Roman" w:cs="Times New Roman"/>
                <w:color w:val="000000" w:themeColor="text1"/>
                <w:sz w:val="24"/>
                <w:szCs w:val="24"/>
                <w14:textFill>
                  <w14:solidFill>
                    <w14:schemeClr w14:val="tx1"/>
                  </w14:solidFill>
                </w14:textFill>
              </w:rPr>
              <w:t>集中处理，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几乎不会改变区域水环境质量现状，因此，项目建设不会突破区域水环境质量底线。</w:t>
            </w:r>
          </w:p>
          <w:p w14:paraId="6BBBE3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②大气环境质量底线</w:t>
            </w:r>
          </w:p>
          <w:p w14:paraId="0B0A50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根据《福州市人民政府关于实施“三线一单”生态分区管控的通知》，项目所在地为大气环境管控分区中的高排放重点管控区。大气环境质量底线目标为：到2025年，地级以上城市空气质量PM</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2.5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年平均浓度不高于23μg/m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。到2035年，县级以上地区空气质量PM</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2.5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年平均浓度不高于18μg/m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 </w:t>
            </w:r>
          </w:p>
          <w:p w14:paraId="3CF6E8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项目产生的废气经采取有效的污染防治措施后，项目废气源强较低，各污染物均可实现达标排放，项目的建设不会突破区域大气环境质量底线。</w:t>
            </w:r>
          </w:p>
          <w:p w14:paraId="234C34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③土壤环境风险防控底线</w:t>
            </w:r>
          </w:p>
          <w:p w14:paraId="5DC48C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福州市人民政府关于实施“三线一单”生态分区管控的通知》，项目所在地为土壤污染风险管控分区中的建设用地污染风险重点管控区。到2025年，全省土壤环境质量保持稳定，土壤环境风险得到管控，受污染耕地安全利用率达到93％，污染地块安全利用率达到93％。到2035年，全省土壤环境质量稳中向好，土壤环境风险得到全面管控，受污染耕地安全利用率达95％以上，污染地块安全利用率达95％以上。</w:t>
            </w:r>
          </w:p>
          <w:p w14:paraId="1D22EB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项目建设后，项目厂区车间地面全部硬化，生产过程不排放持久性污染物、重点重金属等污染物，严格按照要求进行分区防渗防控，几乎不存在土壤环境风险，符合土壤环境风险防控底线要求。</w:t>
            </w:r>
          </w:p>
          <w:p w14:paraId="34666E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(3)资源利用上线</w:t>
            </w:r>
          </w:p>
          <w:p w14:paraId="280052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①水资源利用上线</w:t>
            </w:r>
          </w:p>
          <w:p w14:paraId="7C59D8D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福州市人民政府关于实施“三线一单”生态分区管控的通知》，水资源利用上线要求为：衔接水资源管理“三条红线”，控制目标以省政府下达为准。项目水资源上线现状评价从水资源承载能力、水资源利用效率和生态需水量保障程度三方面综合分析，确定全省地市层面范围均为一般管控区，即全市水资源利用不会突破水资源利用上线。</w:t>
            </w:r>
          </w:p>
          <w:p w14:paraId="0A548B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项目运营期用水均来自市政供水，项目用水量不大，与福州市水资源利用上线管控要求相符，因此项目建设不会突破水资源利用上线。</w:t>
            </w:r>
          </w:p>
          <w:p w14:paraId="713BB5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②土地资源利用上线</w:t>
            </w:r>
          </w:p>
          <w:p w14:paraId="34F149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根据《福州市人民政府关于实施“三线一单”生态分区管控的通 知》，土地资源利用上线要求为：衔接土地利用总体规划等文件要求， 控制目标以省政府下达为准。</w:t>
            </w:r>
          </w:p>
          <w:p w14:paraId="4BC891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项目用地符合《闽台(福州)蓝色经济产业园总体规划修编(2017-2035)》要求，符合土地资源利用上线管控要求，因此项目建设不会突破土地资源利用上线。</w:t>
            </w:r>
          </w:p>
          <w:p w14:paraId="42E336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③能源资源利用上线</w:t>
            </w:r>
          </w:p>
          <w:p w14:paraId="263266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根据《福州市人民政府关于实施“三线一单”生态分区管控的通 知》，能源资源利用上线要求为：衔接碳达峰方案、节能减排、能源规划等文件要求，控制目标以省政府下达为准。</w:t>
            </w:r>
          </w:p>
          <w:p w14:paraId="6A4C76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项目设备使用电能作为能源，不涉及高污染燃料，项目与福州市能源资源利用上线要求相符。</w:t>
            </w:r>
          </w:p>
          <w:p w14:paraId="140559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(4)生态环境准入清单</w:t>
            </w:r>
          </w:p>
          <w:p w14:paraId="2612BF0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根据《福州市人民政府关于实施“三线一单”生态环境分区管控的通知》，本项目属于重点管控单元，本项目与“福州市生态环境总体准入要求和福州市陆域环境管控单元准入要求”符合性分析详见表1-4。</w:t>
            </w:r>
          </w:p>
          <w:p w14:paraId="12B613BA">
            <w:pPr>
              <w:keepNext w:val="0"/>
              <w:keepLines w:val="0"/>
              <w:pageBreakBefore w:val="0"/>
              <w:widowControl w:val="0"/>
              <w:kinsoku/>
              <w:wordWrap/>
              <w:overflowPunct/>
              <w:topLinePunct w:val="0"/>
              <w:autoSpaceDE/>
              <w:autoSpaceDN/>
              <w:bidi w:val="0"/>
              <w:adjustRightInd/>
              <w:snapToGrid/>
              <w:spacing w:before="163" w:beforeLines="50" w:line="240" w:lineRule="auto"/>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黑体" w:cs="Times New Roman"/>
                <w:color w:val="000000" w:themeColor="text1"/>
                <w:sz w:val="24"/>
                <w:szCs w:val="24"/>
                <w:u w:val="none"/>
                <w:lang w:val="en-US" w:eastAsia="zh-CN"/>
                <w14:textFill>
                  <w14:solidFill>
                    <w14:schemeClr w14:val="tx1"/>
                  </w14:solidFill>
                </w14:textFill>
              </w:rPr>
              <w:t>表1-4 与福州市生态环境总体准入要求及福州市陆域环境管控单元准入要求的符合性分析(摘录)</w:t>
            </w:r>
          </w:p>
          <w:tbl>
            <w:tblPr>
              <w:tblStyle w:val="28"/>
              <w:tblW w:w="4996"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1079"/>
              <w:gridCol w:w="626"/>
              <w:gridCol w:w="3226"/>
              <w:gridCol w:w="2261"/>
              <w:gridCol w:w="650"/>
            </w:tblGrid>
            <w:tr w14:paraId="101D71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688" w:type="pct"/>
                  <w:noWrap w:val="0"/>
                  <w:vAlign w:val="center"/>
                </w:tcPr>
                <w:p w14:paraId="1B145ED3">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适用范围</w:t>
                  </w:r>
                </w:p>
              </w:tc>
              <w:tc>
                <w:tcPr>
                  <w:tcW w:w="2455" w:type="pct"/>
                  <w:gridSpan w:val="2"/>
                  <w:noWrap w:val="0"/>
                  <w:vAlign w:val="center"/>
                </w:tcPr>
                <w:p w14:paraId="2157B953">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准入要求</w:t>
                  </w:r>
                </w:p>
              </w:tc>
              <w:tc>
                <w:tcPr>
                  <w:tcW w:w="1441" w:type="pct"/>
                  <w:noWrap w:val="0"/>
                  <w:vAlign w:val="center"/>
                </w:tcPr>
                <w:p w14:paraId="1186E7F5">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本项目情况</w:t>
                  </w:r>
                </w:p>
              </w:tc>
              <w:tc>
                <w:tcPr>
                  <w:tcW w:w="414" w:type="pct"/>
                  <w:noWrap w:val="0"/>
                  <w:vAlign w:val="center"/>
                </w:tcPr>
                <w:p w14:paraId="46C194FB">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符合性</w:t>
                  </w:r>
                </w:p>
              </w:tc>
            </w:tr>
            <w:tr w14:paraId="355A7DA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688" w:type="pct"/>
                  <w:vMerge w:val="restart"/>
                  <w:noWrap w:val="0"/>
                  <w:vAlign w:val="center"/>
                </w:tcPr>
                <w:p w14:paraId="2CFDD5D8">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firstLine="0" w:firstLineChars="0"/>
                    <w:jc w:val="center"/>
                    <w:textAlignment w:val="auto"/>
                    <w:outlineLvl w:val="9"/>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福州市</w:t>
                  </w:r>
                </w:p>
                <w:p w14:paraId="0415242D">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陆域</w:t>
                  </w:r>
                </w:p>
              </w:tc>
              <w:tc>
                <w:tcPr>
                  <w:tcW w:w="399" w:type="pct"/>
                  <w:noWrap w:val="0"/>
                  <w:vAlign w:val="center"/>
                </w:tcPr>
                <w:p w14:paraId="08241C73">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空间布局约束</w:t>
                  </w:r>
                </w:p>
              </w:tc>
              <w:tc>
                <w:tcPr>
                  <w:tcW w:w="2055" w:type="pct"/>
                  <w:noWrap w:val="0"/>
                  <w:vAlign w:val="center"/>
                </w:tcPr>
                <w:p w14:paraId="7DC84206">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1.福州市石化中上游项目重点在江阴化工新材料专区、连江可门化工新材料产业园布局。</w:t>
                  </w:r>
                </w:p>
                <w:p w14:paraId="3F41FA5E">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2.禁止在通风廊道和主导风向的上风向布局大气重污染企业，逐步将大气重污染企业和环境风险企业搬出城市建成区和生态保护红线范围。</w:t>
                  </w:r>
                </w:p>
              </w:tc>
              <w:tc>
                <w:tcPr>
                  <w:tcW w:w="1441" w:type="pct"/>
                  <w:noWrap w:val="0"/>
                  <w:vAlign w:val="center"/>
                </w:tcPr>
                <w:p w14:paraId="4A5D4B43">
                  <w:pPr>
                    <w:keepNext w:val="0"/>
                    <w:keepLines w:val="0"/>
                    <w:pageBreakBefore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1.项目不属于石化企业；</w:t>
                  </w:r>
                </w:p>
                <w:p w14:paraId="508718AE">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2.项目不属于</w:t>
                  </w:r>
                  <w:r>
                    <w:rPr>
                      <w:rFonts w:hint="default" w:ascii="Times New Roman" w:hAnsi="Times New Roman" w:cs="Times New Roman"/>
                      <w:color w:val="000000" w:themeColor="text1"/>
                      <w:sz w:val="21"/>
                      <w:szCs w:val="21"/>
                      <w14:textFill>
                        <w14:solidFill>
                          <w14:schemeClr w14:val="tx1"/>
                        </w14:solidFill>
                      </w14:textFill>
                    </w:rPr>
                    <w:t>大气重污染企业</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产生的废气经采取有效治理措施后，对周边敏感目影响较小。</w:t>
                  </w:r>
                </w:p>
              </w:tc>
              <w:tc>
                <w:tcPr>
                  <w:tcW w:w="414" w:type="pct"/>
                  <w:noWrap w:val="0"/>
                  <w:vAlign w:val="center"/>
                </w:tcPr>
                <w:p w14:paraId="683C249F">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符合</w:t>
                  </w:r>
                </w:p>
              </w:tc>
            </w:tr>
            <w:tr w14:paraId="662380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688" w:type="pct"/>
                  <w:vMerge w:val="continue"/>
                  <w:noWrap w:val="0"/>
                  <w:vAlign w:val="center"/>
                </w:tcPr>
                <w:p w14:paraId="61387BEA">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c>
                <w:tcPr>
                  <w:tcW w:w="399" w:type="pct"/>
                  <w:noWrap w:val="0"/>
                  <w:vAlign w:val="center"/>
                </w:tcPr>
                <w:p w14:paraId="5D558DAB">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污染物排放管控</w:t>
                  </w:r>
                </w:p>
              </w:tc>
              <w:tc>
                <w:tcPr>
                  <w:tcW w:w="2055" w:type="pct"/>
                  <w:noWrap w:val="0"/>
                  <w:vAlign w:val="center"/>
                </w:tcPr>
                <w:p w14:paraId="77366DF4">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建设规划部门划定的县级以上城市建成区及福州市环境总体规划（2013-2030）划定的大气环境二级管控区的大气污染型工业企业（现阶段指排放二氧化硫、氮氧化物的工业企业，但不含使用天然气、液化石油气等作为燃料的非火电锅炉和工业炉窑排放二氧化硫、氮氧化物的工业企业）新增大气污染物排放量，按不低于1.5倍交易。</w:t>
                  </w:r>
                </w:p>
                <w:p w14:paraId="4F76D420">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2.省级（含）以上工业园区外的工业企业新增主要污染物排放量（不含使用天然气、液化石油气等作为燃料的非火电锅炉和工业炉窑的工业企业新增的二氧化硫、氮氧化物排放量），按不低于1.2倍交易。</w:t>
                  </w:r>
                </w:p>
                <w:p w14:paraId="46045746">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3.涉新增VOCs排放项目，VOCs排放实行区域内倍量替代。</w:t>
                  </w:r>
                </w:p>
                <w:p w14:paraId="1C2CFB49">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严格控制新建、改建、扩建钢铁、水泥、平板玻璃、有色金属冶炼、化工等工业项目。新建钢铁、火电、水泥、有色项目应当执行大气污染物特别排放限值。重点控制区新建化工、石化及燃煤锅炉项目应当执行大气污染物特别排放限值。</w:t>
                  </w:r>
                </w:p>
                <w:p w14:paraId="544C7CB4">
                  <w:pPr>
                    <w:pStyle w:val="8"/>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5.氟化工、印染、电镀等行业企业实行水污染物特别排放限值。</w:t>
                  </w:r>
                </w:p>
              </w:tc>
              <w:tc>
                <w:tcPr>
                  <w:tcW w:w="1441" w:type="pct"/>
                  <w:noWrap w:val="0"/>
                  <w:vAlign w:val="center"/>
                </w:tcPr>
                <w:p w14:paraId="39CA4DA8">
                  <w:pPr>
                    <w:keepNext w:val="0"/>
                    <w:keepLines w:val="0"/>
                    <w:pageBreakBefore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项目</w:t>
                  </w:r>
                  <w:r>
                    <w:rPr>
                      <w:rFonts w:hint="default" w:ascii="Times New Roman" w:hAnsi="Times New Roman" w:cs="Times New Roman"/>
                      <w:color w:val="000000" w:themeColor="text1"/>
                      <w:sz w:val="21"/>
                      <w:szCs w:val="21"/>
                      <w:lang w:val="en-US" w:eastAsia="zh-CN"/>
                      <w14:textFill>
                        <w14:solidFill>
                          <w14:schemeClr w14:val="tx1"/>
                        </w14:solidFill>
                      </w14:textFill>
                    </w:rPr>
                    <w:t>不涉及二</w:t>
                  </w:r>
                  <w:r>
                    <w:rPr>
                      <w:rFonts w:hint="default" w:ascii="Times New Roman" w:hAnsi="Times New Roman" w:cs="Times New Roman"/>
                      <w:color w:val="000000" w:themeColor="text1"/>
                      <w:sz w:val="21"/>
                      <w:szCs w:val="21"/>
                      <w14:textFill>
                        <w14:solidFill>
                          <w14:schemeClr w14:val="tx1"/>
                        </w14:solidFill>
                      </w14:textFill>
                    </w:rPr>
                    <w:t>氧化硫、氮氧化物</w:t>
                  </w:r>
                  <w:r>
                    <w:rPr>
                      <w:rFonts w:hint="default" w:ascii="Times New Roman" w:hAnsi="Times New Roman" w:cs="Times New Roman"/>
                      <w:color w:val="000000" w:themeColor="text1"/>
                      <w:sz w:val="21"/>
                      <w:szCs w:val="21"/>
                      <w:lang w:val="en-US" w:eastAsia="zh-CN"/>
                      <w14:textFill>
                        <w14:solidFill>
                          <w14:schemeClr w14:val="tx1"/>
                        </w14:solidFill>
                      </w14:textFill>
                    </w:rPr>
                    <w:t>排放；</w:t>
                  </w:r>
                </w:p>
                <w:p w14:paraId="4F58D0CE">
                  <w:pPr>
                    <w:keepNext w:val="0"/>
                    <w:keepLines w:val="0"/>
                    <w:pageBreakBefore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项目排放的VOC</w:t>
                  </w:r>
                  <w:r>
                    <w:rPr>
                      <w:rFonts w:hint="default" w:ascii="Times New Roman" w:hAnsi="Times New Roman" w:cs="Times New Roman"/>
                      <w:color w:val="000000" w:themeColor="text1"/>
                      <w:sz w:val="21"/>
                      <w:szCs w:val="21"/>
                      <w:vertAlign w:val="subscript"/>
                      <w14:textFill>
                        <w14:solidFill>
                          <w14:schemeClr w14:val="tx1"/>
                        </w14:solidFill>
                      </w14:textFill>
                    </w:rPr>
                    <w:t>S</w:t>
                  </w:r>
                  <w:r>
                    <w:rPr>
                      <w:rFonts w:hint="default" w:ascii="Times New Roman" w:hAnsi="Times New Roman" w:cs="Times New Roman"/>
                      <w:color w:val="000000" w:themeColor="text1"/>
                      <w:sz w:val="21"/>
                      <w:szCs w:val="21"/>
                      <w14:textFill>
                        <w14:solidFill>
                          <w14:schemeClr w14:val="tx1"/>
                        </w14:solidFill>
                      </w14:textFill>
                    </w:rPr>
                    <w:t>拟实行区域内倍量替代</w:t>
                  </w:r>
                  <w:r>
                    <w:rPr>
                      <w:rFonts w:hint="default" w:ascii="Times New Roman" w:hAnsi="Times New Roman" w:cs="Times New Roman"/>
                      <w:color w:val="000000" w:themeColor="text1"/>
                      <w:sz w:val="21"/>
                      <w:szCs w:val="21"/>
                      <w:lang w:eastAsia="zh-CN"/>
                      <w14:textFill>
                        <w14:solidFill>
                          <w14:schemeClr w14:val="tx1"/>
                        </w14:solidFill>
                      </w14:textFill>
                    </w:rPr>
                    <w:t>；</w:t>
                  </w:r>
                </w:p>
                <w:p w14:paraId="257EA5D7">
                  <w:pPr>
                    <w:keepNext w:val="0"/>
                    <w:keepLines w:val="0"/>
                    <w:pageBreakBefore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3.项目不属于钢</w:t>
                  </w:r>
                  <w:r>
                    <w:rPr>
                      <w:rFonts w:hint="default" w:ascii="Times New Roman" w:hAnsi="Times New Roman" w:cs="Times New Roman"/>
                      <w:color w:val="000000" w:themeColor="text1"/>
                      <w:sz w:val="21"/>
                      <w:szCs w:val="21"/>
                      <w14:textFill>
                        <w14:solidFill>
                          <w14:schemeClr w14:val="tx1"/>
                        </w14:solidFill>
                      </w14:textFill>
                    </w:rPr>
                    <w:t>铁、水泥、平板玻璃、有色金属冶炼、化工</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火电、有色等项目，不涉及燃煤锅炉；</w:t>
                  </w:r>
                </w:p>
                <w:p w14:paraId="3DE29F09">
                  <w:pPr>
                    <w:keepNext w:val="0"/>
                    <w:keepLines w:val="0"/>
                    <w:pageBreakBefore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4.项目不属于</w:t>
                  </w:r>
                  <w:r>
                    <w:rPr>
                      <w:rFonts w:hint="default" w:ascii="Times New Roman" w:hAnsi="Times New Roman" w:cs="Times New Roman"/>
                      <w:color w:val="000000" w:themeColor="text1"/>
                      <w:sz w:val="21"/>
                      <w:szCs w:val="21"/>
                      <w14:textFill>
                        <w14:solidFill>
                          <w14:schemeClr w14:val="tx1"/>
                        </w14:solidFill>
                      </w14:textFill>
                    </w:rPr>
                    <w:t>氟化工、印染、电镀等行业企业</w:t>
                  </w:r>
                  <w:r>
                    <w:rPr>
                      <w:rFonts w:hint="default" w:ascii="Times New Roman" w:hAnsi="Times New Roman" w:cs="Times New Roman"/>
                      <w:color w:val="000000" w:themeColor="text1"/>
                      <w:sz w:val="21"/>
                      <w:szCs w:val="21"/>
                      <w:lang w:eastAsia="zh-CN"/>
                      <w14:textFill>
                        <w14:solidFill>
                          <w14:schemeClr w14:val="tx1"/>
                        </w14:solidFill>
                      </w14:textFill>
                    </w:rPr>
                    <w:t>。</w:t>
                  </w:r>
                </w:p>
              </w:tc>
              <w:tc>
                <w:tcPr>
                  <w:tcW w:w="414" w:type="pct"/>
                  <w:noWrap w:val="0"/>
                  <w:vAlign w:val="center"/>
                </w:tcPr>
                <w:p w14:paraId="0AFC3925">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14:paraId="40BB4C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688" w:type="pct"/>
                  <w:vMerge w:val="restart"/>
                  <w:noWrap w:val="0"/>
                  <w:vAlign w:val="center"/>
                </w:tcPr>
                <w:p w14:paraId="04890766">
                  <w:pPr>
                    <w:keepNext w:val="0"/>
                    <w:keepLines w:val="0"/>
                    <w:pageBreakBefore w:val="0"/>
                    <w:widowControl/>
                    <w:kinsoku/>
                    <w:wordWrap/>
                    <w:overflowPunct/>
                    <w:topLinePunct w:val="0"/>
                    <w:autoSpaceDE/>
                    <w:autoSpaceDN/>
                    <w:bidi w:val="0"/>
                    <w:adjustRightInd w:val="0"/>
                    <w:snapToGrid w:val="0"/>
                    <w:spacing w:line="340" w:lineRule="exact"/>
                    <w:ind w:left="0" w:leftChars="0" w:right="0" w:rightChars="0" w:firstLine="0" w:firstLineChars="0"/>
                    <w:jc w:val="center"/>
                    <w:textAlignment w:val="center"/>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福清市生态环境准入清单</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闽台(福州)蓝色经济产业园</w:t>
                  </w:r>
                </w:p>
                <w:p w14:paraId="6CE6A129">
                  <w:pPr>
                    <w:keepNext w:val="0"/>
                    <w:keepLines w:val="0"/>
                    <w:pageBreakBefore w:val="0"/>
                    <w:widowControl/>
                    <w:kinsoku/>
                    <w:wordWrap/>
                    <w:overflowPunct/>
                    <w:topLinePunct w:val="0"/>
                    <w:autoSpaceDE/>
                    <w:autoSpaceDN/>
                    <w:bidi w:val="0"/>
                    <w:adjustRightInd w:val="0"/>
                    <w:snapToGrid w:val="0"/>
                    <w:spacing w:line="340" w:lineRule="exact"/>
                    <w:ind w:left="0" w:leftChars="0" w:right="0" w:rightChars="0" w:firstLine="0" w:firstLineChars="0"/>
                    <w:jc w:val="center"/>
                    <w:textAlignment w:val="center"/>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ZH35018120005</w:t>
                  </w:r>
                </w:p>
              </w:tc>
              <w:tc>
                <w:tcPr>
                  <w:tcW w:w="399" w:type="pct"/>
                  <w:noWrap w:val="0"/>
                  <w:vAlign w:val="center"/>
                </w:tcPr>
                <w:p w14:paraId="55AA3CCB">
                  <w:pPr>
                    <w:keepNext w:val="0"/>
                    <w:keepLines w:val="0"/>
                    <w:pageBreakBefore w:val="0"/>
                    <w:widowControl/>
                    <w:kinsoku/>
                    <w:wordWrap/>
                    <w:overflowPunct/>
                    <w:topLinePunct w:val="0"/>
                    <w:autoSpaceDE/>
                    <w:autoSpaceDN/>
                    <w:bidi w:val="0"/>
                    <w:adjustRightInd w:val="0"/>
                    <w:snapToGrid w:val="0"/>
                    <w:spacing w:line="340" w:lineRule="exact"/>
                    <w:ind w:left="0" w:leftChars="0" w:right="0" w:rightChars="0" w:firstLine="0" w:firstLineChars="0"/>
                    <w:jc w:val="center"/>
                    <w:textAlignment w:val="center"/>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空间布局约束</w:t>
                  </w:r>
                </w:p>
              </w:tc>
              <w:tc>
                <w:tcPr>
                  <w:tcW w:w="2055" w:type="pct"/>
                  <w:noWrap w:val="0"/>
                  <w:vAlign w:val="center"/>
                </w:tcPr>
                <w:p w14:paraId="11ECAF20">
                  <w:pPr>
                    <w:keepNext w:val="0"/>
                    <w:keepLines w:val="0"/>
                    <w:pageBreakBefore w:val="0"/>
                    <w:widowControl/>
                    <w:kinsoku/>
                    <w:wordWrap/>
                    <w:overflowPunct/>
                    <w:topLinePunct w:val="0"/>
                    <w:autoSpaceDE/>
                    <w:autoSpaceDN/>
                    <w:bidi w:val="0"/>
                    <w:adjustRightInd w:val="0"/>
                    <w:snapToGrid w:val="0"/>
                    <w:spacing w:line="340" w:lineRule="exact"/>
                    <w:ind w:left="0" w:leftChars="0" w:right="0" w:rightChars="0" w:firstLine="0" w:firstLineChars="0"/>
                    <w:jc w:val="center"/>
                    <w:textAlignment w:val="center"/>
                    <w:outlineLvl w:val="9"/>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1.装备制造产业禁止引入专业电镀项目，配套的电镀工序含重金属废水应做到零排放；海洋高新产业禁止引进化学合成类制药等项目。</w:t>
                  </w:r>
                </w:p>
                <w:p w14:paraId="1D7EA51B">
                  <w:pPr>
                    <w:keepNext w:val="0"/>
                    <w:keepLines w:val="0"/>
                    <w:pageBreakBefore w:val="0"/>
                    <w:widowControl/>
                    <w:kinsoku/>
                    <w:wordWrap/>
                    <w:overflowPunct/>
                    <w:topLinePunct w:val="0"/>
                    <w:autoSpaceDE/>
                    <w:autoSpaceDN/>
                    <w:bidi w:val="0"/>
                    <w:adjustRightInd w:val="0"/>
                    <w:snapToGrid w:val="0"/>
                    <w:spacing w:line="340" w:lineRule="exact"/>
                    <w:ind w:left="0" w:leftChars="0" w:right="0" w:rightChars="0" w:firstLine="0" w:firstLineChars="0"/>
                    <w:jc w:val="center"/>
                    <w:textAlignment w:val="center"/>
                    <w:outlineLvl w:val="9"/>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2.禁止引入排放重金属废水及以氮、磷排放为主的项目。</w:t>
                  </w:r>
                </w:p>
                <w:p w14:paraId="097CAB86">
                  <w:pPr>
                    <w:keepNext w:val="0"/>
                    <w:keepLines w:val="0"/>
                    <w:pageBreakBefore w:val="0"/>
                    <w:widowControl/>
                    <w:kinsoku/>
                    <w:wordWrap/>
                    <w:overflowPunct/>
                    <w:topLinePunct w:val="0"/>
                    <w:autoSpaceDE/>
                    <w:autoSpaceDN/>
                    <w:bidi w:val="0"/>
                    <w:adjustRightInd w:val="0"/>
                    <w:snapToGrid w:val="0"/>
                    <w:spacing w:line="340" w:lineRule="exact"/>
                    <w:ind w:left="0" w:leftChars="0" w:right="0" w:rightChars="0" w:firstLine="0" w:firstLineChars="0"/>
                    <w:jc w:val="center"/>
                    <w:textAlignment w:val="center"/>
                    <w:outlineLvl w:val="9"/>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3.园区内涉及基本农田、沿海防风林的区域在土地性质调整及占补措施落实前应暂缓开发。</w:t>
                  </w:r>
                </w:p>
                <w:p w14:paraId="231FF2C9">
                  <w:pPr>
                    <w:keepNext w:val="0"/>
                    <w:keepLines w:val="0"/>
                    <w:pageBreakBefore w:val="0"/>
                    <w:widowControl/>
                    <w:kinsoku/>
                    <w:wordWrap/>
                    <w:overflowPunct/>
                    <w:topLinePunct w:val="0"/>
                    <w:autoSpaceDE/>
                    <w:autoSpaceDN/>
                    <w:bidi w:val="0"/>
                    <w:adjustRightInd w:val="0"/>
                    <w:snapToGrid w:val="0"/>
                    <w:spacing w:line="340" w:lineRule="exact"/>
                    <w:ind w:left="0" w:leftChars="0" w:right="0" w:rightChars="0" w:firstLine="0" w:firstLineChars="0"/>
                    <w:jc w:val="center"/>
                    <w:textAlignment w:val="center"/>
                    <w:outlineLvl w:val="9"/>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4.位于龙田军用机场净空区域内的建筑高度应满足相应的净空限高要求。机场雷达通信站周边半径1.5公里范围内建设应满足相应限制和要求。</w:t>
                  </w:r>
                </w:p>
                <w:p w14:paraId="5867C41A">
                  <w:pPr>
                    <w:keepNext w:val="0"/>
                    <w:keepLines w:val="0"/>
                    <w:pageBreakBefore w:val="0"/>
                    <w:widowControl/>
                    <w:kinsoku/>
                    <w:wordWrap/>
                    <w:overflowPunct/>
                    <w:topLinePunct w:val="0"/>
                    <w:autoSpaceDE/>
                    <w:autoSpaceDN/>
                    <w:bidi w:val="0"/>
                    <w:adjustRightInd w:val="0"/>
                    <w:snapToGrid w:val="0"/>
                    <w:spacing w:line="340" w:lineRule="exact"/>
                    <w:ind w:left="0" w:leftChars="0" w:right="0" w:rightChars="0" w:firstLine="0" w:firstLineChars="0"/>
                    <w:jc w:val="center"/>
                    <w:textAlignment w:val="center"/>
                    <w:outlineLvl w:val="9"/>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5.在核电站应急计划区内不得有10万人以上的城镇</w:t>
                  </w:r>
                  <w:r>
                    <w:rPr>
                      <w:rFonts w:hint="eastAsia" w:cs="Times New Roman"/>
                      <w:color w:val="000000" w:themeColor="text1"/>
                      <w:kern w:val="0"/>
                      <w:sz w:val="21"/>
                      <w:szCs w:val="21"/>
                      <w:lang w:eastAsia="zh-CN"/>
                      <w14:textFill>
                        <w14:solidFill>
                          <w14:schemeClr w14:val="tx1"/>
                        </w14:solidFill>
                      </w14:textFill>
                    </w:rPr>
                    <w:t>且</w:t>
                  </w:r>
                  <w:r>
                    <w:rPr>
                      <w:rFonts w:hint="default" w:ascii="Times New Roman" w:hAnsi="Times New Roman" w:eastAsia="宋体" w:cs="Times New Roman"/>
                      <w:color w:val="000000" w:themeColor="text1"/>
                      <w:kern w:val="0"/>
                      <w:sz w:val="21"/>
                      <w:szCs w:val="21"/>
                      <w14:textFill>
                        <w14:solidFill>
                          <w14:schemeClr w14:val="tx1"/>
                        </w14:solidFill>
                      </w14:textFill>
                    </w:rPr>
                    <w:t>不宜有人口密度超过1万人/平方公里的人口聚集区。</w:t>
                  </w:r>
                </w:p>
                <w:p w14:paraId="7B30579C">
                  <w:pPr>
                    <w:keepNext w:val="0"/>
                    <w:keepLines w:val="0"/>
                    <w:pageBreakBefore w:val="0"/>
                    <w:widowControl/>
                    <w:kinsoku/>
                    <w:wordWrap/>
                    <w:overflowPunct/>
                    <w:topLinePunct w:val="0"/>
                    <w:autoSpaceDE/>
                    <w:autoSpaceDN/>
                    <w:bidi w:val="0"/>
                    <w:adjustRightInd w:val="0"/>
                    <w:snapToGrid w:val="0"/>
                    <w:spacing w:line="340" w:lineRule="exact"/>
                    <w:ind w:left="0" w:leftChars="0" w:right="0" w:rightChars="0" w:firstLine="0" w:firstLineChars="0"/>
                    <w:jc w:val="center"/>
                    <w:textAlignment w:val="center"/>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6.生产设施与水禽筑巢区、觅食及栖息地等集中分布区须保留安全距离，禁止惊扰鸟类的作业。</w:t>
                  </w:r>
                </w:p>
              </w:tc>
              <w:tc>
                <w:tcPr>
                  <w:tcW w:w="1441" w:type="pct"/>
                  <w:noWrap w:val="0"/>
                  <w:vAlign w:val="center"/>
                </w:tcPr>
                <w:p w14:paraId="7C698745">
                  <w:pPr>
                    <w:keepNext w:val="0"/>
                    <w:keepLines w:val="0"/>
                    <w:pageBreakBefore w:val="0"/>
                    <w:numPr>
                      <w:ilvl w:val="0"/>
                      <w:numId w:val="0"/>
                    </w:numPr>
                    <w:kinsoku/>
                    <w:wordWrap/>
                    <w:overflowPunct/>
                    <w:topLinePunct w:val="0"/>
                    <w:autoSpaceDE/>
                    <w:autoSpaceDN/>
                    <w:bidi w:val="0"/>
                    <w:adjustRightInd w:val="0"/>
                    <w:snapToGrid w:val="0"/>
                    <w:spacing w:line="340" w:lineRule="exact"/>
                    <w:ind w:left="0" w:leftChars="0" w:right="0" w:rightChars="0" w:firstLine="0" w:firstLineChars="0"/>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1"/>
                      <w:szCs w:val="21"/>
                      <w14:textFill>
                        <w14:solidFill>
                          <w14:schemeClr w14:val="tx1"/>
                        </w14:solidFill>
                      </w14:textFill>
                    </w:rPr>
                    <w:t>项目</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不属于</w:t>
                  </w:r>
                  <w:r>
                    <w:rPr>
                      <w:rFonts w:hint="default" w:ascii="Times New Roman" w:hAnsi="Times New Roman" w:eastAsia="宋体" w:cs="Times New Roman"/>
                      <w:color w:val="000000" w:themeColor="text1"/>
                      <w:kern w:val="0"/>
                      <w:sz w:val="21"/>
                      <w:szCs w:val="21"/>
                      <w14:textFill>
                        <w14:solidFill>
                          <w14:schemeClr w14:val="tx1"/>
                        </w14:solidFill>
                      </w14:textFill>
                    </w:rPr>
                    <w:t>装备制造产业</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不涉及电镀工艺；不属于</w:t>
                  </w:r>
                  <w:r>
                    <w:rPr>
                      <w:rFonts w:hint="default" w:ascii="Times New Roman" w:hAnsi="Times New Roman" w:eastAsia="宋体" w:cs="Times New Roman"/>
                      <w:color w:val="000000" w:themeColor="text1"/>
                      <w:kern w:val="0"/>
                      <w:sz w:val="21"/>
                      <w:szCs w:val="21"/>
                      <w14:textFill>
                        <w14:solidFill>
                          <w14:schemeClr w14:val="tx1"/>
                        </w14:solidFill>
                      </w14:textFill>
                    </w:rPr>
                    <w:t>海洋高新产业</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不属于</w:t>
                  </w:r>
                  <w:r>
                    <w:rPr>
                      <w:rFonts w:hint="default" w:ascii="Times New Roman" w:hAnsi="Times New Roman" w:eastAsia="宋体" w:cs="Times New Roman"/>
                      <w:color w:val="000000" w:themeColor="text1"/>
                      <w:kern w:val="0"/>
                      <w:sz w:val="21"/>
                      <w:szCs w:val="21"/>
                      <w14:textFill>
                        <w14:solidFill>
                          <w14:schemeClr w14:val="tx1"/>
                        </w14:solidFill>
                      </w14:textFill>
                    </w:rPr>
                    <w:t>化学合成类制药</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项目。</w:t>
                  </w:r>
                </w:p>
                <w:p w14:paraId="668F2F9B">
                  <w:pPr>
                    <w:keepNext w:val="0"/>
                    <w:keepLines w:val="0"/>
                    <w:pageBreakBefore w:val="0"/>
                    <w:numPr>
                      <w:ilvl w:val="0"/>
                      <w:numId w:val="0"/>
                    </w:numPr>
                    <w:kinsoku/>
                    <w:wordWrap/>
                    <w:overflowPunct/>
                    <w:topLinePunct w:val="0"/>
                    <w:autoSpaceDE/>
                    <w:autoSpaceDN/>
                    <w:bidi w:val="0"/>
                    <w:adjustRightInd w:val="0"/>
                    <w:snapToGrid w:val="0"/>
                    <w:spacing w:line="340" w:lineRule="exact"/>
                    <w:ind w:left="0" w:leftChars="0" w:right="0" w:rightChars="0" w:firstLine="0" w:firstLineChars="0"/>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2.项目不涉及</w:t>
                  </w:r>
                  <w:r>
                    <w:rPr>
                      <w:rFonts w:hint="default" w:ascii="Times New Roman" w:hAnsi="Times New Roman" w:eastAsia="宋体" w:cs="Times New Roman"/>
                      <w:color w:val="000000" w:themeColor="text1"/>
                      <w:kern w:val="0"/>
                      <w:sz w:val="21"/>
                      <w:szCs w:val="21"/>
                      <w14:textFill>
                        <w14:solidFill>
                          <w14:schemeClr w14:val="tx1"/>
                        </w14:solidFill>
                      </w14:textFill>
                    </w:rPr>
                    <w:t>重金属废水</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排放，不属于</w:t>
                  </w:r>
                  <w:r>
                    <w:rPr>
                      <w:rFonts w:hint="default" w:ascii="Times New Roman" w:hAnsi="Times New Roman" w:eastAsia="宋体" w:cs="Times New Roman"/>
                      <w:color w:val="000000" w:themeColor="text1"/>
                      <w:kern w:val="0"/>
                      <w:sz w:val="21"/>
                      <w:szCs w:val="21"/>
                      <w14:textFill>
                        <w14:solidFill>
                          <w14:schemeClr w14:val="tx1"/>
                        </w14:solidFill>
                      </w14:textFill>
                    </w:rPr>
                    <w:t>以氮、磷排放为主的项目</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p>
                <w:p w14:paraId="2E6E1A1C">
                  <w:pPr>
                    <w:keepNext w:val="0"/>
                    <w:keepLines w:val="0"/>
                    <w:pageBreakBefore w:val="0"/>
                    <w:numPr>
                      <w:ilvl w:val="0"/>
                      <w:numId w:val="0"/>
                    </w:numPr>
                    <w:kinsoku/>
                    <w:wordWrap/>
                    <w:overflowPunct/>
                    <w:topLinePunct w:val="0"/>
                    <w:autoSpaceDE/>
                    <w:autoSpaceDN/>
                    <w:bidi w:val="0"/>
                    <w:adjustRightInd w:val="0"/>
                    <w:snapToGrid w:val="0"/>
                    <w:spacing w:line="340" w:lineRule="exact"/>
                    <w:ind w:left="0" w:leftChars="0" w:right="0" w:rightChars="0" w:firstLine="0" w:firstLineChars="0"/>
                    <w:outlineLvl w:val="9"/>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3.项目用地符合规划，不涉及占用</w:t>
                  </w:r>
                  <w:r>
                    <w:rPr>
                      <w:rFonts w:hint="default" w:ascii="Times New Roman" w:hAnsi="Times New Roman" w:eastAsia="宋体" w:cs="Times New Roman"/>
                      <w:color w:val="000000" w:themeColor="text1"/>
                      <w:kern w:val="0"/>
                      <w:sz w:val="21"/>
                      <w:szCs w:val="21"/>
                      <w14:textFill>
                        <w14:solidFill>
                          <w14:schemeClr w14:val="tx1"/>
                        </w14:solidFill>
                      </w14:textFill>
                    </w:rPr>
                    <w:t>基本农田、沿海防风林的区域</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p>
                <w:p w14:paraId="1A3D4885">
                  <w:pPr>
                    <w:keepNext w:val="0"/>
                    <w:keepLines w:val="0"/>
                    <w:pageBreakBefore w:val="0"/>
                    <w:numPr>
                      <w:ilvl w:val="0"/>
                      <w:numId w:val="0"/>
                    </w:numPr>
                    <w:kinsoku/>
                    <w:wordWrap/>
                    <w:overflowPunct/>
                    <w:topLinePunct w:val="0"/>
                    <w:autoSpaceDE/>
                    <w:autoSpaceDN/>
                    <w:bidi w:val="0"/>
                    <w:adjustRightInd w:val="0"/>
                    <w:snapToGrid w:val="0"/>
                    <w:spacing w:line="340" w:lineRule="exact"/>
                    <w:ind w:left="0" w:leftChars="0" w:right="0" w:rightChars="0" w:firstLine="0" w:firstLineChars="0"/>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项目</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购置已建厂房，厂房高度已</w:t>
                  </w:r>
                  <w:r>
                    <w:rPr>
                      <w:rFonts w:hint="default" w:ascii="Times New Roman" w:hAnsi="Times New Roman" w:cs="Times New Roman"/>
                      <w:color w:val="000000" w:themeColor="text1"/>
                      <w:kern w:val="0"/>
                      <w:sz w:val="21"/>
                      <w:szCs w:val="21"/>
                      <w:lang w:val="en-US" w:eastAsia="zh-CN"/>
                      <w14:textFill>
                        <w14:solidFill>
                          <w14:schemeClr w14:val="tx1"/>
                        </w14:solidFill>
                      </w14:textFill>
                    </w:rPr>
                    <w:t>通过</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审查，符合规划；</w:t>
                  </w:r>
                </w:p>
                <w:p w14:paraId="6E3F16D2">
                  <w:pPr>
                    <w:keepNext w:val="0"/>
                    <w:keepLines w:val="0"/>
                    <w:pageBreakBefore w:val="0"/>
                    <w:numPr>
                      <w:ilvl w:val="0"/>
                      <w:numId w:val="0"/>
                    </w:numPr>
                    <w:kinsoku/>
                    <w:wordWrap/>
                    <w:overflowPunct/>
                    <w:topLinePunct w:val="0"/>
                    <w:autoSpaceDE/>
                    <w:autoSpaceDN/>
                    <w:bidi w:val="0"/>
                    <w:adjustRightInd w:val="0"/>
                    <w:snapToGrid w:val="0"/>
                    <w:spacing w:line="340" w:lineRule="exact"/>
                    <w:ind w:left="0" w:leftChars="0" w:right="0" w:rightChars="0" w:firstLine="0" w:firstLineChars="0"/>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5.项目不在</w:t>
                  </w:r>
                  <w:r>
                    <w:rPr>
                      <w:rFonts w:hint="default" w:ascii="Times New Roman" w:hAnsi="Times New Roman" w:eastAsia="宋体" w:cs="Times New Roman"/>
                      <w:color w:val="000000" w:themeColor="text1"/>
                      <w:kern w:val="0"/>
                      <w:sz w:val="21"/>
                      <w:szCs w:val="21"/>
                      <w14:textFill>
                        <w14:solidFill>
                          <w14:schemeClr w14:val="tx1"/>
                        </w14:solidFill>
                      </w14:textFill>
                    </w:rPr>
                    <w:t>核电站应急计划区内</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p>
                <w:p w14:paraId="20622296">
                  <w:pPr>
                    <w:keepNext w:val="0"/>
                    <w:keepLines w:val="0"/>
                    <w:pageBreakBefore w:val="0"/>
                    <w:numPr>
                      <w:ilvl w:val="0"/>
                      <w:numId w:val="0"/>
                    </w:numPr>
                    <w:kinsoku/>
                    <w:wordWrap/>
                    <w:overflowPunct/>
                    <w:topLinePunct w:val="0"/>
                    <w:autoSpaceDE/>
                    <w:autoSpaceDN/>
                    <w:bidi w:val="0"/>
                    <w:adjustRightInd w:val="0"/>
                    <w:snapToGrid w:val="0"/>
                    <w:spacing w:line="340" w:lineRule="exact"/>
                    <w:ind w:left="0" w:leftChars="0" w:right="0" w:rightChars="0" w:firstLine="0" w:firstLineChars="0"/>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6.项目厂界</w:t>
                  </w:r>
                  <w:r>
                    <w:rPr>
                      <w:rFonts w:hint="default" w:ascii="Times New Roman" w:hAnsi="Times New Roman" w:eastAsia="宋体" w:cs="Times New Roman"/>
                      <w:color w:val="000000" w:themeColor="text1"/>
                      <w:kern w:val="0"/>
                      <w:sz w:val="21"/>
                      <w:szCs w:val="21"/>
                      <w14:textFill>
                        <w14:solidFill>
                          <w14:schemeClr w14:val="tx1"/>
                        </w14:solidFill>
                      </w14:textFill>
                    </w:rPr>
                    <w:t>与水禽筑巢区、觅食及栖息地等集中分布区</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有足够</w:t>
                  </w:r>
                  <w:r>
                    <w:rPr>
                      <w:rFonts w:hint="default" w:ascii="Times New Roman" w:hAnsi="Times New Roman" w:eastAsia="宋体" w:cs="Times New Roman"/>
                      <w:color w:val="000000" w:themeColor="text1"/>
                      <w:kern w:val="0"/>
                      <w:sz w:val="21"/>
                      <w:szCs w:val="21"/>
                      <w14:textFill>
                        <w14:solidFill>
                          <w14:schemeClr w14:val="tx1"/>
                        </w14:solidFill>
                      </w14:textFill>
                    </w:rPr>
                    <w:t>安全距离</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p>
              </w:tc>
              <w:tc>
                <w:tcPr>
                  <w:tcW w:w="414" w:type="pct"/>
                  <w:noWrap w:val="0"/>
                  <w:vAlign w:val="center"/>
                </w:tcPr>
                <w:p w14:paraId="173C5E4B">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firstLine="0" w:firstLineChars="0"/>
                    <w:jc w:val="center"/>
                    <w:textAlignment w:val="auto"/>
                    <w:outlineLvl w:val="9"/>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符合</w:t>
                  </w:r>
                </w:p>
              </w:tc>
            </w:tr>
            <w:tr w14:paraId="05A612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688" w:type="pct"/>
                  <w:vMerge w:val="continue"/>
                  <w:noWrap w:val="0"/>
                  <w:vAlign w:val="center"/>
                </w:tcPr>
                <w:p w14:paraId="67386E0B">
                  <w:pPr>
                    <w:keepNext w:val="0"/>
                    <w:keepLines w:val="0"/>
                    <w:pageBreakBefore w:val="0"/>
                    <w:widowControl/>
                    <w:kinsoku/>
                    <w:wordWrap/>
                    <w:overflowPunct/>
                    <w:topLinePunct w:val="0"/>
                    <w:autoSpaceDE/>
                    <w:autoSpaceDN/>
                    <w:bidi w:val="0"/>
                    <w:adjustRightInd w:val="0"/>
                    <w:snapToGrid w:val="0"/>
                    <w:spacing w:line="340" w:lineRule="exact"/>
                    <w:ind w:left="0" w:leftChars="0" w:right="0" w:rightChars="0" w:firstLine="0" w:firstLineChars="0"/>
                    <w:jc w:val="center"/>
                    <w:textAlignment w:val="center"/>
                    <w:outlineLvl w:val="9"/>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99" w:type="pct"/>
                  <w:noWrap w:val="0"/>
                  <w:vAlign w:val="center"/>
                </w:tcPr>
                <w:p w14:paraId="2364CBC2">
                  <w:pPr>
                    <w:keepNext w:val="0"/>
                    <w:keepLines w:val="0"/>
                    <w:pageBreakBefore w:val="0"/>
                    <w:widowControl/>
                    <w:kinsoku/>
                    <w:wordWrap/>
                    <w:overflowPunct/>
                    <w:topLinePunct w:val="0"/>
                    <w:autoSpaceDE/>
                    <w:autoSpaceDN/>
                    <w:bidi w:val="0"/>
                    <w:adjustRightInd w:val="0"/>
                    <w:snapToGrid w:val="0"/>
                    <w:spacing w:line="340" w:lineRule="exact"/>
                    <w:ind w:left="0" w:leftChars="0" w:right="0" w:rightChars="0" w:firstLine="0" w:firstLineChars="0"/>
                    <w:jc w:val="center"/>
                    <w:textAlignment w:val="center"/>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污染物排放管控</w:t>
                  </w:r>
                </w:p>
              </w:tc>
              <w:tc>
                <w:tcPr>
                  <w:tcW w:w="2055" w:type="pct"/>
                  <w:noWrap w:val="0"/>
                  <w:vAlign w:val="center"/>
                </w:tcPr>
                <w:p w14:paraId="0DE9DB0B">
                  <w:pPr>
                    <w:keepNext w:val="0"/>
                    <w:keepLines w:val="0"/>
                    <w:pageBreakBefore w:val="0"/>
                    <w:widowControl/>
                    <w:kinsoku/>
                    <w:wordWrap/>
                    <w:overflowPunct/>
                    <w:topLinePunct w:val="0"/>
                    <w:autoSpaceDE/>
                    <w:autoSpaceDN/>
                    <w:bidi w:val="0"/>
                    <w:adjustRightInd w:val="0"/>
                    <w:snapToGrid w:val="0"/>
                    <w:spacing w:line="340" w:lineRule="exact"/>
                    <w:ind w:left="0" w:leftChars="0" w:right="0" w:rightChars="0" w:firstLine="0" w:firstLineChars="0"/>
                    <w:jc w:val="center"/>
                    <w:textAlignment w:val="center"/>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1.完善建设污水收集管网，确保园区内所有工业废水、生活污水纳入污水处理厂处理并达标排放。</w:t>
                  </w:r>
                </w:p>
                <w:p w14:paraId="25E7812B">
                  <w:pPr>
                    <w:keepNext w:val="0"/>
                    <w:keepLines w:val="0"/>
                    <w:pageBreakBefore w:val="0"/>
                    <w:widowControl/>
                    <w:kinsoku/>
                    <w:wordWrap/>
                    <w:overflowPunct/>
                    <w:topLinePunct w:val="0"/>
                    <w:autoSpaceDE/>
                    <w:autoSpaceDN/>
                    <w:bidi w:val="0"/>
                    <w:adjustRightInd w:val="0"/>
                    <w:snapToGrid w:val="0"/>
                    <w:spacing w:line="340" w:lineRule="exact"/>
                    <w:ind w:left="0" w:leftChars="0" w:right="0" w:rightChars="0" w:firstLine="0" w:firstLineChars="0"/>
                    <w:jc w:val="center"/>
                    <w:textAlignment w:val="center"/>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2.涉新增VOCs排放项目，VOCs排放实行区域内倍量替代。</w:t>
                  </w:r>
                </w:p>
              </w:tc>
              <w:tc>
                <w:tcPr>
                  <w:tcW w:w="1441" w:type="pct"/>
                  <w:noWrap w:val="0"/>
                  <w:vAlign w:val="center"/>
                </w:tcPr>
                <w:p w14:paraId="00DDFA91">
                  <w:pPr>
                    <w:keepNext w:val="0"/>
                    <w:keepLines w:val="0"/>
                    <w:pageBreakBefore w:val="0"/>
                    <w:kinsoku/>
                    <w:wordWrap/>
                    <w:overflowPunct/>
                    <w:topLinePunct w:val="0"/>
                    <w:autoSpaceDE/>
                    <w:autoSpaceDN/>
                    <w:bidi w:val="0"/>
                    <w:adjustRightInd w:val="0"/>
                    <w:snapToGrid w:val="0"/>
                    <w:spacing w:line="340" w:lineRule="exact"/>
                    <w:ind w:left="0" w:leftChars="0" w:right="0" w:rightChars="0" w:firstLine="0" w:firstLineChars="0"/>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1.项目</w:t>
                  </w:r>
                  <w:r>
                    <w:rPr>
                      <w:rFonts w:hint="default" w:ascii="Times New Roman" w:hAnsi="Times New Roman" w:cs="Times New Roman"/>
                      <w:color w:val="auto"/>
                      <w:sz w:val="21"/>
                      <w:szCs w:val="21"/>
                      <w:lang w:val="en-US" w:eastAsia="zh-CN"/>
                    </w:rPr>
                    <w:t>废水经</w:t>
                  </w:r>
                  <w:r>
                    <w:rPr>
                      <w:rFonts w:hint="default" w:ascii="Times New Roman" w:hAnsi="Times New Roman" w:eastAsia="宋体" w:cs="Times New Roman"/>
                      <w:color w:val="auto"/>
                      <w:sz w:val="21"/>
                      <w:szCs w:val="21"/>
                      <w:lang w:val="en-US" w:eastAsia="zh-CN"/>
                    </w:rPr>
                    <w:t>处理后，可直接经市政污水管网排入</w:t>
                  </w:r>
                  <w:r>
                    <w:rPr>
                      <w:rFonts w:hint="default" w:ascii="Times New Roman" w:hAnsi="Times New Roman" w:eastAsia="宋体" w:cs="Times New Roman"/>
                      <w:color w:val="auto"/>
                      <w:sz w:val="21"/>
                      <w:szCs w:val="21"/>
                      <w:lang w:eastAsia="zh-CN"/>
                    </w:rPr>
                    <w:t>江镜华侨农场污水处理厂</w:t>
                  </w:r>
                  <w:r>
                    <w:rPr>
                      <w:rFonts w:hint="default" w:ascii="Times New Roman" w:hAnsi="Times New Roman" w:eastAsia="宋体" w:cs="Times New Roman"/>
                      <w:color w:val="auto"/>
                      <w:sz w:val="21"/>
                      <w:szCs w:val="21"/>
                      <w:lang w:val="en-US" w:eastAsia="zh-CN"/>
                    </w:rPr>
                    <w:t>进一步</w:t>
                  </w:r>
                  <w:r>
                    <w:rPr>
                      <w:rFonts w:hint="default" w:ascii="Times New Roman" w:hAnsi="Times New Roman" w:eastAsia="宋体" w:cs="Times New Roman"/>
                      <w:color w:val="auto"/>
                      <w:sz w:val="21"/>
                      <w:szCs w:val="21"/>
                      <w:lang w:eastAsia="zh-CN"/>
                    </w:rPr>
                    <w:t>处理；</w:t>
                  </w:r>
                </w:p>
                <w:p w14:paraId="6B41381A">
                  <w:pPr>
                    <w:keepNext w:val="0"/>
                    <w:keepLines w:val="0"/>
                    <w:pageBreakBefore w:val="0"/>
                    <w:kinsoku/>
                    <w:wordWrap/>
                    <w:overflowPunct/>
                    <w:topLinePunct w:val="0"/>
                    <w:autoSpaceDE/>
                    <w:autoSpaceDN/>
                    <w:bidi w:val="0"/>
                    <w:adjustRightInd w:val="0"/>
                    <w:snapToGrid w:val="0"/>
                    <w:spacing w:line="340" w:lineRule="exact"/>
                    <w:ind w:left="0" w:leftChars="0" w:right="0" w:rightChars="0" w:firstLine="0" w:firstLineChars="0"/>
                    <w:outlineLvl w:val="9"/>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2.项目</w:t>
                  </w:r>
                  <w:r>
                    <w:rPr>
                      <w:rFonts w:hint="eastAsia" w:ascii="Times New Roman" w:hAnsi="Times New Roman" w:cs="Times New Roman"/>
                      <w:color w:val="auto"/>
                      <w:sz w:val="21"/>
                      <w:szCs w:val="21"/>
                      <w:lang w:val="en-US" w:eastAsia="zh-CN"/>
                    </w:rPr>
                    <w:t>不涉及</w:t>
                  </w:r>
                  <w:r>
                    <w:rPr>
                      <w:rFonts w:hint="default" w:ascii="Times New Roman" w:hAnsi="Times New Roman" w:eastAsia="宋体" w:cs="Times New Roman"/>
                      <w:color w:val="auto"/>
                      <w:sz w:val="21"/>
                      <w:szCs w:val="21"/>
                      <w:lang w:val="en-US" w:eastAsia="zh-CN"/>
                    </w:rPr>
                    <w:t>VOCs排放。</w:t>
                  </w:r>
                </w:p>
              </w:tc>
              <w:tc>
                <w:tcPr>
                  <w:tcW w:w="414" w:type="pct"/>
                  <w:noWrap w:val="0"/>
                  <w:vAlign w:val="center"/>
                </w:tcPr>
                <w:p w14:paraId="1CA0BF84">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符合</w:t>
                  </w:r>
                </w:p>
              </w:tc>
            </w:tr>
            <w:tr w14:paraId="66CD58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688" w:type="pct"/>
                  <w:vMerge w:val="continue"/>
                  <w:noWrap w:val="0"/>
                  <w:vAlign w:val="center"/>
                </w:tcPr>
                <w:p w14:paraId="7F7BEB21">
                  <w:pPr>
                    <w:keepNext w:val="0"/>
                    <w:keepLines w:val="0"/>
                    <w:pageBreakBefore w:val="0"/>
                    <w:widowControl/>
                    <w:kinsoku/>
                    <w:wordWrap/>
                    <w:overflowPunct/>
                    <w:topLinePunct w:val="0"/>
                    <w:autoSpaceDE/>
                    <w:autoSpaceDN/>
                    <w:bidi w:val="0"/>
                    <w:adjustRightInd w:val="0"/>
                    <w:snapToGrid w:val="0"/>
                    <w:spacing w:line="340" w:lineRule="exact"/>
                    <w:ind w:left="0" w:leftChars="0" w:right="0" w:rightChars="0" w:firstLine="0" w:firstLineChars="0"/>
                    <w:jc w:val="center"/>
                    <w:textAlignment w:val="center"/>
                    <w:outlineLvl w:val="9"/>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99" w:type="pct"/>
                  <w:noWrap w:val="0"/>
                  <w:vAlign w:val="center"/>
                </w:tcPr>
                <w:p w14:paraId="7C68752E">
                  <w:pPr>
                    <w:keepNext w:val="0"/>
                    <w:keepLines w:val="0"/>
                    <w:pageBreakBefore w:val="0"/>
                    <w:widowControl/>
                    <w:kinsoku/>
                    <w:wordWrap/>
                    <w:overflowPunct/>
                    <w:topLinePunct w:val="0"/>
                    <w:autoSpaceDE/>
                    <w:autoSpaceDN/>
                    <w:bidi w:val="0"/>
                    <w:adjustRightInd w:val="0"/>
                    <w:snapToGrid w:val="0"/>
                    <w:spacing w:line="340" w:lineRule="exact"/>
                    <w:ind w:left="0" w:leftChars="0" w:right="0" w:rightChars="0" w:firstLine="0" w:firstLineChars="0"/>
                    <w:jc w:val="center"/>
                    <w:textAlignment w:val="center"/>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资源开发效率要求</w:t>
                  </w:r>
                </w:p>
              </w:tc>
              <w:tc>
                <w:tcPr>
                  <w:tcW w:w="2055" w:type="pct"/>
                  <w:noWrap w:val="0"/>
                  <w:vAlign w:val="center"/>
                </w:tcPr>
                <w:p w14:paraId="696D97A3">
                  <w:pPr>
                    <w:keepNext w:val="0"/>
                    <w:keepLines w:val="0"/>
                    <w:pageBreakBefore w:val="0"/>
                    <w:widowControl/>
                    <w:kinsoku/>
                    <w:wordWrap/>
                    <w:overflowPunct/>
                    <w:topLinePunct w:val="0"/>
                    <w:autoSpaceDE/>
                    <w:autoSpaceDN/>
                    <w:bidi w:val="0"/>
                    <w:adjustRightInd w:val="0"/>
                    <w:snapToGrid w:val="0"/>
                    <w:spacing w:line="340" w:lineRule="exact"/>
                    <w:ind w:left="0" w:leftChars="0" w:right="0" w:rightChars="0" w:firstLine="0" w:firstLineChars="0"/>
                    <w:jc w:val="center"/>
                    <w:textAlignment w:val="center"/>
                    <w:outlineLvl w:val="9"/>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1.建立健全环境风险防控体系，制定环境风险应急预案，建设事故应急池，成立应急组织机构，防止在处理安全生产事故过程中产生的可能严重污染水体的消防废水、废液直接排入水体。</w:t>
                  </w:r>
                </w:p>
                <w:p w14:paraId="4F16A2E2">
                  <w:pPr>
                    <w:keepNext w:val="0"/>
                    <w:keepLines w:val="0"/>
                    <w:pageBreakBefore w:val="0"/>
                    <w:widowControl/>
                    <w:kinsoku/>
                    <w:wordWrap/>
                    <w:overflowPunct/>
                    <w:topLinePunct w:val="0"/>
                    <w:autoSpaceDE/>
                    <w:autoSpaceDN/>
                    <w:bidi w:val="0"/>
                    <w:adjustRightInd w:val="0"/>
                    <w:snapToGrid w:val="0"/>
                    <w:spacing w:line="340" w:lineRule="exact"/>
                    <w:ind w:left="0" w:leftChars="0" w:right="0" w:rightChars="0" w:firstLine="0" w:firstLineChars="0"/>
                    <w:jc w:val="center"/>
                    <w:textAlignment w:val="center"/>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2.应采取有效措施防止园区建设对区域地下水、土壤造成污染。</w:t>
                  </w:r>
                </w:p>
              </w:tc>
              <w:tc>
                <w:tcPr>
                  <w:tcW w:w="1441" w:type="pct"/>
                  <w:noWrap w:val="0"/>
                  <w:vAlign w:val="center"/>
                </w:tcPr>
                <w:p w14:paraId="632AB132">
                  <w:pPr>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1.建设单位将严格建立健全环境风险防控体系，编制环境风险应急预案，建设事故应急池，成立应急组织机构发生环境风险，防止</w:t>
                  </w:r>
                  <w:r>
                    <w:rPr>
                      <w:rFonts w:hint="default" w:ascii="Times New Roman" w:hAnsi="Times New Roman" w:eastAsia="宋体" w:cs="Times New Roman"/>
                      <w:color w:val="000000" w:themeColor="text1"/>
                      <w:sz w:val="21"/>
                      <w:szCs w:val="21"/>
                      <w14:textFill>
                        <w14:solidFill>
                          <w14:schemeClr w14:val="tx1"/>
                        </w14:solidFill>
                      </w14:textFill>
                    </w:rPr>
                    <w:t>可能严重污染水体的消防废水、废液直接排入水体</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14:paraId="7A1E3D52">
                  <w:pPr>
                    <w:keepNext w:val="0"/>
                    <w:keepLines w:val="0"/>
                    <w:pageBreakBefore w:val="0"/>
                    <w:kinsoku/>
                    <w:wordWrap/>
                    <w:overflowPunct/>
                    <w:topLinePunct w:val="0"/>
                    <w:autoSpaceDE/>
                    <w:autoSpaceDN/>
                    <w:bidi w:val="0"/>
                    <w:adjustRightInd w:val="0"/>
                    <w:snapToGrid w:val="0"/>
                    <w:spacing w:line="34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2.项目将合理进行分区防渗，严格落实防渗要求，避免对区域地下水、土壤造成污染。</w:t>
                  </w:r>
                </w:p>
              </w:tc>
              <w:tc>
                <w:tcPr>
                  <w:tcW w:w="414" w:type="pct"/>
                  <w:noWrap w:val="0"/>
                  <w:vAlign w:val="center"/>
                </w:tcPr>
                <w:p w14:paraId="7CAA8CC3">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firstLine="0" w:firstLine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符合</w:t>
                  </w:r>
                </w:p>
              </w:tc>
            </w:tr>
          </w:tbl>
          <w:p w14:paraId="11C60FB1">
            <w:pPr>
              <w:pStyle w:val="112"/>
              <w:spacing w:before="120" w:beforeLines="50"/>
              <w:ind w:firstLine="0" w:firstLineChars="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6、与《废塑料污染控制技术规范》（HJ364-2022）符合性分析</w:t>
            </w:r>
          </w:p>
          <w:p w14:paraId="7B455AF3">
            <w:pPr>
              <w:pStyle w:val="112"/>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本项目与《废塑料污染控制技术规范》（HJ364-2022）的符合性见表1-5。</w:t>
            </w:r>
          </w:p>
          <w:p w14:paraId="58AA3E23">
            <w:pPr>
              <w:pStyle w:val="112"/>
              <w:keepNext w:val="0"/>
              <w:keepLines w:val="0"/>
              <w:pageBreakBefore w:val="0"/>
              <w:widowControl w:val="0"/>
              <w:kinsoku/>
              <w:wordWrap/>
              <w:overflowPunct/>
              <w:topLinePunct w:val="0"/>
              <w:autoSpaceDE/>
              <w:autoSpaceDN/>
              <w:bidi w:val="0"/>
              <w:adjustRightInd/>
              <w:snapToGrid/>
              <w:spacing w:before="120" w:beforeLines="50" w:line="240" w:lineRule="auto"/>
              <w:ind w:firstLine="0" w:firstLineChars="0"/>
              <w:jc w:val="center"/>
              <w:textAlignment w:val="auto"/>
              <w:rPr>
                <w:rFonts w:hint="default" w:ascii="Times New Roman" w:hAnsi="Times New Roman" w:eastAsia="黑体" w:cs="Times New Roman"/>
                <w:color w:val="000000" w:themeColor="text1"/>
                <w:kern w:val="2"/>
                <w:sz w:val="24"/>
                <w:szCs w:val="24"/>
                <w:u w:val="none"/>
                <w:lang w:val="en-US" w:eastAsia="zh-CN" w:bidi="ar-SA"/>
                <w14:textFill>
                  <w14:solidFill>
                    <w14:schemeClr w14:val="tx1"/>
                  </w14:solidFill>
                </w14:textFill>
              </w:rPr>
            </w:pPr>
            <w:r>
              <w:rPr>
                <w:rFonts w:hint="default" w:ascii="Times New Roman" w:hAnsi="Times New Roman" w:eastAsia="黑体" w:cs="Times New Roman"/>
                <w:color w:val="000000" w:themeColor="text1"/>
                <w:kern w:val="2"/>
                <w:sz w:val="24"/>
                <w:szCs w:val="24"/>
                <w:u w:val="none"/>
                <w:lang w:val="en-US" w:eastAsia="zh-CN" w:bidi="ar-SA"/>
                <w14:textFill>
                  <w14:solidFill>
                    <w14:schemeClr w14:val="tx1"/>
                  </w14:solidFill>
                </w14:textFill>
              </w:rPr>
              <w:t>表1-5   与《废塑料污染控制技术规范》符合性分析一览表</w:t>
            </w:r>
          </w:p>
          <w:tbl>
            <w:tblPr>
              <w:tblStyle w:val="135"/>
              <w:tblW w:w="7978" w:type="dxa"/>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57" w:type="dxa"/>
                <w:bottom w:w="0" w:type="dxa"/>
                <w:right w:w="57" w:type="dxa"/>
              </w:tblCellMar>
            </w:tblPr>
            <w:tblGrid>
              <w:gridCol w:w="829"/>
              <w:gridCol w:w="1"/>
              <w:gridCol w:w="3799"/>
              <w:gridCol w:w="3"/>
              <w:gridCol w:w="2760"/>
              <w:gridCol w:w="5"/>
              <w:gridCol w:w="567"/>
              <w:gridCol w:w="14"/>
            </w:tblGrid>
            <w:tr w14:paraId="294DC9A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520" w:type="pct"/>
                  <w:gridSpan w:val="2"/>
                  <w:tcBorders>
                    <w:tl2br w:val="nil"/>
                    <w:tr2bl w:val="nil"/>
                  </w:tcBorders>
                  <w:shd w:val="clear" w:color="auto" w:fill="auto"/>
                  <w:vAlign w:val="center"/>
                </w:tcPr>
                <w:p w14:paraId="0C34894A">
                  <w:pPr>
                    <w:pStyle w:val="134"/>
                    <w:keepNext w:val="0"/>
                    <w:keepLines w:val="0"/>
                    <w:pageBreakBefore w:val="0"/>
                    <w:widowControl/>
                    <w:kinsoku w:val="0"/>
                    <w:wordWrap/>
                    <w:overflowPunct/>
                    <w:topLinePunct w:val="0"/>
                    <w:autoSpaceDE w:val="0"/>
                    <w:autoSpaceDN w:val="0"/>
                    <w:bidi w:val="0"/>
                    <w:adjustRightInd w:val="0"/>
                    <w:snapToGrid/>
                    <w:spacing w:line="340" w:lineRule="exact"/>
                    <w:ind w:left="0" w:leftChars="0" w:right="0" w:firstLine="0"/>
                    <w:jc w:val="center"/>
                    <w:textAlignment w:val="baseline"/>
                    <w:rPr>
                      <w:rFonts w:hint="default" w:ascii="Times New Roman" w:hAnsi="Times New Roman" w:eastAsia="宋体" w:cs="Times New Roman"/>
                      <w:snapToGrid w:val="0"/>
                      <w:color w:val="000000"/>
                      <w:spacing w:val="0"/>
                      <w:kern w:val="0"/>
                      <w:sz w:val="21"/>
                      <w:szCs w:val="21"/>
                      <w:lang w:val="en-US" w:eastAsia="en-US" w:bidi="ar-SA"/>
                    </w:rPr>
                  </w:pPr>
                  <w:r>
                    <w:rPr>
                      <w:rFonts w:hint="default" w:ascii="Times New Roman" w:hAnsi="Times New Roman" w:eastAsia="宋体" w:cs="Times New Roman"/>
                      <w:b w:val="0"/>
                      <w:bCs w:val="0"/>
                      <w:color w:val="auto"/>
                      <w:spacing w:val="0"/>
                      <w:sz w:val="21"/>
                      <w:szCs w:val="21"/>
                    </w:rPr>
                    <w:t>项目</w:t>
                  </w:r>
                </w:p>
              </w:tc>
              <w:tc>
                <w:tcPr>
                  <w:tcW w:w="2382" w:type="pct"/>
                  <w:gridSpan w:val="2"/>
                  <w:tcBorders>
                    <w:tl2br w:val="nil"/>
                    <w:tr2bl w:val="nil"/>
                  </w:tcBorders>
                  <w:shd w:val="clear" w:color="auto" w:fill="auto"/>
                  <w:vAlign w:val="center"/>
                </w:tcPr>
                <w:p w14:paraId="367EB231">
                  <w:pPr>
                    <w:pStyle w:val="134"/>
                    <w:keepNext w:val="0"/>
                    <w:keepLines w:val="0"/>
                    <w:pageBreakBefore w:val="0"/>
                    <w:widowControl/>
                    <w:kinsoku w:val="0"/>
                    <w:wordWrap/>
                    <w:overflowPunct/>
                    <w:topLinePunct w:val="0"/>
                    <w:autoSpaceDE w:val="0"/>
                    <w:autoSpaceDN w:val="0"/>
                    <w:bidi w:val="0"/>
                    <w:adjustRightInd w:val="0"/>
                    <w:snapToGrid/>
                    <w:spacing w:line="340" w:lineRule="exact"/>
                    <w:ind w:left="0" w:leftChars="0" w:right="0" w:firstLine="0"/>
                    <w:jc w:val="center"/>
                    <w:textAlignment w:val="baseline"/>
                    <w:rPr>
                      <w:rFonts w:hint="default" w:ascii="Times New Roman" w:hAnsi="Times New Roman" w:eastAsia="宋体" w:cs="Times New Roman"/>
                      <w:b w:val="0"/>
                      <w:bCs w:val="0"/>
                      <w:snapToGrid w:val="0"/>
                      <w:color w:val="000000"/>
                      <w:spacing w:val="0"/>
                      <w:kern w:val="0"/>
                      <w:sz w:val="21"/>
                      <w:szCs w:val="21"/>
                      <w:lang w:val="en-US" w:eastAsia="en-US" w:bidi="ar-SA"/>
                    </w:rPr>
                  </w:pPr>
                  <w:r>
                    <w:rPr>
                      <w:rFonts w:hint="default" w:ascii="Times New Roman" w:hAnsi="Times New Roman" w:eastAsia="宋体" w:cs="Times New Roman"/>
                      <w:b w:val="0"/>
                      <w:bCs w:val="0"/>
                      <w:spacing w:val="0"/>
                      <w:sz w:val="21"/>
                      <w:szCs w:val="21"/>
                    </w:rPr>
                    <w:t>相关要求</w:t>
                  </w:r>
                </w:p>
              </w:tc>
              <w:tc>
                <w:tcPr>
                  <w:tcW w:w="1732" w:type="pct"/>
                  <w:gridSpan w:val="2"/>
                  <w:tcBorders>
                    <w:tl2br w:val="nil"/>
                    <w:tr2bl w:val="nil"/>
                  </w:tcBorders>
                  <w:shd w:val="clear" w:color="auto" w:fill="auto"/>
                  <w:vAlign w:val="center"/>
                </w:tcPr>
                <w:p w14:paraId="4493887F">
                  <w:pPr>
                    <w:pStyle w:val="134"/>
                    <w:keepNext w:val="0"/>
                    <w:keepLines w:val="0"/>
                    <w:pageBreakBefore w:val="0"/>
                    <w:widowControl/>
                    <w:kinsoku w:val="0"/>
                    <w:wordWrap/>
                    <w:overflowPunct/>
                    <w:topLinePunct w:val="0"/>
                    <w:autoSpaceDE w:val="0"/>
                    <w:autoSpaceDN w:val="0"/>
                    <w:bidi w:val="0"/>
                    <w:adjustRightInd w:val="0"/>
                    <w:snapToGrid/>
                    <w:spacing w:line="340" w:lineRule="exact"/>
                    <w:ind w:left="0" w:leftChars="0" w:right="0" w:firstLine="0"/>
                    <w:jc w:val="center"/>
                    <w:textAlignment w:val="baseline"/>
                    <w:rPr>
                      <w:rFonts w:hint="default" w:ascii="Times New Roman" w:hAnsi="Times New Roman" w:eastAsia="宋体" w:cs="Times New Roman"/>
                      <w:b w:val="0"/>
                      <w:bCs w:val="0"/>
                      <w:snapToGrid w:val="0"/>
                      <w:color w:val="000000"/>
                      <w:spacing w:val="0"/>
                      <w:kern w:val="0"/>
                      <w:sz w:val="21"/>
                      <w:szCs w:val="21"/>
                      <w:lang w:val="en-US" w:eastAsia="en-US" w:bidi="ar-SA"/>
                    </w:rPr>
                  </w:pPr>
                  <w:r>
                    <w:rPr>
                      <w:rFonts w:hint="default" w:ascii="Times New Roman" w:hAnsi="Times New Roman" w:eastAsia="宋体" w:cs="Times New Roman"/>
                      <w:b w:val="0"/>
                      <w:bCs w:val="0"/>
                      <w:spacing w:val="0"/>
                      <w:sz w:val="21"/>
                      <w:szCs w:val="21"/>
                    </w:rPr>
                    <w:t>本项目情况</w:t>
                  </w:r>
                </w:p>
              </w:tc>
              <w:tc>
                <w:tcPr>
                  <w:tcW w:w="364" w:type="pct"/>
                  <w:gridSpan w:val="2"/>
                  <w:tcBorders>
                    <w:tl2br w:val="nil"/>
                    <w:tr2bl w:val="nil"/>
                  </w:tcBorders>
                  <w:shd w:val="clear" w:color="auto" w:fill="auto"/>
                  <w:vAlign w:val="center"/>
                </w:tcPr>
                <w:p w14:paraId="03B0DB7F">
                  <w:pPr>
                    <w:pStyle w:val="134"/>
                    <w:keepNext w:val="0"/>
                    <w:keepLines w:val="0"/>
                    <w:pageBreakBefore w:val="0"/>
                    <w:widowControl/>
                    <w:kinsoku w:val="0"/>
                    <w:wordWrap/>
                    <w:overflowPunct/>
                    <w:topLinePunct w:val="0"/>
                    <w:autoSpaceDE w:val="0"/>
                    <w:autoSpaceDN w:val="0"/>
                    <w:bidi w:val="0"/>
                    <w:adjustRightInd w:val="0"/>
                    <w:snapToGrid/>
                    <w:spacing w:line="340" w:lineRule="exact"/>
                    <w:ind w:left="0" w:leftChars="0" w:right="0" w:firstLine="0"/>
                    <w:jc w:val="center"/>
                    <w:textAlignment w:val="baseline"/>
                    <w:rPr>
                      <w:rFonts w:hint="default" w:ascii="Times New Roman" w:hAnsi="Times New Roman" w:eastAsia="宋体" w:cs="Times New Roman"/>
                      <w:b w:val="0"/>
                      <w:bCs w:val="0"/>
                      <w:snapToGrid w:val="0"/>
                      <w:color w:val="000000"/>
                      <w:spacing w:val="0"/>
                      <w:kern w:val="0"/>
                      <w:sz w:val="21"/>
                      <w:szCs w:val="21"/>
                      <w:lang w:val="en-US" w:eastAsia="zh-CN" w:bidi="ar-SA"/>
                    </w:rPr>
                  </w:pPr>
                  <w:r>
                    <w:rPr>
                      <w:rFonts w:hint="default" w:ascii="Times New Roman" w:hAnsi="Times New Roman" w:eastAsia="宋体" w:cs="Times New Roman"/>
                      <w:b w:val="0"/>
                      <w:bCs w:val="0"/>
                      <w:snapToGrid w:val="0"/>
                      <w:color w:val="000000"/>
                      <w:spacing w:val="0"/>
                      <w:kern w:val="0"/>
                      <w:sz w:val="21"/>
                      <w:szCs w:val="21"/>
                      <w:lang w:val="en-US" w:eastAsia="zh-CN" w:bidi="ar-SA"/>
                    </w:rPr>
                    <w:t>相符性</w:t>
                  </w:r>
                </w:p>
              </w:tc>
            </w:tr>
            <w:tr w14:paraId="5A2C5B6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520" w:type="pct"/>
                  <w:gridSpan w:val="2"/>
                  <w:tcBorders>
                    <w:tl2br w:val="nil"/>
                    <w:tr2bl w:val="nil"/>
                  </w:tcBorders>
                  <w:vAlign w:val="center"/>
                </w:tcPr>
                <w:p w14:paraId="06B13190">
                  <w:pPr>
                    <w:pStyle w:val="134"/>
                    <w:keepNext w:val="0"/>
                    <w:keepLines w:val="0"/>
                    <w:pageBreakBefore w:val="0"/>
                    <w:widowControl/>
                    <w:kinsoku w:val="0"/>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收集运输</w:t>
                  </w:r>
                </w:p>
              </w:tc>
              <w:tc>
                <w:tcPr>
                  <w:tcW w:w="2382" w:type="pct"/>
                  <w:gridSpan w:val="2"/>
                  <w:tcBorders>
                    <w:tl2br w:val="nil"/>
                    <w:tr2bl w:val="nil"/>
                  </w:tcBorders>
                  <w:vAlign w:val="center"/>
                </w:tcPr>
                <w:p w14:paraId="3D258F68">
                  <w:pPr>
                    <w:pStyle w:val="134"/>
                    <w:keepNext w:val="0"/>
                    <w:keepLines w:val="0"/>
                    <w:pageBreakBefore w:val="0"/>
                    <w:widowControl/>
                    <w:numPr>
                      <w:ilvl w:val="0"/>
                      <w:numId w:val="4"/>
                    </w:numPr>
                    <w:kinsoku w:val="0"/>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废塑料收集企业应参照GB/T37547，根据废塑料来源、特性及使用过程对废塑料进行分类收集。</w:t>
                  </w:r>
                </w:p>
                <w:p w14:paraId="2ECCAA5C">
                  <w:pPr>
                    <w:pStyle w:val="134"/>
                    <w:keepNext w:val="0"/>
                    <w:keepLines w:val="0"/>
                    <w:pageBreakBefore w:val="0"/>
                    <w:widowControl/>
                    <w:numPr>
                      <w:ilvl w:val="0"/>
                      <w:numId w:val="4"/>
                    </w:numPr>
                    <w:kinsoku w:val="0"/>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废塑料收集过程中应避免扬散，不得随意倾倒残液及清洗。</w:t>
                  </w:r>
                </w:p>
                <w:p w14:paraId="5ACF42A9">
                  <w:pPr>
                    <w:pStyle w:val="134"/>
                    <w:keepNext w:val="0"/>
                    <w:keepLines w:val="0"/>
                    <w:pageBreakBefore w:val="0"/>
                    <w:widowControl/>
                    <w:numPr>
                      <w:ilvl w:val="0"/>
                      <w:numId w:val="4"/>
                    </w:numPr>
                    <w:kinsoku w:val="0"/>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废塑料及其预处理产物的装卸及运输过程中，应采取必要的防扬散、防渗漏措施，应保持运输车辆的洁净，避免二次污染。</w:t>
                  </w:r>
                </w:p>
              </w:tc>
              <w:tc>
                <w:tcPr>
                  <w:tcW w:w="1732" w:type="pct"/>
                  <w:gridSpan w:val="2"/>
                  <w:tcBorders>
                    <w:tl2br w:val="nil"/>
                    <w:tr2bl w:val="nil"/>
                  </w:tcBorders>
                  <w:vAlign w:val="center"/>
                </w:tcPr>
                <w:p w14:paraId="1BBDF740">
                  <w:pPr>
                    <w:pStyle w:val="134"/>
                    <w:keepNext w:val="0"/>
                    <w:keepLines w:val="0"/>
                    <w:pageBreakBefore w:val="0"/>
                    <w:widowControl/>
                    <w:numPr>
                      <w:ilvl w:val="0"/>
                      <w:numId w:val="5"/>
                    </w:numPr>
                    <w:kinsoku w:val="0"/>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项目废塑料入厂时均已分好类，成捆打包好。</w:t>
                  </w:r>
                </w:p>
                <w:p w14:paraId="421B7834">
                  <w:pPr>
                    <w:pStyle w:val="134"/>
                    <w:keepNext w:val="0"/>
                    <w:keepLines w:val="0"/>
                    <w:pageBreakBefore w:val="0"/>
                    <w:widowControl/>
                    <w:numPr>
                      <w:ilvl w:val="0"/>
                      <w:numId w:val="5"/>
                    </w:numPr>
                    <w:kinsoku w:val="0"/>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本项目废塑料贮存在厂区专门贮存场所内。</w:t>
                  </w:r>
                </w:p>
                <w:p w14:paraId="2621840F">
                  <w:pPr>
                    <w:pStyle w:val="134"/>
                    <w:keepNext w:val="0"/>
                    <w:keepLines w:val="0"/>
                    <w:pageBreakBefore w:val="0"/>
                    <w:widowControl/>
                    <w:numPr>
                      <w:ilvl w:val="0"/>
                      <w:numId w:val="5"/>
                    </w:numPr>
                    <w:kinsoku w:val="0"/>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本项目废塑料装卸及运输过程中，有防雨、防晒、防渗、防尘、防扬散和防火措施。</w:t>
                  </w:r>
                </w:p>
                <w:p w14:paraId="5E0A7D64">
                  <w:pPr>
                    <w:pStyle w:val="134"/>
                    <w:keepNext w:val="0"/>
                    <w:keepLines w:val="0"/>
                    <w:pageBreakBefore w:val="0"/>
                    <w:widowControl/>
                    <w:numPr>
                      <w:ilvl w:val="0"/>
                      <w:numId w:val="5"/>
                    </w:numPr>
                    <w:kinsoku w:val="0"/>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本项目原料按种类、来源分开存放。</w:t>
                  </w:r>
                </w:p>
              </w:tc>
              <w:tc>
                <w:tcPr>
                  <w:tcW w:w="364" w:type="pct"/>
                  <w:gridSpan w:val="2"/>
                  <w:tcBorders>
                    <w:tl2br w:val="nil"/>
                    <w:tr2bl w:val="nil"/>
                  </w:tcBorders>
                  <w:vAlign w:val="center"/>
                </w:tcPr>
                <w:p w14:paraId="714CBF39">
                  <w:pPr>
                    <w:pStyle w:val="134"/>
                    <w:keepNext w:val="0"/>
                    <w:keepLines w:val="0"/>
                    <w:pageBreakBefore w:val="0"/>
                    <w:widowControl/>
                    <w:kinsoku w:val="0"/>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符合</w:t>
                  </w:r>
                </w:p>
              </w:tc>
            </w:tr>
            <w:tr w14:paraId="027455F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520" w:type="pct"/>
                  <w:gridSpan w:val="2"/>
                  <w:tcBorders>
                    <w:tl2br w:val="nil"/>
                    <w:tr2bl w:val="nil"/>
                  </w:tcBorders>
                  <w:vAlign w:val="center"/>
                </w:tcPr>
                <w:p w14:paraId="2A621EC5">
                  <w:pPr>
                    <w:pStyle w:val="134"/>
                    <w:keepNext w:val="0"/>
                    <w:keepLines w:val="0"/>
                    <w:pageBreakBefore w:val="0"/>
                    <w:widowControl/>
                    <w:kinsoku w:val="0"/>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破碎</w:t>
                  </w:r>
                </w:p>
              </w:tc>
              <w:tc>
                <w:tcPr>
                  <w:tcW w:w="2382" w:type="pct"/>
                  <w:gridSpan w:val="2"/>
                  <w:tcBorders>
                    <w:tl2br w:val="nil"/>
                    <w:tr2bl w:val="nil"/>
                  </w:tcBorders>
                  <w:vAlign w:val="center"/>
                </w:tcPr>
                <w:p w14:paraId="03EF209F">
                  <w:pPr>
                    <w:pStyle w:val="134"/>
                    <w:keepNext w:val="0"/>
                    <w:keepLines w:val="0"/>
                    <w:pageBreakBefore w:val="0"/>
                    <w:widowControl/>
                    <w:numPr>
                      <w:ilvl w:val="0"/>
                      <w:numId w:val="6"/>
                    </w:numPr>
                    <w:kinsoku w:val="0"/>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应根据废塑料的来源、特性、污染情况以及后续再生利用或处置的要求，选择合理的预处理方式。</w:t>
                  </w:r>
                </w:p>
                <w:p w14:paraId="6DD99E4C">
                  <w:pPr>
                    <w:pStyle w:val="134"/>
                    <w:keepNext w:val="0"/>
                    <w:keepLines w:val="0"/>
                    <w:pageBreakBefore w:val="0"/>
                    <w:widowControl/>
                    <w:numPr>
                      <w:ilvl w:val="0"/>
                      <w:numId w:val="6"/>
                    </w:numPr>
                    <w:kinsoku w:val="0"/>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废塑料的预处理应控制二次污染。大气污染物排放应符合GB31572或GB16297、GB37822等标准的规定。恶臭污染物排放应符合GB14554的规定。废水控制应根据出水受纳水体的功能要求或纳管要求，执行国家和地方相关排放标准，重点控制的污染物指标包括悬浮物、pH值、色度、石油类和化学需氧量等。噪声排放应符合GB12348的规定。</w:t>
                  </w:r>
                </w:p>
                <w:p w14:paraId="71E903BC">
                  <w:pPr>
                    <w:pStyle w:val="134"/>
                    <w:keepNext w:val="0"/>
                    <w:keepLines w:val="0"/>
                    <w:pageBreakBefore w:val="0"/>
                    <w:widowControl/>
                    <w:numPr>
                      <w:ilvl w:val="0"/>
                      <w:numId w:val="6"/>
                    </w:numPr>
                    <w:kinsoku w:val="0"/>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应采用预分选工艺，将废塑料与其他废物分开，提高下游自动化分选的效率。</w:t>
                  </w:r>
                </w:p>
                <w:p w14:paraId="7A1B35E9">
                  <w:pPr>
                    <w:pStyle w:val="134"/>
                    <w:keepNext w:val="0"/>
                    <w:keepLines w:val="0"/>
                    <w:pageBreakBefore w:val="0"/>
                    <w:widowControl/>
                    <w:numPr>
                      <w:ilvl w:val="0"/>
                      <w:numId w:val="6"/>
                    </w:numPr>
                    <w:kinsoku w:val="0"/>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废塑料分选应遵循稳定、二次污染可控的原则，根据废塑料特性，宜采用气流分选、静电分选、X射线荧光分选、近红外分选、熔融过滤分选、低温破碎分选及其他新型的自动化分选等单一或集成化分选技术。</w:t>
                  </w:r>
                </w:p>
                <w:p w14:paraId="02897E98">
                  <w:pPr>
                    <w:pStyle w:val="134"/>
                    <w:keepNext w:val="0"/>
                    <w:keepLines w:val="0"/>
                    <w:pageBreakBefore w:val="0"/>
                    <w:widowControl/>
                    <w:numPr>
                      <w:ilvl w:val="0"/>
                      <w:numId w:val="6"/>
                    </w:numPr>
                    <w:kinsoku w:val="0"/>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废塑料的破碎方法可分为干法破碎和湿法破碎。使用干法破碎时，应配备相应的防尘、防噪声设备。使用湿法破碎时，应有配套的污水收集和处理设施。</w:t>
                  </w:r>
                </w:p>
                <w:p w14:paraId="550B08D6">
                  <w:pPr>
                    <w:pStyle w:val="134"/>
                    <w:keepNext w:val="0"/>
                    <w:keepLines w:val="0"/>
                    <w:pageBreakBefore w:val="0"/>
                    <w:widowControl/>
                    <w:numPr>
                      <w:ilvl w:val="0"/>
                      <w:numId w:val="6"/>
                    </w:numPr>
                    <w:kinsoku w:val="0"/>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宜采用节水的自动化清洗技术，宜采用无磷清洗剂或其他绿色清洗剂，不得使用有毒有害的清洗剂。</w:t>
                  </w:r>
                </w:p>
                <w:p w14:paraId="5B0E64C3">
                  <w:pPr>
                    <w:pStyle w:val="134"/>
                    <w:keepNext w:val="0"/>
                    <w:keepLines w:val="0"/>
                    <w:pageBreakBefore w:val="0"/>
                    <w:widowControl/>
                    <w:numPr>
                      <w:ilvl w:val="0"/>
                      <w:numId w:val="6"/>
                    </w:numPr>
                    <w:kinsoku w:val="0"/>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应根据清洗废水中污染物的种类和浓度，配备相应的废水收集和处理设施，清洗废水处理后宜循环使用。</w:t>
                  </w:r>
                </w:p>
                <w:p w14:paraId="062F8D9E">
                  <w:pPr>
                    <w:pStyle w:val="134"/>
                    <w:keepNext w:val="0"/>
                    <w:keepLines w:val="0"/>
                    <w:pageBreakBefore w:val="0"/>
                    <w:widowControl/>
                    <w:numPr>
                      <w:ilvl w:val="0"/>
                      <w:numId w:val="6"/>
                    </w:numPr>
                    <w:kinsoku w:val="0"/>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宜选择闭路循环式干燥设备。干燥环节应配备废气收集和处理设施，防止二次污染。</w:t>
                  </w:r>
                </w:p>
              </w:tc>
              <w:tc>
                <w:tcPr>
                  <w:tcW w:w="1732" w:type="pct"/>
                  <w:gridSpan w:val="2"/>
                  <w:tcBorders>
                    <w:tl2br w:val="nil"/>
                    <w:tr2bl w:val="nil"/>
                  </w:tcBorders>
                  <w:vAlign w:val="center"/>
                </w:tcPr>
                <w:p w14:paraId="158C18D9">
                  <w:pPr>
                    <w:pStyle w:val="134"/>
                    <w:keepNext w:val="0"/>
                    <w:keepLines w:val="0"/>
                    <w:pageBreakBefore w:val="0"/>
                    <w:widowControl/>
                    <w:numPr>
                      <w:ilvl w:val="0"/>
                      <w:numId w:val="7"/>
                    </w:numPr>
                    <w:kinsoku w:val="0"/>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本项目需要对原料中废塑料进行预处理，根据废塑料的来源、特性、污染情况以及后续再生利用或处置的要求，本项目拟采用破碎、清洗、分选、脱水等工艺。</w:t>
                  </w:r>
                </w:p>
                <w:p w14:paraId="5707F9C4">
                  <w:pPr>
                    <w:pStyle w:val="134"/>
                    <w:keepNext w:val="0"/>
                    <w:keepLines w:val="0"/>
                    <w:pageBreakBefore w:val="0"/>
                    <w:widowControl/>
                    <w:numPr>
                      <w:ilvl w:val="0"/>
                      <w:numId w:val="7"/>
                    </w:numPr>
                    <w:kinsoku w:val="0"/>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本项目采取湿法破碎，</w:t>
                  </w:r>
                  <w:r>
                    <w:rPr>
                      <w:rFonts w:hint="eastAsia" w:ascii="Times New Roman" w:hAnsi="Times New Roman" w:eastAsia="宋体" w:cs="Times New Roman"/>
                      <w:spacing w:val="0"/>
                      <w:sz w:val="21"/>
                      <w:szCs w:val="21"/>
                      <w:lang w:val="en-US" w:eastAsia="zh-CN"/>
                    </w:rPr>
                    <w:t>并配套有废水处理设施</w:t>
                  </w:r>
                  <w:r>
                    <w:rPr>
                      <w:rFonts w:hint="default" w:ascii="Times New Roman" w:hAnsi="Times New Roman" w:eastAsia="宋体" w:cs="Times New Roman"/>
                      <w:color w:val="0000FF"/>
                      <w:spacing w:val="0"/>
                      <w:sz w:val="21"/>
                      <w:szCs w:val="21"/>
                    </w:rPr>
                    <w:t>。</w:t>
                  </w:r>
                  <w:r>
                    <w:rPr>
                      <w:rFonts w:hint="default" w:ascii="Times New Roman" w:hAnsi="Times New Roman" w:eastAsia="宋体" w:cs="Times New Roman"/>
                      <w:color w:val="auto"/>
                      <w:spacing w:val="0"/>
                      <w:sz w:val="21"/>
                      <w:szCs w:val="21"/>
                    </w:rPr>
                    <w:t>生产废水收集后经自建污水处理设施处理，处理后约60%的废水回用于生产，剩余40%通过园区管网排入</w:t>
                  </w:r>
                  <w:r>
                    <w:rPr>
                      <w:rFonts w:hint="default" w:ascii="Times New Roman" w:hAnsi="Times New Roman" w:eastAsia="宋体" w:cs="Times New Roman"/>
                      <w:color w:val="auto"/>
                      <w:spacing w:val="0"/>
                      <w:sz w:val="21"/>
                      <w:szCs w:val="21"/>
                      <w:lang w:eastAsia="zh-CN"/>
                    </w:rPr>
                    <w:t>江镜华侨农场污水处理厂</w:t>
                  </w:r>
                  <w:r>
                    <w:rPr>
                      <w:rFonts w:hint="default" w:ascii="Times New Roman" w:hAnsi="Times New Roman" w:eastAsia="宋体" w:cs="Times New Roman"/>
                      <w:color w:val="auto"/>
                      <w:spacing w:val="0"/>
                      <w:sz w:val="21"/>
                      <w:szCs w:val="21"/>
                    </w:rPr>
                    <w:t>处理。</w:t>
                  </w:r>
                </w:p>
                <w:p w14:paraId="7202B7F4">
                  <w:pPr>
                    <w:pStyle w:val="134"/>
                    <w:keepNext w:val="0"/>
                    <w:keepLines w:val="0"/>
                    <w:pageBreakBefore w:val="0"/>
                    <w:widowControl/>
                    <w:numPr>
                      <w:ilvl w:val="0"/>
                      <w:numId w:val="7"/>
                    </w:numPr>
                    <w:kinsoku w:val="0"/>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本项目按照自身生产要求收集对应种类的原材料，采购进的原料废塑料需要在厂区内进行清洗、破碎、分选等工序。</w:t>
                  </w:r>
                </w:p>
                <w:p w14:paraId="06AF4519">
                  <w:pPr>
                    <w:pStyle w:val="134"/>
                    <w:keepNext w:val="0"/>
                    <w:keepLines w:val="0"/>
                    <w:pageBreakBefore w:val="0"/>
                    <w:widowControl/>
                    <w:numPr>
                      <w:ilvl w:val="0"/>
                      <w:numId w:val="7"/>
                    </w:numPr>
                    <w:kinsoku w:val="0"/>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本项目采用湿法破碎，生产废水收集后经自建污水处理设施处理，处理后约60%的废水回用于生产，剩余40%通过园区管网排入</w:t>
                  </w:r>
                  <w:r>
                    <w:rPr>
                      <w:rFonts w:hint="default" w:ascii="Times New Roman" w:hAnsi="Times New Roman" w:eastAsia="宋体" w:cs="Times New Roman"/>
                      <w:color w:val="auto"/>
                      <w:spacing w:val="0"/>
                      <w:sz w:val="21"/>
                      <w:szCs w:val="21"/>
                      <w:lang w:eastAsia="zh-CN"/>
                    </w:rPr>
                    <w:t>江镜华侨农场污水处理厂</w:t>
                  </w:r>
                  <w:r>
                    <w:rPr>
                      <w:rFonts w:hint="default" w:ascii="Times New Roman" w:hAnsi="Times New Roman" w:eastAsia="宋体" w:cs="Times New Roman"/>
                      <w:color w:val="auto"/>
                      <w:spacing w:val="0"/>
                      <w:sz w:val="21"/>
                      <w:szCs w:val="21"/>
                    </w:rPr>
                    <w:t>处理</w:t>
                  </w:r>
                  <w:r>
                    <w:rPr>
                      <w:rFonts w:hint="default" w:ascii="Times New Roman" w:hAnsi="Times New Roman" w:eastAsia="宋体" w:cs="Times New Roman"/>
                      <w:color w:val="auto"/>
                      <w:spacing w:val="0"/>
                      <w:sz w:val="21"/>
                      <w:szCs w:val="21"/>
                      <w:lang w:eastAsia="zh-CN"/>
                    </w:rPr>
                    <w:t>。</w:t>
                  </w:r>
                  <w:r>
                    <w:rPr>
                      <w:rFonts w:hint="default" w:ascii="Times New Roman" w:hAnsi="Times New Roman" w:eastAsia="宋体" w:cs="Times New Roman"/>
                      <w:spacing w:val="0"/>
                      <w:sz w:val="21"/>
                      <w:szCs w:val="21"/>
                    </w:rPr>
                    <w:t>本项目生产</w:t>
                  </w:r>
                  <w:r>
                    <w:rPr>
                      <w:rFonts w:hint="default" w:ascii="Times New Roman" w:hAnsi="Times New Roman" w:eastAsia="宋体" w:cs="Times New Roman"/>
                      <w:color w:val="auto"/>
                      <w:spacing w:val="0"/>
                      <w:sz w:val="21"/>
                      <w:szCs w:val="21"/>
                    </w:rPr>
                    <w:t>过程中不使用清洗剂。</w:t>
                  </w:r>
                </w:p>
                <w:p w14:paraId="54E88F3C">
                  <w:pPr>
                    <w:pStyle w:val="134"/>
                    <w:keepNext w:val="0"/>
                    <w:keepLines w:val="0"/>
                    <w:pageBreakBefore w:val="0"/>
                    <w:widowControl/>
                    <w:numPr>
                      <w:ilvl w:val="0"/>
                      <w:numId w:val="7"/>
                    </w:numPr>
                    <w:kinsoku w:val="0"/>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spacing w:val="0"/>
                      <w:sz w:val="21"/>
                      <w:szCs w:val="21"/>
                    </w:rPr>
                  </w:pPr>
                  <w:r>
                    <w:rPr>
                      <w:rFonts w:hint="default" w:ascii="Times New Roman" w:hAnsi="Times New Roman" w:eastAsia="宋体" w:cs="Times New Roman"/>
                      <w:color w:val="auto"/>
                      <w:spacing w:val="0"/>
                      <w:sz w:val="21"/>
                      <w:szCs w:val="21"/>
                    </w:rPr>
                    <w:t>本项目采用低温电烘干，烘干温度控制在70~80℃。</w:t>
                  </w:r>
                  <w:r>
                    <w:rPr>
                      <w:rFonts w:hint="default" w:ascii="Times New Roman" w:hAnsi="Times New Roman" w:eastAsia="宋体" w:cs="Times New Roman"/>
                      <w:spacing w:val="0"/>
                      <w:sz w:val="21"/>
                      <w:szCs w:val="21"/>
                    </w:rPr>
                    <w:t>聚丙烯熔点在164~170℃</w:t>
                  </w:r>
                  <w:r>
                    <w:rPr>
                      <w:rFonts w:hint="eastAsia" w:ascii="Times New Roman" w:hAnsi="Times New Roman" w:eastAsia="宋体" w:cs="Times New Roman"/>
                      <w:spacing w:val="0"/>
                      <w:sz w:val="21"/>
                      <w:szCs w:val="21"/>
                      <w:lang w:eastAsia="zh-CN"/>
                    </w:rPr>
                    <w:t>，</w:t>
                  </w:r>
                  <w:r>
                    <w:rPr>
                      <w:rFonts w:hint="default" w:ascii="Times New Roman" w:hAnsi="Times New Roman" w:eastAsia="宋体" w:cs="Times New Roman"/>
                      <w:spacing w:val="0"/>
                      <w:sz w:val="21"/>
                      <w:szCs w:val="21"/>
                    </w:rPr>
                    <w:t>烘干过程不会产生非甲烷总烃，因此本项目的建设不违背相关要求。</w:t>
                  </w:r>
                </w:p>
              </w:tc>
              <w:tc>
                <w:tcPr>
                  <w:tcW w:w="364" w:type="pct"/>
                  <w:gridSpan w:val="2"/>
                  <w:tcBorders>
                    <w:tl2br w:val="nil"/>
                    <w:tr2bl w:val="nil"/>
                  </w:tcBorders>
                  <w:vAlign w:val="center"/>
                </w:tcPr>
                <w:p w14:paraId="0D4D9899">
                  <w:pPr>
                    <w:pStyle w:val="134"/>
                    <w:keepNext w:val="0"/>
                    <w:keepLines w:val="0"/>
                    <w:pageBreakBefore w:val="0"/>
                    <w:widowControl/>
                    <w:kinsoku w:val="0"/>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符合</w:t>
                  </w:r>
                </w:p>
              </w:tc>
            </w:tr>
            <w:tr w14:paraId="35BFB618">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gridAfter w:val="1"/>
                <w:wAfter w:w="5" w:type="pct"/>
                <w:trHeight w:val="397" w:hRule="atLeast"/>
              </w:trPr>
              <w:tc>
                <w:tcPr>
                  <w:tcW w:w="520" w:type="pct"/>
                  <w:tcBorders>
                    <w:tl2br w:val="nil"/>
                    <w:tr2bl w:val="nil"/>
                  </w:tcBorders>
                  <w:vAlign w:val="center"/>
                </w:tcPr>
                <w:p w14:paraId="2CA18C51">
                  <w:pPr>
                    <w:pStyle w:val="134"/>
                    <w:keepNext w:val="0"/>
                    <w:keepLines w:val="0"/>
                    <w:pageBreakBefore w:val="0"/>
                    <w:widowControl/>
                    <w:kinsoku w:val="0"/>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项目建设管理要求</w:t>
                  </w:r>
                </w:p>
              </w:tc>
              <w:tc>
                <w:tcPr>
                  <w:tcW w:w="2382" w:type="pct"/>
                  <w:gridSpan w:val="2"/>
                  <w:tcBorders>
                    <w:tl2br w:val="nil"/>
                    <w:tr2bl w:val="nil"/>
                  </w:tcBorders>
                  <w:vAlign w:val="center"/>
                </w:tcPr>
                <w:p w14:paraId="62C603F8">
                  <w:pPr>
                    <w:pStyle w:val="134"/>
                    <w:keepNext w:val="0"/>
                    <w:keepLines w:val="0"/>
                    <w:pageBreakBefore w:val="0"/>
                    <w:widowControl/>
                    <w:numPr>
                      <w:ilvl w:val="0"/>
                      <w:numId w:val="8"/>
                    </w:numPr>
                    <w:kinsoku w:val="0"/>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rPr>
                    <w:t>废塑料的再生利用项目应严格执行环境影响评价和“三同时”制度</w:t>
                  </w:r>
                  <w:r>
                    <w:rPr>
                      <w:rFonts w:hint="default" w:ascii="Times New Roman" w:hAnsi="Times New Roman" w:eastAsia="宋体" w:cs="Times New Roman"/>
                      <w:spacing w:val="0"/>
                      <w:sz w:val="21"/>
                      <w:szCs w:val="21"/>
                      <w:lang w:eastAsia="zh-CN"/>
                    </w:rPr>
                    <w:t>，</w:t>
                  </w:r>
                </w:p>
                <w:p w14:paraId="42A8AA4E">
                  <w:pPr>
                    <w:pStyle w:val="134"/>
                    <w:keepNext w:val="0"/>
                    <w:keepLines w:val="0"/>
                    <w:pageBreakBefore w:val="0"/>
                    <w:widowControl/>
                    <w:numPr>
                      <w:ilvl w:val="0"/>
                      <w:numId w:val="8"/>
                    </w:numPr>
                    <w:kinsoku w:val="0"/>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新建和改扩建废塑料再生利用项目的选址应符合当地城市总体发展、规划、用地规划、生态环境分区管控方案、规划环评及其他环境保护要求</w:t>
                  </w:r>
                  <w:r>
                    <w:rPr>
                      <w:rFonts w:hint="default" w:ascii="Times New Roman" w:hAnsi="Times New Roman" w:eastAsia="宋体" w:cs="Times New Roman"/>
                      <w:spacing w:val="0"/>
                      <w:sz w:val="21"/>
                      <w:szCs w:val="21"/>
                      <w:lang w:eastAsia="zh-CN"/>
                    </w:rPr>
                    <w:t>。</w:t>
                  </w:r>
                </w:p>
                <w:p w14:paraId="1197342A">
                  <w:pPr>
                    <w:pStyle w:val="134"/>
                    <w:keepNext w:val="0"/>
                    <w:keepLines w:val="0"/>
                    <w:pageBreakBefore w:val="0"/>
                    <w:widowControl/>
                    <w:numPr>
                      <w:ilvl w:val="0"/>
                      <w:numId w:val="8"/>
                    </w:numPr>
                    <w:kinsoku w:val="0"/>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废塑料再生利用项目应按功能划分厂区，包括管理区、原料贮存区、生产区、产品贮存区、不可利用废物的贮存和处理区等，各功能区应有明显的界线或标识。</w:t>
                  </w:r>
                </w:p>
              </w:tc>
              <w:tc>
                <w:tcPr>
                  <w:tcW w:w="1732" w:type="pct"/>
                  <w:gridSpan w:val="2"/>
                  <w:tcBorders>
                    <w:tl2br w:val="nil"/>
                    <w:tr2bl w:val="nil"/>
                  </w:tcBorders>
                  <w:vAlign w:val="center"/>
                </w:tcPr>
                <w:p w14:paraId="6F4EB785">
                  <w:pPr>
                    <w:pStyle w:val="134"/>
                    <w:keepNext w:val="0"/>
                    <w:keepLines w:val="0"/>
                    <w:pageBreakBefore w:val="0"/>
                    <w:widowControl/>
                    <w:numPr>
                      <w:ilvl w:val="0"/>
                      <w:numId w:val="9"/>
                    </w:numPr>
                    <w:kinsoku w:val="0"/>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本项目严格执行环境影响评价和“三同时”制度；</w:t>
                  </w:r>
                </w:p>
                <w:p w14:paraId="09A73F65">
                  <w:pPr>
                    <w:pStyle w:val="134"/>
                    <w:keepNext w:val="0"/>
                    <w:keepLines w:val="0"/>
                    <w:pageBreakBefore w:val="0"/>
                    <w:widowControl/>
                    <w:numPr>
                      <w:ilvl w:val="0"/>
                      <w:numId w:val="9"/>
                    </w:numPr>
                    <w:kinsoku w:val="0"/>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本项目用地性质为建设用地，所在地属于“重点管控单元”，符合“三线一单”相关管控要求。</w:t>
                  </w:r>
                </w:p>
                <w:p w14:paraId="6E4512F4">
                  <w:pPr>
                    <w:pStyle w:val="134"/>
                    <w:keepNext w:val="0"/>
                    <w:keepLines w:val="0"/>
                    <w:pageBreakBefore w:val="0"/>
                    <w:widowControl/>
                    <w:numPr>
                      <w:ilvl w:val="0"/>
                      <w:numId w:val="9"/>
                    </w:numPr>
                    <w:kinsoku w:val="0"/>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厂区按功能区划分厂区，各功能区应有明显的界限和标志。功能区设施封闭或半封闭，采取防风、防雨、防渗，防火等措施，有足够的疏散通道。</w:t>
                  </w:r>
                </w:p>
              </w:tc>
              <w:tc>
                <w:tcPr>
                  <w:tcW w:w="359" w:type="pct"/>
                  <w:gridSpan w:val="2"/>
                  <w:tcBorders>
                    <w:tl2br w:val="nil"/>
                    <w:tr2bl w:val="nil"/>
                  </w:tcBorders>
                  <w:vAlign w:val="center"/>
                </w:tcPr>
                <w:p w14:paraId="305A5742">
                  <w:pPr>
                    <w:pStyle w:val="134"/>
                    <w:keepNext w:val="0"/>
                    <w:keepLines w:val="0"/>
                    <w:pageBreakBefore w:val="0"/>
                    <w:widowControl/>
                    <w:kinsoku w:val="0"/>
                    <w:wordWrap/>
                    <w:overflowPunct/>
                    <w:topLinePunct w:val="0"/>
                    <w:autoSpaceDE w:val="0"/>
                    <w:autoSpaceDN w:val="0"/>
                    <w:bidi w:val="0"/>
                    <w:adjustRightInd w:val="0"/>
                    <w:snapToGrid/>
                    <w:spacing w:line="340" w:lineRule="exact"/>
                    <w:ind w:left="0" w:right="0" w:firstLine="0"/>
                    <w:jc w:val="center"/>
                    <w:textAlignment w:val="baseline"/>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符合</w:t>
                  </w:r>
                </w:p>
              </w:tc>
            </w:tr>
          </w:tbl>
          <w:p w14:paraId="317FCA2E">
            <w:pPr>
              <w:pStyle w:val="134"/>
              <w:keepNext w:val="0"/>
              <w:keepLines w:val="0"/>
              <w:pageBreakBefore w:val="0"/>
              <w:widowControl w:val="0"/>
              <w:kinsoku/>
              <w:wordWrap/>
              <w:overflowPunct/>
              <w:topLinePunct w:val="0"/>
              <w:autoSpaceDE/>
              <w:autoSpaceDN/>
              <w:bidi w:val="0"/>
              <w:adjustRightInd/>
              <w:snapToGrid/>
              <w:spacing w:before="157" w:beforeLines="50" w:line="360" w:lineRule="auto"/>
              <w:ind w:left="0" w:right="0" w:firstLine="0"/>
              <w:textAlignment w:val="auto"/>
              <w:rPr>
                <w:rFonts w:hint="default" w:ascii="Times New Roman" w:hAnsi="Times New Roman" w:eastAsia="宋体" w:cs="Times New Roman"/>
                <w:b/>
                <w:bCs/>
                <w:color w:val="auto"/>
                <w:kern w:val="2"/>
                <w:sz w:val="21"/>
                <w:szCs w:val="24"/>
                <w:lang w:val="en-US" w:eastAsia="zh-CN" w:bidi="ar-SA"/>
              </w:rPr>
            </w:pPr>
            <w:r>
              <w:rPr>
                <w:rFonts w:hint="default" w:ascii="Times New Roman" w:hAnsi="Times New Roman" w:eastAsia="宋体" w:cs="Times New Roman"/>
                <w:b/>
                <w:bCs/>
                <w:color w:val="auto"/>
                <w:kern w:val="2"/>
                <w:sz w:val="21"/>
                <w:szCs w:val="24"/>
                <w:lang w:val="en-US" w:eastAsia="zh-CN" w:bidi="ar-SA"/>
              </w:rPr>
              <w:t>7、与《废塑料综合利用行业规范条件》（ 中华人民共和国</w:t>
            </w:r>
            <w:r>
              <w:rPr>
                <w:rFonts w:hint="eastAsia" w:ascii="Times New Roman" w:hAnsi="Times New Roman" w:eastAsia="宋体" w:cs="Times New Roman"/>
                <w:b/>
                <w:bCs/>
                <w:color w:val="auto"/>
                <w:kern w:val="2"/>
                <w:sz w:val="21"/>
                <w:szCs w:val="24"/>
                <w:lang w:val="en-US" w:eastAsia="zh-CN" w:bidi="ar-SA"/>
              </w:rPr>
              <w:t>工业和信息化部</w:t>
            </w:r>
            <w:r>
              <w:rPr>
                <w:rFonts w:hint="default" w:ascii="Times New Roman" w:hAnsi="Times New Roman" w:eastAsia="宋体" w:cs="Times New Roman"/>
                <w:b/>
                <w:bCs/>
                <w:color w:val="auto"/>
                <w:kern w:val="2"/>
                <w:sz w:val="21"/>
                <w:szCs w:val="24"/>
                <w:lang w:val="en-US" w:eastAsia="zh-CN" w:bidi="ar-SA"/>
              </w:rPr>
              <w:t>公告 2015 年第81 号）符合性分析</w:t>
            </w:r>
          </w:p>
          <w:p w14:paraId="3507F42B">
            <w:pPr>
              <w:pStyle w:val="112"/>
              <w:keepNext w:val="0"/>
              <w:keepLines w:val="0"/>
              <w:pageBreakBefore w:val="0"/>
              <w:widowControl w:val="0"/>
              <w:kinsoku/>
              <w:wordWrap/>
              <w:overflowPunct/>
              <w:topLinePunct w:val="0"/>
              <w:autoSpaceDE/>
              <w:autoSpaceDN/>
              <w:bidi w:val="0"/>
              <w:adjustRightInd/>
              <w:snapToGrid/>
              <w:ind w:firstLine="400" w:firstLineChars="200"/>
              <w:textAlignment w:val="auto"/>
              <w:rPr>
                <w:rFonts w:hint="default" w:ascii="Times New Roman" w:hAnsi="Times New Roman" w:cs="Times New Roman"/>
                <w:spacing w:val="3"/>
              </w:rPr>
            </w:pPr>
            <w:r>
              <w:rPr>
                <w:rFonts w:hint="default" w:ascii="Times New Roman" w:hAnsi="Times New Roman" w:cs="Times New Roman"/>
                <w:spacing w:val="-5"/>
              </w:rPr>
              <w:t>本项目与《废塑料综合利用行业规范条件》（ 中华人民共和国</w:t>
            </w:r>
            <w:r>
              <w:rPr>
                <w:rFonts w:hint="eastAsia" w:cs="Times New Roman"/>
                <w:spacing w:val="3"/>
                <w:lang w:eastAsia="zh-CN"/>
              </w:rPr>
              <w:t>工业和信息化部</w:t>
            </w:r>
            <w:r>
              <w:rPr>
                <w:rFonts w:hint="default" w:ascii="Times New Roman" w:hAnsi="Times New Roman" w:cs="Times New Roman"/>
                <w:spacing w:val="3"/>
              </w:rPr>
              <w:t xml:space="preserve">公告 </w:t>
            </w:r>
            <w:r>
              <w:rPr>
                <w:rFonts w:hint="default" w:ascii="Times New Roman" w:hAnsi="Times New Roman" w:eastAsia="Arial" w:cs="Times New Roman"/>
                <w:spacing w:val="3"/>
              </w:rPr>
              <w:t xml:space="preserve">2015 </w:t>
            </w:r>
            <w:r>
              <w:rPr>
                <w:rFonts w:hint="default" w:ascii="Times New Roman" w:hAnsi="Times New Roman" w:cs="Times New Roman"/>
                <w:spacing w:val="3"/>
              </w:rPr>
              <w:t xml:space="preserve">年第 </w:t>
            </w:r>
            <w:r>
              <w:rPr>
                <w:rFonts w:hint="default" w:ascii="Times New Roman" w:hAnsi="Times New Roman" w:eastAsia="Arial" w:cs="Times New Roman"/>
                <w:spacing w:val="3"/>
              </w:rPr>
              <w:t xml:space="preserve">81 </w:t>
            </w:r>
            <w:r>
              <w:rPr>
                <w:rFonts w:hint="default" w:ascii="Times New Roman" w:hAnsi="Times New Roman" w:cs="Times New Roman"/>
                <w:spacing w:val="3"/>
              </w:rPr>
              <w:t>号）的符合性见表</w:t>
            </w:r>
            <w:r>
              <w:rPr>
                <w:rFonts w:hint="default" w:ascii="Times New Roman" w:hAnsi="Times New Roman" w:eastAsia="Arial" w:cs="Times New Roman"/>
                <w:spacing w:val="3"/>
              </w:rPr>
              <w:t>1-</w:t>
            </w:r>
            <w:r>
              <w:rPr>
                <w:rFonts w:hint="default" w:ascii="Times New Roman" w:hAnsi="Times New Roman" w:eastAsia="宋体" w:cs="Times New Roman"/>
                <w:spacing w:val="3"/>
                <w:lang w:val="en-US" w:eastAsia="zh-CN"/>
              </w:rPr>
              <w:t>6</w:t>
            </w:r>
            <w:r>
              <w:rPr>
                <w:rFonts w:hint="default" w:ascii="Times New Roman" w:hAnsi="Times New Roman" w:cs="Times New Roman"/>
                <w:spacing w:val="3"/>
              </w:rPr>
              <w:t>。</w:t>
            </w:r>
          </w:p>
          <w:p w14:paraId="79B2D359">
            <w:pPr>
              <w:pStyle w:val="112"/>
              <w:keepNext w:val="0"/>
              <w:keepLines w:val="0"/>
              <w:pageBreakBefore w:val="0"/>
              <w:widowControl w:val="0"/>
              <w:kinsoku/>
              <w:wordWrap/>
              <w:overflowPunct/>
              <w:topLinePunct w:val="0"/>
              <w:autoSpaceDE/>
              <w:autoSpaceDN/>
              <w:bidi w:val="0"/>
              <w:adjustRightInd/>
              <w:snapToGrid/>
              <w:spacing w:before="120" w:beforeLines="50" w:line="240" w:lineRule="auto"/>
              <w:ind w:firstLine="0" w:firstLineChars="0"/>
              <w:jc w:val="center"/>
              <w:textAlignment w:val="auto"/>
              <w:rPr>
                <w:rFonts w:hint="default" w:ascii="Times New Roman" w:hAnsi="Times New Roman" w:eastAsia="黑体" w:cs="Times New Roman"/>
                <w:color w:val="000000" w:themeColor="text1"/>
                <w:kern w:val="2"/>
                <w:sz w:val="24"/>
                <w:szCs w:val="24"/>
                <w:u w:val="none"/>
                <w:lang w:val="en-US" w:eastAsia="zh-CN" w:bidi="ar-SA"/>
                <w14:textFill>
                  <w14:solidFill>
                    <w14:schemeClr w14:val="tx1"/>
                  </w14:solidFill>
                </w14:textFill>
              </w:rPr>
            </w:pPr>
            <w:r>
              <w:rPr>
                <w:rFonts w:hint="default" w:ascii="Times New Roman" w:hAnsi="Times New Roman" w:eastAsia="黑体" w:cs="Times New Roman"/>
                <w:color w:val="000000" w:themeColor="text1"/>
                <w:kern w:val="2"/>
                <w:sz w:val="24"/>
                <w:szCs w:val="24"/>
                <w:u w:val="none"/>
                <w:lang w:val="en-US" w:eastAsia="zh-CN" w:bidi="ar-SA"/>
                <w14:textFill>
                  <w14:solidFill>
                    <w14:schemeClr w14:val="tx1"/>
                  </w14:solidFill>
                </w14:textFill>
              </w:rPr>
              <w:t>表1-6   与《废塑料综合利用行业规范条件》符合性分析</w:t>
            </w:r>
          </w:p>
          <w:tbl>
            <w:tblPr>
              <w:tblStyle w:val="135"/>
              <w:tblW w:w="4998" w:type="pct"/>
              <w:tblInd w:w="2"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57" w:type="dxa"/>
                <w:bottom w:w="0" w:type="dxa"/>
                <w:right w:w="57" w:type="dxa"/>
              </w:tblCellMar>
            </w:tblPr>
            <w:tblGrid>
              <w:gridCol w:w="728"/>
              <w:gridCol w:w="2838"/>
              <w:gridCol w:w="3401"/>
              <w:gridCol w:w="878"/>
            </w:tblGrid>
            <w:tr w14:paraId="19B2877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464" w:type="pct"/>
                  <w:tcBorders>
                    <w:tl2br w:val="nil"/>
                    <w:tr2bl w:val="nil"/>
                  </w:tcBorders>
                  <w:vAlign w:val="center"/>
                </w:tcPr>
                <w:p w14:paraId="1BA7B715">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b/>
                      <w:bCs/>
                      <w:spacing w:val="0"/>
                      <w:w w:val="100"/>
                      <w:sz w:val="21"/>
                      <w:szCs w:val="21"/>
                    </w:rPr>
                    <w:t>项目</w:t>
                  </w:r>
                </w:p>
              </w:tc>
              <w:tc>
                <w:tcPr>
                  <w:tcW w:w="1808" w:type="pct"/>
                  <w:tcBorders>
                    <w:tl2br w:val="nil"/>
                    <w:tr2bl w:val="nil"/>
                  </w:tcBorders>
                  <w:vAlign w:val="center"/>
                </w:tcPr>
                <w:p w14:paraId="575DE459">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b/>
                      <w:bCs/>
                      <w:spacing w:val="0"/>
                      <w:w w:val="100"/>
                      <w:sz w:val="21"/>
                      <w:szCs w:val="21"/>
                    </w:rPr>
                    <w:t>相关要求</w:t>
                  </w:r>
                </w:p>
              </w:tc>
              <w:tc>
                <w:tcPr>
                  <w:tcW w:w="2167" w:type="pct"/>
                  <w:tcBorders>
                    <w:tl2br w:val="nil"/>
                    <w:tr2bl w:val="nil"/>
                  </w:tcBorders>
                  <w:vAlign w:val="center"/>
                </w:tcPr>
                <w:p w14:paraId="55EF6BB2">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b/>
                      <w:bCs/>
                      <w:spacing w:val="0"/>
                      <w:w w:val="100"/>
                      <w:sz w:val="21"/>
                      <w:szCs w:val="21"/>
                    </w:rPr>
                    <w:t>本项目情况</w:t>
                  </w:r>
                </w:p>
              </w:tc>
              <w:tc>
                <w:tcPr>
                  <w:tcW w:w="559" w:type="pct"/>
                  <w:tcBorders>
                    <w:tl2br w:val="nil"/>
                    <w:tr2bl w:val="nil"/>
                  </w:tcBorders>
                  <w:vAlign w:val="center"/>
                </w:tcPr>
                <w:p w14:paraId="118E5C93">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b/>
                      <w:bCs/>
                      <w:spacing w:val="0"/>
                      <w:w w:val="100"/>
                      <w:sz w:val="21"/>
                      <w:szCs w:val="21"/>
                    </w:rPr>
                    <w:t>相符性</w:t>
                  </w:r>
                </w:p>
              </w:tc>
            </w:tr>
            <w:tr w14:paraId="5FFA7F6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464" w:type="pct"/>
                  <w:vMerge w:val="restart"/>
                  <w:tcBorders>
                    <w:tl2br w:val="nil"/>
                    <w:tr2bl w:val="nil"/>
                  </w:tcBorders>
                  <w:vAlign w:val="center"/>
                </w:tcPr>
                <w:p w14:paraId="2C1307F0">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企业的设立和布局</w:t>
                  </w:r>
                </w:p>
              </w:tc>
              <w:tc>
                <w:tcPr>
                  <w:tcW w:w="1808" w:type="pct"/>
                  <w:tcBorders>
                    <w:tl2br w:val="nil"/>
                    <w:tr2bl w:val="nil"/>
                  </w:tcBorders>
                  <w:vAlign w:val="center"/>
                </w:tcPr>
                <w:p w14:paraId="5DF99295">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废塑料综合利用企业所涉及的热塑性废塑料原料，不包括受到危险化学品、农药等污染的废弃塑料包装物、废弃一次性医疗用塑料制品等塑料类危险废物，以及氟塑料等特种工程塑料。</w:t>
                  </w:r>
                </w:p>
              </w:tc>
              <w:tc>
                <w:tcPr>
                  <w:tcW w:w="2167" w:type="pct"/>
                  <w:tcBorders>
                    <w:tl2br w:val="nil"/>
                    <w:tr2bl w:val="nil"/>
                  </w:tcBorders>
                  <w:vAlign w:val="center"/>
                </w:tcPr>
                <w:p w14:paraId="4962CB3E">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本项目分类回收各级医院未被污染的医用（一次性塑料）输液瓶（袋）作为原料进行清洗、破碎，不利用属于医疗废物和危险废物的废塑料。本项目不回收受到危险化学品、农药等污染的废弃塑料包装物、废弃一次性医疗用塑料制品等塑料类危险废物，以及氟塑料等特种工程塑料。</w:t>
                  </w:r>
                </w:p>
              </w:tc>
              <w:tc>
                <w:tcPr>
                  <w:tcW w:w="559" w:type="pct"/>
                  <w:tcBorders>
                    <w:tl2br w:val="nil"/>
                    <w:tr2bl w:val="nil"/>
                  </w:tcBorders>
                  <w:vAlign w:val="center"/>
                </w:tcPr>
                <w:p w14:paraId="7C8F019A">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符合</w:t>
                  </w:r>
                </w:p>
              </w:tc>
            </w:tr>
            <w:tr w14:paraId="6C90AA5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464" w:type="pct"/>
                  <w:vMerge w:val="continue"/>
                  <w:tcBorders>
                    <w:tl2br w:val="nil"/>
                    <w:tr2bl w:val="nil"/>
                  </w:tcBorders>
                  <w:vAlign w:val="center"/>
                </w:tcPr>
                <w:p w14:paraId="00DB5B2F">
                  <w:pPr>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spacing w:val="0"/>
                      <w:w w:val="100"/>
                      <w:sz w:val="21"/>
                      <w:szCs w:val="21"/>
                    </w:rPr>
                  </w:pPr>
                </w:p>
              </w:tc>
              <w:tc>
                <w:tcPr>
                  <w:tcW w:w="1808" w:type="pct"/>
                  <w:tcBorders>
                    <w:tl2br w:val="nil"/>
                    <w:tr2bl w:val="nil"/>
                  </w:tcBorders>
                  <w:vAlign w:val="center"/>
                </w:tcPr>
                <w:p w14:paraId="2FEE827E">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在国家法律、法规、规章和规划确定或县级及以上人民政府规定的自然保护区、风景名胜区、饮用水源保护区、基本农田保护区和其他需要特别保护的区域内，不得新建废塑料综合利用企业。</w:t>
                  </w:r>
                </w:p>
              </w:tc>
              <w:tc>
                <w:tcPr>
                  <w:tcW w:w="2167" w:type="pct"/>
                  <w:tcBorders>
                    <w:tl2br w:val="nil"/>
                    <w:tr2bl w:val="nil"/>
                  </w:tcBorders>
                  <w:vAlign w:val="center"/>
                </w:tcPr>
                <w:p w14:paraId="11371F9D">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本项目选址不在自然保护区、风景名胜区、饮用水源保护区、基本农田保护区和其他需要特别保护的区域内。本项目位于</w:t>
                  </w:r>
                  <w:r>
                    <w:rPr>
                      <w:rFonts w:hint="default" w:ascii="Times New Roman" w:hAnsi="Times New Roman" w:eastAsia="宋体" w:cs="Times New Roman"/>
                      <w:spacing w:val="0"/>
                      <w:w w:val="100"/>
                      <w:sz w:val="21"/>
                      <w:szCs w:val="21"/>
                      <w:lang w:val="en-US" w:eastAsia="zh-CN"/>
                    </w:rPr>
                    <w:t>闽台（福州）蓝色经济产业园内</w:t>
                  </w:r>
                  <w:r>
                    <w:rPr>
                      <w:rFonts w:hint="default" w:ascii="Times New Roman" w:hAnsi="Times New Roman" w:eastAsia="宋体" w:cs="Times New Roman"/>
                      <w:spacing w:val="0"/>
                      <w:w w:val="100"/>
                      <w:sz w:val="21"/>
                      <w:szCs w:val="21"/>
                    </w:rPr>
                    <w:t>。</w:t>
                  </w:r>
                </w:p>
              </w:tc>
              <w:tc>
                <w:tcPr>
                  <w:tcW w:w="559" w:type="pct"/>
                  <w:tcBorders>
                    <w:tl2br w:val="nil"/>
                    <w:tr2bl w:val="nil"/>
                  </w:tcBorders>
                  <w:vAlign w:val="center"/>
                </w:tcPr>
                <w:p w14:paraId="1D7006B1">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spacing w:val="0"/>
                      <w:w w:val="100"/>
                      <w:sz w:val="21"/>
                      <w:szCs w:val="21"/>
                    </w:rPr>
                  </w:pPr>
                  <w:r>
                    <w:rPr>
                      <w:rFonts w:hint="eastAsia" w:ascii="Times New Roman" w:hAnsi="Times New Roman" w:eastAsia="宋体" w:cs="Times New Roman"/>
                      <w:spacing w:val="0"/>
                      <w:w w:val="100"/>
                      <w:sz w:val="21"/>
                      <w:szCs w:val="21"/>
                      <w:lang w:eastAsia="zh-CN"/>
                    </w:rPr>
                    <w:t>符合</w:t>
                  </w:r>
                  <w:bookmarkStart w:id="38" w:name="_GoBack"/>
                  <w:bookmarkEnd w:id="38"/>
                </w:p>
              </w:tc>
            </w:tr>
            <w:tr w14:paraId="239E9B7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464" w:type="pct"/>
                  <w:tcBorders>
                    <w:tl2br w:val="nil"/>
                    <w:tr2bl w:val="nil"/>
                  </w:tcBorders>
                  <w:vAlign w:val="center"/>
                </w:tcPr>
                <w:p w14:paraId="46FFD25E">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资源综合利用及能耗</w:t>
                  </w:r>
                </w:p>
              </w:tc>
              <w:tc>
                <w:tcPr>
                  <w:tcW w:w="1808" w:type="pct"/>
                  <w:tcBorders>
                    <w:tl2br w:val="nil"/>
                    <w:tr2bl w:val="nil"/>
                  </w:tcBorders>
                  <w:shd w:val="clear" w:color="auto" w:fill="auto"/>
                  <w:vAlign w:val="center"/>
                </w:tcPr>
                <w:p w14:paraId="485FE3C0">
                  <w:pPr>
                    <w:pStyle w:val="134"/>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default" w:ascii="Times New Roman" w:hAnsi="Times New Roman" w:eastAsia="宋体" w:cs="Times New Roman"/>
                      <w:spacing w:val="0"/>
                      <w:w w:val="100"/>
                      <w:kern w:val="2"/>
                      <w:sz w:val="21"/>
                      <w:szCs w:val="21"/>
                      <w:lang w:val="en-US" w:eastAsia="en-US" w:bidi="ar-SA"/>
                    </w:rPr>
                  </w:pPr>
                  <w:r>
                    <w:rPr>
                      <w:rFonts w:hint="default" w:ascii="Times New Roman" w:hAnsi="Times New Roman" w:eastAsia="宋体" w:cs="Times New Roman"/>
                      <w:spacing w:val="0"/>
                      <w:w w:val="100"/>
                      <w:sz w:val="21"/>
                      <w:szCs w:val="21"/>
                    </w:rPr>
                    <w:t>PET再生瓶片类企业与废塑料破碎、清洗、分选类企业的综合新水消耗低于1.5吨/吨废塑料。塑料再生造粒类企业的综合新水消耗低于0.2吨/吨废塑料。</w:t>
                  </w:r>
                </w:p>
              </w:tc>
              <w:tc>
                <w:tcPr>
                  <w:tcW w:w="2167" w:type="pct"/>
                  <w:tcBorders>
                    <w:tl2br w:val="nil"/>
                    <w:tr2bl w:val="nil"/>
                  </w:tcBorders>
                  <w:shd w:val="clear" w:color="auto" w:fill="auto"/>
                  <w:vAlign w:val="center"/>
                </w:tcPr>
                <w:p w14:paraId="39EF76FC">
                  <w:pPr>
                    <w:pStyle w:val="134"/>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default" w:ascii="Times New Roman" w:hAnsi="Times New Roman" w:eastAsia="宋体" w:cs="Times New Roman"/>
                      <w:color w:val="FF0000"/>
                      <w:spacing w:val="0"/>
                      <w:w w:val="100"/>
                      <w:kern w:val="2"/>
                      <w:sz w:val="21"/>
                      <w:szCs w:val="21"/>
                      <w:lang w:val="en-US" w:eastAsia="en-US" w:bidi="ar-SA"/>
                    </w:rPr>
                  </w:pPr>
                  <w:r>
                    <w:rPr>
                      <w:rFonts w:hint="default" w:ascii="Times New Roman" w:hAnsi="Times New Roman" w:eastAsia="宋体" w:cs="Times New Roman"/>
                      <w:color w:val="auto"/>
                      <w:spacing w:val="0"/>
                      <w:w w:val="100"/>
                      <w:sz w:val="21"/>
                      <w:szCs w:val="21"/>
                    </w:rPr>
                    <w:t>本项目综合新水消耗低于</w:t>
                  </w:r>
                  <w:r>
                    <w:rPr>
                      <w:rFonts w:hint="eastAsia" w:ascii="Times New Roman" w:hAnsi="Times New Roman" w:eastAsia="宋体" w:cs="Times New Roman"/>
                      <w:color w:val="auto"/>
                      <w:spacing w:val="0"/>
                      <w:w w:val="100"/>
                      <w:sz w:val="21"/>
                      <w:szCs w:val="21"/>
                      <w:lang w:val="en-US" w:eastAsia="zh-CN"/>
                    </w:rPr>
                    <w:t>1.5</w:t>
                  </w:r>
                  <w:r>
                    <w:rPr>
                      <w:rFonts w:hint="default" w:ascii="Times New Roman" w:hAnsi="Times New Roman" w:eastAsia="宋体" w:cs="Times New Roman"/>
                      <w:color w:val="auto"/>
                      <w:spacing w:val="0"/>
                      <w:w w:val="100"/>
                      <w:sz w:val="21"/>
                      <w:szCs w:val="21"/>
                    </w:rPr>
                    <w:t>吨/吨废塑料。</w:t>
                  </w:r>
                </w:p>
              </w:tc>
              <w:tc>
                <w:tcPr>
                  <w:tcW w:w="559" w:type="pct"/>
                  <w:tcBorders>
                    <w:tl2br w:val="nil"/>
                    <w:tr2bl w:val="nil"/>
                  </w:tcBorders>
                  <w:shd w:val="clear" w:color="auto" w:fill="auto"/>
                  <w:vAlign w:val="center"/>
                </w:tcPr>
                <w:p w14:paraId="363861C7">
                  <w:pPr>
                    <w:pStyle w:val="134"/>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default" w:ascii="Times New Roman" w:hAnsi="Times New Roman" w:eastAsia="宋体" w:cs="Times New Roman"/>
                      <w:spacing w:val="0"/>
                      <w:w w:val="100"/>
                      <w:kern w:val="2"/>
                      <w:sz w:val="21"/>
                      <w:szCs w:val="21"/>
                      <w:lang w:val="en-US" w:eastAsia="en-US" w:bidi="ar-SA"/>
                    </w:rPr>
                  </w:pPr>
                  <w:r>
                    <w:rPr>
                      <w:rFonts w:hint="default" w:ascii="Times New Roman" w:hAnsi="Times New Roman" w:eastAsia="宋体" w:cs="Times New Roman"/>
                      <w:spacing w:val="0"/>
                      <w:w w:val="100"/>
                      <w:sz w:val="21"/>
                      <w:szCs w:val="21"/>
                    </w:rPr>
                    <w:t>符合</w:t>
                  </w:r>
                </w:p>
              </w:tc>
            </w:tr>
            <w:tr w14:paraId="48A1140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464" w:type="pct"/>
                  <w:vMerge w:val="restart"/>
                  <w:tcBorders>
                    <w:tl2br w:val="nil"/>
                    <w:tr2bl w:val="nil"/>
                  </w:tcBorders>
                  <w:vAlign w:val="center"/>
                </w:tcPr>
                <w:p w14:paraId="57D6C070">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工艺与装备</w:t>
                  </w:r>
                </w:p>
              </w:tc>
              <w:tc>
                <w:tcPr>
                  <w:tcW w:w="1808" w:type="pct"/>
                  <w:tcBorders>
                    <w:tl2br w:val="nil"/>
                    <w:tr2bl w:val="nil"/>
                  </w:tcBorders>
                  <w:vAlign w:val="center"/>
                </w:tcPr>
                <w:p w14:paraId="0AF4E1FC">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废塑料破碎、清洗、分选类企业。应采用自动化处理设备和设施。其中，破碎工序应采用具有减振与降噪功能的密闭破碎设备；清洗工序应实现自动控制和清洗液循环利用，降低耗水量与耗药量；应使用低发泡、低残留、易处理的清洗药剂；分选工序鼓励采用自动化分选设备。</w:t>
                  </w:r>
                </w:p>
              </w:tc>
              <w:tc>
                <w:tcPr>
                  <w:tcW w:w="2167" w:type="pct"/>
                  <w:tcBorders>
                    <w:tl2br w:val="nil"/>
                    <w:tr2bl w:val="nil"/>
                  </w:tcBorders>
                  <w:vAlign w:val="center"/>
                </w:tcPr>
                <w:p w14:paraId="2BF705F5">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本项目废塑料破碎、清洗采用自动化处理设备和设施，破碎工序采用具有减振与降噪功能的密闭破碎设备，清洗工序使用水，不使用清洗剂。</w:t>
                  </w:r>
                </w:p>
              </w:tc>
              <w:tc>
                <w:tcPr>
                  <w:tcW w:w="559" w:type="pct"/>
                  <w:tcBorders>
                    <w:tl2br w:val="nil"/>
                    <w:tr2bl w:val="nil"/>
                  </w:tcBorders>
                  <w:vAlign w:val="center"/>
                </w:tcPr>
                <w:p w14:paraId="6112F521">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符合</w:t>
                  </w:r>
                </w:p>
              </w:tc>
            </w:tr>
            <w:tr w14:paraId="24D6748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000" w:hRule="atLeast"/>
              </w:trPr>
              <w:tc>
                <w:tcPr>
                  <w:tcW w:w="464" w:type="pct"/>
                  <w:vMerge w:val="continue"/>
                  <w:tcBorders>
                    <w:tl2br w:val="nil"/>
                    <w:tr2bl w:val="nil"/>
                  </w:tcBorders>
                  <w:vAlign w:val="center"/>
                </w:tcPr>
                <w:p w14:paraId="1B715119">
                  <w:pPr>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spacing w:val="0"/>
                      <w:w w:val="100"/>
                      <w:sz w:val="21"/>
                      <w:szCs w:val="21"/>
                    </w:rPr>
                  </w:pPr>
                </w:p>
              </w:tc>
              <w:tc>
                <w:tcPr>
                  <w:tcW w:w="1808" w:type="pct"/>
                  <w:tcBorders>
                    <w:tl2br w:val="nil"/>
                    <w:tr2bl w:val="nil"/>
                  </w:tcBorders>
                  <w:vAlign w:val="center"/>
                </w:tcPr>
                <w:p w14:paraId="49C590E4">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废塑料综合利用企业应严格执行《中华人民共和国环境影响评价法》，按照环境保护主管部门的相关规定报批环</w:t>
                  </w:r>
                </w:p>
                <w:p w14:paraId="7A4E04CC">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境影响评价文件。按照环境保护“三同时”的要求建设配套的环境保护设施，编制环境风险应急预案，并依法申请项目竣工环境保护验收。</w:t>
                  </w:r>
                </w:p>
              </w:tc>
              <w:tc>
                <w:tcPr>
                  <w:tcW w:w="2167" w:type="pct"/>
                  <w:tcBorders>
                    <w:tl2br w:val="nil"/>
                    <w:tr2bl w:val="nil"/>
                  </w:tcBorders>
                  <w:vAlign w:val="center"/>
                </w:tcPr>
                <w:p w14:paraId="513D9354">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本项目正在进行环境影响评价。要求建设单位按照要求配套相应环境保护措施，编制环境风险应急预案，并依法进行竣工环境保护验收。</w:t>
                  </w:r>
                </w:p>
              </w:tc>
              <w:tc>
                <w:tcPr>
                  <w:tcW w:w="559" w:type="pct"/>
                  <w:tcBorders>
                    <w:tl2br w:val="nil"/>
                    <w:tr2bl w:val="nil"/>
                  </w:tcBorders>
                  <w:vAlign w:val="center"/>
                </w:tcPr>
                <w:p w14:paraId="6EC4CB69">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符合</w:t>
                  </w:r>
                </w:p>
              </w:tc>
            </w:tr>
            <w:tr w14:paraId="48537AA6">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464" w:type="pct"/>
                  <w:vMerge w:val="continue"/>
                  <w:tcBorders>
                    <w:tl2br w:val="nil"/>
                    <w:tr2bl w:val="nil"/>
                  </w:tcBorders>
                  <w:vAlign w:val="center"/>
                </w:tcPr>
                <w:p w14:paraId="48785155">
                  <w:pPr>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spacing w:val="0"/>
                      <w:w w:val="100"/>
                      <w:sz w:val="21"/>
                      <w:szCs w:val="21"/>
                    </w:rPr>
                  </w:pPr>
                </w:p>
              </w:tc>
              <w:tc>
                <w:tcPr>
                  <w:tcW w:w="1808" w:type="pct"/>
                  <w:tcBorders>
                    <w:tl2br w:val="nil"/>
                    <w:tr2bl w:val="nil"/>
                  </w:tcBorders>
                  <w:vAlign w:val="center"/>
                </w:tcPr>
                <w:p w14:paraId="0A381F7C">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企业加工存储场地应建有围墙，在园区内的企业可为单独厂房，地面全部硬化且无明显破损现象。</w:t>
                  </w:r>
                </w:p>
              </w:tc>
              <w:tc>
                <w:tcPr>
                  <w:tcW w:w="2167" w:type="pct"/>
                  <w:tcBorders>
                    <w:tl2br w:val="nil"/>
                    <w:tr2bl w:val="nil"/>
                  </w:tcBorders>
                  <w:vAlign w:val="center"/>
                </w:tcPr>
                <w:p w14:paraId="13C0916B">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lang w:val="en-US" w:eastAsia="zh-CN"/>
                    </w:rPr>
                    <w:t>项目租赁在工业</w:t>
                  </w:r>
                  <w:r>
                    <w:rPr>
                      <w:rFonts w:hint="default" w:ascii="Times New Roman" w:hAnsi="Times New Roman" w:eastAsia="宋体" w:cs="Times New Roman"/>
                      <w:spacing w:val="0"/>
                      <w:w w:val="100"/>
                      <w:sz w:val="21"/>
                      <w:szCs w:val="21"/>
                    </w:rPr>
                    <w:t>园区内</w:t>
                  </w:r>
                  <w:r>
                    <w:rPr>
                      <w:rFonts w:hint="default" w:ascii="Times New Roman" w:hAnsi="Times New Roman" w:eastAsia="宋体" w:cs="Times New Roman"/>
                      <w:spacing w:val="0"/>
                      <w:w w:val="100"/>
                      <w:sz w:val="21"/>
                      <w:szCs w:val="21"/>
                      <w:lang w:eastAsia="zh-CN"/>
                    </w:rPr>
                    <w:t>，</w:t>
                  </w:r>
                  <w:r>
                    <w:rPr>
                      <w:rFonts w:hint="default" w:ascii="Times New Roman" w:hAnsi="Times New Roman" w:eastAsia="宋体" w:cs="Times New Roman"/>
                      <w:spacing w:val="0"/>
                      <w:w w:val="100"/>
                      <w:sz w:val="21"/>
                      <w:szCs w:val="21"/>
                    </w:rPr>
                    <w:t>为</w:t>
                  </w:r>
                  <w:r>
                    <w:rPr>
                      <w:rFonts w:hint="default" w:ascii="Times New Roman" w:hAnsi="Times New Roman" w:eastAsia="宋体" w:cs="Times New Roman"/>
                      <w:spacing w:val="0"/>
                      <w:w w:val="100"/>
                      <w:sz w:val="21"/>
                      <w:szCs w:val="21"/>
                      <w:lang w:val="en-US" w:eastAsia="zh-CN"/>
                    </w:rPr>
                    <w:t>独立</w:t>
                  </w:r>
                  <w:r>
                    <w:rPr>
                      <w:rFonts w:hint="default" w:ascii="Times New Roman" w:hAnsi="Times New Roman" w:eastAsia="宋体" w:cs="Times New Roman"/>
                      <w:spacing w:val="0"/>
                      <w:w w:val="100"/>
                      <w:sz w:val="21"/>
                      <w:szCs w:val="21"/>
                    </w:rPr>
                    <w:t>厂房，地面全部硬化且无明显破损现象。</w:t>
                  </w:r>
                </w:p>
              </w:tc>
              <w:tc>
                <w:tcPr>
                  <w:tcW w:w="559" w:type="pct"/>
                  <w:tcBorders>
                    <w:tl2br w:val="nil"/>
                    <w:tr2bl w:val="nil"/>
                  </w:tcBorders>
                  <w:vAlign w:val="center"/>
                </w:tcPr>
                <w:p w14:paraId="79671122">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符合</w:t>
                  </w:r>
                </w:p>
              </w:tc>
            </w:tr>
            <w:tr w14:paraId="5E7548F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464" w:type="pct"/>
                  <w:vMerge w:val="continue"/>
                  <w:tcBorders>
                    <w:tl2br w:val="nil"/>
                    <w:tr2bl w:val="nil"/>
                  </w:tcBorders>
                  <w:vAlign w:val="center"/>
                </w:tcPr>
                <w:p w14:paraId="4D19F1DB">
                  <w:pPr>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spacing w:val="0"/>
                      <w:w w:val="100"/>
                      <w:sz w:val="21"/>
                      <w:szCs w:val="21"/>
                    </w:rPr>
                  </w:pPr>
                </w:p>
              </w:tc>
              <w:tc>
                <w:tcPr>
                  <w:tcW w:w="1808" w:type="pct"/>
                  <w:tcBorders>
                    <w:tl2br w:val="nil"/>
                    <w:tr2bl w:val="nil"/>
                  </w:tcBorders>
                  <w:vAlign w:val="center"/>
                </w:tcPr>
                <w:p w14:paraId="55E0DFD6">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企业必须配备废塑料分类存放场所。原料、产品、本企业不能利用废塑料及不可利用废物贮存在具有防雨、防风、防渗等功能的厂房或加盖雨棚的专门贮存场地内，无露天堆放现象。</w:t>
                  </w:r>
                </w:p>
              </w:tc>
              <w:tc>
                <w:tcPr>
                  <w:tcW w:w="2167" w:type="pct"/>
                  <w:tcBorders>
                    <w:tl2br w:val="nil"/>
                    <w:tr2bl w:val="nil"/>
                  </w:tcBorders>
                  <w:vAlign w:val="center"/>
                </w:tcPr>
                <w:p w14:paraId="53256E6B">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本项目原料和产品均存放在厂房内，一般工业固体废物按照《一般工业固体废物贮存和填埋污染控制标准》（GB18599-2020）要求储存。无露天堆放现象。</w:t>
                  </w:r>
                </w:p>
              </w:tc>
              <w:tc>
                <w:tcPr>
                  <w:tcW w:w="559" w:type="pct"/>
                  <w:tcBorders>
                    <w:tl2br w:val="nil"/>
                    <w:tr2bl w:val="nil"/>
                  </w:tcBorders>
                  <w:vAlign w:val="center"/>
                </w:tcPr>
                <w:p w14:paraId="41AB83FC">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符合</w:t>
                  </w:r>
                </w:p>
              </w:tc>
            </w:tr>
            <w:tr w14:paraId="4E0477A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464" w:type="pct"/>
                  <w:vMerge w:val="continue"/>
                  <w:tcBorders>
                    <w:tl2br w:val="nil"/>
                    <w:tr2bl w:val="nil"/>
                  </w:tcBorders>
                  <w:vAlign w:val="center"/>
                </w:tcPr>
                <w:p w14:paraId="1D63D32F">
                  <w:pPr>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spacing w:val="0"/>
                      <w:w w:val="100"/>
                      <w:sz w:val="21"/>
                      <w:szCs w:val="21"/>
                    </w:rPr>
                  </w:pPr>
                </w:p>
              </w:tc>
              <w:tc>
                <w:tcPr>
                  <w:tcW w:w="1808" w:type="pct"/>
                  <w:tcBorders>
                    <w:tl2br w:val="nil"/>
                    <w:tr2bl w:val="nil"/>
                  </w:tcBorders>
                  <w:vAlign w:val="center"/>
                </w:tcPr>
                <w:p w14:paraId="2D900CF6">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企业对收集的废塑料中的金属、橡胶、纤维、渣土、油脂、添加物等夹杂物，应采取相应的处理措施。如企业不具备处理条件，应委托其他具有处理能力的企业处理，不得擅自丢弃、倾倒、焚烧与填埋。</w:t>
                  </w:r>
                </w:p>
              </w:tc>
              <w:tc>
                <w:tcPr>
                  <w:tcW w:w="2167" w:type="pct"/>
                  <w:tcBorders>
                    <w:tl2br w:val="nil"/>
                    <w:tr2bl w:val="nil"/>
                  </w:tcBorders>
                  <w:vAlign w:val="center"/>
                </w:tcPr>
                <w:p w14:paraId="26CFF6AE">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本项目的塑料来源于回收各级医院未被污染的医用（一次性塑料）输液瓶（袋），其夹带杂物主要为标签纸屑，作为固废由环卫部门清运。</w:t>
                  </w:r>
                </w:p>
              </w:tc>
              <w:tc>
                <w:tcPr>
                  <w:tcW w:w="559" w:type="pct"/>
                  <w:tcBorders>
                    <w:tl2br w:val="nil"/>
                    <w:tr2bl w:val="nil"/>
                  </w:tcBorders>
                  <w:vAlign w:val="center"/>
                </w:tcPr>
                <w:p w14:paraId="7AD07B4A">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符合</w:t>
                  </w:r>
                </w:p>
              </w:tc>
            </w:tr>
            <w:tr w14:paraId="21AB85C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464" w:type="pct"/>
                  <w:vMerge w:val="continue"/>
                  <w:tcBorders>
                    <w:tl2br w:val="nil"/>
                    <w:tr2bl w:val="nil"/>
                  </w:tcBorders>
                  <w:vAlign w:val="center"/>
                </w:tcPr>
                <w:p w14:paraId="7D69473A">
                  <w:pPr>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spacing w:val="0"/>
                      <w:w w:val="100"/>
                      <w:sz w:val="21"/>
                      <w:szCs w:val="21"/>
                    </w:rPr>
                  </w:pPr>
                </w:p>
              </w:tc>
              <w:tc>
                <w:tcPr>
                  <w:tcW w:w="1808" w:type="pct"/>
                  <w:tcBorders>
                    <w:tl2br w:val="nil"/>
                    <w:tr2bl w:val="nil"/>
                  </w:tcBorders>
                  <w:vAlign w:val="center"/>
                </w:tcPr>
                <w:p w14:paraId="7DF2662D">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rPr>
                    <w:t>企业应具有与加工利用能力相适应的废水处理设施，中水回用率必须符合环评文件的有关要求。</w:t>
                  </w:r>
                </w:p>
              </w:tc>
              <w:tc>
                <w:tcPr>
                  <w:tcW w:w="2167" w:type="pct"/>
                  <w:tcBorders>
                    <w:tl2br w:val="nil"/>
                    <w:tr2bl w:val="nil"/>
                  </w:tcBorders>
                  <w:vAlign w:val="center"/>
                </w:tcPr>
                <w:p w14:paraId="391F5119">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rPr>
                    <w:t>项目生产废水收集后经自建污水处理设施处理，处理后约60%的废水回用于生产，剩余40%通过园区管网排入</w:t>
                  </w:r>
                  <w:r>
                    <w:rPr>
                      <w:rFonts w:hint="default" w:ascii="Times New Roman" w:hAnsi="Times New Roman" w:eastAsia="宋体" w:cs="Times New Roman"/>
                      <w:color w:val="auto"/>
                      <w:spacing w:val="0"/>
                      <w:w w:val="100"/>
                      <w:sz w:val="21"/>
                      <w:szCs w:val="21"/>
                      <w:lang w:eastAsia="zh-CN"/>
                    </w:rPr>
                    <w:t>江镜华侨农场污水处理厂</w:t>
                  </w:r>
                  <w:r>
                    <w:rPr>
                      <w:rFonts w:hint="default" w:ascii="Times New Roman" w:hAnsi="Times New Roman" w:eastAsia="宋体" w:cs="Times New Roman"/>
                      <w:color w:val="auto"/>
                      <w:spacing w:val="0"/>
                      <w:w w:val="100"/>
                      <w:sz w:val="21"/>
                      <w:szCs w:val="21"/>
                    </w:rPr>
                    <w:t>。</w:t>
                  </w:r>
                </w:p>
              </w:tc>
              <w:tc>
                <w:tcPr>
                  <w:tcW w:w="559" w:type="pct"/>
                  <w:tcBorders>
                    <w:tl2br w:val="nil"/>
                    <w:tr2bl w:val="nil"/>
                  </w:tcBorders>
                  <w:vAlign w:val="center"/>
                </w:tcPr>
                <w:p w14:paraId="4A214F42">
                  <w:pPr>
                    <w:pStyle w:val="134"/>
                    <w:keepNext w:val="0"/>
                    <w:keepLines w:val="0"/>
                    <w:pageBreakBefore w:val="0"/>
                    <w:widowControl w:val="0"/>
                    <w:kinsoku/>
                    <w:wordWrap/>
                    <w:overflowPunct/>
                    <w:topLinePunct w:val="0"/>
                    <w:autoSpaceDE/>
                    <w:autoSpaceDN/>
                    <w:bidi w:val="0"/>
                    <w:adjustRightInd/>
                    <w:snapToGrid/>
                    <w:spacing w:line="340" w:lineRule="exact"/>
                    <w:ind w:left="0" w:right="0" w:firstLine="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color w:val="auto"/>
                      <w:spacing w:val="0"/>
                      <w:w w:val="100"/>
                      <w:sz w:val="21"/>
                      <w:szCs w:val="21"/>
                    </w:rPr>
                    <w:t>符合</w:t>
                  </w:r>
                </w:p>
              </w:tc>
            </w:tr>
          </w:tbl>
          <w:p w14:paraId="7BCED295">
            <w:pPr>
              <w:pStyle w:val="134"/>
              <w:keepNext w:val="0"/>
              <w:keepLines w:val="0"/>
              <w:pageBreakBefore w:val="0"/>
              <w:widowControl w:val="0"/>
              <w:kinsoku/>
              <w:wordWrap/>
              <w:overflowPunct/>
              <w:topLinePunct w:val="0"/>
              <w:autoSpaceDE/>
              <w:autoSpaceDN/>
              <w:bidi w:val="0"/>
              <w:adjustRightInd/>
              <w:snapToGrid/>
              <w:spacing w:before="157" w:beforeLines="50" w:line="360" w:lineRule="auto"/>
              <w:ind w:left="0" w:right="0" w:firstLine="0"/>
              <w:textAlignment w:val="auto"/>
              <w:rPr>
                <w:rFonts w:hint="default" w:ascii="Times New Roman" w:hAnsi="Times New Roman" w:eastAsia="宋体" w:cs="Times New Roman"/>
                <w:b/>
                <w:bCs/>
                <w:color w:val="auto"/>
                <w:kern w:val="2"/>
                <w:sz w:val="21"/>
                <w:szCs w:val="24"/>
                <w:lang w:val="en-US" w:eastAsia="zh-CN" w:bidi="ar-SA"/>
              </w:rPr>
            </w:pPr>
            <w:r>
              <w:rPr>
                <w:rFonts w:hint="default" w:ascii="Times New Roman" w:hAnsi="Times New Roman" w:eastAsia="宋体" w:cs="Times New Roman"/>
                <w:b/>
                <w:bCs/>
                <w:color w:val="auto"/>
                <w:kern w:val="2"/>
                <w:sz w:val="21"/>
                <w:szCs w:val="24"/>
                <w:lang w:val="en-US" w:eastAsia="zh-CN" w:bidi="ar-SA"/>
              </w:rPr>
              <w:t>8. 与《废塑料加工利用污染防治管理规定》（</w:t>
            </w:r>
            <w:r>
              <w:rPr>
                <w:rFonts w:hint="eastAsia" w:ascii="Times New Roman" w:hAnsi="Times New Roman" w:eastAsia="宋体" w:cs="Times New Roman"/>
                <w:b/>
                <w:bCs/>
                <w:color w:val="auto"/>
                <w:kern w:val="2"/>
                <w:sz w:val="21"/>
                <w:szCs w:val="24"/>
                <w:lang w:val="en-US" w:eastAsia="zh-CN" w:bidi="ar-SA"/>
              </w:rPr>
              <w:t>生态环境部</w:t>
            </w:r>
            <w:r>
              <w:rPr>
                <w:rFonts w:hint="default" w:ascii="Times New Roman" w:hAnsi="Times New Roman" w:eastAsia="宋体" w:cs="Times New Roman"/>
                <w:b/>
                <w:bCs/>
                <w:color w:val="auto"/>
                <w:kern w:val="2"/>
                <w:sz w:val="21"/>
                <w:szCs w:val="24"/>
                <w:lang w:val="en-US" w:eastAsia="zh-CN" w:bidi="ar-SA"/>
              </w:rPr>
              <w:t>、发改委、商务部公告2012年第55号）相符性分析</w:t>
            </w:r>
          </w:p>
          <w:p w14:paraId="616F973C">
            <w:pPr>
              <w:pStyle w:val="134"/>
              <w:keepNext w:val="0"/>
              <w:keepLines w:val="0"/>
              <w:pageBreakBefore w:val="0"/>
              <w:widowControl w:val="0"/>
              <w:kinsoku/>
              <w:wordWrap/>
              <w:overflowPunct/>
              <w:topLinePunct w:val="0"/>
              <w:autoSpaceDE/>
              <w:autoSpaceDN/>
              <w:bidi w:val="0"/>
              <w:adjustRightInd/>
              <w:snapToGrid/>
              <w:spacing w:line="360" w:lineRule="auto"/>
              <w:ind w:left="0" w:firstLine="400" w:firstLineChars="200"/>
              <w:textAlignment w:val="auto"/>
              <w:rPr>
                <w:rFonts w:hint="default" w:ascii="Times New Roman" w:hAnsi="Times New Roman" w:eastAsia="宋体" w:cs="Times New Roman"/>
                <w:spacing w:val="-5"/>
                <w:kern w:val="2"/>
                <w:sz w:val="21"/>
                <w:szCs w:val="24"/>
                <w:lang w:val="en-US" w:eastAsia="zh-CN" w:bidi="ar-SA"/>
              </w:rPr>
            </w:pPr>
            <w:r>
              <w:rPr>
                <w:rFonts w:hint="default" w:ascii="Times New Roman" w:hAnsi="Times New Roman" w:eastAsia="宋体" w:cs="Times New Roman"/>
                <w:spacing w:val="-5"/>
                <w:kern w:val="2"/>
                <w:sz w:val="21"/>
                <w:szCs w:val="24"/>
                <w:lang w:val="en-US" w:eastAsia="zh-CN" w:bidi="ar-SA"/>
              </w:rPr>
              <w:t>本项目与《废塑料加工利用污染防治管理规定》（</w:t>
            </w:r>
            <w:r>
              <w:rPr>
                <w:rFonts w:hint="eastAsia" w:ascii="Times New Roman" w:hAnsi="Times New Roman" w:eastAsia="宋体" w:cs="Times New Roman"/>
                <w:spacing w:val="-5"/>
                <w:kern w:val="2"/>
                <w:sz w:val="21"/>
                <w:szCs w:val="24"/>
                <w:lang w:val="en-US" w:eastAsia="zh-CN" w:bidi="ar-SA"/>
              </w:rPr>
              <w:t>生态环境部</w:t>
            </w:r>
            <w:r>
              <w:rPr>
                <w:rFonts w:hint="default" w:ascii="Times New Roman" w:hAnsi="Times New Roman" w:eastAsia="宋体" w:cs="Times New Roman"/>
                <w:spacing w:val="-5"/>
                <w:kern w:val="2"/>
                <w:sz w:val="21"/>
                <w:szCs w:val="24"/>
                <w:lang w:val="en-US" w:eastAsia="zh-CN" w:bidi="ar-SA"/>
              </w:rPr>
              <w:t>、发改委、商务部公告2012年第55号）的符合性见表1-7。</w:t>
            </w:r>
          </w:p>
          <w:p w14:paraId="4EEB0852">
            <w:pPr>
              <w:pStyle w:val="134"/>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宋体" w:cs="Times New Roman"/>
                <w:spacing w:val="-5"/>
                <w:kern w:val="2"/>
                <w:sz w:val="21"/>
                <w:szCs w:val="24"/>
                <w:lang w:val="en-US" w:eastAsia="zh-CN" w:bidi="ar-SA"/>
              </w:rPr>
            </w:pPr>
            <w:r>
              <w:rPr>
                <w:rFonts w:hint="default" w:ascii="Times New Roman" w:hAnsi="Times New Roman" w:eastAsia="黑体" w:cs="Times New Roman"/>
                <w:color w:val="000000" w:themeColor="text1"/>
                <w:kern w:val="2"/>
                <w:sz w:val="24"/>
                <w:szCs w:val="24"/>
                <w:u w:val="none"/>
                <w:lang w:val="en-US" w:eastAsia="zh-CN" w:bidi="ar-SA"/>
                <w14:textFill>
                  <w14:solidFill>
                    <w14:schemeClr w14:val="tx1"/>
                  </w14:solidFill>
                </w14:textFill>
              </w:rPr>
              <w:t>表1-7   与《废塑料加工利用污染防治管理规定》符合性分析</w:t>
            </w:r>
          </w:p>
          <w:tbl>
            <w:tblPr>
              <w:tblStyle w:val="135"/>
              <w:tblW w:w="8059" w:type="dxa"/>
              <w:tblInd w:w="12"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57" w:type="dxa"/>
                <w:bottom w:w="0" w:type="dxa"/>
                <w:right w:w="57" w:type="dxa"/>
              </w:tblCellMar>
            </w:tblPr>
            <w:tblGrid>
              <w:gridCol w:w="658"/>
              <w:gridCol w:w="2372"/>
              <w:gridCol w:w="4039"/>
              <w:gridCol w:w="990"/>
            </w:tblGrid>
            <w:tr w14:paraId="50212A2D">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408" w:type="pct"/>
                  <w:tcBorders>
                    <w:tl2br w:val="nil"/>
                    <w:tr2bl w:val="nil"/>
                  </w:tcBorders>
                  <w:vAlign w:val="center"/>
                </w:tcPr>
                <w:p w14:paraId="24B2A284">
                  <w:pPr>
                    <w:pStyle w:val="134"/>
                    <w:keepNext w:val="0"/>
                    <w:keepLines w:val="0"/>
                    <w:pageBreakBefore w:val="0"/>
                    <w:widowControl w:val="0"/>
                    <w:kinsoku/>
                    <w:wordWrap/>
                    <w:overflowPunct/>
                    <w:topLinePunct w:val="0"/>
                    <w:autoSpaceDE/>
                    <w:autoSpaceDN/>
                    <w:bidi w:val="0"/>
                    <w:adjustRightInd/>
                    <w:snapToGrid/>
                    <w:spacing w:line="340" w:lineRule="exact"/>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8"/>
                      <w:sz w:val="21"/>
                      <w:szCs w:val="21"/>
                    </w:rPr>
                    <w:t>项目</w:t>
                  </w:r>
                </w:p>
              </w:tc>
              <w:tc>
                <w:tcPr>
                  <w:tcW w:w="1471" w:type="pct"/>
                  <w:tcBorders>
                    <w:tl2br w:val="nil"/>
                    <w:tr2bl w:val="nil"/>
                  </w:tcBorders>
                  <w:vAlign w:val="center"/>
                </w:tcPr>
                <w:p w14:paraId="37BD29BA">
                  <w:pPr>
                    <w:pStyle w:val="134"/>
                    <w:keepNext w:val="0"/>
                    <w:keepLines w:val="0"/>
                    <w:pageBreakBefore w:val="0"/>
                    <w:widowControl w:val="0"/>
                    <w:kinsoku/>
                    <w:wordWrap/>
                    <w:overflowPunct/>
                    <w:topLinePunct w:val="0"/>
                    <w:autoSpaceDE/>
                    <w:autoSpaceDN/>
                    <w:bidi w:val="0"/>
                    <w:adjustRightInd/>
                    <w:snapToGrid/>
                    <w:spacing w:line="340" w:lineRule="exact"/>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9"/>
                      <w:sz w:val="21"/>
                      <w:szCs w:val="21"/>
                    </w:rPr>
                    <w:t>相关要求</w:t>
                  </w:r>
                </w:p>
              </w:tc>
              <w:tc>
                <w:tcPr>
                  <w:tcW w:w="2505" w:type="pct"/>
                  <w:tcBorders>
                    <w:tl2br w:val="nil"/>
                    <w:tr2bl w:val="nil"/>
                  </w:tcBorders>
                  <w:vAlign w:val="center"/>
                </w:tcPr>
                <w:p w14:paraId="3032E425">
                  <w:pPr>
                    <w:pStyle w:val="134"/>
                    <w:keepNext w:val="0"/>
                    <w:keepLines w:val="0"/>
                    <w:pageBreakBefore w:val="0"/>
                    <w:widowControl w:val="0"/>
                    <w:kinsoku/>
                    <w:wordWrap/>
                    <w:overflowPunct/>
                    <w:topLinePunct w:val="0"/>
                    <w:autoSpaceDE/>
                    <w:autoSpaceDN/>
                    <w:bidi w:val="0"/>
                    <w:adjustRightInd/>
                    <w:snapToGrid/>
                    <w:spacing w:line="340" w:lineRule="exact"/>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9"/>
                      <w:sz w:val="21"/>
                      <w:szCs w:val="21"/>
                    </w:rPr>
                    <w:t>本项目情况</w:t>
                  </w:r>
                </w:p>
              </w:tc>
              <w:tc>
                <w:tcPr>
                  <w:tcW w:w="614" w:type="pct"/>
                  <w:tcBorders>
                    <w:tl2br w:val="nil"/>
                    <w:tr2bl w:val="nil"/>
                  </w:tcBorders>
                  <w:vAlign w:val="center"/>
                </w:tcPr>
                <w:p w14:paraId="4B97FC4E">
                  <w:pPr>
                    <w:pStyle w:val="134"/>
                    <w:keepNext w:val="0"/>
                    <w:keepLines w:val="0"/>
                    <w:pageBreakBefore w:val="0"/>
                    <w:widowControl w:val="0"/>
                    <w:kinsoku/>
                    <w:wordWrap/>
                    <w:overflowPunct/>
                    <w:topLinePunct w:val="0"/>
                    <w:autoSpaceDE/>
                    <w:autoSpaceDN/>
                    <w:bidi w:val="0"/>
                    <w:adjustRightInd/>
                    <w:snapToGrid/>
                    <w:spacing w:line="340" w:lineRule="exact"/>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24"/>
                      <w:sz w:val="21"/>
                      <w:szCs w:val="21"/>
                    </w:rPr>
                    <w:t>相符性</w:t>
                  </w:r>
                </w:p>
              </w:tc>
            </w:tr>
            <w:tr w14:paraId="263B710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408" w:type="pct"/>
                  <w:tcBorders>
                    <w:tl2br w:val="nil"/>
                    <w:tr2bl w:val="nil"/>
                  </w:tcBorders>
                  <w:vAlign w:val="center"/>
                </w:tcPr>
                <w:p w14:paraId="44E85A81">
                  <w:pPr>
                    <w:keepNext w:val="0"/>
                    <w:keepLines w:val="0"/>
                    <w:pageBreakBefore w:val="0"/>
                    <w:widowControl w:val="0"/>
                    <w:kinsoku/>
                    <w:wordWrap/>
                    <w:overflowPunct/>
                    <w:topLinePunct w:val="0"/>
                    <w:autoSpaceDE/>
                    <w:autoSpaceDN/>
                    <w:bidi w:val="0"/>
                    <w:adjustRightInd/>
                    <w:snapToGrid/>
                    <w:spacing w:line="340" w:lineRule="exact"/>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471" w:type="pct"/>
                  <w:tcBorders>
                    <w:tl2br w:val="nil"/>
                    <w:tr2bl w:val="nil"/>
                  </w:tcBorders>
                  <w:vAlign w:val="center"/>
                </w:tcPr>
                <w:p w14:paraId="6FA94AB5">
                  <w:pPr>
                    <w:pStyle w:val="134"/>
                    <w:keepNext w:val="0"/>
                    <w:keepLines w:val="0"/>
                    <w:pageBreakBefore w:val="0"/>
                    <w:widowControl w:val="0"/>
                    <w:kinsoku/>
                    <w:wordWrap/>
                    <w:overflowPunct/>
                    <w:topLinePunct w:val="0"/>
                    <w:autoSpaceDE/>
                    <w:autoSpaceDN/>
                    <w:bidi w:val="0"/>
                    <w:adjustRightInd/>
                    <w:snapToGrid/>
                    <w:spacing w:line="340" w:lineRule="exact"/>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9"/>
                      <w:sz w:val="21"/>
                      <w:szCs w:val="21"/>
                    </w:rPr>
                    <w:t>禁止在居民区加工利用</w:t>
                  </w:r>
                  <w:r>
                    <w:rPr>
                      <w:rFonts w:hint="default" w:ascii="Times New Roman" w:hAnsi="Times New Roman" w:eastAsia="宋体" w:cs="Times New Roman"/>
                      <w:spacing w:val="6"/>
                      <w:sz w:val="21"/>
                      <w:szCs w:val="21"/>
                    </w:rPr>
                    <w:t>废塑料。</w:t>
                  </w:r>
                </w:p>
              </w:tc>
              <w:tc>
                <w:tcPr>
                  <w:tcW w:w="2505" w:type="pct"/>
                  <w:tcBorders>
                    <w:tl2br w:val="nil"/>
                    <w:tr2bl w:val="nil"/>
                  </w:tcBorders>
                  <w:vAlign w:val="center"/>
                </w:tcPr>
                <w:p w14:paraId="79966745">
                  <w:pPr>
                    <w:pStyle w:val="134"/>
                    <w:keepNext w:val="0"/>
                    <w:keepLines w:val="0"/>
                    <w:pageBreakBefore w:val="0"/>
                    <w:widowControl w:val="0"/>
                    <w:kinsoku/>
                    <w:wordWrap/>
                    <w:overflowPunct/>
                    <w:topLinePunct w:val="0"/>
                    <w:autoSpaceDE/>
                    <w:autoSpaceDN/>
                    <w:bidi w:val="0"/>
                    <w:adjustRightInd/>
                    <w:snapToGrid/>
                    <w:spacing w:line="340" w:lineRule="exact"/>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9"/>
                      <w:sz w:val="21"/>
                      <w:szCs w:val="21"/>
                    </w:rPr>
                    <w:t>本项目位</w:t>
                  </w:r>
                  <w:r>
                    <w:rPr>
                      <w:rFonts w:hint="eastAsia" w:ascii="Times New Roman" w:hAnsi="Times New Roman" w:eastAsia="宋体" w:cs="Times New Roman"/>
                      <w:spacing w:val="9"/>
                      <w:sz w:val="21"/>
                      <w:szCs w:val="21"/>
                      <w:lang w:eastAsia="zh-CN"/>
                    </w:rPr>
                    <w:t>于</w:t>
                  </w:r>
                  <w:r>
                    <w:rPr>
                      <w:rFonts w:hint="default" w:ascii="Times New Roman" w:hAnsi="Times New Roman" w:eastAsia="宋体" w:cs="Times New Roman"/>
                      <w:spacing w:val="9"/>
                      <w:sz w:val="21"/>
                      <w:szCs w:val="21"/>
                      <w:lang w:val="en-US" w:eastAsia="zh-CN"/>
                    </w:rPr>
                    <w:t>闽台（福州）蓝色经济产业园内</w:t>
                  </w:r>
                  <w:r>
                    <w:rPr>
                      <w:rFonts w:hint="default" w:ascii="Times New Roman" w:hAnsi="Times New Roman" w:eastAsia="宋体" w:cs="Times New Roman"/>
                      <w:spacing w:val="6"/>
                      <w:sz w:val="21"/>
                      <w:szCs w:val="21"/>
                    </w:rPr>
                    <w:t>，</w:t>
                  </w:r>
                  <w:r>
                    <w:rPr>
                      <w:rFonts w:hint="default" w:ascii="Times New Roman" w:hAnsi="Times New Roman" w:eastAsia="宋体" w:cs="Times New Roman"/>
                      <w:spacing w:val="8"/>
                      <w:sz w:val="21"/>
                      <w:szCs w:val="21"/>
                    </w:rPr>
                    <w:t>不在居民区内。</w:t>
                  </w:r>
                </w:p>
              </w:tc>
              <w:tc>
                <w:tcPr>
                  <w:tcW w:w="614" w:type="pct"/>
                  <w:tcBorders>
                    <w:tl2br w:val="nil"/>
                    <w:tr2bl w:val="nil"/>
                  </w:tcBorders>
                  <w:vAlign w:val="center"/>
                </w:tcPr>
                <w:p w14:paraId="6E331555">
                  <w:pPr>
                    <w:pStyle w:val="134"/>
                    <w:keepNext w:val="0"/>
                    <w:keepLines w:val="0"/>
                    <w:pageBreakBefore w:val="0"/>
                    <w:widowControl w:val="0"/>
                    <w:kinsoku/>
                    <w:wordWrap/>
                    <w:overflowPunct/>
                    <w:topLinePunct w:val="0"/>
                    <w:autoSpaceDE/>
                    <w:autoSpaceDN/>
                    <w:bidi w:val="0"/>
                    <w:adjustRightInd/>
                    <w:snapToGrid/>
                    <w:spacing w:line="340" w:lineRule="exact"/>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5"/>
                      <w:sz w:val="21"/>
                      <w:szCs w:val="21"/>
                    </w:rPr>
                    <w:t>符合</w:t>
                  </w:r>
                </w:p>
              </w:tc>
            </w:tr>
            <w:tr w14:paraId="51D7B25D">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408" w:type="pct"/>
                  <w:tcBorders>
                    <w:tl2br w:val="nil"/>
                    <w:tr2bl w:val="nil"/>
                  </w:tcBorders>
                  <w:vAlign w:val="center"/>
                </w:tcPr>
                <w:p w14:paraId="6050E2B0">
                  <w:pPr>
                    <w:keepNext w:val="0"/>
                    <w:keepLines w:val="0"/>
                    <w:pageBreakBefore w:val="0"/>
                    <w:widowControl w:val="0"/>
                    <w:kinsoku/>
                    <w:wordWrap/>
                    <w:overflowPunct/>
                    <w:topLinePunct w:val="0"/>
                    <w:autoSpaceDE/>
                    <w:autoSpaceDN/>
                    <w:bidi w:val="0"/>
                    <w:adjustRightInd/>
                    <w:snapToGrid/>
                    <w:spacing w:line="340" w:lineRule="exact"/>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2</w:t>
                  </w:r>
                </w:p>
              </w:tc>
              <w:tc>
                <w:tcPr>
                  <w:tcW w:w="1471" w:type="pct"/>
                  <w:tcBorders>
                    <w:tl2br w:val="nil"/>
                    <w:tr2bl w:val="nil"/>
                  </w:tcBorders>
                  <w:vAlign w:val="center"/>
                </w:tcPr>
                <w:p w14:paraId="71E53564">
                  <w:pPr>
                    <w:pStyle w:val="134"/>
                    <w:keepNext w:val="0"/>
                    <w:keepLines w:val="0"/>
                    <w:pageBreakBefore w:val="0"/>
                    <w:widowControl w:val="0"/>
                    <w:kinsoku/>
                    <w:wordWrap/>
                    <w:overflowPunct/>
                    <w:topLinePunct w:val="0"/>
                    <w:autoSpaceDE/>
                    <w:autoSpaceDN/>
                    <w:bidi w:val="0"/>
                    <w:adjustRightInd/>
                    <w:snapToGrid/>
                    <w:spacing w:line="340" w:lineRule="exact"/>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9"/>
                      <w:sz w:val="21"/>
                      <w:szCs w:val="21"/>
                    </w:rPr>
                    <w:t>禁止利用废塑料生产厚</w:t>
                  </w:r>
                  <w:r>
                    <w:rPr>
                      <w:rFonts w:hint="default" w:ascii="Times New Roman" w:hAnsi="Times New Roman" w:eastAsia="宋体" w:cs="Times New Roman"/>
                      <w:spacing w:val="15"/>
                      <w:sz w:val="21"/>
                      <w:szCs w:val="21"/>
                    </w:rPr>
                    <w:t>度小于0.025</w:t>
                  </w:r>
                  <w:r>
                    <w:rPr>
                      <w:rFonts w:hint="default" w:ascii="Times New Roman" w:hAnsi="Times New Roman" w:eastAsia="宋体" w:cs="Times New Roman"/>
                      <w:sz w:val="21"/>
                      <w:szCs w:val="21"/>
                    </w:rPr>
                    <w:t>mm</w:t>
                  </w:r>
                  <w:r>
                    <w:rPr>
                      <w:rFonts w:hint="default" w:ascii="Times New Roman" w:hAnsi="Times New Roman" w:eastAsia="宋体" w:cs="Times New Roman"/>
                      <w:spacing w:val="15"/>
                      <w:sz w:val="21"/>
                      <w:szCs w:val="21"/>
                    </w:rPr>
                    <w:t>的超</w:t>
                  </w:r>
                  <w:r>
                    <w:rPr>
                      <w:rFonts w:hint="default" w:ascii="Times New Roman" w:hAnsi="Times New Roman" w:eastAsia="宋体" w:cs="Times New Roman"/>
                      <w:spacing w:val="8"/>
                      <w:sz w:val="21"/>
                      <w:szCs w:val="21"/>
                    </w:rPr>
                    <w:t>薄塑料购物袋和厚度小</w:t>
                  </w:r>
                  <w:r>
                    <w:rPr>
                      <w:rFonts w:hint="default" w:ascii="Times New Roman" w:hAnsi="Times New Roman" w:eastAsia="宋体" w:cs="Times New Roman"/>
                      <w:spacing w:val="20"/>
                      <w:sz w:val="21"/>
                      <w:szCs w:val="21"/>
                    </w:rPr>
                    <w:t>于0.015</w:t>
                  </w:r>
                  <w:r>
                    <w:rPr>
                      <w:rFonts w:hint="default" w:ascii="Times New Roman" w:hAnsi="Times New Roman" w:eastAsia="宋体" w:cs="Times New Roman"/>
                      <w:sz w:val="21"/>
                      <w:szCs w:val="21"/>
                    </w:rPr>
                    <w:t>mm</w:t>
                  </w:r>
                  <w:r>
                    <w:rPr>
                      <w:rFonts w:hint="default" w:ascii="Times New Roman" w:hAnsi="Times New Roman" w:eastAsia="宋体" w:cs="Times New Roman"/>
                      <w:spacing w:val="20"/>
                      <w:sz w:val="21"/>
                      <w:szCs w:val="21"/>
                    </w:rPr>
                    <w:t>超薄塑</w:t>
                  </w:r>
                  <w:r>
                    <w:rPr>
                      <w:rFonts w:hint="default" w:ascii="Times New Roman" w:hAnsi="Times New Roman" w:eastAsia="宋体" w:cs="Times New Roman"/>
                      <w:spacing w:val="4"/>
                      <w:sz w:val="21"/>
                      <w:szCs w:val="21"/>
                    </w:rPr>
                    <w:t>料袋。</w:t>
                  </w:r>
                </w:p>
              </w:tc>
              <w:tc>
                <w:tcPr>
                  <w:tcW w:w="2505" w:type="pct"/>
                  <w:tcBorders>
                    <w:tl2br w:val="nil"/>
                    <w:tr2bl w:val="nil"/>
                  </w:tcBorders>
                  <w:vAlign w:val="center"/>
                </w:tcPr>
                <w:p w14:paraId="4340098E">
                  <w:pPr>
                    <w:pStyle w:val="134"/>
                    <w:keepNext w:val="0"/>
                    <w:keepLines w:val="0"/>
                    <w:pageBreakBefore w:val="0"/>
                    <w:widowControl w:val="0"/>
                    <w:kinsoku/>
                    <w:wordWrap/>
                    <w:overflowPunct/>
                    <w:topLinePunct w:val="0"/>
                    <w:autoSpaceDE/>
                    <w:autoSpaceDN/>
                    <w:bidi w:val="0"/>
                    <w:adjustRightInd/>
                    <w:snapToGrid/>
                    <w:spacing w:line="340" w:lineRule="exact"/>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9"/>
                      <w:sz w:val="21"/>
                      <w:szCs w:val="21"/>
                    </w:rPr>
                    <w:t>本项目利用来源于回收各级医院未被污染的医用</w:t>
                  </w:r>
                  <w:r>
                    <w:rPr>
                      <w:rFonts w:hint="default" w:ascii="Times New Roman" w:hAnsi="Times New Roman" w:eastAsia="宋体" w:cs="Times New Roman"/>
                      <w:spacing w:val="6"/>
                      <w:sz w:val="21"/>
                      <w:szCs w:val="21"/>
                    </w:rPr>
                    <w:t>输液瓶（袋）</w:t>
                  </w:r>
                  <w:r>
                    <w:rPr>
                      <w:rFonts w:hint="default" w:ascii="Times New Roman" w:hAnsi="Times New Roman" w:eastAsia="宋体" w:cs="Times New Roman"/>
                      <w:spacing w:val="6"/>
                      <w:sz w:val="21"/>
                      <w:szCs w:val="21"/>
                      <w:lang w:val="en-US" w:eastAsia="zh-CN"/>
                    </w:rPr>
                    <w:t>及生活源塑料</w:t>
                  </w:r>
                  <w:r>
                    <w:rPr>
                      <w:rFonts w:hint="default" w:ascii="Times New Roman" w:hAnsi="Times New Roman" w:eastAsia="宋体" w:cs="Times New Roman"/>
                      <w:spacing w:val="6"/>
                      <w:sz w:val="21"/>
                      <w:szCs w:val="21"/>
                    </w:rPr>
                    <w:t>作为原料，不利用</w:t>
                  </w:r>
                  <w:r>
                    <w:rPr>
                      <w:rFonts w:hint="default" w:ascii="Times New Roman" w:hAnsi="Times New Roman" w:eastAsia="宋体" w:cs="Times New Roman"/>
                      <w:spacing w:val="7"/>
                      <w:sz w:val="21"/>
                      <w:szCs w:val="21"/>
                    </w:rPr>
                    <w:t>薄塑料购物袋。</w:t>
                  </w:r>
                </w:p>
              </w:tc>
              <w:tc>
                <w:tcPr>
                  <w:tcW w:w="614" w:type="pct"/>
                  <w:tcBorders>
                    <w:tl2br w:val="nil"/>
                    <w:tr2bl w:val="nil"/>
                  </w:tcBorders>
                  <w:vAlign w:val="center"/>
                </w:tcPr>
                <w:p w14:paraId="035EB696">
                  <w:pPr>
                    <w:pStyle w:val="134"/>
                    <w:keepNext w:val="0"/>
                    <w:keepLines w:val="0"/>
                    <w:pageBreakBefore w:val="0"/>
                    <w:widowControl w:val="0"/>
                    <w:kinsoku/>
                    <w:wordWrap/>
                    <w:overflowPunct/>
                    <w:topLinePunct w:val="0"/>
                    <w:autoSpaceDE/>
                    <w:autoSpaceDN/>
                    <w:bidi w:val="0"/>
                    <w:adjustRightInd/>
                    <w:snapToGrid/>
                    <w:spacing w:line="340" w:lineRule="exact"/>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6"/>
                      <w:sz w:val="21"/>
                      <w:szCs w:val="21"/>
                    </w:rPr>
                    <w:t>符合</w:t>
                  </w:r>
                </w:p>
              </w:tc>
            </w:tr>
            <w:tr w14:paraId="0FCD786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408" w:type="pct"/>
                  <w:tcBorders>
                    <w:tl2br w:val="nil"/>
                    <w:tr2bl w:val="nil"/>
                  </w:tcBorders>
                  <w:vAlign w:val="center"/>
                </w:tcPr>
                <w:p w14:paraId="4E4F558C">
                  <w:pPr>
                    <w:keepNext w:val="0"/>
                    <w:keepLines w:val="0"/>
                    <w:pageBreakBefore w:val="0"/>
                    <w:widowControl w:val="0"/>
                    <w:kinsoku/>
                    <w:wordWrap/>
                    <w:overflowPunct/>
                    <w:topLinePunct w:val="0"/>
                    <w:autoSpaceDE/>
                    <w:autoSpaceDN/>
                    <w:bidi w:val="0"/>
                    <w:adjustRightInd/>
                    <w:snapToGrid/>
                    <w:spacing w:line="340" w:lineRule="exact"/>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3</w:t>
                  </w:r>
                </w:p>
              </w:tc>
              <w:tc>
                <w:tcPr>
                  <w:tcW w:w="1471" w:type="pct"/>
                  <w:tcBorders>
                    <w:tl2br w:val="nil"/>
                    <w:tr2bl w:val="nil"/>
                  </w:tcBorders>
                  <w:vAlign w:val="center"/>
                </w:tcPr>
                <w:p w14:paraId="6FBF21D3">
                  <w:pPr>
                    <w:pStyle w:val="134"/>
                    <w:keepNext w:val="0"/>
                    <w:keepLines w:val="0"/>
                    <w:pageBreakBefore w:val="0"/>
                    <w:widowControl w:val="0"/>
                    <w:kinsoku/>
                    <w:wordWrap/>
                    <w:overflowPunct/>
                    <w:topLinePunct w:val="0"/>
                    <w:autoSpaceDE/>
                    <w:autoSpaceDN/>
                    <w:bidi w:val="0"/>
                    <w:adjustRightInd/>
                    <w:snapToGrid/>
                    <w:spacing w:line="340" w:lineRule="exact"/>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9"/>
                      <w:sz w:val="21"/>
                      <w:szCs w:val="21"/>
                    </w:rPr>
                    <w:t>禁止无危险废物经营许</w:t>
                  </w:r>
                  <w:r>
                    <w:rPr>
                      <w:rFonts w:hint="default" w:ascii="Times New Roman" w:hAnsi="Times New Roman" w:eastAsia="宋体" w:cs="Times New Roman"/>
                      <w:spacing w:val="7"/>
                      <w:sz w:val="21"/>
                      <w:szCs w:val="21"/>
                    </w:rPr>
                    <w:t>可证从事废塑料类危险废物的回收利用活动，</w:t>
                  </w:r>
                  <w:r>
                    <w:rPr>
                      <w:rFonts w:hint="default" w:ascii="Times New Roman" w:hAnsi="Times New Roman" w:eastAsia="宋体" w:cs="Times New Roman"/>
                      <w:spacing w:val="4"/>
                      <w:sz w:val="21"/>
                      <w:szCs w:val="21"/>
                    </w:rPr>
                    <w:t>包括被危险化学品、农药</w:t>
                  </w:r>
                  <w:r>
                    <w:rPr>
                      <w:rFonts w:hint="default" w:ascii="Times New Roman" w:hAnsi="Times New Roman" w:eastAsia="宋体" w:cs="Times New Roman"/>
                      <w:spacing w:val="9"/>
                      <w:sz w:val="21"/>
                      <w:szCs w:val="21"/>
                    </w:rPr>
                    <w:t>等污染的废弃塑料包装</w:t>
                  </w:r>
                  <w:r>
                    <w:rPr>
                      <w:rFonts w:hint="default" w:ascii="Times New Roman" w:hAnsi="Times New Roman" w:eastAsia="宋体" w:cs="Times New Roman"/>
                      <w:spacing w:val="4"/>
                      <w:sz w:val="21"/>
                      <w:szCs w:val="21"/>
                    </w:rPr>
                    <w:t>物，废弃的一次性医疗用塑料制品（如输液器、血</w:t>
                  </w:r>
                  <w:r>
                    <w:rPr>
                      <w:rFonts w:hint="default" w:ascii="Times New Roman" w:hAnsi="Times New Roman" w:eastAsia="宋体" w:cs="Times New Roman"/>
                      <w:spacing w:val="6"/>
                      <w:sz w:val="21"/>
                      <w:szCs w:val="21"/>
                    </w:rPr>
                    <w:t>袋）等。</w:t>
                  </w:r>
                </w:p>
              </w:tc>
              <w:tc>
                <w:tcPr>
                  <w:tcW w:w="2505" w:type="pct"/>
                  <w:tcBorders>
                    <w:tl2br w:val="nil"/>
                    <w:tr2bl w:val="nil"/>
                  </w:tcBorders>
                  <w:vAlign w:val="center"/>
                </w:tcPr>
                <w:p w14:paraId="32D93DD8">
                  <w:pPr>
                    <w:pStyle w:val="134"/>
                    <w:keepNext w:val="0"/>
                    <w:keepLines w:val="0"/>
                    <w:pageBreakBefore w:val="0"/>
                    <w:widowControl w:val="0"/>
                    <w:kinsoku/>
                    <w:wordWrap/>
                    <w:overflowPunct/>
                    <w:topLinePunct w:val="0"/>
                    <w:autoSpaceDE/>
                    <w:autoSpaceDN/>
                    <w:bidi w:val="0"/>
                    <w:adjustRightInd/>
                    <w:snapToGrid/>
                    <w:spacing w:line="340" w:lineRule="exact"/>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1"/>
                      <w:sz w:val="21"/>
                      <w:szCs w:val="21"/>
                    </w:rPr>
                    <w:t>根据国卫办医发〔2017〕30号</w:t>
                  </w:r>
                  <w:r>
                    <w:rPr>
                      <w:rFonts w:hint="default" w:ascii="Times New Roman" w:hAnsi="Times New Roman" w:eastAsia="宋体" w:cs="Times New Roman"/>
                      <w:spacing w:val="2"/>
                      <w:sz w:val="21"/>
                      <w:szCs w:val="21"/>
                    </w:rPr>
                    <w:t>和国卫医函〔2021〕238号可知，</w:t>
                  </w:r>
                  <w:r>
                    <w:rPr>
                      <w:rFonts w:hint="default" w:ascii="Times New Roman" w:hAnsi="Times New Roman" w:eastAsia="宋体" w:cs="Times New Roman"/>
                      <w:spacing w:val="9"/>
                      <w:sz w:val="21"/>
                      <w:szCs w:val="21"/>
                    </w:rPr>
                    <w:t>本项目分类回收各级医</w:t>
                  </w:r>
                  <w:r>
                    <w:rPr>
                      <w:rFonts w:hint="default" w:ascii="Times New Roman" w:hAnsi="Times New Roman" w:eastAsia="宋体" w:cs="Times New Roman"/>
                      <w:spacing w:val="6"/>
                      <w:sz w:val="21"/>
                      <w:szCs w:val="21"/>
                    </w:rPr>
                    <w:t>院未被污染的医用</w:t>
                  </w:r>
                  <w:r>
                    <w:rPr>
                      <w:rFonts w:hint="default" w:ascii="Times New Roman" w:hAnsi="Times New Roman" w:eastAsia="宋体" w:cs="Times New Roman"/>
                      <w:spacing w:val="9"/>
                      <w:sz w:val="21"/>
                      <w:szCs w:val="21"/>
                    </w:rPr>
                    <w:t>输液瓶（袋</w:t>
                  </w:r>
                  <w:r>
                    <w:rPr>
                      <w:rFonts w:hint="default" w:ascii="Times New Roman" w:hAnsi="Times New Roman" w:eastAsia="宋体" w:cs="Times New Roman"/>
                      <w:spacing w:val="-12"/>
                      <w:sz w:val="21"/>
                      <w:szCs w:val="21"/>
                    </w:rPr>
                    <w:t>），</w:t>
                  </w:r>
                  <w:r>
                    <w:rPr>
                      <w:rFonts w:hint="default" w:ascii="Times New Roman" w:hAnsi="Times New Roman" w:eastAsia="宋体" w:cs="Times New Roman"/>
                      <w:spacing w:val="9"/>
                      <w:sz w:val="21"/>
                      <w:szCs w:val="21"/>
                    </w:rPr>
                    <w:t>属于可回收利用</w:t>
                  </w:r>
                  <w:r>
                    <w:rPr>
                      <w:rFonts w:hint="default" w:ascii="Times New Roman" w:hAnsi="Times New Roman" w:eastAsia="宋体" w:cs="Times New Roman"/>
                      <w:spacing w:val="5"/>
                      <w:sz w:val="21"/>
                      <w:szCs w:val="21"/>
                    </w:rPr>
                    <w:t>废物，可作为原料进行清洗、破碎，不属于医疗废物和危</w:t>
                  </w:r>
                  <w:r>
                    <w:rPr>
                      <w:rFonts w:hint="default" w:ascii="Times New Roman" w:hAnsi="Times New Roman" w:eastAsia="宋体" w:cs="Times New Roman"/>
                      <w:spacing w:val="6"/>
                      <w:sz w:val="21"/>
                      <w:szCs w:val="21"/>
                    </w:rPr>
                    <w:t>险废物的废塑料。</w:t>
                  </w:r>
                </w:p>
              </w:tc>
              <w:tc>
                <w:tcPr>
                  <w:tcW w:w="614" w:type="pct"/>
                  <w:tcBorders>
                    <w:tl2br w:val="nil"/>
                    <w:tr2bl w:val="nil"/>
                  </w:tcBorders>
                  <w:vAlign w:val="center"/>
                </w:tcPr>
                <w:p w14:paraId="1398C837">
                  <w:pPr>
                    <w:pStyle w:val="134"/>
                    <w:keepNext w:val="0"/>
                    <w:keepLines w:val="0"/>
                    <w:pageBreakBefore w:val="0"/>
                    <w:widowControl w:val="0"/>
                    <w:kinsoku/>
                    <w:wordWrap/>
                    <w:overflowPunct/>
                    <w:topLinePunct w:val="0"/>
                    <w:autoSpaceDE/>
                    <w:autoSpaceDN/>
                    <w:bidi w:val="0"/>
                    <w:adjustRightInd/>
                    <w:snapToGrid/>
                    <w:spacing w:line="340" w:lineRule="exact"/>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6"/>
                      <w:sz w:val="21"/>
                      <w:szCs w:val="21"/>
                    </w:rPr>
                    <w:t>符合</w:t>
                  </w:r>
                </w:p>
              </w:tc>
            </w:tr>
            <w:tr w14:paraId="6C7A958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57" w:type="dxa"/>
                  <w:bottom w:w="0" w:type="dxa"/>
                  <w:right w:w="57" w:type="dxa"/>
                </w:tblCellMar>
              </w:tblPrEx>
              <w:trPr>
                <w:trHeight w:val="397" w:hRule="atLeast"/>
              </w:trPr>
              <w:tc>
                <w:tcPr>
                  <w:tcW w:w="408" w:type="pct"/>
                  <w:tcBorders>
                    <w:tl2br w:val="nil"/>
                    <w:tr2bl w:val="nil"/>
                  </w:tcBorders>
                  <w:vAlign w:val="center"/>
                </w:tcPr>
                <w:p w14:paraId="37F2FAEE">
                  <w:pPr>
                    <w:keepNext w:val="0"/>
                    <w:keepLines w:val="0"/>
                    <w:pageBreakBefore w:val="0"/>
                    <w:widowControl w:val="0"/>
                    <w:kinsoku/>
                    <w:wordWrap/>
                    <w:overflowPunct/>
                    <w:topLinePunct w:val="0"/>
                    <w:autoSpaceDE/>
                    <w:autoSpaceDN/>
                    <w:bidi w:val="0"/>
                    <w:adjustRightInd/>
                    <w:snapToGrid/>
                    <w:spacing w:line="34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1"/>
                      <w:sz w:val="21"/>
                      <w:szCs w:val="21"/>
                    </w:rPr>
                    <w:t>4</w:t>
                  </w:r>
                </w:p>
              </w:tc>
              <w:tc>
                <w:tcPr>
                  <w:tcW w:w="1471" w:type="pct"/>
                  <w:tcBorders>
                    <w:tl2br w:val="nil"/>
                    <w:tr2bl w:val="nil"/>
                  </w:tcBorders>
                  <w:vAlign w:val="center"/>
                </w:tcPr>
                <w:p w14:paraId="15E2CCB5">
                  <w:pPr>
                    <w:pStyle w:val="134"/>
                    <w:keepNext w:val="0"/>
                    <w:keepLines w:val="0"/>
                    <w:pageBreakBefore w:val="0"/>
                    <w:widowControl w:val="0"/>
                    <w:kinsoku/>
                    <w:wordWrap/>
                    <w:overflowPunct/>
                    <w:topLinePunct w:val="0"/>
                    <w:autoSpaceDE/>
                    <w:autoSpaceDN/>
                    <w:bidi w:val="0"/>
                    <w:adjustRightInd/>
                    <w:snapToGrid/>
                    <w:spacing w:line="34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无符合环保要求污水治</w:t>
                  </w:r>
                  <w:r>
                    <w:rPr>
                      <w:rFonts w:hint="default" w:ascii="Times New Roman" w:hAnsi="Times New Roman" w:eastAsia="宋体" w:cs="Times New Roman"/>
                      <w:color w:val="auto"/>
                      <w:spacing w:val="4"/>
                      <w:sz w:val="21"/>
                      <w:szCs w:val="21"/>
                    </w:rPr>
                    <w:t>理设施的，禁止从事废编</w:t>
                  </w:r>
                  <w:r>
                    <w:rPr>
                      <w:rFonts w:hint="default" w:ascii="Times New Roman" w:hAnsi="Times New Roman" w:eastAsia="宋体" w:cs="Times New Roman"/>
                      <w:color w:val="auto"/>
                      <w:spacing w:val="6"/>
                      <w:sz w:val="21"/>
                      <w:szCs w:val="21"/>
                    </w:rPr>
                    <w:t>织袋造粒、缸脚料淘洗、</w:t>
                  </w:r>
                  <w:r>
                    <w:rPr>
                      <w:rFonts w:hint="default" w:ascii="Times New Roman" w:hAnsi="Times New Roman" w:eastAsia="宋体" w:cs="Times New Roman"/>
                      <w:color w:val="auto"/>
                      <w:spacing w:val="4"/>
                      <w:sz w:val="21"/>
                      <w:szCs w:val="21"/>
                    </w:rPr>
                    <w:t>废塑料退镀（涂）、盐卤</w:t>
                  </w:r>
                  <w:r>
                    <w:rPr>
                      <w:rFonts w:hint="default" w:ascii="Times New Roman" w:hAnsi="Times New Roman" w:eastAsia="宋体" w:cs="Times New Roman"/>
                      <w:color w:val="auto"/>
                      <w:spacing w:val="8"/>
                      <w:sz w:val="21"/>
                      <w:szCs w:val="21"/>
                    </w:rPr>
                    <w:t>分拣等加工活动。</w:t>
                  </w:r>
                </w:p>
              </w:tc>
              <w:tc>
                <w:tcPr>
                  <w:tcW w:w="2505" w:type="pct"/>
                  <w:tcBorders>
                    <w:tl2br w:val="nil"/>
                    <w:tr2bl w:val="nil"/>
                  </w:tcBorders>
                  <w:vAlign w:val="center"/>
                </w:tcPr>
                <w:p w14:paraId="114ADB61">
                  <w:pPr>
                    <w:pStyle w:val="134"/>
                    <w:keepNext w:val="0"/>
                    <w:keepLines w:val="0"/>
                    <w:pageBreakBefore w:val="0"/>
                    <w:widowControl w:val="0"/>
                    <w:kinsoku/>
                    <w:wordWrap/>
                    <w:overflowPunct/>
                    <w:topLinePunct w:val="0"/>
                    <w:autoSpaceDE/>
                    <w:autoSpaceDN/>
                    <w:bidi w:val="0"/>
                    <w:adjustRightInd/>
                    <w:snapToGrid/>
                    <w:spacing w:line="34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本项目按照环保要求进行污水治</w:t>
                  </w:r>
                  <w:r>
                    <w:rPr>
                      <w:rFonts w:hint="default" w:ascii="Times New Roman" w:hAnsi="Times New Roman" w:eastAsia="宋体" w:cs="Times New Roman"/>
                      <w:color w:val="auto"/>
                      <w:spacing w:val="6"/>
                      <w:sz w:val="21"/>
                      <w:szCs w:val="21"/>
                    </w:rPr>
                    <w:t>理设施的建设，生产废水收集后经自建污水处理设施处理，处理</w:t>
                  </w:r>
                  <w:r>
                    <w:rPr>
                      <w:rFonts w:hint="default" w:ascii="Times New Roman" w:hAnsi="Times New Roman" w:eastAsia="宋体" w:cs="Times New Roman"/>
                      <w:color w:val="auto"/>
                      <w:spacing w:val="15"/>
                      <w:sz w:val="21"/>
                      <w:szCs w:val="21"/>
                    </w:rPr>
                    <w:t>后约60%的废水回用于生产，剩</w:t>
                  </w:r>
                  <w:r>
                    <w:rPr>
                      <w:rFonts w:hint="default" w:ascii="Times New Roman" w:hAnsi="Times New Roman" w:eastAsia="宋体" w:cs="Times New Roman"/>
                      <w:color w:val="auto"/>
                      <w:spacing w:val="10"/>
                      <w:sz w:val="21"/>
                      <w:szCs w:val="21"/>
                    </w:rPr>
                    <w:t>余40%通过园区管网排入</w:t>
                  </w:r>
                  <w:r>
                    <w:rPr>
                      <w:rFonts w:hint="default" w:ascii="Times New Roman" w:hAnsi="Times New Roman" w:eastAsia="宋体" w:cs="Times New Roman"/>
                      <w:color w:val="auto"/>
                      <w:spacing w:val="10"/>
                      <w:sz w:val="21"/>
                      <w:szCs w:val="21"/>
                      <w:lang w:eastAsia="zh-CN"/>
                    </w:rPr>
                    <w:t>江镜华侨农场污水处理厂</w:t>
                  </w:r>
                  <w:r>
                    <w:rPr>
                      <w:rFonts w:hint="default" w:ascii="Times New Roman" w:hAnsi="Times New Roman" w:eastAsia="宋体" w:cs="Times New Roman"/>
                      <w:color w:val="auto"/>
                      <w:spacing w:val="9"/>
                      <w:sz w:val="21"/>
                      <w:szCs w:val="21"/>
                    </w:rPr>
                    <w:t>处</w:t>
                  </w:r>
                  <w:r>
                    <w:rPr>
                      <w:rFonts w:hint="default" w:ascii="Times New Roman" w:hAnsi="Times New Roman" w:eastAsia="宋体" w:cs="Times New Roman"/>
                      <w:color w:val="auto"/>
                      <w:spacing w:val="6"/>
                      <w:sz w:val="21"/>
                      <w:szCs w:val="21"/>
                    </w:rPr>
                    <w:t>理</w:t>
                  </w:r>
                  <w:r>
                    <w:rPr>
                      <w:rFonts w:hint="default" w:ascii="Times New Roman" w:hAnsi="Times New Roman" w:eastAsia="宋体" w:cs="Times New Roman"/>
                      <w:color w:val="auto"/>
                      <w:spacing w:val="7"/>
                      <w:sz w:val="21"/>
                      <w:szCs w:val="21"/>
                    </w:rPr>
                    <w:t>。</w:t>
                  </w:r>
                </w:p>
              </w:tc>
              <w:tc>
                <w:tcPr>
                  <w:tcW w:w="614" w:type="pct"/>
                  <w:tcBorders>
                    <w:tl2br w:val="nil"/>
                    <w:tr2bl w:val="nil"/>
                  </w:tcBorders>
                  <w:vAlign w:val="center"/>
                </w:tcPr>
                <w:p w14:paraId="75807EAF">
                  <w:pPr>
                    <w:pStyle w:val="134"/>
                    <w:keepNext w:val="0"/>
                    <w:keepLines w:val="0"/>
                    <w:pageBreakBefore w:val="0"/>
                    <w:widowControl w:val="0"/>
                    <w:kinsoku/>
                    <w:wordWrap/>
                    <w:overflowPunct/>
                    <w:topLinePunct w:val="0"/>
                    <w:autoSpaceDE/>
                    <w:autoSpaceDN/>
                    <w:bidi w:val="0"/>
                    <w:adjustRightInd/>
                    <w:snapToGrid/>
                    <w:spacing w:line="34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5"/>
                      <w:sz w:val="21"/>
                      <w:szCs w:val="21"/>
                    </w:rPr>
                    <w:t>符合</w:t>
                  </w:r>
                </w:p>
              </w:tc>
            </w:tr>
          </w:tbl>
          <w:p w14:paraId="4F4EFF58">
            <w:pPr>
              <w:pStyle w:val="134"/>
              <w:keepNext w:val="0"/>
              <w:keepLines w:val="0"/>
              <w:pageBreakBefore w:val="0"/>
              <w:widowControl w:val="0"/>
              <w:kinsoku/>
              <w:wordWrap/>
              <w:overflowPunct/>
              <w:topLinePunct w:val="0"/>
              <w:autoSpaceDE/>
              <w:autoSpaceDN/>
              <w:bidi w:val="0"/>
              <w:adjustRightInd/>
              <w:snapToGrid/>
              <w:spacing w:line="360" w:lineRule="auto"/>
              <w:ind w:left="0" w:firstLine="400" w:firstLineChars="200"/>
              <w:textAlignment w:val="auto"/>
              <w:rPr>
                <w:rFonts w:hint="default" w:ascii="Times New Roman" w:hAnsi="Times New Roman" w:eastAsia="宋体" w:cs="Times New Roman"/>
                <w:spacing w:val="-5"/>
                <w:kern w:val="2"/>
                <w:sz w:val="21"/>
                <w:szCs w:val="24"/>
                <w:lang w:val="en-US" w:eastAsia="zh-CN" w:bidi="ar-SA"/>
              </w:rPr>
            </w:pPr>
          </w:p>
          <w:p w14:paraId="31450C51">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p>
        </w:tc>
      </w:tr>
    </w:tbl>
    <w:p w14:paraId="0278F6B3">
      <w:pPr>
        <w:pStyle w:val="23"/>
        <w:jc w:val="center"/>
        <w:outlineLvl w:val="9"/>
        <w:rPr>
          <w:rFonts w:hint="default" w:ascii="Times New Roman" w:hAnsi="Times New Roman" w:eastAsia="宋体" w:cs="Times New Roman"/>
          <w:snapToGrid w:val="0"/>
          <w:color w:val="000000" w:themeColor="text1"/>
          <w:sz w:val="30"/>
          <w:szCs w:val="30"/>
          <w14:textFill>
            <w14:solidFill>
              <w14:schemeClr w14:val="tx1"/>
            </w14:solidFill>
          </w14:textFill>
        </w:rPr>
        <w:sectPr>
          <w:footerReference r:id="rId10"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346154CC">
      <w:pPr>
        <w:pStyle w:val="23"/>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pPr>
      <w:bookmarkStart w:id="11" w:name="_Toc32357"/>
      <w:r>
        <w:rPr>
          <w:rFonts w:hint="default" w:ascii="Times New Roman" w:hAnsi="Times New Roman" w:eastAsia="黑体" w:cs="Times New Roman"/>
          <w:snapToGrid w:val="0"/>
          <w:color w:val="000000" w:themeColor="text1"/>
          <w:sz w:val="30"/>
          <w:szCs w:val="30"/>
          <w14:textFill>
            <w14:solidFill>
              <w14:schemeClr w14:val="tx1"/>
            </w14:solidFill>
          </w14:textFill>
        </w:rPr>
        <w:t>二、建设项目工程分析</w:t>
      </w:r>
      <w:bookmarkEnd w:id="11"/>
    </w:p>
    <w:tbl>
      <w:tblPr>
        <w:tblStyle w:val="2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92"/>
        <w:gridCol w:w="8468"/>
      </w:tblGrid>
      <w:tr w14:paraId="660302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82" w:hRule="atLeast"/>
          <w:jc w:val="center"/>
        </w:trPr>
        <w:tc>
          <w:tcPr>
            <w:tcW w:w="327" w:type="pct"/>
            <w:noWrap w:val="0"/>
            <w:vAlign w:val="center"/>
          </w:tcPr>
          <w:p w14:paraId="6F101E97">
            <w:pPr>
              <w:pStyle w:val="101"/>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w:t>
            </w:r>
          </w:p>
          <w:p w14:paraId="399EABE6">
            <w:pPr>
              <w:pStyle w:val="101"/>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内容</w:t>
            </w:r>
          </w:p>
        </w:tc>
        <w:tc>
          <w:tcPr>
            <w:tcW w:w="4672" w:type="pct"/>
            <w:noWrap w:val="0"/>
            <w:vAlign w:val="top"/>
          </w:tcPr>
          <w:p w14:paraId="2FBA327F">
            <w:pPr>
              <w:pStyle w:val="3"/>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2.1 项目由来</w:t>
            </w:r>
          </w:p>
          <w:p w14:paraId="20D6E343">
            <w:pPr>
              <w:pStyle w:val="8"/>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福州市福清亿树资源再生有限公司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成立于</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2025年10月21日</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，法定代表人</w:t>
            </w:r>
            <w:r>
              <w:rPr>
                <w:rFonts w:hint="default" w:ascii="Times New Roman" w:hAnsi="Times New Roman" w:cs="Times New Roman"/>
                <w:color w:val="000000" w:themeColor="text1"/>
                <w:sz w:val="24"/>
                <w:szCs w:val="24"/>
                <w:highlight w:val="none"/>
                <w:lang w:eastAsia="zh-CN"/>
                <w14:textFill>
                  <w14:solidFill>
                    <w14:schemeClr w14:val="tx1"/>
                  </w14:solidFill>
                </w14:textFill>
              </w:rPr>
              <w:t>林秀武</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注册资金</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200万元整，是一家专业</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从事再生资源加工；非金属废料和碎屑加工处理；再生资源回收</w:t>
            </w:r>
            <w:r>
              <w:rPr>
                <w:rFonts w:hint="default" w:ascii="Times New Roman" w:hAnsi="Times New Roman" w:cs="Times New Roman"/>
                <w:color w:val="000000" w:themeColor="text1"/>
                <w:sz w:val="24"/>
                <w:szCs w:val="24"/>
                <w:highlight w:val="none"/>
                <w:lang w:eastAsia="zh-CN"/>
                <w14:textFill>
                  <w14:solidFill>
                    <w14:schemeClr w14:val="tx1"/>
                  </w14:solidFill>
                </w14:textFill>
              </w:rPr>
              <w:t>的</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企业</w:t>
            </w:r>
            <w:r>
              <w:rPr>
                <w:rFonts w:hint="default" w:ascii="Times New Roman" w:hAnsi="Times New Roman" w:eastAsia="宋体" w:cs="Times New Roman"/>
                <w:color w:val="000000" w:themeColor="text1"/>
                <w:sz w:val="24"/>
                <w:szCs w:val="24"/>
                <w:highlight w:val="none"/>
                <w14:textFill>
                  <w14:solidFill>
                    <w14:schemeClr w14:val="tx1"/>
                  </w14:solidFill>
                </w14:textFill>
              </w:rPr>
              <w:t>(营业执照和法</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定代表</w:t>
            </w:r>
            <w:r>
              <w:rPr>
                <w:rFonts w:hint="default" w:ascii="Times New Roman" w:hAnsi="Times New Roman" w:eastAsia="宋体" w:cs="Times New Roman"/>
                <w:color w:val="000000" w:themeColor="text1"/>
                <w:sz w:val="24"/>
                <w:szCs w:val="24"/>
                <w:highlight w:val="none"/>
                <w14:textFill>
                  <w14:solidFill>
                    <w14:schemeClr w14:val="tx1"/>
                  </w14:solidFill>
                </w14:textFill>
              </w:rPr>
              <w:t>人身份证详见</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附件</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三</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36475FD5">
            <w:pPr>
              <w:pStyle w:val="8"/>
              <w:spacing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随着社会经济的迅猛发展，塑料瓶（袋）作为输液瓶（袋）被广泛地应用于各级医疗机构和诊疗环节。在医疗机构数量稳定增长和诊疗人数高位运行的情况下，其使用后被浪费的可回收资源和其消耗量一样庞大，医疗资源可回收利用需求空间巨大，综合处理行业存在这极大的发展前景。目前福建省有医疗机构众多，但与其不匹配的一次性输液瓶（袋）回收处理企业很少，处理前景巨大。</w:t>
            </w:r>
          </w:p>
          <w:p w14:paraId="0734B1ED">
            <w:pPr>
              <w:pStyle w:val="8"/>
              <w:spacing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由于目前医疗机构针对使用后的一次性输液瓶（袋）的管理和处理方式不统一、回收处理机构鱼龙混杂，导致废弃的输液瓶（袋）去向用途不明，鉴于当前市场前景与国家政策情况下，福州市福清亿树资源再生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为提高企业竞争力，</w:t>
            </w:r>
            <w:r>
              <w:rPr>
                <w:rFonts w:hint="default" w:ascii="Times New Roman" w:hAnsi="Times New Roman" w:eastAsia="宋体" w:cs="Times New Roman"/>
                <w:i w:val="0"/>
                <w:iCs w:val="0"/>
                <w:caps w:val="0"/>
                <w:color w:val="000000" w:themeColor="text1"/>
                <w:spacing w:val="0"/>
                <w:sz w:val="24"/>
                <w:szCs w:val="24"/>
                <w:u w:val="none"/>
                <w:shd w:val="clear" w:color="auto" w:fill="FFFFFF"/>
                <w:lang w:eastAsia="zh-CN"/>
                <w14:textFill>
                  <w14:solidFill>
                    <w14:schemeClr w14:val="tx1"/>
                  </w14:solidFill>
                </w14:textFill>
              </w:rPr>
              <w:t>拟投资</w:t>
            </w:r>
            <w:r>
              <w:rPr>
                <w:rFonts w:hint="default" w:ascii="Times New Roman" w:hAnsi="Times New Roman" w:cs="Times New Roman"/>
                <w:i w:val="0"/>
                <w:iCs w:val="0"/>
                <w:caps w:val="0"/>
                <w:color w:val="000000" w:themeColor="text1"/>
                <w:spacing w:val="0"/>
                <w:sz w:val="24"/>
                <w:szCs w:val="24"/>
                <w:u w:val="none"/>
                <w:shd w:val="clear" w:color="auto" w:fill="FFFFFF"/>
                <w:lang w:val="en-US" w:eastAsia="zh-CN"/>
                <w14:textFill>
                  <w14:solidFill>
                    <w14:schemeClr w14:val="tx1"/>
                  </w14:solidFill>
                </w14:textFill>
              </w:rPr>
              <w:t>1</w:t>
            </w:r>
            <w:r>
              <w:rPr>
                <w:rFonts w:hint="default" w:ascii="Times New Roman" w:hAnsi="Times New Roman" w:eastAsia="宋体" w:cs="Times New Roman"/>
                <w:i w:val="0"/>
                <w:iCs w:val="0"/>
                <w:caps w:val="0"/>
                <w:color w:val="000000" w:themeColor="text1"/>
                <w:spacing w:val="0"/>
                <w:sz w:val="24"/>
                <w:szCs w:val="24"/>
                <w:highlight w:val="none"/>
                <w:u w:val="none"/>
                <w:shd w:val="clear" w:color="auto" w:fill="FFFFFF"/>
                <w:lang w:val="en-US" w:eastAsia="zh-CN"/>
                <w14:textFill>
                  <w14:solidFill>
                    <w14:schemeClr w14:val="tx1"/>
                  </w14:solidFill>
                </w14:textFill>
              </w:rPr>
              <w:t>200</w:t>
            </w:r>
            <w:r>
              <w:rPr>
                <w:rFonts w:hint="default" w:ascii="Times New Roman" w:hAnsi="Times New Roman" w:eastAsia="宋体" w:cs="Times New Roman"/>
                <w:i w:val="0"/>
                <w:iCs w:val="0"/>
                <w:caps w:val="0"/>
                <w:color w:val="000000" w:themeColor="text1"/>
                <w:spacing w:val="0"/>
                <w:sz w:val="24"/>
                <w:szCs w:val="24"/>
                <w:u w:val="none"/>
                <w:shd w:val="clear" w:color="auto" w:fill="FFFFFF"/>
                <w:lang w:val="en-US" w:eastAsia="zh-CN"/>
                <w14:textFill>
                  <w14:solidFill>
                    <w14:schemeClr w14:val="tx1"/>
                  </w14:solidFill>
                </w14:textFill>
              </w:rPr>
              <w:t>万元，选址于</w:t>
            </w:r>
            <w:r>
              <w:rPr>
                <w:rFonts w:hint="default" w:ascii="Times New Roman" w:hAnsi="Times New Roman" w:cs="Times New Roman"/>
                <w:color w:val="000000" w:themeColor="text1"/>
                <w:sz w:val="24"/>
                <w14:textFill>
                  <w14:solidFill>
                    <w14:schemeClr w14:val="tx1"/>
                  </w14:solidFill>
                </w14:textFill>
              </w:rPr>
              <w:t>闽台(福州)蓝色经济产业园福建蓝谷海工装备产业综合体</w:t>
            </w:r>
            <w:r>
              <w:rPr>
                <w:rFonts w:hint="default" w:ascii="Times New Roman" w:hAnsi="Times New Roman" w:cs="Times New Roman"/>
                <w:color w:val="000000" w:themeColor="text1"/>
                <w:sz w:val="24"/>
                <w:lang w:eastAsia="zh-CN"/>
                <w14:textFill>
                  <w14:solidFill>
                    <w14:schemeClr w14:val="tx1"/>
                  </w14:solidFill>
                </w14:textFill>
              </w:rPr>
              <w:t>B37厂房</w:t>
            </w:r>
            <w:r>
              <w:rPr>
                <w:rFonts w:hint="default" w:ascii="Times New Roman" w:hAnsi="Times New Roman" w:cs="Times New Roman"/>
                <w:color w:val="000000" w:themeColor="text1"/>
                <w:sz w:val="24"/>
                <w14:textFill>
                  <w14:solidFill>
                    <w14:schemeClr w14:val="tx1"/>
                  </w14:solidFill>
                </w14:textFill>
              </w:rPr>
              <w:t>（租赁</w:t>
            </w:r>
            <w:r>
              <w:rPr>
                <w:rFonts w:hint="default" w:ascii="Times New Roman" w:hAnsi="Times New Roman" w:cs="Times New Roman"/>
                <w:color w:val="000000" w:themeColor="text1"/>
                <w:sz w:val="24"/>
                <w:lang w:eastAsia="zh-CN"/>
                <w14:textFill>
                  <w14:solidFill>
                    <w14:schemeClr w14:val="tx1"/>
                  </w14:solidFill>
                </w14:textFill>
              </w:rPr>
              <w:t>福州锦佳商贸有限公司厂房</w:t>
            </w:r>
            <w:r>
              <w:rPr>
                <w:rFonts w:hint="default" w:ascii="Times New Roman" w:hAnsi="Times New Roman" w:cs="Times New Roman"/>
                <w:color w:val="000000" w:themeColor="text1"/>
                <w:sz w:val="24"/>
                <w14:textFill>
                  <w14:solidFill>
                    <w14:schemeClr w14:val="tx1"/>
                  </w14:solidFill>
                </w14:textFill>
              </w:rPr>
              <w:t>整座）</w:t>
            </w:r>
            <w:r>
              <w:rPr>
                <w:rFonts w:hint="default" w:ascii="Times New Roman" w:hAnsi="Times New Roman" w:eastAsia="宋体" w:cs="Times New Roman"/>
                <w:i w:val="0"/>
                <w:iCs w:val="0"/>
                <w:caps w:val="0"/>
                <w:color w:val="000000" w:themeColor="text1"/>
                <w:spacing w:val="0"/>
                <w:sz w:val="24"/>
                <w:szCs w:val="24"/>
                <w:highlight w:val="none"/>
                <w:u w:val="none"/>
                <w:shd w:val="clear" w:color="auto" w:fill="FFFFFF"/>
                <w:lang w:val="en-US" w:eastAsia="zh-CN"/>
                <w14:textFill>
                  <w14:solidFill>
                    <w14:schemeClr w14:val="tx1"/>
                  </w14:solidFill>
                </w14:textFill>
              </w:rPr>
              <w:t>作为生产经营场所（租赁协议详见附件五），租赁厂房面积</w:t>
            </w:r>
            <w:r>
              <w:rPr>
                <w:rFonts w:hint="default" w:ascii="Times New Roman" w:hAnsi="Times New Roman" w:cs="Times New Roman"/>
                <w:i w:val="0"/>
                <w:iCs w:val="0"/>
                <w:caps w:val="0"/>
                <w:color w:val="000000" w:themeColor="text1"/>
                <w:spacing w:val="0"/>
                <w:sz w:val="24"/>
                <w:szCs w:val="24"/>
                <w:highlight w:val="none"/>
                <w:u w:val="none"/>
                <w:shd w:val="clear" w:color="auto" w:fill="FFFFFF"/>
                <w:lang w:val="en-US" w:eastAsia="zh-CN"/>
                <w14:textFill>
                  <w14:solidFill>
                    <w14:schemeClr w14:val="tx1"/>
                  </w14:solidFill>
                </w14:textFill>
              </w:rPr>
              <w:t>1723.62</w:t>
            </w:r>
            <w:r>
              <w:rPr>
                <w:rFonts w:hint="default" w:ascii="Times New Roman" w:hAnsi="Times New Roman" w:eastAsia="宋体" w:cs="Times New Roman"/>
                <w:i w:val="0"/>
                <w:iCs w:val="0"/>
                <w:caps w:val="0"/>
                <w:color w:val="000000" w:themeColor="text1"/>
                <w:spacing w:val="0"/>
                <w:sz w:val="24"/>
                <w:szCs w:val="24"/>
                <w:highlight w:val="none"/>
                <w:u w:val="none"/>
                <w:shd w:val="clear" w:color="auto" w:fill="FFFFFF"/>
                <w:lang w:val="en-US" w:eastAsia="zh-CN"/>
                <w14:textFill>
                  <w14:solidFill>
                    <w14:schemeClr w14:val="tx1"/>
                  </w14:solidFill>
                </w14:textFill>
              </w:rPr>
              <w:t>平方米</w:t>
            </w:r>
            <w:r>
              <w:rPr>
                <w:rFonts w:hint="default" w:ascii="Times New Roman" w:hAnsi="Times New Roman" w:eastAsia="宋体" w:cs="Times New Roman"/>
                <w:i w:val="0"/>
                <w:iCs w:val="0"/>
                <w:caps w:val="0"/>
                <w:color w:val="000000" w:themeColor="text1"/>
                <w:spacing w:val="0"/>
                <w:sz w:val="24"/>
                <w:szCs w:val="24"/>
                <w:u w:val="none"/>
                <w:shd w:val="clear" w:color="auto" w:fill="FFFFFF"/>
                <w:lang w:val="en-US" w:eastAsia="zh-CN"/>
                <w14:textFill>
                  <w14:solidFill>
                    <w14:schemeClr w14:val="tx1"/>
                  </w14:solidFill>
                </w14:textFill>
              </w:rPr>
              <w:t>，主要从事</w:t>
            </w:r>
            <w:r>
              <w:rPr>
                <w:rFonts w:hint="default" w:ascii="Times New Roman" w:hAnsi="Times New Roman" w:cs="Times New Roman"/>
                <w:i w:val="0"/>
                <w:iCs w:val="0"/>
                <w:caps w:val="0"/>
                <w:color w:val="000000" w:themeColor="text1"/>
                <w:spacing w:val="0"/>
                <w:sz w:val="24"/>
                <w:szCs w:val="24"/>
                <w:u w:val="none"/>
                <w:shd w:val="clear" w:color="auto" w:fill="FFFFFF"/>
                <w:lang w:val="en-US" w:eastAsia="zh-CN"/>
                <w14:textFill>
                  <w14:solidFill>
                    <w14:schemeClr w14:val="tx1"/>
                  </w14:solidFill>
                </w14:textFill>
              </w:rPr>
              <w:t>未被污染的输液瓶（袋）及生活塑料的回收加工</w:t>
            </w:r>
            <w:r>
              <w:rPr>
                <w:rFonts w:hint="default" w:ascii="Times New Roman" w:hAnsi="Times New Roman" w:eastAsia="宋体" w:cs="Times New Roman"/>
                <w:i w:val="0"/>
                <w:iCs w:val="0"/>
                <w:caps w:val="0"/>
                <w:color w:val="000000" w:themeColor="text1"/>
                <w:spacing w:val="0"/>
                <w:sz w:val="24"/>
                <w:szCs w:val="24"/>
                <w:u w:val="none"/>
                <w:shd w:val="clear" w:color="auto" w:fill="FFFFFF"/>
                <w:lang w:val="en-US" w:eastAsia="zh-CN"/>
                <w14:textFill>
                  <w14:solidFill>
                    <w14:schemeClr w14:val="tx1"/>
                  </w14:solidFill>
                </w14:textFill>
              </w:rPr>
              <w:t>，</w:t>
            </w:r>
            <w:r>
              <w:rPr>
                <w:rFonts w:hint="default" w:ascii="Times New Roman" w:hAnsi="Times New Roman" w:cs="Times New Roman"/>
                <w:i w:val="0"/>
                <w:iCs w:val="0"/>
                <w:caps w:val="0"/>
                <w:color w:val="000000" w:themeColor="text1"/>
                <w:spacing w:val="0"/>
                <w:sz w:val="24"/>
                <w:szCs w:val="24"/>
                <w:u w:val="none"/>
                <w:shd w:val="clear" w:color="auto" w:fill="FFFFFF"/>
                <w:lang w:val="en-US" w:eastAsia="zh-CN"/>
                <w14:textFill>
                  <w14:solidFill>
                    <w14:schemeClr w14:val="tx1"/>
                  </w14:solidFill>
                </w14:textFill>
              </w:rPr>
              <w:t>年回收加工输液瓶（袋）10400吨、年回收加工破碎生活塑料4000吨</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p>
          <w:p w14:paraId="30292ABA">
            <w:pPr>
              <w:pStyle w:val="8"/>
              <w:spacing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根据《关于在医疗机构推进生活垃圾分类管理的通知》（国卫办医发〔2017〕30号）可知，未被患者血液、体液和排泄物等污染的输液瓶（袋）属于可回收物，可作为再生资源回收利用。根据《关于印发医疗机构废弃物综合治理工作方案的通知》（国卫医发〔2020〕3号）四、做好输液瓶（袋）回收利用，按照“闭环管理、定点定向、全程追溯”的原则，明确医疗机构处理以及企业回收和利用的工作流程、技术规范和要求，用好用足现有标准，必要时做好标准制修订工作。明确医疗机构、回收企业、利用企业的责任和有关部门的监管职责。在产生环节，医疗机构要按照标准做好输液瓶（袋）的收集，并集中移交回收企业。</w:t>
            </w:r>
          </w:p>
          <w:p w14:paraId="46E2E1EA">
            <w:pPr>
              <w:pStyle w:val="8"/>
              <w:spacing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本项目仅回收已去除针头及输液管的未被患者血液、体液和排泄物污染的普通废弃输液瓶（不带输液针头）及生活源塑料进行破碎加工，不回收传染病区或用于传染病患者、疑似传染病患者以及采取隔离措施的其他患者的输液瓶（袋）、输液涉及使用细胞毒性药物（如肿瘤化疗药物等）的输液瓶（袋）、输液涉及使用麻醉类药品、精神类药品、易制毒药品和放射性药品的输液瓶（袋），不回收危险废物类废塑料，不回收废旧塑料薄膜、盛装农药、化肥、废染料、强酸、强碱及其他化学品包装瓶。</w:t>
            </w:r>
          </w:p>
          <w:p w14:paraId="6879CDAF">
            <w:pPr>
              <w:pStyle w:val="8"/>
              <w:spacing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为了防止本项目在收集过程中接收到危险废物，本次环评要求：项目回收的废弃输液瓶（袋）均应按照国家相关要求签订回收合同，明确废弃输液瓶（袋）的产生单位、科室、产生量。在医疗机构进行回收交接时，采取回收现场“双人双核”的模式，两次核对废弃输液瓶（袋）的来源，仅回收本项目可收集的废弃输液瓶（袋），并对废弃输液瓶（袋）进行检查，查看有无遗漏的针头及输液管，从源头杜绝收到疑似或被感染、污染的废弃物，制定收集</w:t>
            </w:r>
            <w:r>
              <w:rPr>
                <w:rFonts w:hint="eastAsia" w:cs="Times New Roman"/>
                <w:color w:val="000000" w:themeColor="text1"/>
                <w:sz w:val="24"/>
                <w:szCs w:val="24"/>
                <w:highlight w:val="none"/>
                <w:lang w:val="en-US" w:eastAsia="zh-CN"/>
                <w14:textFill>
                  <w14:solidFill>
                    <w14:schemeClr w14:val="tx1"/>
                  </w14:solidFill>
                </w14:textFill>
              </w:rPr>
              <w:t>台账</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院方与企业核对无误后签字确认；废弃输液瓶（袋）运输到厂后必须再次进行检查，检查合格后方可入库，并在入库台账上双人双检无误后再次签字确认。对废输液瓶（袋）根据生产要求按计划回收，控制贮存量，在收集、运输、加工、成品出库等阶段实现全过程台账化管理，确保源头可追溯，台账保存期限不得低于两年。</w:t>
            </w:r>
          </w:p>
          <w:p w14:paraId="23642F5D">
            <w:pPr>
              <w:pStyle w:val="8"/>
              <w:keepNext w:val="0"/>
              <w:keepLines w:val="0"/>
              <w:pageBreakBefore w:val="0"/>
              <w:widowControl w:val="0"/>
              <w:kinsoku/>
              <w:wordWrap/>
              <w:overflowPunct/>
              <w:topLinePunct w:val="0"/>
              <w:autoSpaceDE/>
              <w:autoSpaceDN/>
              <w:bidi w:val="0"/>
              <w:spacing w:line="360" w:lineRule="auto"/>
              <w:ind w:firstLine="480" w:firstLineChars="200"/>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根据</w:t>
            </w:r>
            <w:r>
              <w:rPr>
                <w:rFonts w:hint="default" w:ascii="Times New Roman" w:hAnsi="Times New Roman" w:eastAsia="宋体" w:cs="Times New Roman"/>
                <w:color w:val="000000" w:themeColor="text1"/>
                <w:sz w:val="24"/>
                <w:szCs w:val="24"/>
                <w:highlight w:val="none"/>
                <w14:textFill>
                  <w14:solidFill>
                    <w14:schemeClr w14:val="tx1"/>
                  </w14:solidFill>
                </w14:textFill>
              </w:rPr>
              <w:t>《建设项目环境影响评价分类管理名录》(20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21年</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版</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规定，</w:t>
            </w:r>
            <w:r>
              <w:rPr>
                <w:rFonts w:hint="default" w:ascii="Times New Roman" w:hAnsi="Times New Roman" w:eastAsia="宋体" w:cs="Times New Roman"/>
                <w:color w:val="000000" w:themeColor="text1"/>
                <w:sz w:val="24"/>
                <w:szCs w:val="24"/>
                <w:highlight w:val="none"/>
                <w14:textFill>
                  <w14:solidFill>
                    <w14:schemeClr w14:val="tx1"/>
                  </w14:solidFill>
                </w14:textFill>
              </w:rPr>
              <w:t>本项目环评类别为环境影响报告表，详见表2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为此，建设单位</w:t>
            </w:r>
            <w:r>
              <w:rPr>
                <w:rFonts w:hint="default" w:ascii="Times New Roman" w:hAnsi="Times New Roman" w:eastAsia="宋体" w:cs="Times New Roman"/>
                <w:color w:val="000000" w:themeColor="text1"/>
                <w:sz w:val="24"/>
                <w:szCs w:val="24"/>
                <w:highlight w:val="none"/>
                <w14:textFill>
                  <w14:solidFill>
                    <w14:schemeClr w14:val="tx1"/>
                  </w14:solidFill>
                </w14:textFill>
              </w:rPr>
              <w:t>委托</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我单位</w:t>
            </w:r>
            <w:r>
              <w:rPr>
                <w:rFonts w:hint="default" w:ascii="Times New Roman" w:hAnsi="Times New Roman" w:eastAsia="宋体" w:cs="Times New Roman"/>
                <w:color w:val="000000" w:themeColor="text1"/>
                <w:sz w:val="24"/>
                <w:szCs w:val="24"/>
                <w:highlight w:val="none"/>
                <w14:textFill>
                  <w14:solidFill>
                    <w14:schemeClr w14:val="tx1"/>
                  </w14:solidFill>
                </w14:textFill>
              </w:rPr>
              <w:t>编制该项目的环境影响报告表(委托书详见附件</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)。本环评单位接受委托后，立即派技术人员踏勘现场和收集有关资料，</w:t>
            </w:r>
            <w:r>
              <w:rPr>
                <w:rFonts w:hint="default" w:ascii="Times New Roman" w:hAnsi="Times New Roman" w:eastAsia="宋体" w:cs="Times New Roman"/>
                <w:color w:val="000000" w:themeColor="text1"/>
                <w:sz w:val="24"/>
                <w:szCs w:val="24"/>
                <w14:textFill>
                  <w14:solidFill>
                    <w14:schemeClr w14:val="tx1"/>
                  </w14:solidFill>
                </w14:textFill>
              </w:rPr>
              <w:t>按照</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建设项目环境影响报告表编制技术指南</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污染影响类</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试行</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及相关技术规范要求，</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编制了本环境影响报告表，供建设单位上报</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生态环境行政主管部门</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审批。</w:t>
            </w:r>
          </w:p>
          <w:p w14:paraId="7FE93691">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rFonts w:hint="default" w:ascii="Times New Roman" w:hAnsi="Times New Roman" w:eastAsia="黑体" w:cs="Times New Roman"/>
                <w:b w:val="0"/>
                <w:bCs w:val="0"/>
                <w:color w:val="000000" w:themeColor="text1"/>
                <w:sz w:val="24"/>
                <w:highlight w:val="none"/>
                <w14:textFill>
                  <w14:solidFill>
                    <w14:schemeClr w14:val="tx1"/>
                  </w14:solidFill>
                </w14:textFill>
              </w:rPr>
            </w:pPr>
          </w:p>
          <w:p w14:paraId="6BEB6F30">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rFonts w:hint="default" w:ascii="Times New Roman" w:hAnsi="Times New Roman" w:eastAsia="黑体" w:cs="Times New Roman"/>
                <w:b w:val="0"/>
                <w:bCs w:val="0"/>
                <w:color w:val="000000" w:themeColor="text1"/>
                <w:sz w:val="24"/>
                <w:highlight w:val="none"/>
                <w14:textFill>
                  <w14:solidFill>
                    <w14:schemeClr w14:val="tx1"/>
                  </w14:solidFill>
                </w14:textFill>
              </w:rPr>
            </w:pPr>
          </w:p>
          <w:p w14:paraId="441E40A9">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rFonts w:hint="default" w:ascii="Times New Roman" w:hAnsi="Times New Roman" w:eastAsia="黑体" w:cs="Times New Roman"/>
                <w:b w:val="0"/>
                <w:bCs w:val="0"/>
                <w:color w:val="000000" w:themeColor="text1"/>
                <w:sz w:val="24"/>
                <w:highlight w:val="none"/>
                <w14:textFill>
                  <w14:solidFill>
                    <w14:schemeClr w14:val="tx1"/>
                  </w14:solidFill>
                </w14:textFill>
              </w:rPr>
            </w:pPr>
          </w:p>
          <w:p w14:paraId="26893B39">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黑体" w:cs="Times New Roman"/>
                <w:b w:val="0"/>
                <w:bCs w:val="0"/>
                <w:color w:val="000000" w:themeColor="text1"/>
                <w:sz w:val="24"/>
                <w:highlight w:val="none"/>
                <w14:textFill>
                  <w14:solidFill>
                    <w14:schemeClr w14:val="tx1"/>
                  </w14:solidFill>
                </w14:textFill>
              </w:rPr>
              <w:t>表2</w:t>
            </w:r>
            <w:r>
              <w:rPr>
                <w:rFonts w:hint="default" w:ascii="Times New Roman" w:hAnsi="Times New Roman" w:eastAsia="黑体" w:cs="Times New Roman"/>
                <w:b w:val="0"/>
                <w:bCs w:val="0"/>
                <w:color w:val="000000" w:themeColor="text1"/>
                <w:sz w:val="24"/>
                <w:highlight w:val="none"/>
                <w:lang w:val="en-US" w:eastAsia="zh-CN"/>
                <w14:textFill>
                  <w14:solidFill>
                    <w14:schemeClr w14:val="tx1"/>
                  </w14:solidFill>
                </w14:textFill>
              </w:rPr>
              <w:t>.1</w:t>
            </w:r>
            <w:r>
              <w:rPr>
                <w:rFonts w:hint="default" w:ascii="Times New Roman" w:hAnsi="Times New Roman" w:eastAsia="黑体" w:cs="Times New Roman"/>
                <w:b w:val="0"/>
                <w:bCs w:val="0"/>
                <w:color w:val="000000" w:themeColor="text1"/>
                <w:sz w:val="24"/>
                <w:highlight w:val="none"/>
                <w14:textFill>
                  <w14:solidFill>
                    <w14:schemeClr w14:val="tx1"/>
                  </w14:solidFill>
                </w14:textFill>
              </w:rPr>
              <w:t>-1  建设</w:t>
            </w:r>
            <w:r>
              <w:rPr>
                <w:rFonts w:hint="default" w:ascii="Times New Roman" w:hAnsi="Times New Roman" w:eastAsia="黑体" w:cs="Times New Roman"/>
                <w:b w:val="0"/>
                <w:bCs w:val="0"/>
                <w:color w:val="000000" w:themeColor="text1"/>
                <w:sz w:val="24"/>
                <w:highlight w:val="none"/>
                <w:lang w:eastAsia="zh-CN"/>
                <w14:textFill>
                  <w14:solidFill>
                    <w14:schemeClr w14:val="tx1"/>
                  </w14:solidFill>
                </w14:textFill>
              </w:rPr>
              <w:t>项目</w:t>
            </w:r>
            <w:r>
              <w:rPr>
                <w:rFonts w:hint="default" w:ascii="Times New Roman" w:hAnsi="Times New Roman" w:eastAsia="黑体" w:cs="Times New Roman"/>
                <w:b w:val="0"/>
                <w:bCs w:val="0"/>
                <w:color w:val="000000" w:themeColor="text1"/>
                <w:sz w:val="24"/>
                <w:highlight w:val="none"/>
                <w14:textFill>
                  <w14:solidFill>
                    <w14:schemeClr w14:val="tx1"/>
                  </w14:solidFill>
                </w14:textFill>
              </w:rPr>
              <w:t>环境影响评价分类管理名录(摘录)</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1851"/>
              <w:gridCol w:w="1620"/>
              <w:gridCol w:w="3295"/>
              <w:gridCol w:w="932"/>
            </w:tblGrid>
            <w:tr w14:paraId="50C023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6" w:type="pct"/>
                  <w:gridSpan w:val="2"/>
                  <w:tcBorders>
                    <w:tl2br w:val="single" w:color="auto" w:sz="6" w:space="0"/>
                  </w:tcBorders>
                  <w:shd w:val="clear" w:color="auto" w:fill="auto"/>
                  <w:noWrap w:val="0"/>
                  <w:vAlign w:val="top"/>
                </w:tcPr>
                <w:p w14:paraId="4687672B">
                  <w:pPr>
                    <w:keepNext w:val="0"/>
                    <w:keepLines w:val="0"/>
                    <w:pageBreakBefore w:val="0"/>
                    <w:widowControl w:val="0"/>
                    <w:kinsoku/>
                    <w:wordWrap/>
                    <w:overflowPunct/>
                    <w:topLinePunct w:val="0"/>
                    <w:autoSpaceDE/>
                    <w:autoSpaceDN/>
                    <w:bidi w:val="0"/>
                    <w:adjustRightInd w:val="0"/>
                    <w:snapToGrid w:val="0"/>
                    <w:spacing w:line="340" w:lineRule="exact"/>
                    <w:jc w:val="right"/>
                    <w:textAlignment w:val="baseline"/>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环评类别</w:t>
                  </w:r>
                </w:p>
                <w:p w14:paraId="072CD10B">
                  <w:pPr>
                    <w:keepNext w:val="0"/>
                    <w:keepLines w:val="0"/>
                    <w:pageBreakBefore w:val="0"/>
                    <w:widowControl w:val="0"/>
                    <w:kinsoku/>
                    <w:wordWrap/>
                    <w:overflowPunct/>
                    <w:topLinePunct w:val="0"/>
                    <w:autoSpaceDE/>
                    <w:autoSpaceDN/>
                    <w:bidi w:val="0"/>
                    <w:adjustRightInd w:val="0"/>
                    <w:snapToGrid w:val="0"/>
                    <w:spacing w:line="340" w:lineRule="exact"/>
                    <w:ind w:firstLine="0"/>
                    <w:textAlignment w:val="baseline"/>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项目类别</w:t>
                  </w:r>
                </w:p>
              </w:tc>
              <w:tc>
                <w:tcPr>
                  <w:tcW w:w="982" w:type="pct"/>
                  <w:tcBorders>
                    <w:tl2br w:val="nil"/>
                    <w:tr2bl w:val="nil"/>
                  </w:tcBorders>
                  <w:shd w:val="clear" w:color="auto" w:fill="auto"/>
                  <w:noWrap w:val="0"/>
                  <w:vAlign w:val="center"/>
                </w:tcPr>
                <w:p w14:paraId="4E9A1C71">
                  <w:pPr>
                    <w:keepNext w:val="0"/>
                    <w:keepLines w:val="0"/>
                    <w:pageBreakBefore w:val="0"/>
                    <w:widowControl w:val="0"/>
                    <w:kinsoku/>
                    <w:wordWrap/>
                    <w:overflowPunct/>
                    <w:topLinePunct w:val="0"/>
                    <w:autoSpaceDE/>
                    <w:autoSpaceDN/>
                    <w:bidi w:val="0"/>
                    <w:adjustRightInd w:val="0"/>
                    <w:snapToGrid w:val="0"/>
                    <w:spacing w:line="340" w:lineRule="exact"/>
                    <w:ind w:firstLine="0"/>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报告书</w:t>
                  </w:r>
                </w:p>
              </w:tc>
              <w:tc>
                <w:tcPr>
                  <w:tcW w:w="1997" w:type="pct"/>
                  <w:tcBorders>
                    <w:tl2br w:val="nil"/>
                    <w:tr2bl w:val="nil"/>
                  </w:tcBorders>
                  <w:shd w:val="clear" w:color="auto" w:fill="BEBEBE"/>
                  <w:noWrap w:val="0"/>
                  <w:vAlign w:val="center"/>
                </w:tcPr>
                <w:p w14:paraId="2F9058A4">
                  <w:pPr>
                    <w:keepNext w:val="0"/>
                    <w:keepLines w:val="0"/>
                    <w:pageBreakBefore w:val="0"/>
                    <w:widowControl w:val="0"/>
                    <w:kinsoku/>
                    <w:wordWrap/>
                    <w:overflowPunct/>
                    <w:topLinePunct w:val="0"/>
                    <w:autoSpaceDE/>
                    <w:autoSpaceDN/>
                    <w:bidi w:val="0"/>
                    <w:adjustRightInd w:val="0"/>
                    <w:snapToGrid w:val="0"/>
                    <w:spacing w:line="340" w:lineRule="exact"/>
                    <w:ind w:firstLine="0"/>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报告表</w:t>
                  </w:r>
                </w:p>
              </w:tc>
              <w:tc>
                <w:tcPr>
                  <w:tcW w:w="563" w:type="pct"/>
                  <w:tcBorders>
                    <w:tl2br w:val="nil"/>
                    <w:tr2bl w:val="nil"/>
                  </w:tcBorders>
                  <w:noWrap w:val="0"/>
                  <w:vAlign w:val="center"/>
                </w:tcPr>
                <w:p w14:paraId="7A4F6BE6">
                  <w:pPr>
                    <w:keepNext w:val="0"/>
                    <w:keepLines w:val="0"/>
                    <w:pageBreakBefore w:val="0"/>
                    <w:widowControl w:val="0"/>
                    <w:kinsoku/>
                    <w:wordWrap/>
                    <w:overflowPunct/>
                    <w:topLinePunct w:val="0"/>
                    <w:autoSpaceDE/>
                    <w:autoSpaceDN/>
                    <w:bidi w:val="0"/>
                    <w:adjustRightInd w:val="0"/>
                    <w:snapToGrid w:val="0"/>
                    <w:spacing w:line="340" w:lineRule="exact"/>
                    <w:ind w:firstLine="0"/>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登记表</w:t>
                  </w:r>
                </w:p>
              </w:tc>
            </w:tr>
            <w:tr w14:paraId="136550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l2br w:val="nil"/>
                    <w:tr2bl w:val="nil"/>
                  </w:tcBorders>
                  <w:noWrap w:val="0"/>
                  <w:vAlign w:val="center"/>
                </w:tcPr>
                <w:p w14:paraId="43DA183B">
                  <w:pPr>
                    <w:keepNext w:val="0"/>
                    <w:keepLines w:val="0"/>
                    <w:pageBreakBefore w:val="0"/>
                    <w:widowControl w:val="0"/>
                    <w:kinsoku/>
                    <w:wordWrap/>
                    <w:overflowPunct/>
                    <w:topLinePunct w:val="0"/>
                    <w:autoSpaceDE/>
                    <w:autoSpaceDN/>
                    <w:bidi w:val="0"/>
                    <w:adjustRightInd w:val="0"/>
                    <w:snapToGrid w:val="0"/>
                    <w:spacing w:line="340" w:lineRule="exact"/>
                    <w:ind w:firstLine="0"/>
                    <w:jc w:val="both"/>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三十九、废弃资源综合利用业 42</w:t>
                  </w:r>
                </w:p>
              </w:tc>
            </w:tr>
            <w:tr w14:paraId="0864FB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4" w:type="pct"/>
                  <w:tcBorders>
                    <w:tl2br w:val="nil"/>
                    <w:tr2bl w:val="nil"/>
                  </w:tcBorders>
                  <w:shd w:val="clear" w:color="auto" w:fill="auto"/>
                  <w:noWrap w:val="0"/>
                  <w:vAlign w:val="center"/>
                </w:tcPr>
                <w:p w14:paraId="323FE6B3">
                  <w:pPr>
                    <w:keepNext w:val="0"/>
                    <w:keepLines w:val="0"/>
                    <w:pageBreakBefore w:val="0"/>
                    <w:widowControl w:val="0"/>
                    <w:kinsoku/>
                    <w:wordWrap/>
                    <w:overflowPunct/>
                    <w:topLinePunct w:val="0"/>
                    <w:autoSpaceDE/>
                    <w:autoSpaceDN/>
                    <w:bidi w:val="0"/>
                    <w:spacing w:line="340" w:lineRule="exact"/>
                    <w:ind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85</w:t>
                  </w:r>
                </w:p>
              </w:tc>
              <w:tc>
                <w:tcPr>
                  <w:tcW w:w="1122" w:type="pct"/>
                  <w:tcBorders>
                    <w:tl2br w:val="nil"/>
                    <w:tr2bl w:val="nil"/>
                  </w:tcBorders>
                  <w:shd w:val="clear" w:color="auto" w:fill="auto"/>
                  <w:noWrap w:val="0"/>
                  <w:vAlign w:val="center"/>
                </w:tcPr>
                <w:p w14:paraId="4B8C1A25">
                  <w:pPr>
                    <w:keepNext w:val="0"/>
                    <w:keepLines w:val="0"/>
                    <w:pageBreakBefore w:val="0"/>
                    <w:widowControl w:val="0"/>
                    <w:kinsoku/>
                    <w:wordWrap/>
                    <w:overflowPunct/>
                    <w:topLinePunct w:val="0"/>
                    <w:autoSpaceDE/>
                    <w:autoSpaceDN/>
                    <w:bidi w:val="0"/>
                    <w:spacing w:line="340" w:lineRule="exact"/>
                    <w:ind w:firstLine="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金属废料和碎屑加工处理421；非金属废料和碎屑加工处理422（421和422均不含原料为危险废物的，均不含仅分拣、破碎的）</w:t>
                  </w:r>
                </w:p>
              </w:tc>
              <w:tc>
                <w:tcPr>
                  <w:tcW w:w="982" w:type="pct"/>
                  <w:tcBorders>
                    <w:tl2br w:val="nil"/>
                    <w:tr2bl w:val="nil"/>
                  </w:tcBorders>
                  <w:shd w:val="clear" w:color="auto" w:fill="auto"/>
                  <w:noWrap w:val="0"/>
                  <w:vAlign w:val="center"/>
                </w:tcPr>
                <w:p w14:paraId="2BBF181B">
                  <w:pPr>
                    <w:keepNext w:val="0"/>
                    <w:keepLines w:val="0"/>
                    <w:pageBreakBefore w:val="0"/>
                    <w:widowControl w:val="0"/>
                    <w:kinsoku/>
                    <w:wordWrap/>
                    <w:overflowPunct/>
                    <w:topLinePunct w:val="0"/>
                    <w:autoSpaceDE/>
                    <w:autoSpaceDN/>
                    <w:bidi w:val="0"/>
                    <w:adjustRightInd w:val="0"/>
                    <w:snapToGrid w:val="0"/>
                    <w:spacing w:line="340" w:lineRule="exact"/>
                    <w:ind w:firstLine="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废电池、废油加工处理</w:t>
                  </w:r>
                </w:p>
              </w:tc>
              <w:tc>
                <w:tcPr>
                  <w:tcW w:w="1997" w:type="pct"/>
                  <w:tcBorders>
                    <w:tl2br w:val="nil"/>
                    <w:tr2bl w:val="nil"/>
                  </w:tcBorders>
                  <w:shd w:val="clear" w:color="auto" w:fill="BEBEBE"/>
                  <w:noWrap w:val="0"/>
                  <w:vAlign w:val="center"/>
                </w:tcPr>
                <w:p w14:paraId="292F81CF">
                  <w:pPr>
                    <w:keepNext w:val="0"/>
                    <w:keepLines w:val="0"/>
                    <w:pageBreakBefore w:val="0"/>
                    <w:widowControl w:val="0"/>
                    <w:kinsoku/>
                    <w:wordWrap/>
                    <w:overflowPunct/>
                    <w:topLinePunct w:val="0"/>
                    <w:autoSpaceDE/>
                    <w:autoSpaceDN/>
                    <w:bidi w:val="0"/>
                    <w:adjustRightInd w:val="0"/>
                    <w:snapToGrid w:val="0"/>
                    <w:spacing w:line="340" w:lineRule="exact"/>
                    <w:ind w:firstLine="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弃电器电子产品、废机动车、废电机、废电线电缆、废钢、废铁、金属和金属化合物矿灰及残渣、有色金属废料与碎屑、废塑料、废轮胎、废船、含水洗工艺的其他废料和碎屑加工处理（农业生产产生的废旧秧盘、薄膜破碎和清洗工艺的除外）</w:t>
                  </w:r>
                </w:p>
              </w:tc>
              <w:tc>
                <w:tcPr>
                  <w:tcW w:w="563" w:type="pct"/>
                  <w:tcBorders>
                    <w:tl2br w:val="nil"/>
                    <w:tr2bl w:val="nil"/>
                  </w:tcBorders>
                  <w:noWrap w:val="0"/>
                  <w:vAlign w:val="center"/>
                </w:tcPr>
                <w:p w14:paraId="4A9C68C2">
                  <w:pPr>
                    <w:keepNext w:val="0"/>
                    <w:keepLines w:val="0"/>
                    <w:pageBreakBefore w:val="0"/>
                    <w:widowControl w:val="0"/>
                    <w:kinsoku/>
                    <w:wordWrap/>
                    <w:overflowPunct/>
                    <w:topLinePunct w:val="0"/>
                    <w:autoSpaceDE/>
                    <w:autoSpaceDN/>
                    <w:bidi w:val="0"/>
                    <w:adjustRightInd w:val="0"/>
                    <w:snapToGrid w:val="0"/>
                    <w:spacing w:line="340" w:lineRule="exact"/>
                    <w:ind w:firstLine="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bl>
          <w:p w14:paraId="42FBD792">
            <w:pPr>
              <w:pStyle w:val="3"/>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工程概况</w:t>
            </w:r>
          </w:p>
          <w:p w14:paraId="4B4CA569">
            <w:pPr>
              <w:pStyle w:val="94"/>
              <w:spacing w:line="360" w:lineRule="auto"/>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 xml:space="preserve">2.2.1 </w:t>
            </w:r>
            <w:r>
              <w:rPr>
                <w:rFonts w:hint="default" w:ascii="Times New Roman" w:hAnsi="Times New Roman" w:eastAsia="宋体" w:cs="Times New Roman"/>
                <w:b/>
                <w:bCs/>
                <w:color w:val="000000" w:themeColor="text1"/>
                <w:sz w:val="24"/>
                <w:highlight w:val="none"/>
                <w14:textFill>
                  <w14:solidFill>
                    <w14:schemeClr w14:val="tx1"/>
                  </w14:solidFill>
                </w14:textFill>
              </w:rPr>
              <w:t>项目基本概况</w:t>
            </w:r>
          </w:p>
          <w:p w14:paraId="7DB0BCCF">
            <w:pPr>
              <w:pStyle w:val="94"/>
              <w:spacing w:line="360" w:lineRule="auto"/>
              <w:ind w:firstLine="480" w:firstLineChars="200"/>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⑴项目名称：</w:t>
            </w:r>
            <w:r>
              <w:rPr>
                <w:rFonts w:hint="default" w:ascii="Times New Roman" w:hAnsi="Times New Roman" w:cs="Times New Roman"/>
                <w:color w:val="000000" w:themeColor="text1"/>
                <w:sz w:val="24"/>
                <w:highlight w:val="none"/>
                <w:lang w:eastAsia="zh-CN"/>
                <w14:textFill>
                  <w14:solidFill>
                    <w14:schemeClr w14:val="tx1"/>
                  </w14:solidFill>
                </w14:textFill>
              </w:rPr>
              <w:t>年回收加工输液瓶（袋）10400吨、年回收加工破碎生活塑料4000吨</w:t>
            </w:r>
            <w:r>
              <w:rPr>
                <w:rFonts w:hint="eastAsia" w:cs="Times New Roman"/>
                <w:color w:val="000000" w:themeColor="text1"/>
                <w:sz w:val="24"/>
                <w:highlight w:val="none"/>
                <w:lang w:eastAsia="zh-CN"/>
                <w14:textFill>
                  <w14:solidFill>
                    <w14:schemeClr w14:val="tx1"/>
                  </w14:solidFill>
                </w14:textFill>
              </w:rPr>
              <w:t>项目</w:t>
            </w:r>
          </w:p>
          <w:p w14:paraId="09E447A2">
            <w:pPr>
              <w:pStyle w:val="94"/>
              <w:spacing w:line="360" w:lineRule="auto"/>
              <w:ind w:firstLine="480" w:firstLineChars="20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⑵建设单位：</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福州市福清亿树资源再生有限公司</w:t>
            </w:r>
          </w:p>
          <w:p w14:paraId="44054622">
            <w:pPr>
              <w:pStyle w:val="94"/>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⑶</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建设性质：</w:t>
            </w:r>
            <w:r>
              <w:rPr>
                <w:rFonts w:hint="default" w:ascii="Times New Roman" w:hAnsi="Times New Roman" w:cs="Times New Roman"/>
                <w:color w:val="000000" w:themeColor="text1"/>
                <w:sz w:val="24"/>
                <w:highlight w:val="none"/>
                <w:lang w:val="en-US" w:eastAsia="zh-CN"/>
                <w14:textFill>
                  <w14:solidFill>
                    <w14:schemeClr w14:val="tx1"/>
                  </w14:solidFill>
                </w14:textFill>
              </w:rPr>
              <w:t>新</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建</w:t>
            </w:r>
          </w:p>
          <w:p w14:paraId="1281B5A8">
            <w:pPr>
              <w:pStyle w:val="94"/>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⑷建设地点：闽台（福州）蓝色经济产业园（租赁</w:t>
            </w:r>
            <w:r>
              <w:rPr>
                <w:rFonts w:hint="default" w:ascii="Times New Roman" w:hAnsi="Times New Roman" w:cs="Times New Roman"/>
                <w:color w:val="000000" w:themeColor="text1"/>
                <w:sz w:val="24"/>
                <w:highlight w:val="none"/>
                <w:lang w:eastAsia="zh-CN"/>
                <w14:textFill>
                  <w14:solidFill>
                    <w14:schemeClr w14:val="tx1"/>
                  </w14:solidFill>
                </w14:textFill>
              </w:rPr>
              <w:t>福州锦佳商贸有限公司B37栋厂房（二期）</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14339E26">
            <w:pPr>
              <w:pStyle w:val="94"/>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⑸投资</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额</w:t>
            </w:r>
            <w:r>
              <w:rPr>
                <w:rFonts w:hint="default" w:ascii="Times New Roman" w:hAnsi="Times New Roman" w:eastAsia="宋体" w:cs="Times New Roman"/>
                <w:color w:val="000000" w:themeColor="text1"/>
                <w:sz w:val="24"/>
                <w:highlight w:val="none"/>
                <w14:textFill>
                  <w14:solidFill>
                    <w14:schemeClr w14:val="tx1"/>
                  </w14:solidFill>
                </w14:textFill>
              </w:rPr>
              <w:t>：总投资</w:t>
            </w:r>
            <w:r>
              <w:rPr>
                <w:rFonts w:hint="default" w:ascii="Times New Roman" w:hAnsi="Times New Roman" w:cs="Times New Roman"/>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00万</w:t>
            </w:r>
            <w:r>
              <w:rPr>
                <w:rFonts w:hint="default" w:ascii="Times New Roman" w:hAnsi="Times New Roman" w:eastAsia="宋体" w:cs="Times New Roman"/>
                <w:color w:val="auto"/>
                <w:sz w:val="24"/>
                <w:highlight w:val="none"/>
              </w:rPr>
              <w:t>元，环保投资</w:t>
            </w:r>
            <w:r>
              <w:rPr>
                <w:rFonts w:hint="default" w:ascii="Times New Roman" w:hAnsi="Times New Roman" w:cs="Times New Roman"/>
                <w:color w:val="auto"/>
                <w:sz w:val="24"/>
                <w:highlight w:val="none"/>
                <w:lang w:val="en-US" w:eastAsia="zh-CN"/>
              </w:rPr>
              <w:t>2</w:t>
            </w:r>
            <w:r>
              <w:rPr>
                <w:rFonts w:hint="eastAsia" w:ascii="Times New Roman" w:hAnsi="Times New Roman" w:cs="Times New Roman"/>
                <w:color w:val="auto"/>
                <w:sz w:val="24"/>
                <w:highlight w:val="none"/>
                <w:lang w:val="en-US" w:eastAsia="zh-CN"/>
              </w:rPr>
              <w:t>4</w:t>
            </w:r>
            <w:r>
              <w:rPr>
                <w:rFonts w:hint="default" w:ascii="Times New Roman" w:hAnsi="Times New Roman" w:eastAsia="宋体" w:cs="Times New Roman"/>
                <w:color w:val="auto"/>
                <w:sz w:val="24"/>
                <w:highlight w:val="none"/>
              </w:rPr>
              <w:t>万元</w:t>
            </w:r>
          </w:p>
          <w:p w14:paraId="62978D65">
            <w:pPr>
              <w:pStyle w:val="94"/>
              <w:spacing w:line="360" w:lineRule="auto"/>
              <w:ind w:firstLine="480" w:firstLineChars="200"/>
              <w:rPr>
                <w:rFonts w:hint="default" w:ascii="Times New Roman" w:hAnsi="Times New Roman" w:eastAsia="宋体" w:cs="Times New Roman"/>
                <w:color w:val="000000" w:themeColor="text1"/>
                <w:sz w:val="24"/>
                <w:highlight w:val="none"/>
                <w:vertAlign w:val="superscript"/>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⑹建设规模：</w:t>
            </w:r>
            <w:r>
              <w:rPr>
                <w:rFonts w:hint="default" w:ascii="Times New Roman" w:hAnsi="Times New Roman" w:cs="Times New Roman"/>
                <w:color w:val="000000" w:themeColor="text1"/>
                <w:sz w:val="24"/>
                <w:highlight w:val="none"/>
                <w:lang w:eastAsia="zh-CN"/>
                <w14:textFill>
                  <w14:solidFill>
                    <w14:schemeClr w14:val="tx1"/>
                  </w14:solidFill>
                </w14:textFill>
              </w:rPr>
              <w:t>租赁</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厂房面积</w:t>
            </w:r>
            <w:r>
              <w:rPr>
                <w:rFonts w:hint="default" w:ascii="Times New Roman" w:hAnsi="Times New Roman" w:cs="Times New Roman"/>
                <w:i w:val="0"/>
                <w:iCs w:val="0"/>
                <w:caps w:val="0"/>
                <w:color w:val="000000" w:themeColor="text1"/>
                <w:spacing w:val="0"/>
                <w:sz w:val="24"/>
                <w:szCs w:val="24"/>
                <w:highlight w:val="none"/>
                <w:u w:val="none"/>
                <w:shd w:val="clear" w:color="auto" w:fill="FFFFFF"/>
                <w:lang w:val="en-US" w:eastAsia="zh-CN"/>
                <w14:textFill>
                  <w14:solidFill>
                    <w14:schemeClr w14:val="tx1"/>
                  </w14:solidFill>
                </w14:textFill>
              </w:rPr>
              <w:t>1723.62</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2</w:t>
            </w:r>
          </w:p>
          <w:p w14:paraId="71E44894">
            <w:pPr>
              <w:pStyle w:val="94"/>
              <w:spacing w:line="360" w:lineRule="auto"/>
              <w:ind w:firstLine="480" w:firstLineChars="200"/>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(7)生产规模：</w:t>
            </w:r>
            <w:r>
              <w:rPr>
                <w:rFonts w:hint="default" w:ascii="Times New Roman" w:hAnsi="Times New Roman" w:cs="Times New Roman"/>
                <w:color w:val="000000" w:themeColor="text1"/>
                <w:sz w:val="24"/>
                <w:highlight w:val="none"/>
                <w:lang w:val="en-US" w:eastAsia="zh-CN"/>
                <w14:textFill>
                  <w14:solidFill>
                    <w14:schemeClr w14:val="tx1"/>
                  </w14:solidFill>
                </w14:textFill>
              </w:rPr>
              <w:t>年回收加工输液瓶（袋）10400吨、年回收加工破碎生活塑料4000吨项目</w:t>
            </w:r>
          </w:p>
          <w:p w14:paraId="2B97754E">
            <w:pPr>
              <w:pStyle w:val="94"/>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(8)职工人数：全厂职工</w:t>
            </w:r>
            <w:r>
              <w:rPr>
                <w:rFonts w:hint="default" w:ascii="Times New Roman" w:hAnsi="Times New Roman" w:cs="Times New Roman"/>
                <w:color w:val="000000" w:themeColor="text1"/>
                <w:sz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人，均不在厂区内进行食宿</w:t>
            </w:r>
          </w:p>
          <w:p w14:paraId="6E76869D">
            <w:pPr>
              <w:pStyle w:val="94"/>
              <w:spacing w:line="360" w:lineRule="auto"/>
              <w:ind w:firstLine="480" w:firstLineChars="200"/>
              <w:rPr>
                <w:rFonts w:hint="default" w:ascii="Times New Roman" w:hAnsi="Times New Roman" w:eastAsia="宋体" w:cs="Times New Roman"/>
                <w:b w:val="0"/>
                <w:bCs w:val="0"/>
                <w:color w:val="000000" w:themeColor="text1"/>
                <w:sz w:val="24"/>
                <w:szCs w:val="22"/>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(9)工作制度：年工作日</w:t>
            </w:r>
            <w:r>
              <w:rPr>
                <w:rFonts w:hint="default" w:ascii="Times New Roman" w:hAnsi="Times New Roman" w:cs="Times New Roman"/>
                <w:color w:val="000000" w:themeColor="text1"/>
                <w:sz w:val="24"/>
                <w:highlight w:val="none"/>
                <w:lang w:val="en-US" w:eastAsia="zh-CN"/>
                <w14:textFill>
                  <w14:solidFill>
                    <w14:schemeClr w14:val="tx1"/>
                  </w14:solidFill>
                </w14:textFill>
              </w:rPr>
              <w:t>330</w:t>
            </w:r>
            <w:r>
              <w:rPr>
                <w:rFonts w:hint="default" w:ascii="Times New Roman" w:hAnsi="Times New Roman" w:eastAsia="宋体" w:cs="Times New Roman"/>
                <w:color w:val="000000" w:themeColor="text1"/>
                <w:sz w:val="24"/>
                <w:highlight w:val="none"/>
                <w14:textFill>
                  <w14:solidFill>
                    <w14:schemeClr w14:val="tx1"/>
                  </w14:solidFill>
                </w14:textFill>
              </w:rPr>
              <w:t>天，实行</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24小时制(三班制)</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生产</w:t>
            </w:r>
          </w:p>
          <w:p w14:paraId="73C4486C">
            <w:pPr>
              <w:spacing w:line="360" w:lineRule="auto"/>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highlight w:val="none"/>
                <w14:textFill>
                  <w14:solidFill>
                    <w14:schemeClr w14:val="tx1"/>
                  </w14:solidFill>
                </w14:textFill>
              </w:rPr>
              <w:t>.</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highlight w:val="none"/>
                <w14:textFill>
                  <w14:solidFill>
                    <w14:schemeClr w14:val="tx1"/>
                  </w14:solidFill>
                </w14:textFill>
              </w:rPr>
              <w:t>.</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highlight w:val="none"/>
                <w14:textFill>
                  <w14:solidFill>
                    <w14:schemeClr w14:val="tx1"/>
                  </w14:solidFill>
                </w14:textFill>
              </w:rPr>
              <w:t xml:space="preserve"> 项目产品方案</w:t>
            </w:r>
          </w:p>
          <w:p w14:paraId="75ED6432">
            <w:pPr>
              <w:pStyle w:val="23"/>
              <w:widowControl w:val="0"/>
              <w:adjustRightInd w:val="0"/>
              <w:snapToGrid w:val="0"/>
              <w:spacing w:before="0" w:beforeAutospacing="0" w:after="0" w:afterAutospacing="0" w:line="360" w:lineRule="auto"/>
              <w:ind w:firstLine="480" w:firstLineChars="200"/>
              <w:jc w:val="both"/>
              <w:rPr>
                <w:rFonts w:hint="default" w:ascii="Times New Roman" w:hAnsi="Times New Roman" w:eastAsia="宋体" w:cs="Times New Roman"/>
                <w:color w:val="000000" w:themeColor="text1"/>
                <w:kern w:val="2"/>
                <w:highlight w:val="none"/>
                <w14:textFill>
                  <w14:solidFill>
                    <w14:schemeClr w14:val="tx1"/>
                  </w14:solidFill>
                </w14:textFill>
              </w:rPr>
            </w:pPr>
            <w:r>
              <w:rPr>
                <w:rFonts w:hint="default" w:ascii="Times New Roman" w:hAnsi="Times New Roman" w:eastAsia="宋体" w:cs="Times New Roman"/>
                <w:color w:val="000000" w:themeColor="text1"/>
                <w:kern w:val="2"/>
                <w:highlight w:val="none"/>
                <w14:textFill>
                  <w14:solidFill>
                    <w14:schemeClr w14:val="tx1"/>
                  </w14:solidFill>
                </w14:textFill>
              </w:rPr>
              <w:t>根据建设单位提供资料，本项目</w:t>
            </w:r>
            <w:r>
              <w:rPr>
                <w:rFonts w:hint="default" w:ascii="Times New Roman" w:hAnsi="Times New Roman" w:eastAsia="宋体" w:cs="Times New Roman"/>
                <w:color w:val="000000" w:themeColor="text1"/>
                <w:kern w:val="2"/>
                <w:highlight w:val="none"/>
                <w:lang w:eastAsia="zh-CN"/>
                <w14:textFill>
                  <w14:solidFill>
                    <w14:schemeClr w14:val="tx1"/>
                  </w14:solidFill>
                </w14:textFill>
              </w:rPr>
              <w:t>从事</w:t>
            </w:r>
            <w:r>
              <w:rPr>
                <w:rFonts w:hint="default" w:ascii="Times New Roman" w:hAnsi="Times New Roman" w:cs="Times New Roman"/>
                <w:color w:val="000000" w:themeColor="text1"/>
                <w:kern w:val="2"/>
                <w:highlight w:val="none"/>
                <w:lang w:eastAsia="zh-CN"/>
                <w14:textFill>
                  <w14:solidFill>
                    <w14:schemeClr w14:val="tx1"/>
                  </w14:solidFill>
                </w14:textFill>
              </w:rPr>
              <w:t>未被污染的输液瓶（袋）及生活塑料的回收加工</w:t>
            </w:r>
            <w:r>
              <w:rPr>
                <w:rFonts w:hint="default" w:ascii="Times New Roman" w:hAnsi="Times New Roman" w:eastAsia="宋体" w:cs="Times New Roman"/>
                <w:color w:val="000000" w:themeColor="text1"/>
                <w:kern w:val="2"/>
                <w:highlight w:val="none"/>
                <w14:textFill>
                  <w14:solidFill>
                    <w14:schemeClr w14:val="tx1"/>
                  </w14:solidFill>
                </w14:textFill>
              </w:rPr>
              <w:t>，项目具体产品方案详见表</w:t>
            </w:r>
            <w:r>
              <w:rPr>
                <w:rFonts w:hint="default" w:ascii="Times New Roman" w:hAnsi="Times New Roman" w:eastAsia="宋体" w:cs="Times New Roman"/>
                <w:color w:val="000000" w:themeColor="text1"/>
                <w:kern w:val="2"/>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2"/>
                <w:highlight w:val="none"/>
                <w14:textFill>
                  <w14:solidFill>
                    <w14:schemeClr w14:val="tx1"/>
                  </w14:solidFill>
                </w14:textFill>
              </w:rPr>
              <w:t>.</w:t>
            </w:r>
            <w:r>
              <w:rPr>
                <w:rFonts w:hint="default" w:ascii="Times New Roman" w:hAnsi="Times New Roman" w:eastAsia="宋体" w:cs="Times New Roman"/>
                <w:color w:val="000000" w:themeColor="text1"/>
                <w:kern w:val="2"/>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2"/>
                <w:highlight w:val="none"/>
                <w14:textFill>
                  <w14:solidFill>
                    <w14:schemeClr w14:val="tx1"/>
                  </w14:solidFill>
                </w14:textFill>
              </w:rPr>
              <w:t>-1。</w:t>
            </w:r>
          </w:p>
          <w:p w14:paraId="2C77BEDD">
            <w:pPr>
              <w:pStyle w:val="23"/>
              <w:widowControl w:val="0"/>
              <w:adjustRightInd w:val="0"/>
              <w:snapToGrid w:val="0"/>
              <w:spacing w:before="0" w:beforeAutospacing="0" w:after="0" w:afterAutospacing="0" w:line="360" w:lineRule="auto"/>
              <w:ind w:firstLine="480" w:firstLineChars="200"/>
              <w:jc w:val="both"/>
              <w:rPr>
                <w:rFonts w:hint="eastAsia" w:ascii="Times New Roman" w:hAnsi="Times New Roman" w:cs="Times New Roman"/>
                <w:color w:val="000000" w:themeColor="text1"/>
                <w:kern w:val="2"/>
                <w:highlight w:val="none"/>
                <w:lang w:val="en-US" w:eastAsia="zh-CN"/>
                <w14:textFill>
                  <w14:solidFill>
                    <w14:schemeClr w14:val="tx1"/>
                  </w14:solidFill>
                </w14:textFill>
              </w:rPr>
            </w:pPr>
            <w:r>
              <w:rPr>
                <w:rFonts w:hint="eastAsia" w:ascii="Times New Roman" w:hAnsi="Times New Roman" w:cs="Times New Roman"/>
                <w:color w:val="000000" w:themeColor="text1"/>
                <w:kern w:val="2"/>
                <w:highlight w:val="none"/>
                <w:lang w:val="en-US" w:eastAsia="zh-CN"/>
                <w14:textFill>
                  <w14:solidFill>
                    <w14:schemeClr w14:val="tx1"/>
                  </w14:solidFill>
                </w14:textFill>
              </w:rPr>
              <w:t>略</w:t>
            </w:r>
          </w:p>
          <w:p w14:paraId="0E869CF2">
            <w:pPr>
              <w:keepNext w:val="0"/>
              <w:keepLines w:val="0"/>
              <w:pageBreakBefore w:val="0"/>
              <w:widowControl w:val="0"/>
              <w:kinsoku/>
              <w:wordWrap/>
              <w:overflowPunct/>
              <w:topLinePunct w:val="0"/>
              <w:autoSpaceDE/>
              <w:autoSpaceDN/>
              <w:bidi w:val="0"/>
              <w:adjustRightInd/>
              <w:snapToGrid/>
              <w:spacing w:before="120" w:beforeLines="50" w:line="360" w:lineRule="auto"/>
              <w:textAlignment w:val="auto"/>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highlight w:val="none"/>
                <w14:textFill>
                  <w14:solidFill>
                    <w14:schemeClr w14:val="tx1"/>
                  </w14:solidFill>
                </w14:textFill>
              </w:rPr>
              <w:t>.</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highlight w:val="none"/>
                <w14:textFill>
                  <w14:solidFill>
                    <w14:schemeClr w14:val="tx1"/>
                  </w14:solidFill>
                </w14:textFill>
              </w:rPr>
              <w:t>.</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sz w:val="24"/>
                <w:szCs w:val="24"/>
                <w:highlight w:val="none"/>
                <w14:textFill>
                  <w14:solidFill>
                    <w14:schemeClr w14:val="tx1"/>
                  </w14:solidFill>
                </w14:textFill>
              </w:rPr>
              <w:t xml:space="preserve"> 项目组成及建设内容</w:t>
            </w:r>
          </w:p>
          <w:p w14:paraId="5A5187F6">
            <w:pPr>
              <w:spacing w:line="360" w:lineRule="auto"/>
              <w:ind w:firstLine="48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工程</w:t>
            </w:r>
            <w:r>
              <w:rPr>
                <w:rFonts w:hint="default" w:ascii="Times New Roman" w:hAnsi="Times New Roman" w:eastAsia="宋体" w:cs="Times New Roman"/>
                <w:color w:val="000000" w:themeColor="text1"/>
                <w:sz w:val="24"/>
                <w:szCs w:val="24"/>
                <w:highlight w:val="none"/>
                <w14:textFill>
                  <w14:solidFill>
                    <w14:schemeClr w14:val="tx1"/>
                  </w14:solidFill>
                </w14:textFill>
              </w:rPr>
              <w:t>组成及建设内容</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见</w:t>
            </w:r>
            <w:r>
              <w:rPr>
                <w:rFonts w:hint="default" w:ascii="Times New Roman" w:hAnsi="Times New Roman" w:eastAsia="宋体" w:cs="Times New Roman"/>
                <w:color w:val="000000" w:themeColor="text1"/>
                <w:sz w:val="24"/>
                <w:szCs w:val="24"/>
                <w:highlight w:val="none"/>
                <w14:textFill>
                  <w14:solidFill>
                    <w14:schemeClr w14:val="tx1"/>
                  </w14:solidFill>
                </w14:textFill>
              </w:rPr>
              <w:t>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2ADE7C8F">
            <w:pPr>
              <w:pStyle w:val="23"/>
              <w:widowControl w:val="0"/>
              <w:autoSpaceDE w:val="0"/>
              <w:autoSpaceDN w:val="0"/>
              <w:adjustRightInd w:val="0"/>
              <w:snapToGrid w:val="0"/>
              <w:spacing w:before="120" w:beforeLines="50" w:beforeAutospacing="0" w:after="0" w:afterAutospacing="0"/>
              <w:jc w:val="center"/>
              <w:textAlignment w:val="baseline"/>
              <w:rPr>
                <w:rFonts w:hint="default" w:ascii="Times New Roman" w:hAnsi="Times New Roman" w:eastAsia="黑体" w:cs="Times New Roman"/>
                <w:color w:val="auto"/>
                <w:spacing w:val="6"/>
                <w:highlight w:val="yellow"/>
              </w:rPr>
            </w:pPr>
            <w:r>
              <w:rPr>
                <w:rFonts w:hint="default" w:ascii="Times New Roman" w:hAnsi="Times New Roman" w:eastAsia="黑体" w:cs="Times New Roman"/>
                <w:color w:val="auto"/>
                <w:spacing w:val="6"/>
              </w:rPr>
              <w:t>表2.2-</w:t>
            </w:r>
            <w:r>
              <w:rPr>
                <w:rFonts w:hint="default" w:ascii="Times New Roman" w:hAnsi="Times New Roman" w:eastAsia="黑体" w:cs="Times New Roman"/>
                <w:color w:val="auto"/>
                <w:spacing w:val="6"/>
                <w:lang w:val="en-US" w:eastAsia="zh-CN"/>
              </w:rPr>
              <w:t>2</w:t>
            </w:r>
            <w:r>
              <w:rPr>
                <w:rFonts w:hint="default" w:ascii="Times New Roman" w:hAnsi="Times New Roman" w:eastAsia="黑体" w:cs="Times New Roman"/>
                <w:color w:val="auto"/>
                <w:spacing w:val="6"/>
              </w:rPr>
              <w:t xml:space="preserve">  项目组成一览表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1355"/>
              <w:gridCol w:w="6102"/>
            </w:tblGrid>
            <w:tr w14:paraId="29DD7D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noWrap w:val="0"/>
                  <w:vAlign w:val="center"/>
                </w:tcPr>
                <w:p w14:paraId="141D9601">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w:t>
                  </w:r>
                </w:p>
                <w:p w14:paraId="6BF254E4">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类别</w:t>
                  </w:r>
                </w:p>
              </w:tc>
              <w:tc>
                <w:tcPr>
                  <w:tcW w:w="821" w:type="pct"/>
                  <w:noWrap w:val="0"/>
                  <w:vAlign w:val="center"/>
                </w:tcPr>
                <w:p w14:paraId="2BB87A92">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项目组成</w:t>
                  </w:r>
                </w:p>
              </w:tc>
              <w:tc>
                <w:tcPr>
                  <w:tcW w:w="3698" w:type="pct"/>
                  <w:noWrap w:val="0"/>
                  <w:vAlign w:val="center"/>
                </w:tcPr>
                <w:p w14:paraId="5EE43013">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具体建设内容</w:t>
                  </w:r>
                </w:p>
              </w:tc>
            </w:tr>
            <w:tr w14:paraId="18ED30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noWrap w:val="0"/>
                  <w:vAlign w:val="center"/>
                </w:tcPr>
                <w:p w14:paraId="264E5E83">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主体工程</w:t>
                  </w:r>
                </w:p>
              </w:tc>
              <w:tc>
                <w:tcPr>
                  <w:tcW w:w="821" w:type="pct"/>
                  <w:noWrap w:val="0"/>
                  <w:vAlign w:val="center"/>
                </w:tcPr>
                <w:p w14:paraId="08046628">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生产区</w:t>
                  </w:r>
                </w:p>
              </w:tc>
              <w:tc>
                <w:tcPr>
                  <w:tcW w:w="3698" w:type="pct"/>
                  <w:noWrap w:val="0"/>
                  <w:vAlign w:val="center"/>
                </w:tcPr>
                <w:p w14:paraId="3533F2CC">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40" w:lineRule="exact"/>
                    <w:ind w:left="0" w:leftChars="0" w:right="0" w:rightChars="0"/>
                    <w:jc w:val="center"/>
                    <w:textAlignment w:val="auto"/>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rPr>
                    <w:t>租赁现有厂房，主要设置原料区、成品区及一般固废暂存区，主要购置全自动破碎机、分选机、沉浮式分选槽等设备。年处理未经污染的医疗一次性塑料输液瓶（袋）</w:t>
                  </w:r>
                  <w:r>
                    <w:rPr>
                      <w:rFonts w:hint="default" w:ascii="Times New Roman" w:hAnsi="Times New Roman" w:eastAsia="宋体" w:cs="Times New Roman"/>
                      <w:color w:val="auto"/>
                      <w:sz w:val="21"/>
                      <w:szCs w:val="21"/>
                      <w:lang w:val="en-US" w:eastAsia="zh-CN"/>
                    </w:rPr>
                    <w:t>64</w:t>
                  </w:r>
                  <w:r>
                    <w:rPr>
                      <w:rFonts w:hint="default" w:ascii="Times New Roman" w:hAnsi="Times New Roman" w:eastAsia="宋体" w:cs="Times New Roman"/>
                      <w:color w:val="auto"/>
                      <w:sz w:val="21"/>
                      <w:szCs w:val="21"/>
                    </w:rPr>
                    <w:t>00吨、玻璃瓶</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000吨、</w:t>
                  </w:r>
                  <w:r>
                    <w:rPr>
                      <w:rFonts w:hint="default" w:ascii="Times New Roman" w:hAnsi="Times New Roman" w:eastAsia="宋体" w:cs="Times New Roman"/>
                      <w:color w:val="auto"/>
                      <w:sz w:val="21"/>
                      <w:szCs w:val="21"/>
                      <w:lang w:val="en-US" w:eastAsia="zh-CN"/>
                    </w:rPr>
                    <w:t>生活源塑料4000</w:t>
                  </w:r>
                  <w:r>
                    <w:rPr>
                      <w:rFonts w:hint="default" w:ascii="Times New Roman" w:hAnsi="Times New Roman" w:eastAsia="宋体" w:cs="Times New Roman"/>
                      <w:color w:val="auto"/>
                      <w:sz w:val="21"/>
                      <w:szCs w:val="21"/>
                    </w:rPr>
                    <w:t>吨。</w:t>
                  </w:r>
                </w:p>
              </w:tc>
            </w:tr>
            <w:tr w14:paraId="404931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restart"/>
                  <w:noWrap w:val="0"/>
                  <w:vAlign w:val="center"/>
                </w:tcPr>
                <w:p w14:paraId="3913900E">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储运工程</w:t>
                  </w:r>
                </w:p>
              </w:tc>
              <w:tc>
                <w:tcPr>
                  <w:tcW w:w="821" w:type="pct"/>
                  <w:noWrap w:val="0"/>
                  <w:vAlign w:val="center"/>
                </w:tcPr>
                <w:p w14:paraId="359156B9">
                  <w:pPr>
                    <w:pStyle w:val="134"/>
                    <w:keepNext w:val="0"/>
                    <w:keepLines w:val="0"/>
                    <w:pageBreakBefore w:val="0"/>
                    <w:kinsoku/>
                    <w:wordWrap/>
                    <w:overflowPunct/>
                    <w:topLinePunct w:val="0"/>
                    <w:autoSpaceDE/>
                    <w:autoSpaceDN/>
                    <w:bidi w:val="0"/>
                    <w:adjustRightInd/>
                    <w:snapToGrid/>
                    <w:spacing w:line="340" w:lineRule="exact"/>
                    <w:ind w:left="0" w:leftChars="0" w:right="0" w:rightChars="0" w:hanging="10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原料堆放区</w:t>
                  </w:r>
                </w:p>
              </w:tc>
              <w:tc>
                <w:tcPr>
                  <w:tcW w:w="3698" w:type="pct"/>
                  <w:noWrap w:val="0"/>
                  <w:vAlign w:val="center"/>
                </w:tcPr>
                <w:p w14:paraId="7C4F9C6C">
                  <w:pPr>
                    <w:pStyle w:val="134"/>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生产车间内设置</w:t>
                  </w:r>
                  <w:r>
                    <w:rPr>
                      <w:rFonts w:hint="default" w:ascii="Times New Roman" w:hAnsi="Times New Roman" w:eastAsia="宋体" w:cs="Times New Roman"/>
                      <w:color w:val="auto"/>
                      <w:sz w:val="21"/>
                      <w:szCs w:val="21"/>
                    </w:rPr>
                    <w:t>医疗一次性塑料输液瓶（袋）、</w:t>
                  </w:r>
                  <w:r>
                    <w:rPr>
                      <w:rFonts w:hint="default" w:ascii="Times New Roman" w:hAnsi="Times New Roman" w:eastAsia="宋体" w:cs="Times New Roman"/>
                      <w:color w:val="auto"/>
                      <w:sz w:val="21"/>
                      <w:szCs w:val="21"/>
                      <w:lang w:val="en-US" w:eastAsia="zh-CN"/>
                    </w:rPr>
                    <w:t>医用</w:t>
                  </w:r>
                  <w:r>
                    <w:rPr>
                      <w:rFonts w:hint="default" w:ascii="Times New Roman" w:hAnsi="Times New Roman" w:eastAsia="宋体" w:cs="Times New Roman"/>
                      <w:color w:val="auto"/>
                      <w:sz w:val="21"/>
                      <w:szCs w:val="21"/>
                    </w:rPr>
                    <w:t>玻璃瓶</w:t>
                  </w:r>
                  <w:r>
                    <w:rPr>
                      <w:rFonts w:hint="default" w:ascii="Times New Roman" w:hAnsi="Times New Roman" w:eastAsia="宋体" w:cs="Times New Roman"/>
                      <w:color w:val="auto"/>
                      <w:sz w:val="21"/>
                      <w:szCs w:val="21"/>
                      <w:lang w:val="en-US" w:eastAsia="zh-CN"/>
                    </w:rPr>
                    <w:t>及生活源塑料储存</w:t>
                  </w:r>
                  <w:r>
                    <w:rPr>
                      <w:rFonts w:hint="default" w:ascii="Times New Roman" w:hAnsi="Times New Roman" w:eastAsia="宋体" w:cs="Times New Roman"/>
                      <w:color w:val="auto"/>
                      <w:kern w:val="2"/>
                      <w:sz w:val="21"/>
                      <w:szCs w:val="21"/>
                      <w:lang w:val="en-US" w:eastAsia="zh-CN" w:bidi="ar-SA"/>
                    </w:rPr>
                    <w:t>区，分别用于各自原材料存放</w:t>
                  </w:r>
                </w:p>
              </w:tc>
            </w:tr>
            <w:tr w14:paraId="2DEF8F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noWrap w:val="0"/>
                  <w:vAlign w:val="center"/>
                </w:tcPr>
                <w:p w14:paraId="4B6E8D1E">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lang w:eastAsia="zh-CN"/>
                    </w:rPr>
                  </w:pPr>
                </w:p>
              </w:tc>
              <w:tc>
                <w:tcPr>
                  <w:tcW w:w="821" w:type="pct"/>
                  <w:shd w:val="clear" w:color="auto" w:fill="auto"/>
                  <w:noWrap w:val="0"/>
                  <w:vAlign w:val="center"/>
                </w:tcPr>
                <w:p w14:paraId="249409D2">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成品区</w:t>
                  </w:r>
                </w:p>
              </w:tc>
              <w:tc>
                <w:tcPr>
                  <w:tcW w:w="3698" w:type="pct"/>
                  <w:shd w:val="clear" w:color="auto" w:fill="auto"/>
                  <w:noWrap w:val="0"/>
                  <w:vAlign w:val="center"/>
                </w:tcPr>
                <w:p w14:paraId="2F3CAF2E">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生产车间内设置1个成品区，划分为塑料破碎料、橡胶破碎料及玻璃碎片储存区</w:t>
                  </w:r>
                </w:p>
              </w:tc>
            </w:tr>
            <w:tr w14:paraId="335739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restart"/>
                  <w:noWrap w:val="0"/>
                  <w:vAlign w:val="center"/>
                </w:tcPr>
                <w:p w14:paraId="5F1B2DC7">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公用</w:t>
                  </w:r>
                </w:p>
                <w:p w14:paraId="3167C832">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w:t>
                  </w:r>
                </w:p>
              </w:tc>
              <w:tc>
                <w:tcPr>
                  <w:tcW w:w="821" w:type="pct"/>
                  <w:noWrap w:val="0"/>
                  <w:vAlign w:val="center"/>
                </w:tcPr>
                <w:p w14:paraId="3F5BA373">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供水</w:t>
                  </w:r>
                </w:p>
              </w:tc>
              <w:tc>
                <w:tcPr>
                  <w:tcW w:w="3698" w:type="pct"/>
                  <w:noWrap w:val="0"/>
                  <w:vAlign w:val="center"/>
                </w:tcPr>
                <w:p w14:paraId="6BA03FFC">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接市政供水管网</w:t>
                  </w:r>
                </w:p>
              </w:tc>
            </w:tr>
            <w:tr w14:paraId="2B37F6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noWrap w:val="0"/>
                  <w:vAlign w:val="center"/>
                </w:tcPr>
                <w:p w14:paraId="6EBA2192">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p>
              </w:tc>
              <w:tc>
                <w:tcPr>
                  <w:tcW w:w="821" w:type="pct"/>
                  <w:noWrap w:val="0"/>
                  <w:vAlign w:val="center"/>
                </w:tcPr>
                <w:p w14:paraId="348119C0">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供电</w:t>
                  </w:r>
                </w:p>
              </w:tc>
              <w:tc>
                <w:tcPr>
                  <w:tcW w:w="3698" w:type="pct"/>
                  <w:noWrap w:val="0"/>
                  <w:vAlign w:val="center"/>
                </w:tcPr>
                <w:p w14:paraId="1BAB9F78">
                  <w:pPr>
                    <w:pStyle w:val="92"/>
                    <w:keepNext w:val="0"/>
                    <w:keepLines w:val="0"/>
                    <w:pageBreakBefore w:val="0"/>
                    <w:kinsoku/>
                    <w:wordWrap/>
                    <w:overflowPunct/>
                    <w:topLinePunct w:val="0"/>
                    <w:autoSpaceDE/>
                    <w:autoSpaceDN/>
                    <w:bidi w:val="0"/>
                    <w:adjustRightInd/>
                    <w:snapToGrid/>
                    <w:spacing w:after="0" w:line="3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接市政供电系统</w:t>
                  </w:r>
                </w:p>
              </w:tc>
            </w:tr>
            <w:tr w14:paraId="6B0D56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noWrap w:val="0"/>
                  <w:vAlign w:val="center"/>
                </w:tcPr>
                <w:p w14:paraId="2FE68F90">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p>
              </w:tc>
              <w:tc>
                <w:tcPr>
                  <w:tcW w:w="821" w:type="pct"/>
                  <w:noWrap w:val="0"/>
                  <w:vAlign w:val="center"/>
                </w:tcPr>
                <w:p w14:paraId="13B6194F">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排水</w:t>
                  </w:r>
                </w:p>
              </w:tc>
              <w:tc>
                <w:tcPr>
                  <w:tcW w:w="3698" w:type="pct"/>
                  <w:noWrap w:val="0"/>
                  <w:vAlign w:val="center"/>
                </w:tcPr>
                <w:p w14:paraId="275F8331">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雨污分流，雨水经雨水管收集后直接排入市政雨水管网；污水经污水管收集后排入市政污水管网</w:t>
                  </w:r>
                </w:p>
              </w:tc>
            </w:tr>
            <w:tr w14:paraId="0F171B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restart"/>
                  <w:noWrap w:val="0"/>
                  <w:vAlign w:val="center"/>
                </w:tcPr>
                <w:p w14:paraId="34B7AEF3">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w:t>
                  </w:r>
                </w:p>
                <w:p w14:paraId="07671C76">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w:t>
                  </w:r>
                </w:p>
              </w:tc>
              <w:tc>
                <w:tcPr>
                  <w:tcW w:w="821" w:type="pct"/>
                  <w:vMerge w:val="restart"/>
                  <w:noWrap w:val="0"/>
                  <w:vAlign w:val="center"/>
                </w:tcPr>
                <w:p w14:paraId="561799F7">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废水处理</w:t>
                  </w:r>
                </w:p>
              </w:tc>
              <w:tc>
                <w:tcPr>
                  <w:tcW w:w="3698" w:type="pct"/>
                  <w:noWrap w:val="0"/>
                  <w:vAlign w:val="center"/>
                </w:tcPr>
                <w:p w14:paraId="1FAF9C34">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经收集后经自建污水处理设施处理，处理后约60%的废水回用于生产，剩余40%通过园区管网排入江镜华侨农场污水处理厂处理。</w:t>
                  </w:r>
                </w:p>
              </w:tc>
            </w:tr>
            <w:tr w14:paraId="0C4B1C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noWrap w:val="0"/>
                  <w:vAlign w:val="center"/>
                </w:tcPr>
                <w:p w14:paraId="74474EB6">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p>
              </w:tc>
              <w:tc>
                <w:tcPr>
                  <w:tcW w:w="821" w:type="pct"/>
                  <w:vMerge w:val="continue"/>
                  <w:noWrap w:val="0"/>
                  <w:vAlign w:val="center"/>
                </w:tcPr>
                <w:p w14:paraId="5D083804">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p>
              </w:tc>
              <w:tc>
                <w:tcPr>
                  <w:tcW w:w="3698" w:type="pct"/>
                  <w:noWrap w:val="0"/>
                  <w:vAlign w:val="center"/>
                </w:tcPr>
                <w:p w14:paraId="28BF5EE9">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生活污水</w:t>
                  </w:r>
                  <w:r>
                    <w:rPr>
                      <w:rFonts w:hint="default" w:ascii="Times New Roman" w:hAnsi="Times New Roman" w:eastAsia="宋体" w:cs="Times New Roman"/>
                      <w:color w:val="auto"/>
                      <w:sz w:val="21"/>
                      <w:szCs w:val="21"/>
                    </w:rPr>
                    <w:t>经化粪池预处理后接入</w:t>
                  </w:r>
                  <w:r>
                    <w:rPr>
                      <w:rFonts w:hint="default" w:ascii="Times New Roman" w:hAnsi="Times New Roman" w:eastAsia="宋体" w:cs="Times New Roman"/>
                      <w:color w:val="auto"/>
                      <w:sz w:val="21"/>
                      <w:szCs w:val="21"/>
                      <w:lang w:eastAsia="zh-CN"/>
                    </w:rPr>
                    <w:t>江镜华侨农场污水处理厂</w:t>
                  </w:r>
                </w:p>
              </w:tc>
            </w:tr>
            <w:tr w14:paraId="4794E3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noWrap w:val="0"/>
                  <w:vAlign w:val="center"/>
                </w:tcPr>
                <w:p w14:paraId="3657F394">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p>
              </w:tc>
              <w:tc>
                <w:tcPr>
                  <w:tcW w:w="821" w:type="pct"/>
                  <w:noWrap w:val="0"/>
                  <w:vAlign w:val="center"/>
                </w:tcPr>
                <w:p w14:paraId="1CBC148D">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废气治理</w:t>
                  </w:r>
                </w:p>
              </w:tc>
              <w:tc>
                <w:tcPr>
                  <w:tcW w:w="3698" w:type="pct"/>
                  <w:noWrap w:val="0"/>
                  <w:vAlign w:val="center"/>
                </w:tcPr>
                <w:p w14:paraId="7ED41D20">
                  <w:pPr>
                    <w:pStyle w:val="79"/>
                    <w:keepNext w:val="0"/>
                    <w:keepLines w:val="0"/>
                    <w:pageBreakBefore w:val="0"/>
                    <w:widowControl w:val="0"/>
                    <w:kinsoku/>
                    <w:wordWrap/>
                    <w:overflowPunct/>
                    <w:topLinePunct w:val="0"/>
                    <w:autoSpaceDE/>
                    <w:autoSpaceDN/>
                    <w:bidi w:val="0"/>
                    <w:adjustRightInd/>
                    <w:snapToGrid/>
                    <w:spacing w:before="0" w:line="34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w:t>
                  </w:r>
                  <w:r>
                    <w:rPr>
                      <w:rFonts w:hint="eastAsia" w:ascii="Times New Roman" w:hAnsi="Times New Roman" w:eastAsia="宋体" w:cs="Times New Roman"/>
                      <w:color w:val="auto"/>
                      <w:sz w:val="21"/>
                      <w:szCs w:val="21"/>
                      <w:highlight w:val="none"/>
                      <w:lang w:val="en-US" w:eastAsia="zh-CN"/>
                    </w:rPr>
                    <w:t>使用密闭的破碎机</w:t>
                  </w:r>
                  <w:r>
                    <w:rPr>
                      <w:rFonts w:hint="default" w:ascii="Times New Roman" w:hAnsi="Times New Roman" w:eastAsia="宋体" w:cs="Times New Roman"/>
                      <w:color w:val="auto"/>
                      <w:sz w:val="21"/>
                      <w:szCs w:val="21"/>
                      <w:highlight w:val="none"/>
                      <w:lang w:val="en-US" w:eastAsia="zh-CN"/>
                    </w:rPr>
                    <w:t>湿法</w:t>
                  </w:r>
                  <w:r>
                    <w:rPr>
                      <w:rFonts w:hint="eastAsia" w:ascii="Times New Roman" w:hAnsi="Times New Roman" w:eastAsia="宋体" w:cs="Times New Roman"/>
                      <w:color w:val="auto"/>
                      <w:sz w:val="21"/>
                      <w:szCs w:val="21"/>
                      <w:highlight w:val="none"/>
                      <w:lang w:val="en-US" w:eastAsia="zh-CN"/>
                    </w:rPr>
                    <w:t>破碎</w:t>
                  </w:r>
                  <w:r>
                    <w:rPr>
                      <w:rFonts w:hint="default" w:ascii="Times New Roman" w:hAnsi="Times New Roman" w:eastAsia="宋体" w:cs="Times New Roman"/>
                      <w:color w:val="auto"/>
                      <w:sz w:val="21"/>
                      <w:szCs w:val="21"/>
                      <w:highlight w:val="none"/>
                      <w:lang w:val="en-US" w:eastAsia="zh-CN"/>
                    </w:rPr>
                    <w:t>，无废气产生。</w:t>
                  </w:r>
                </w:p>
              </w:tc>
            </w:tr>
            <w:tr w14:paraId="337687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noWrap w:val="0"/>
                  <w:vAlign w:val="center"/>
                </w:tcPr>
                <w:p w14:paraId="55832AD6">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p>
              </w:tc>
              <w:tc>
                <w:tcPr>
                  <w:tcW w:w="821" w:type="pct"/>
                  <w:vMerge w:val="restart"/>
                  <w:noWrap w:val="0"/>
                  <w:vAlign w:val="center"/>
                </w:tcPr>
                <w:p w14:paraId="3161175F">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固废处理</w:t>
                  </w:r>
                </w:p>
              </w:tc>
              <w:tc>
                <w:tcPr>
                  <w:tcW w:w="3698" w:type="pct"/>
                  <w:shd w:val="clear" w:color="auto" w:fill="auto"/>
                  <w:noWrap w:val="0"/>
                  <w:vAlign w:val="center"/>
                </w:tcPr>
                <w:p w14:paraId="200E7C75">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设一般工业固废暂存区，一般工业固废</w:t>
                  </w:r>
                  <w:r>
                    <w:rPr>
                      <w:rFonts w:hint="default" w:ascii="Times New Roman" w:hAnsi="Times New Roman" w:eastAsia="宋体" w:cs="Times New Roman"/>
                      <w:color w:val="auto"/>
                      <w:sz w:val="21"/>
                      <w:szCs w:val="21"/>
                      <w:lang w:eastAsia="zh-CN"/>
                    </w:rPr>
                    <w:t>统一</w:t>
                  </w:r>
                  <w:r>
                    <w:rPr>
                      <w:rFonts w:hint="default" w:ascii="Times New Roman" w:hAnsi="Times New Roman" w:eastAsia="宋体" w:cs="Times New Roman"/>
                      <w:color w:val="auto"/>
                      <w:sz w:val="21"/>
                      <w:szCs w:val="21"/>
                    </w:rPr>
                    <w:t>分类收集后外售</w:t>
                  </w:r>
                </w:p>
              </w:tc>
            </w:tr>
            <w:tr w14:paraId="1E0FF4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noWrap w:val="0"/>
                  <w:vAlign w:val="center"/>
                </w:tcPr>
                <w:p w14:paraId="7024D202">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p>
              </w:tc>
              <w:tc>
                <w:tcPr>
                  <w:tcW w:w="821" w:type="pct"/>
                  <w:vMerge w:val="continue"/>
                  <w:noWrap w:val="0"/>
                  <w:vAlign w:val="center"/>
                </w:tcPr>
                <w:p w14:paraId="06520CF8">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p>
              </w:tc>
              <w:tc>
                <w:tcPr>
                  <w:tcW w:w="3698" w:type="pct"/>
                  <w:shd w:val="clear" w:color="auto" w:fill="auto"/>
                  <w:noWrap w:val="0"/>
                  <w:vAlign w:val="center"/>
                </w:tcPr>
                <w:p w14:paraId="7BDEB013">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设置生活垃圾桶，生活垃圾收集后委托环卫工人处置</w:t>
                  </w:r>
                </w:p>
              </w:tc>
            </w:tr>
            <w:tr w14:paraId="50EF46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noWrap w:val="0"/>
                  <w:vAlign w:val="center"/>
                </w:tcPr>
                <w:p w14:paraId="69C9CBC6">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p>
              </w:tc>
              <w:tc>
                <w:tcPr>
                  <w:tcW w:w="821" w:type="pct"/>
                  <w:noWrap w:val="0"/>
                  <w:vAlign w:val="center"/>
                </w:tcPr>
                <w:p w14:paraId="5CD00507">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噪声处置</w:t>
                  </w:r>
                </w:p>
              </w:tc>
              <w:tc>
                <w:tcPr>
                  <w:tcW w:w="3698" w:type="pct"/>
                  <w:noWrap w:val="0"/>
                  <w:vAlign w:val="center"/>
                </w:tcPr>
                <w:p w14:paraId="14B5238F">
                  <w:pPr>
                    <w:keepNext w:val="0"/>
                    <w:keepLines w:val="0"/>
                    <w:pageBreakBefore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选用低噪声设备，对高噪声设备采取减振、隔声等降噪措施</w:t>
                  </w:r>
                </w:p>
              </w:tc>
            </w:tr>
          </w:tbl>
          <w:p w14:paraId="13FF0776">
            <w:pPr>
              <w:spacing w:line="360" w:lineRule="auto"/>
              <w:rPr>
                <w:rFonts w:hint="default" w:ascii="Times New Roman" w:hAnsi="Times New Roman" w:eastAsia="宋体" w:cs="Times New Roman"/>
                <w:color w:val="000000" w:themeColor="text1"/>
                <w:lang w:val="en-US" w:eastAsia="zh-CN"/>
                <w14:textFill>
                  <w14:solidFill>
                    <w14:schemeClr w14:val="tx1"/>
                  </w14:solidFill>
                </w14:textFill>
              </w:rPr>
            </w:pPr>
          </w:p>
        </w:tc>
      </w:tr>
    </w:tbl>
    <w:p w14:paraId="497B0D94">
      <w:pPr>
        <w:pStyle w:val="23"/>
        <w:adjustRightInd w:val="0"/>
        <w:snapToGrid w:val="0"/>
        <w:spacing w:before="0" w:beforeAutospacing="0" w:after="0" w:afterAutospacing="0"/>
        <w:jc w:val="center"/>
        <w:rPr>
          <w:rFonts w:hint="default" w:ascii="Times New Roman" w:hAnsi="Times New Roman" w:eastAsia="宋体" w:cs="Times New Roman"/>
          <w:color w:val="000000" w:themeColor="text1"/>
          <w:sz w:val="21"/>
          <w:szCs w:val="21"/>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594"/>
      </w:tblGrid>
      <w:tr w14:paraId="2251F2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dxa"/>
            <w:noWrap w:val="0"/>
            <w:vAlign w:val="center"/>
          </w:tcPr>
          <w:p w14:paraId="29AA84E5">
            <w:pPr>
              <w:pStyle w:val="23"/>
              <w:adjustRightInd w:val="0"/>
              <w:snapToGrid w:val="0"/>
              <w:spacing w:before="0" w:beforeAutospacing="0" w:after="0" w:afterAutospacing="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建设内容</w:t>
            </w:r>
          </w:p>
        </w:tc>
        <w:tc>
          <w:tcPr>
            <w:tcW w:w="8594" w:type="dxa"/>
            <w:noWrap w:val="0"/>
            <w:vAlign w:val="top"/>
          </w:tcPr>
          <w:p w14:paraId="7F0940D1">
            <w:pPr>
              <w:keepNext w:val="0"/>
              <w:keepLines w:val="0"/>
              <w:pageBreakBefore w:val="0"/>
              <w:widowControl w:val="0"/>
              <w:kinsoku/>
              <w:wordWrap/>
              <w:overflowPunct/>
              <w:topLinePunct w:val="0"/>
              <w:autoSpaceDE/>
              <w:autoSpaceDN/>
              <w:bidi w:val="0"/>
              <w:adjustRightInd/>
              <w:snapToGrid/>
              <w:spacing w:before="191" w:beforeLines="50" w:line="360" w:lineRule="auto"/>
              <w:textAlignment w:val="auto"/>
              <w:rPr>
                <w:rFonts w:hint="default" w:ascii="Times New Roman" w:hAnsi="Times New Roman" w:eastAsia="宋体" w:cs="Times New Roman"/>
                <w:b/>
                <w:color w:val="000000" w:themeColor="text1"/>
                <w:sz w:val="24"/>
                <w:szCs w:val="24"/>
                <w:highlight w:val="none"/>
                <w14:textFill>
                  <w14:solidFill>
                    <w14:schemeClr w14:val="tx1"/>
                  </w14:solidFill>
                </w14:textFill>
              </w:rPr>
            </w:pPr>
            <w:bookmarkStart w:id="12" w:name="_Toc13343"/>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highlight w:val="none"/>
                <w14:textFill>
                  <w14:solidFill>
                    <w14:schemeClr w14:val="tx1"/>
                  </w14:solidFill>
                </w14:textFill>
              </w:rPr>
              <w:t>.</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highlight w:val="none"/>
                <w14:textFill>
                  <w14:solidFill>
                    <w14:schemeClr w14:val="tx1"/>
                  </w14:solidFill>
                </w14:textFill>
              </w:rPr>
              <w:t>.</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sz w:val="24"/>
                <w:szCs w:val="24"/>
                <w:highlight w:val="none"/>
                <w14:textFill>
                  <w14:solidFill>
                    <w14:schemeClr w14:val="tx1"/>
                  </w14:solidFill>
                </w14:textFill>
              </w:rPr>
              <w:t xml:space="preserve"> 项目主要原辅材料</w:t>
            </w:r>
            <w:bookmarkEnd w:id="12"/>
          </w:p>
          <w:p w14:paraId="195AEF39">
            <w:pPr>
              <w:tabs>
                <w:tab w:val="left" w:pos="5184"/>
              </w:tabs>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根据国卫办医发〔2017〕30号，本项目回收的各级医院未被污染的医用输液瓶（袋）属于可回收物，可作为再生资源回收利用，不属于医疗废物和危险废物。</w:t>
            </w:r>
          </w:p>
          <w:p w14:paraId="7B66F159">
            <w:pPr>
              <w:tabs>
                <w:tab w:val="left" w:pos="5184"/>
              </w:tabs>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回收过程中派专人全程监督交货过程，对收购的原料进行严格筛选，同时要求建设单位将在与医疗机构单位签订的回收协议中明确，仅回收PP</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、PE</w:t>
            </w:r>
            <w:r>
              <w:rPr>
                <w:rFonts w:hint="default" w:ascii="Times New Roman" w:hAnsi="Times New Roman" w:eastAsia="宋体" w:cs="Times New Roman"/>
                <w:color w:val="000000" w:themeColor="text1"/>
                <w:sz w:val="24"/>
                <w:szCs w:val="24"/>
                <w:highlight w:val="none"/>
                <w14:textFill>
                  <w14:solidFill>
                    <w14:schemeClr w14:val="tx1"/>
                  </w14:solidFill>
                </w14:textFill>
              </w:rPr>
              <w:t>材质的塑料输液瓶（袋），对不符合要求的塑料制品予以拒收。同时，项目应建立台账，对采购的原料应建立详细的台账，并设专人管理。项目原辅材料及能源消耗情况见表</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2.2-3，</w:t>
            </w:r>
            <w:r>
              <w:rPr>
                <w:rFonts w:hint="default" w:ascii="Times New Roman" w:hAnsi="Times New Roman" w:eastAsia="宋体" w:cs="Times New Roman"/>
                <w:color w:val="000000" w:themeColor="text1"/>
                <w:sz w:val="24"/>
                <w:szCs w:val="24"/>
                <w:highlight w:val="none"/>
                <w14:textFill>
                  <w14:solidFill>
                    <w14:schemeClr w14:val="tx1"/>
                  </w14:solidFill>
                </w14:textFill>
              </w:rPr>
              <w:t>主要原辅材料性质详见表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-4。</w:t>
            </w:r>
          </w:p>
          <w:p w14:paraId="67F3820F">
            <w:pPr>
              <w:pStyle w:val="134"/>
              <w:keepNext w:val="0"/>
              <w:keepLines w:val="0"/>
              <w:pageBreakBefore w:val="0"/>
              <w:widowControl w:val="0"/>
              <w:kinsoku/>
              <w:wordWrap/>
              <w:overflowPunct/>
              <w:topLinePunct w:val="0"/>
              <w:autoSpaceDE/>
              <w:autoSpaceDN/>
              <w:bidi w:val="0"/>
              <w:adjustRightInd/>
              <w:snapToGrid/>
              <w:spacing w:before="157" w:beforeLines="50" w:line="360" w:lineRule="auto"/>
              <w:ind w:left="0" w:firstLine="480" w:firstLineChars="200"/>
              <w:textAlignment w:val="auto"/>
              <w:rPr>
                <w:rFonts w:hint="default" w:ascii="Times New Roman" w:hAnsi="Times New Roman" w:eastAsia="宋体" w:cs="Times New Roman"/>
                <w:sz w:val="24"/>
                <w:szCs w:val="24"/>
                <w:u w:val="none" w:color="auto"/>
              </w:rPr>
            </w:pPr>
            <w:r>
              <w:rPr>
                <w:rFonts w:hint="eastAsia" w:ascii="Times New Roman" w:hAnsi="Times New Roman" w:cs="Times New Roman"/>
                <w:color w:val="000000" w:themeColor="text1"/>
                <w:kern w:val="2"/>
                <w:highlight w:val="none"/>
                <w:lang w:val="en-US" w:eastAsia="zh-CN"/>
                <w14:textFill>
                  <w14:solidFill>
                    <w14:schemeClr w14:val="tx1"/>
                  </w14:solidFill>
                </w14:textFill>
              </w:rPr>
              <w:t>略</w:t>
            </w:r>
            <w:r>
              <w:rPr>
                <w:rFonts w:hint="default" w:ascii="Times New Roman" w:hAnsi="Times New Roman" w:eastAsia="宋体" w:cs="Times New Roman"/>
                <w:spacing w:val="-2"/>
                <w:sz w:val="24"/>
                <w:szCs w:val="24"/>
                <w:u w:val="none" w:color="auto"/>
              </w:rPr>
              <w:t>同时收集的原材料还需要满足下述条件：</w:t>
            </w:r>
          </w:p>
          <w:p w14:paraId="0D1524CB">
            <w:pPr>
              <w:pStyle w:val="134"/>
              <w:keepNext w:val="0"/>
              <w:keepLines w:val="0"/>
              <w:pageBreakBefore w:val="0"/>
              <w:widowControl w:val="0"/>
              <w:kinsoku/>
              <w:wordWrap/>
              <w:overflowPunct/>
              <w:topLinePunct w:val="0"/>
              <w:autoSpaceDE/>
              <w:autoSpaceDN/>
              <w:bidi w:val="0"/>
              <w:spacing w:line="360" w:lineRule="auto"/>
              <w:ind w:left="0" w:right="0" w:firstLine="476" w:firstLineChars="200"/>
              <w:textAlignment w:val="auto"/>
              <w:rPr>
                <w:rFonts w:hint="default" w:ascii="Times New Roman" w:hAnsi="Times New Roman" w:eastAsia="宋体" w:cs="Times New Roman"/>
                <w:sz w:val="24"/>
                <w:szCs w:val="24"/>
                <w:u w:val="none" w:color="auto"/>
              </w:rPr>
            </w:pPr>
            <w:r>
              <w:rPr>
                <w:rFonts w:hint="default" w:ascii="Times New Roman" w:hAnsi="Times New Roman" w:eastAsia="宋体" w:cs="Times New Roman"/>
                <w:spacing w:val="-1"/>
                <w:sz w:val="24"/>
                <w:szCs w:val="24"/>
                <w:u w:val="none" w:color="auto"/>
              </w:rPr>
              <w:t>①不涉及进口废旧塑料再生利用；</w:t>
            </w:r>
          </w:p>
          <w:p w14:paraId="4ABC9526">
            <w:pPr>
              <w:pStyle w:val="134"/>
              <w:keepNext w:val="0"/>
              <w:keepLines w:val="0"/>
              <w:pageBreakBefore w:val="0"/>
              <w:widowControl w:val="0"/>
              <w:kinsoku/>
              <w:wordWrap/>
              <w:overflowPunct/>
              <w:topLinePunct w:val="0"/>
              <w:autoSpaceDE/>
              <w:autoSpaceDN/>
              <w:bidi w:val="0"/>
              <w:spacing w:line="360" w:lineRule="auto"/>
              <w:ind w:left="0" w:right="0" w:firstLine="476" w:firstLineChars="200"/>
              <w:textAlignment w:val="auto"/>
              <w:rPr>
                <w:rFonts w:hint="default" w:ascii="Times New Roman" w:hAnsi="Times New Roman" w:eastAsia="宋体" w:cs="Times New Roman"/>
                <w:sz w:val="24"/>
                <w:szCs w:val="24"/>
                <w:u w:val="none" w:color="auto"/>
              </w:rPr>
            </w:pPr>
            <w:r>
              <w:rPr>
                <w:rFonts w:hint="default" w:ascii="Times New Roman" w:hAnsi="Times New Roman" w:eastAsia="宋体" w:cs="Times New Roman"/>
                <w:spacing w:val="-1"/>
                <w:sz w:val="24"/>
                <w:szCs w:val="24"/>
                <w:u w:val="none" w:color="auto"/>
              </w:rPr>
              <w:t>②不回收利用氟塑料等特种工程塑料等；</w:t>
            </w:r>
          </w:p>
          <w:p w14:paraId="286186D4">
            <w:pPr>
              <w:pStyle w:val="134"/>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u w:val="none" w:color="auto"/>
              </w:rPr>
            </w:pPr>
            <w:r>
              <w:rPr>
                <w:rFonts w:hint="default" w:ascii="Times New Roman" w:hAnsi="Times New Roman" w:eastAsia="宋体" w:cs="Times New Roman"/>
                <w:sz w:val="24"/>
                <w:szCs w:val="24"/>
                <w:u w:val="none" w:color="auto"/>
              </w:rPr>
              <w:t>③不涉及利用属于危险废物的废塑料，包括被危险化学品、农药等污染的废弃塑料包装物，废弃的一次性医疗用塑料制品（如输液器、血袋等</w:t>
            </w:r>
            <w:r>
              <w:rPr>
                <w:rFonts w:hint="default" w:ascii="Times New Roman" w:hAnsi="Times New Roman" w:eastAsia="宋体" w:cs="Times New Roman"/>
                <w:spacing w:val="5"/>
                <w:sz w:val="24"/>
                <w:szCs w:val="24"/>
                <w:u w:val="none" w:color="auto"/>
              </w:rPr>
              <w:t>），</w:t>
            </w:r>
            <w:r>
              <w:rPr>
                <w:rFonts w:hint="default" w:ascii="Times New Roman" w:hAnsi="Times New Roman" w:eastAsia="宋体" w:cs="Times New Roman"/>
                <w:spacing w:val="1"/>
                <w:sz w:val="24"/>
                <w:szCs w:val="24"/>
                <w:u w:val="none" w:color="auto"/>
              </w:rPr>
              <w:t>盛装农药、废染料、强酸、强碱的废塑料等。</w:t>
            </w:r>
          </w:p>
          <w:p w14:paraId="07A8A632">
            <w:pPr>
              <w:pStyle w:val="134"/>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u w:val="none" w:color="auto"/>
              </w:rPr>
            </w:pPr>
            <w:r>
              <w:rPr>
                <w:rFonts w:hint="default" w:ascii="Times New Roman" w:hAnsi="Times New Roman" w:eastAsia="宋体" w:cs="Times New Roman"/>
                <w:sz w:val="24"/>
                <w:szCs w:val="24"/>
                <w:u w:val="none" w:color="auto"/>
              </w:rPr>
              <w:t>④本项目废塑原料的回收、包装、运输和贮存应符合《废塑料污染控制</w:t>
            </w:r>
            <w:r>
              <w:rPr>
                <w:rFonts w:hint="default" w:ascii="Times New Roman" w:hAnsi="Times New Roman" w:eastAsia="宋体" w:cs="Times New Roman"/>
                <w:spacing w:val="1"/>
                <w:sz w:val="24"/>
                <w:szCs w:val="24"/>
                <w:u w:val="none" w:color="auto"/>
              </w:rPr>
              <w:t>技术规范》（</w:t>
            </w:r>
            <w:r>
              <w:rPr>
                <w:rFonts w:hint="default" w:ascii="Times New Roman" w:hAnsi="Times New Roman" w:eastAsia="宋体" w:cs="Times New Roman"/>
                <w:sz w:val="24"/>
                <w:szCs w:val="24"/>
                <w:u w:val="none" w:color="auto"/>
              </w:rPr>
              <w:t>HJ</w:t>
            </w:r>
            <w:r>
              <w:rPr>
                <w:rFonts w:hint="default" w:ascii="Times New Roman" w:hAnsi="Times New Roman" w:eastAsia="宋体" w:cs="Times New Roman"/>
                <w:spacing w:val="1"/>
                <w:sz w:val="24"/>
                <w:szCs w:val="24"/>
                <w:u w:val="none" w:color="auto"/>
              </w:rPr>
              <w:t>364-2022）的要求，对</w:t>
            </w:r>
            <w:r>
              <w:rPr>
                <w:rFonts w:hint="default" w:ascii="Times New Roman" w:hAnsi="Times New Roman" w:eastAsia="宋体" w:cs="Times New Roman"/>
                <w:sz w:val="24"/>
                <w:szCs w:val="24"/>
                <w:u w:val="none" w:color="auto"/>
              </w:rPr>
              <w:t>环境和人体健康不会造成危害。</w:t>
            </w:r>
          </w:p>
          <w:p w14:paraId="54C299AE">
            <w:pPr>
              <w:pStyle w:val="134"/>
              <w:keepNext w:val="0"/>
              <w:keepLines w:val="0"/>
              <w:pageBreakBefore w:val="0"/>
              <w:widowControl w:val="0"/>
              <w:kinsoku/>
              <w:wordWrap/>
              <w:overflowPunct/>
              <w:topLinePunct w:val="0"/>
              <w:autoSpaceDE/>
              <w:autoSpaceDN/>
              <w:bidi w:val="0"/>
              <w:spacing w:line="360" w:lineRule="auto"/>
              <w:ind w:left="0" w:right="0" w:firstLine="476" w:firstLineChars="200"/>
              <w:jc w:val="both"/>
              <w:textAlignment w:val="auto"/>
              <w:rPr>
                <w:rFonts w:hint="default" w:ascii="Times New Roman" w:hAnsi="Times New Roman" w:eastAsia="宋体" w:cs="Times New Roman"/>
                <w:spacing w:val="-1"/>
                <w:sz w:val="24"/>
                <w:szCs w:val="24"/>
                <w:u w:val="none" w:color="auto"/>
                <w:lang w:val="en-US" w:eastAsia="zh-CN"/>
              </w:rPr>
            </w:pPr>
            <w:r>
              <w:rPr>
                <w:rFonts w:hint="default" w:ascii="Times New Roman" w:hAnsi="Times New Roman" w:eastAsia="宋体" w:cs="Times New Roman"/>
                <w:spacing w:val="-1"/>
                <w:sz w:val="24"/>
                <w:szCs w:val="24"/>
                <w:u w:val="none" w:color="auto"/>
                <w:lang w:val="en-US" w:eastAsia="zh-CN"/>
              </w:rPr>
              <w:t>此外，医疗机构需要将收集的塑料（玻璃）瓶（袋）中的废药液尽量清理干净，</w:t>
            </w:r>
            <w:r>
              <w:rPr>
                <w:rFonts w:hint="default" w:ascii="Times New Roman" w:hAnsi="Times New Roman" w:eastAsia="宋体" w:cs="Times New Roman"/>
                <w:spacing w:val="-1"/>
                <w:sz w:val="24"/>
                <w:szCs w:val="24"/>
                <w:u w:val="single" w:color="auto"/>
                <w:lang w:val="en-US" w:eastAsia="zh-CN"/>
              </w:rPr>
              <w:t>如有大量残液建设单位不能进行收集，须先将残液倾倒在医院废药液收集桶后才能回收。</w:t>
            </w:r>
          </w:p>
          <w:p w14:paraId="3AEB9010">
            <w:pPr>
              <w:pStyle w:val="134"/>
              <w:keepNext w:val="0"/>
              <w:keepLines w:val="0"/>
              <w:pageBreakBefore w:val="0"/>
              <w:widowControl w:val="0"/>
              <w:kinsoku/>
              <w:wordWrap/>
              <w:overflowPunct/>
              <w:topLinePunct w:val="0"/>
              <w:autoSpaceDE/>
              <w:autoSpaceDN/>
              <w:bidi w:val="0"/>
              <w:spacing w:line="360" w:lineRule="auto"/>
              <w:ind w:left="0" w:right="0" w:firstLine="476" w:firstLineChars="200"/>
              <w:jc w:val="both"/>
              <w:textAlignment w:val="auto"/>
              <w:rPr>
                <w:rFonts w:hint="default" w:ascii="Times New Roman" w:hAnsi="Times New Roman" w:eastAsia="宋体" w:cs="Times New Roman"/>
                <w:spacing w:val="-1"/>
                <w:sz w:val="24"/>
                <w:szCs w:val="24"/>
                <w:u w:val="none" w:color="auto"/>
              </w:rPr>
            </w:pPr>
            <w:r>
              <w:rPr>
                <w:rFonts w:hint="default" w:ascii="Times New Roman" w:hAnsi="Times New Roman" w:eastAsia="宋体" w:cs="Times New Roman"/>
                <w:spacing w:val="-1"/>
                <w:sz w:val="24"/>
                <w:szCs w:val="24"/>
                <w:u w:val="none" w:color="auto"/>
                <w:lang w:val="en-US" w:eastAsia="zh-CN"/>
              </w:rPr>
              <w:t>项目</w:t>
            </w:r>
            <w:r>
              <w:rPr>
                <w:rFonts w:hint="default" w:ascii="Times New Roman" w:hAnsi="Times New Roman" w:eastAsia="宋体" w:cs="Times New Roman"/>
                <w:spacing w:val="-1"/>
                <w:sz w:val="24"/>
                <w:szCs w:val="24"/>
                <w:u w:val="none" w:color="auto"/>
              </w:rPr>
              <w:t>收购的废塑料为保证材料的出成率，要求供应方进行初步分拣。不符合要求的原料不予进入生产，避免含有毒、有害化学品的废塑料夹混其中。另外，建设单位应建立废塑料回收情况记录， 内容包括每批次废塑料的回收时间、地点、来源（包括名称和联系方式）、数量、种类，并做好月度和年度汇总工作。</w:t>
            </w:r>
          </w:p>
          <w:p w14:paraId="682BE0A0">
            <w:pPr>
              <w:pStyle w:val="134"/>
              <w:keepNext w:val="0"/>
              <w:keepLines w:val="0"/>
              <w:pageBreakBefore w:val="0"/>
              <w:widowControl w:val="0"/>
              <w:kinsoku/>
              <w:wordWrap/>
              <w:overflowPunct/>
              <w:topLinePunct w:val="0"/>
              <w:autoSpaceDE/>
              <w:autoSpaceDN/>
              <w:bidi w:val="0"/>
              <w:spacing w:line="360" w:lineRule="auto"/>
              <w:ind w:left="0" w:right="0" w:firstLine="476" w:firstLineChars="200"/>
              <w:jc w:val="both"/>
              <w:textAlignment w:val="auto"/>
              <w:rPr>
                <w:rFonts w:hint="default" w:ascii="Times New Roman" w:hAnsi="Times New Roman" w:eastAsia="宋体" w:cs="Times New Roman"/>
                <w:spacing w:val="-1"/>
                <w:sz w:val="24"/>
                <w:szCs w:val="24"/>
                <w:u w:val="none" w:color="auto"/>
              </w:rPr>
            </w:pPr>
            <w:r>
              <w:rPr>
                <w:rFonts w:hint="default" w:ascii="Times New Roman" w:hAnsi="Times New Roman" w:eastAsia="宋体" w:cs="Times New Roman"/>
                <w:spacing w:val="-1"/>
                <w:sz w:val="24"/>
                <w:szCs w:val="24"/>
                <w:u w:val="none" w:color="auto"/>
              </w:rPr>
              <w:t>对废塑料根据生产要求、按计划回收、分期分批入库，严格控制贮存量。项目原料储存于车间内部，禁止废塑料露天堆存，同时评价要求建设单位对车间地面进行防渗处理。</w:t>
            </w:r>
          </w:p>
          <w:p w14:paraId="6D823911">
            <w:pPr>
              <w:pStyle w:val="134"/>
              <w:keepNext w:val="0"/>
              <w:keepLines w:val="0"/>
              <w:pageBreakBefore w:val="0"/>
              <w:widowControl w:val="0"/>
              <w:kinsoku/>
              <w:wordWrap/>
              <w:overflowPunct/>
              <w:topLinePunct w:val="0"/>
              <w:autoSpaceDE/>
              <w:autoSpaceDN/>
              <w:bidi w:val="0"/>
              <w:spacing w:line="360" w:lineRule="auto"/>
              <w:ind w:left="0" w:right="0" w:firstLine="476" w:firstLineChars="200"/>
              <w:jc w:val="both"/>
              <w:textAlignment w:val="auto"/>
              <w:rPr>
                <w:rFonts w:hint="default" w:ascii="Times New Roman" w:hAnsi="Times New Roman" w:eastAsia="宋体" w:cs="Times New Roman"/>
                <w:spacing w:val="-1"/>
                <w:sz w:val="24"/>
                <w:szCs w:val="24"/>
                <w:u w:val="none" w:color="auto"/>
              </w:rPr>
            </w:pPr>
            <w:r>
              <w:rPr>
                <w:rFonts w:hint="default" w:ascii="Times New Roman" w:hAnsi="Times New Roman" w:eastAsia="宋体" w:cs="Times New Roman"/>
                <w:spacing w:val="-1"/>
                <w:sz w:val="24"/>
                <w:szCs w:val="24"/>
                <w:u w:val="none" w:color="auto"/>
              </w:rPr>
              <w:t>综上所述，项目所用废塑料原料来源稳定、可靠，满足《废塑料综合利用行业规范条件》及《废塑料加工利用管理规定》要求。建设单位承诺对废塑料来源、储存、生产及产品去向进行严格控制，保证安全生产过程符合生产工艺及相关环保规范的要求。</w:t>
            </w:r>
          </w:p>
          <w:p w14:paraId="616818D6">
            <w:pPr>
              <w:adjustRightInd w:val="0"/>
              <w:snapToGrid w:val="0"/>
              <w:spacing w:before="120" w:beforeLines="50" w:line="360" w:lineRule="auto"/>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highlight w:val="none"/>
                <w14:textFill>
                  <w14:solidFill>
                    <w14:schemeClr w14:val="tx1"/>
                  </w14:solidFill>
                </w14:textFill>
              </w:rPr>
              <w:t>.</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highlight w:val="none"/>
                <w14:textFill>
                  <w14:solidFill>
                    <w14:schemeClr w14:val="tx1"/>
                  </w14:solidFill>
                </w14:textFill>
              </w:rPr>
              <w:t>.</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color w:val="000000" w:themeColor="text1"/>
                <w:sz w:val="24"/>
                <w:szCs w:val="24"/>
                <w:highlight w:val="none"/>
                <w14:textFill>
                  <w14:solidFill>
                    <w14:schemeClr w14:val="tx1"/>
                  </w14:solidFill>
                </w14:textFill>
              </w:rPr>
              <w:t xml:space="preserve"> 主要生产设备</w:t>
            </w:r>
          </w:p>
          <w:p w14:paraId="05A4FA10">
            <w:pPr>
              <w:widowControl/>
              <w:autoSpaceDE w:val="0"/>
              <w:autoSpaceDN w:val="0"/>
              <w:spacing w:line="360" w:lineRule="auto"/>
              <w:ind w:firstLine="480" w:firstLineChars="200"/>
              <w:textAlignment w:val="bottom"/>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本项目的主要生产设备详见表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-5。</w:t>
            </w:r>
          </w:p>
          <w:p w14:paraId="6C190C76">
            <w:pPr>
              <w:widowControl/>
              <w:autoSpaceDE w:val="0"/>
              <w:autoSpaceDN w:val="0"/>
              <w:spacing w:line="360" w:lineRule="auto"/>
              <w:ind w:firstLine="480" w:firstLineChars="200"/>
              <w:textAlignment w:val="bottom"/>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略</w:t>
            </w:r>
          </w:p>
          <w:p w14:paraId="178C43A5">
            <w:pPr>
              <w:keepNext/>
              <w:keepLines/>
              <w:pageBreakBefore w:val="0"/>
              <w:widowControl w:val="0"/>
              <w:kinsoku/>
              <w:wordWrap/>
              <w:overflowPunct/>
              <w:topLinePunct w:val="0"/>
              <w:autoSpaceDE/>
              <w:autoSpaceDN/>
              <w:bidi w:val="0"/>
              <w:adjustRightInd/>
              <w:snapToGrid/>
              <w:spacing w:before="157" w:beforeLines="50" w:beforeAutospacing="0" w:afterAutospacing="0" w:line="360" w:lineRule="auto"/>
              <w:jc w:val="both"/>
              <w:textAlignment w:val="auto"/>
              <w:outlineLvl w:val="2"/>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t>2.2.</w:t>
            </w:r>
            <w:r>
              <w:rPr>
                <w:rFonts w:hint="default" w:ascii="Times New Roman" w:hAnsi="Times New Roman" w:cs="Times New Roman"/>
                <w:b/>
                <w:color w:val="000000" w:themeColor="text1"/>
                <w:kern w:val="2"/>
                <w:sz w:val="24"/>
                <w:szCs w:val="24"/>
                <w:lang w:val="en-US" w:eastAsia="zh-CN" w:bidi="ar-SA"/>
                <w14:textFill>
                  <w14:solidFill>
                    <w14:schemeClr w14:val="tx1"/>
                  </w14:solidFill>
                </w14:textFill>
              </w:rPr>
              <w:t>6</w:t>
            </w:r>
            <w:r>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t xml:space="preserve"> 水平衡</w:t>
            </w:r>
          </w:p>
          <w:p w14:paraId="2279B242">
            <w:pPr>
              <w:pStyle w:val="12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本项目运营期外排废水主要为</w:t>
            </w:r>
            <w:r>
              <w:rPr>
                <w:rFonts w:hint="eastAsia" w:ascii="Times New Roman" w:hAnsi="Times New Roman" w:cs="Times New Roman"/>
                <w:color w:val="000000" w:themeColor="text1"/>
                <w:lang w:val="en-US" w:eastAsia="zh-CN"/>
                <w14:textFill>
                  <w14:solidFill>
                    <w14:schemeClr w14:val="tx1"/>
                  </w14:solidFill>
                </w14:textFill>
              </w:rPr>
              <w:t>生产废水及</w:t>
            </w:r>
            <w:r>
              <w:rPr>
                <w:rFonts w:hint="default" w:ascii="Times New Roman" w:hAnsi="Times New Roman" w:cs="Times New Roman"/>
                <w:color w:val="000000" w:themeColor="text1"/>
                <w:lang w:val="en-US" w:eastAsia="zh-CN"/>
                <w14:textFill>
                  <w14:solidFill>
                    <w14:schemeClr w14:val="tx1"/>
                  </w14:solidFill>
                </w14:textFill>
              </w:rPr>
              <w:t>职工生活用水。</w:t>
            </w:r>
          </w:p>
          <w:p w14:paraId="69C3A941">
            <w:pPr>
              <w:pStyle w:val="12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eastAsia="宋体" w:cs="Times New Roman"/>
                <w:color w:val="000000" w:themeColor="text1"/>
                <w:sz w:val="24"/>
                <w:lang w:val="en-US" w:eastAsia="zh-CN"/>
                <w14:textFill>
                  <w14:solidFill>
                    <w14:schemeClr w14:val="tx1"/>
                  </w14:solidFill>
                </w14:textFill>
              </w:rPr>
              <w:t>湿法粉碎、清洗用水</w:t>
            </w:r>
          </w:p>
          <w:p w14:paraId="67BB5C1D">
            <w:pPr>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项目生产过程中原材料采用湿法</w:t>
            </w:r>
            <w:r>
              <w:rPr>
                <w:rFonts w:hint="eastAsia" w:ascii="Times New Roman" w:hAnsi="Times New Roman" w:cs="Times New Roman"/>
                <w:color w:val="000000" w:themeColor="text1"/>
                <w:sz w:val="24"/>
                <w:lang w:val="en-US" w:eastAsia="zh-CN"/>
                <w14:textFill>
                  <w14:solidFill>
                    <w14:schemeClr w14:val="tx1"/>
                  </w14:solidFill>
                </w14:textFill>
              </w:rPr>
              <w:t>破碎</w:t>
            </w:r>
            <w:r>
              <w:rPr>
                <w:rFonts w:hint="default" w:ascii="Times New Roman" w:hAnsi="Times New Roman" w:eastAsia="宋体" w:cs="Times New Roman"/>
                <w:color w:val="000000" w:themeColor="text1"/>
                <w:sz w:val="24"/>
                <w:lang w:val="en-US" w:eastAsia="zh-CN"/>
                <w14:textFill>
                  <w14:solidFill>
                    <w14:schemeClr w14:val="tx1"/>
                  </w14:solidFill>
                </w14:textFill>
              </w:rPr>
              <w:t>+清洗的生产工艺，</w:t>
            </w:r>
            <w:r>
              <w:rPr>
                <w:rFonts w:hint="default" w:ascii="Times New Roman" w:hAnsi="Times New Roman" w:cs="Times New Roman"/>
                <w:color w:val="000000" w:themeColor="text1"/>
                <w:sz w:val="24"/>
                <w:lang w:val="en-US" w:eastAsia="zh-CN"/>
                <w14:textFill>
                  <w14:solidFill>
                    <w14:schemeClr w14:val="tx1"/>
                  </w14:solidFill>
                </w14:textFill>
              </w:rPr>
              <w:t>参考</w:t>
            </w:r>
            <w:r>
              <w:rPr>
                <w:rFonts w:hint="default" w:ascii="Times New Roman" w:hAnsi="Times New Roman" w:eastAsia="宋体" w:cs="Times New Roman"/>
                <w:color w:val="000000" w:themeColor="text1"/>
                <w:sz w:val="24"/>
                <w:lang w:val="en-US" w:eastAsia="zh-CN"/>
                <w14:textFill>
                  <w14:solidFill>
                    <w14:schemeClr w14:val="tx1"/>
                  </w14:solidFill>
                </w14:textFill>
              </w:rPr>
              <w:t>《排放源统计调查产排污核算方法和系数手册（公告2021年第24号）》中——4220 非金属废料和碎屑加工处理行业系数手册中原材料废PE/PP再生塑料粒子采用清洗或湿法破碎+清洗工艺</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工业废水量产污系数为1t/t-原料</w:t>
            </w:r>
            <w:r>
              <w:rPr>
                <w:rFonts w:hint="default" w:ascii="Times New Roman" w:hAnsi="Times New Roman" w:cs="Times New Roman"/>
                <w:color w:val="000000" w:themeColor="text1"/>
                <w:sz w:val="24"/>
                <w:lang w:val="en-US" w:eastAsia="zh-CN"/>
                <w14:textFill>
                  <w14:solidFill>
                    <w14:schemeClr w14:val="tx1"/>
                  </w14:solidFill>
                </w14:textFill>
              </w:rPr>
              <w:t>；废玻璃采用破碎+分选+水洗工艺，</w:t>
            </w:r>
            <w:r>
              <w:rPr>
                <w:rFonts w:hint="default" w:ascii="Times New Roman" w:hAnsi="Times New Roman" w:eastAsia="宋体" w:cs="Times New Roman"/>
                <w:color w:val="000000" w:themeColor="text1"/>
                <w:sz w:val="24"/>
                <w:lang w:val="en-US" w:eastAsia="zh-CN"/>
                <w14:textFill>
                  <w14:solidFill>
                    <w14:schemeClr w14:val="tx1"/>
                  </w14:solidFill>
                </w14:textFill>
              </w:rPr>
              <w:t>工业废水量产污系数为0.02t/t-原料。项目年使用塑料输液瓶（袋）6400t、生活源塑料4000t、医用玻璃瓶4000t，则项目湿法粉碎、清洗废水量为</w:t>
            </w:r>
            <w:r>
              <w:rPr>
                <w:rFonts w:hint="default" w:ascii="Times New Roman" w:hAnsi="Times New Roman" w:cs="Times New Roman"/>
                <w:color w:val="000000" w:themeColor="text1"/>
                <w:sz w:val="24"/>
                <w:lang w:val="en-US" w:eastAsia="zh-CN"/>
                <w14:textFill>
                  <w14:solidFill>
                    <w14:schemeClr w14:val="tx1"/>
                  </w14:solidFill>
                </w14:textFill>
              </w:rPr>
              <w:t>10480</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/a（</w:t>
            </w:r>
            <w:r>
              <w:rPr>
                <w:rFonts w:hint="eastAsia" w:ascii="Times New Roman" w:hAnsi="Times New Roman" w:cs="Times New Roman"/>
                <w:color w:val="000000" w:themeColor="text1"/>
                <w:sz w:val="24"/>
                <w:lang w:val="en-US" w:eastAsia="zh-CN"/>
                <w14:textFill>
                  <w14:solidFill>
                    <w14:schemeClr w14:val="tx1"/>
                  </w14:solidFill>
                </w14:textFill>
              </w:rPr>
              <w:t>即</w:t>
            </w:r>
            <w:r>
              <w:rPr>
                <w:rFonts w:hint="default" w:ascii="Times New Roman" w:hAnsi="Times New Roman" w:cs="Times New Roman"/>
                <w:color w:val="000000" w:themeColor="text1"/>
                <w:sz w:val="24"/>
                <w:lang w:val="en-US" w:eastAsia="zh-CN"/>
                <w14:textFill>
                  <w14:solidFill>
                    <w14:schemeClr w14:val="tx1"/>
                  </w14:solidFill>
                </w14:textFill>
              </w:rPr>
              <w:t>31.76</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/d）</w:t>
            </w:r>
            <w:r>
              <w:rPr>
                <w:rFonts w:hint="eastAsia" w:ascii="Times New Roman" w:hAnsi="Times New Roman" w:cs="Times New Roman"/>
                <w:color w:val="000000" w:themeColor="text1"/>
                <w:sz w:val="24"/>
                <w:lang w:val="en-US" w:eastAsia="zh-CN"/>
                <w14:textFill>
                  <w14:solidFill>
                    <w14:schemeClr w14:val="tx1"/>
                  </w14:solidFill>
                </w14:textFill>
              </w:rPr>
              <w:t>，项目废水产生量为约占总用水量的90%，则用水量为11644</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/a（</w:t>
            </w:r>
            <w:r>
              <w:rPr>
                <w:rFonts w:hint="eastAsia" w:ascii="Times New Roman" w:hAnsi="Times New Roman" w:cs="Times New Roman"/>
                <w:color w:val="000000" w:themeColor="text1"/>
                <w:sz w:val="24"/>
                <w:lang w:val="en-US" w:eastAsia="zh-CN"/>
                <w14:textFill>
                  <w14:solidFill>
                    <w14:schemeClr w14:val="tx1"/>
                  </w14:solidFill>
                </w14:textFill>
              </w:rPr>
              <w:t>即</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5.28</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/d）</w:t>
            </w:r>
            <w:r>
              <w:rPr>
                <w:rFonts w:hint="default" w:ascii="Times New Roman" w:hAnsi="Times New Roman" w:cs="Times New Roman"/>
                <w:color w:val="000000" w:themeColor="text1"/>
                <w:sz w:val="24"/>
                <w:lang w:val="en-US" w:eastAsia="zh-CN"/>
                <w14:textFill>
                  <w14:solidFill>
                    <w14:schemeClr w14:val="tx1"/>
                  </w14:solidFill>
                </w14:textFill>
              </w:rPr>
              <w:t>。</w:t>
            </w:r>
          </w:p>
          <w:p w14:paraId="74A98F16">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生产废水收集后经自建污水处理设施处理，处理后约60%的废水回用于生产，剩余40%通过园区管网排入江镜华侨农场污水处理厂进一步处理，故本项目生产废水回用量为6288m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lang w:val="en-US" w:eastAsia="zh-CN"/>
                <w14:textFill>
                  <w14:solidFill>
                    <w14:schemeClr w14:val="tx1"/>
                  </w14:solidFill>
                </w14:textFill>
              </w:rPr>
              <w:t>/a（19.06m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lang w:val="en-US" w:eastAsia="zh-CN"/>
                <w14:textFill>
                  <w14:solidFill>
                    <w14:schemeClr w14:val="tx1"/>
                  </w14:solidFill>
                </w14:textFill>
              </w:rPr>
              <w:t>/a），排放量为4192m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lang w:val="en-US" w:eastAsia="zh-CN"/>
                <w14:textFill>
                  <w14:solidFill>
                    <w14:schemeClr w14:val="tx1"/>
                  </w14:solidFill>
                </w14:textFill>
              </w:rPr>
              <w:t>/a（12.70m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lang w:val="en-US" w:eastAsia="zh-CN"/>
                <w14:textFill>
                  <w14:solidFill>
                    <w14:schemeClr w14:val="tx1"/>
                  </w14:solidFill>
                </w14:textFill>
              </w:rPr>
              <w:t>/d）。</w:t>
            </w:r>
          </w:p>
          <w:p w14:paraId="26D13454">
            <w:pPr>
              <w:keepNext/>
              <w:keepLines/>
              <w:widowControl w:val="0"/>
              <w:bidi w:val="0"/>
              <w:spacing w:line="360" w:lineRule="auto"/>
              <w:ind w:firstLine="480" w:firstLineChars="200"/>
              <w:jc w:val="both"/>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（2）生活污水</w:t>
            </w:r>
          </w:p>
          <w:p w14:paraId="1540C297">
            <w:pPr>
              <w:keepNext/>
              <w:keepLines/>
              <w:widowControl w:val="0"/>
              <w:bidi w:val="0"/>
              <w:spacing w:line="360" w:lineRule="auto"/>
              <w:ind w:firstLine="480" w:firstLineChars="200"/>
              <w:jc w:val="both"/>
              <w:outlineLvl w:val="9"/>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根据建设单位提供资料，本项目职工人数</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12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人，均不在厂区内食宿，根据《建筑给水排水设计规范》(GB50015-2019)车间工人的生活用水定额应根据车间性质确定，不住厂生活用水定额按50L/人·班计。项目全年</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工作</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3</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0天（三班制，每班8小时），则本项目职工生活用水量约为</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0.6</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t/d(</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198</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/a)，</w:t>
            </w:r>
            <w:r>
              <w:rPr>
                <w:rFonts w:hint="default" w:ascii="Times New Roman" w:hAnsi="Times New Roman" w:eastAsia="宋体" w:cs="Times New Roman"/>
                <w:color w:val="auto"/>
                <w:sz w:val="24"/>
                <w:szCs w:val="24"/>
                <w:lang w:val="en-US" w:eastAsia="zh-CN"/>
              </w:rPr>
              <w:t>根据《排放源统计调查产排污核算方法和系数手册》(公告2021年第24号)中“生活污染源产排污系数手册”可知，人均生活用水折污系数为0.85，</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则生活污水量为</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0.51</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t/d(</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168.3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t/a)。</w:t>
            </w:r>
            <w:r>
              <w:rPr>
                <w:rFonts w:hint="default" w:ascii="Times New Roman" w:hAnsi="Times New Roman" w:cs="Times New Roman"/>
                <w:color w:val="000000" w:themeColor="text1"/>
                <w:sz w:val="24"/>
                <w:szCs w:val="24"/>
                <w14:textFill>
                  <w14:solidFill>
                    <w14:schemeClr w14:val="tx1"/>
                  </w14:solidFill>
                </w14:textFill>
              </w:rPr>
              <w:t>项目给排水量见表2.2-</w:t>
            </w:r>
            <w:r>
              <w:rPr>
                <w:rFonts w:hint="default" w:ascii="Times New Roman" w:hAnsi="Times New Roman" w:cs="Times New Roman"/>
                <w:color w:val="000000" w:themeColor="text1"/>
                <w:sz w:val="24"/>
                <w:szCs w:val="24"/>
                <w:lang w:val="en-US" w:eastAsia="zh-CN"/>
                <w14:textFill>
                  <w14:solidFill>
                    <w14:schemeClr w14:val="tx1"/>
                  </w14:solidFill>
                </w14:textFill>
              </w:rPr>
              <w:t>6</w:t>
            </w:r>
            <w:r>
              <w:rPr>
                <w:rFonts w:hint="default" w:ascii="Times New Roman" w:hAnsi="Times New Roman" w:cs="Times New Roman"/>
                <w:color w:val="000000" w:themeColor="text1"/>
                <w:sz w:val="24"/>
                <w:szCs w:val="24"/>
                <w14:textFill>
                  <w14:solidFill>
                    <w14:schemeClr w14:val="tx1"/>
                  </w14:solidFill>
                </w14:textFill>
              </w:rPr>
              <w:t>。项目水平衡图详</w:t>
            </w:r>
            <w:r>
              <w:rPr>
                <w:rFonts w:hint="default" w:ascii="Times New Roman" w:hAnsi="Times New Roman" w:cs="Times New Roman"/>
                <w:color w:val="000000" w:themeColor="text1"/>
                <w:sz w:val="24"/>
                <w:szCs w:val="24"/>
                <w:highlight w:val="none"/>
                <w14:textFill>
                  <w14:solidFill>
                    <w14:schemeClr w14:val="tx1"/>
                  </w14:solidFill>
                </w14:textFill>
              </w:rPr>
              <w:t>见图2.2-</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14:textFill>
                  <w14:solidFill>
                    <w14:schemeClr w14:val="tx1"/>
                  </w14:solidFill>
                </w14:textFill>
              </w:rPr>
              <w:t>。</w:t>
            </w:r>
          </w:p>
          <w:p w14:paraId="246FA383">
            <w:pPr>
              <w:pStyle w:val="12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表2.2-</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 xml:space="preserve">  项目给排水量情况表</w:t>
            </w:r>
          </w:p>
          <w:tbl>
            <w:tblPr>
              <w:tblStyle w:val="28"/>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1841"/>
              <w:gridCol w:w="1260"/>
              <w:gridCol w:w="916"/>
              <w:gridCol w:w="895"/>
              <w:gridCol w:w="1091"/>
              <w:gridCol w:w="840"/>
              <w:gridCol w:w="954"/>
            </w:tblGrid>
            <w:tr w14:paraId="325214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1" w:type="pct"/>
                  <w:noWrap w:val="0"/>
                  <w:vAlign w:val="center"/>
                </w:tcPr>
                <w:p w14:paraId="43E21430">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序号</w:t>
                  </w:r>
                </w:p>
              </w:tc>
              <w:tc>
                <w:tcPr>
                  <w:tcW w:w="1131" w:type="pct"/>
                  <w:noWrap w:val="0"/>
                  <w:vAlign w:val="center"/>
                </w:tcPr>
                <w:p w14:paraId="6F41AB88">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用水类型</w:t>
                  </w:r>
                </w:p>
              </w:tc>
              <w:tc>
                <w:tcPr>
                  <w:tcW w:w="784" w:type="pct"/>
                  <w:noWrap w:val="0"/>
                  <w:vAlign w:val="center"/>
                </w:tcPr>
                <w:p w14:paraId="7BB3085A">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用水量系数</w:t>
                  </w:r>
                </w:p>
              </w:tc>
              <w:tc>
                <w:tcPr>
                  <w:tcW w:w="579" w:type="pct"/>
                  <w:noWrap w:val="0"/>
                  <w:vAlign w:val="center"/>
                </w:tcPr>
                <w:p w14:paraId="2B5804B1">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日用水(t/d)</w:t>
                  </w:r>
                </w:p>
              </w:tc>
              <w:tc>
                <w:tcPr>
                  <w:tcW w:w="566" w:type="pct"/>
                  <w:noWrap w:val="0"/>
                  <w:vAlign w:val="center"/>
                </w:tcPr>
                <w:p w14:paraId="79738A11">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年用水量(t/a)</w:t>
                  </w:r>
                </w:p>
              </w:tc>
              <w:tc>
                <w:tcPr>
                  <w:tcW w:w="431" w:type="pct"/>
                  <w:noWrap w:val="0"/>
                  <w:vAlign w:val="center"/>
                </w:tcPr>
                <w:p w14:paraId="6D79A942">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排放</w:t>
                  </w:r>
                </w:p>
                <w:p w14:paraId="6B353285">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系数</w:t>
                  </w:r>
                </w:p>
              </w:tc>
              <w:tc>
                <w:tcPr>
                  <w:tcW w:w="533" w:type="pct"/>
                  <w:noWrap w:val="0"/>
                  <w:vAlign w:val="center"/>
                </w:tcPr>
                <w:p w14:paraId="59712391">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日排量(t/d)</w:t>
                  </w:r>
                </w:p>
              </w:tc>
              <w:tc>
                <w:tcPr>
                  <w:tcW w:w="601" w:type="pct"/>
                  <w:noWrap w:val="0"/>
                  <w:vAlign w:val="center"/>
                </w:tcPr>
                <w:p w14:paraId="4E5CA5C0">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年排水量(t/a)</w:t>
                  </w:r>
                </w:p>
              </w:tc>
            </w:tr>
            <w:tr w14:paraId="23F419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1" w:type="pct"/>
                  <w:noWrap w:val="0"/>
                  <w:vAlign w:val="center"/>
                </w:tcPr>
                <w:p w14:paraId="15CC3731">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131" w:type="pct"/>
                  <w:noWrap w:val="0"/>
                  <w:vAlign w:val="center"/>
                </w:tcPr>
                <w:p w14:paraId="1B9C8486">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湿法粉碎、清洗用水</w:t>
                  </w:r>
                </w:p>
              </w:tc>
              <w:tc>
                <w:tcPr>
                  <w:tcW w:w="784" w:type="pct"/>
                  <w:noWrap w:val="0"/>
                  <w:vAlign w:val="center"/>
                </w:tcPr>
                <w:p w14:paraId="336357E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579" w:type="pct"/>
                  <w:noWrap w:val="0"/>
                  <w:vAlign w:val="center"/>
                </w:tcPr>
                <w:p w14:paraId="5D8B9629">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35.28</w:t>
                  </w:r>
                </w:p>
              </w:tc>
              <w:tc>
                <w:tcPr>
                  <w:tcW w:w="566" w:type="pct"/>
                  <w:noWrap w:val="0"/>
                  <w:vAlign w:val="center"/>
                </w:tcPr>
                <w:p w14:paraId="30FC6BA2">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11644</w:t>
                  </w:r>
                </w:p>
              </w:tc>
              <w:tc>
                <w:tcPr>
                  <w:tcW w:w="431" w:type="pct"/>
                  <w:noWrap w:val="0"/>
                  <w:vAlign w:val="center"/>
                </w:tcPr>
                <w:p w14:paraId="04B88C43">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90%</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cs="Times New Roman"/>
                      <w:color w:val="auto"/>
                      <w:kern w:val="2"/>
                      <w:sz w:val="21"/>
                      <w:szCs w:val="21"/>
                      <w:lang w:val="en-US" w:eastAsia="zh-CN" w:bidi="ar-SA"/>
                    </w:rPr>
                    <w:t>4</w:t>
                  </w:r>
                  <w:r>
                    <w:rPr>
                      <w:rFonts w:hint="eastAsia" w:ascii="Times New Roman" w:hAnsi="Times New Roman" w:cs="Times New Roman"/>
                      <w:color w:val="auto"/>
                      <w:kern w:val="2"/>
                      <w:sz w:val="21"/>
                      <w:szCs w:val="21"/>
                      <w:lang w:val="en-US" w:eastAsia="zh-CN" w:bidi="ar-SA"/>
                    </w:rPr>
                    <w:t>0</w:t>
                  </w:r>
                  <w:r>
                    <w:rPr>
                      <w:rFonts w:hint="default" w:ascii="Times New Roman" w:hAnsi="Times New Roman" w:cs="Times New Roman"/>
                      <w:color w:val="auto"/>
                      <w:kern w:val="2"/>
                      <w:sz w:val="21"/>
                      <w:szCs w:val="21"/>
                      <w:lang w:val="en-US" w:eastAsia="zh-CN" w:bidi="ar-SA"/>
                    </w:rPr>
                    <w:t>%</w:t>
                  </w:r>
                </w:p>
              </w:tc>
              <w:tc>
                <w:tcPr>
                  <w:tcW w:w="533" w:type="pct"/>
                  <w:noWrap w:val="0"/>
                  <w:vAlign w:val="center"/>
                </w:tcPr>
                <w:p w14:paraId="0D0EB45B">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12.7</w:t>
                  </w:r>
                </w:p>
              </w:tc>
              <w:tc>
                <w:tcPr>
                  <w:tcW w:w="601" w:type="pct"/>
                  <w:noWrap w:val="0"/>
                  <w:vAlign w:val="center"/>
                </w:tcPr>
                <w:p w14:paraId="6AF77ECE">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4192</w:t>
                  </w:r>
                </w:p>
              </w:tc>
            </w:tr>
            <w:tr w14:paraId="27DBEC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1" w:type="pct"/>
                  <w:noWrap w:val="0"/>
                  <w:vAlign w:val="center"/>
                </w:tcPr>
                <w:p w14:paraId="399F0510">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131" w:type="pct"/>
                  <w:noWrap w:val="0"/>
                  <w:vAlign w:val="center"/>
                </w:tcPr>
                <w:p w14:paraId="134AA53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职工生活用水</w:t>
                  </w:r>
                </w:p>
              </w:tc>
              <w:tc>
                <w:tcPr>
                  <w:tcW w:w="784" w:type="pct"/>
                  <w:noWrap w:val="0"/>
                  <w:vAlign w:val="center"/>
                </w:tcPr>
                <w:p w14:paraId="7205AE09">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w:t>
                  </w:r>
                  <w:r>
                    <w:rPr>
                      <w:rFonts w:hint="default" w:ascii="Times New Roman" w:hAnsi="Times New Roman" w:eastAsia="宋体" w:cs="Times New Roman"/>
                      <w:color w:val="000000" w:themeColor="text1"/>
                      <w:sz w:val="21"/>
                      <w:szCs w:val="21"/>
                      <w14:textFill>
                        <w14:solidFill>
                          <w14:schemeClr w14:val="tx1"/>
                        </w14:solidFill>
                      </w14:textFill>
                    </w:rPr>
                    <w:t>L/人▪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班</w:t>
                  </w:r>
                </w:p>
              </w:tc>
              <w:tc>
                <w:tcPr>
                  <w:tcW w:w="579" w:type="pct"/>
                  <w:noWrap w:val="0"/>
                  <w:vAlign w:val="center"/>
                </w:tcPr>
                <w:p w14:paraId="7670322B">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2.5</w:t>
                  </w:r>
                </w:p>
              </w:tc>
              <w:tc>
                <w:tcPr>
                  <w:tcW w:w="566" w:type="pct"/>
                  <w:noWrap w:val="0"/>
                  <w:vAlign w:val="center"/>
                </w:tcPr>
                <w:p w14:paraId="6E61814A">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750</w:t>
                  </w:r>
                </w:p>
              </w:tc>
              <w:tc>
                <w:tcPr>
                  <w:tcW w:w="431" w:type="pct"/>
                  <w:noWrap w:val="0"/>
                  <w:vAlign w:val="center"/>
                </w:tcPr>
                <w:p w14:paraId="2E1FBF6D">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90%</w:t>
                  </w:r>
                </w:p>
              </w:tc>
              <w:tc>
                <w:tcPr>
                  <w:tcW w:w="533" w:type="pct"/>
                  <w:noWrap w:val="0"/>
                  <w:vAlign w:val="center"/>
                </w:tcPr>
                <w:p w14:paraId="15A32801">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2.25</w:t>
                  </w:r>
                </w:p>
              </w:tc>
              <w:tc>
                <w:tcPr>
                  <w:tcW w:w="601" w:type="pct"/>
                  <w:noWrap w:val="0"/>
                  <w:vAlign w:val="center"/>
                </w:tcPr>
                <w:p w14:paraId="52974680">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675</w:t>
                  </w:r>
                </w:p>
              </w:tc>
            </w:tr>
          </w:tbl>
          <w:p w14:paraId="3111DF86">
            <w:pPr>
              <w:pStyle w:val="1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sz w:val="21"/>
              </w:rPr>
              <mc:AlternateContent>
                <mc:Choice Requires="wpg">
                  <w:drawing>
                    <wp:anchor distT="0" distB="0" distL="114300" distR="114300" simplePos="0" relativeHeight="251667456" behindDoc="0" locked="0" layoutInCell="1" allowOverlap="1">
                      <wp:simplePos x="0" y="0"/>
                      <wp:positionH relativeFrom="column">
                        <wp:posOffset>186055</wp:posOffset>
                      </wp:positionH>
                      <wp:positionV relativeFrom="paragraph">
                        <wp:posOffset>145415</wp:posOffset>
                      </wp:positionV>
                      <wp:extent cx="4768850" cy="2131060"/>
                      <wp:effectExtent l="0" t="0" r="0" b="0"/>
                      <wp:wrapNone/>
                      <wp:docPr id="95" name="组合 95"/>
                      <wp:cNvGraphicFramePr/>
                      <a:graphic xmlns:a="http://schemas.openxmlformats.org/drawingml/2006/main">
                        <a:graphicData uri="http://schemas.microsoft.com/office/word/2010/wordprocessingGroup">
                          <wpg:wgp>
                            <wpg:cNvGrpSpPr/>
                            <wpg:grpSpPr>
                              <a:xfrm>
                                <a:off x="0" y="0"/>
                                <a:ext cx="4768850" cy="2131060"/>
                                <a:chOff x="2467" y="420825"/>
                                <a:chExt cx="7510" cy="3356"/>
                              </a:xfrm>
                            </wpg:grpSpPr>
                            <wps:wsp>
                              <wps:cNvPr id="129" name="Text Box 3389"/>
                              <wps:cNvSpPr txBox="1"/>
                              <wps:spPr>
                                <a:xfrm>
                                  <a:off x="2467" y="421825"/>
                                  <a:ext cx="1449" cy="486"/>
                                </a:xfrm>
                                <a:prstGeom prst="rect">
                                  <a:avLst/>
                                </a:prstGeom>
                                <a:noFill/>
                                <a:ln>
                                  <a:noFill/>
                                </a:ln>
                              </wps:spPr>
                              <wps:txbx>
                                <w:txbxContent>
                                  <w:p w14:paraId="401F1551">
                                    <w:pPr>
                                      <w:jc w:val="left"/>
                                      <w:rPr>
                                        <w:rFonts w:hint="default" w:eastAsia="宋体"/>
                                        <w:color w:val="FF0000"/>
                                        <w:lang w:val="en-US" w:eastAsia="zh-CN"/>
                                      </w:rPr>
                                    </w:pPr>
                                    <w:r>
                                      <w:t>新鲜</w:t>
                                    </w:r>
                                    <w:r>
                                      <w:rPr>
                                        <w:rFonts w:hint="eastAsia"/>
                                      </w:rPr>
                                      <w:t>水</w:t>
                                    </w:r>
                                    <w:r>
                                      <w:rPr>
                                        <w:rFonts w:hint="eastAsia"/>
                                        <w:lang w:val="en-US" w:eastAsia="zh-CN"/>
                                      </w:rPr>
                                      <w:t>5554</w:t>
                                    </w:r>
                                  </w:p>
                                </w:txbxContent>
                              </wps:txbx>
                              <wps:bodyPr vert="horz" wrap="square" anchor="t" anchorCtr="0" upright="1"/>
                            </wps:wsp>
                            <wps:wsp>
                              <wps:cNvPr id="130" name="Line 3399"/>
                              <wps:cNvCnPr/>
                              <wps:spPr>
                                <a:xfrm>
                                  <a:off x="3988" y="421604"/>
                                  <a:ext cx="736" cy="1"/>
                                </a:xfrm>
                                <a:prstGeom prst="line">
                                  <a:avLst/>
                                </a:prstGeom>
                                <a:ln w="9525" cap="flat" cmpd="sng">
                                  <a:solidFill>
                                    <a:srgbClr val="000000"/>
                                  </a:solidFill>
                                  <a:prstDash val="solid"/>
                                  <a:round/>
                                  <a:headEnd type="none" w="med" len="med"/>
                                  <a:tailEnd type="triangle" w="med" len="med"/>
                                </a:ln>
                              </wps:spPr>
                              <wps:bodyPr upright="1"/>
                            </wps:wsp>
                            <wps:wsp>
                              <wps:cNvPr id="131" name="Rectangle 3373"/>
                              <wps:cNvSpPr/>
                              <wps:spPr>
                                <a:xfrm>
                                  <a:off x="8367" y="421369"/>
                                  <a:ext cx="1611" cy="490"/>
                                </a:xfrm>
                                <a:prstGeom prst="rect">
                                  <a:avLst/>
                                </a:prstGeom>
                                <a:noFill/>
                                <a:ln>
                                  <a:noFill/>
                                </a:ln>
                              </wps:spPr>
                              <wps:txbx>
                                <w:txbxContent>
                                  <w:p w14:paraId="32C5CF0D">
                                    <w:pPr>
                                      <w:spacing w:line="300" w:lineRule="exact"/>
                                      <w:jc w:val="center"/>
                                      <w:rPr>
                                        <w:rFonts w:hint="eastAsia" w:ascii="宋体" w:hAnsi="宋体" w:eastAsia="宋体" w:cs="宋体"/>
                                        <w:lang w:eastAsia="zh-CN"/>
                                      </w:rPr>
                                    </w:pPr>
                                    <w:r>
                                      <w:rPr>
                                        <w:rFonts w:hint="eastAsia" w:ascii="宋体" w:hAnsi="宋体" w:eastAsia="宋体" w:cs="宋体"/>
                                        <w:lang w:eastAsia="zh-CN"/>
                                      </w:rPr>
                                      <w:t>市政污水管网</w:t>
                                    </w:r>
                                  </w:p>
                                </w:txbxContent>
                              </wps:txbx>
                              <wps:bodyPr vert="horz" wrap="square" anchor="t" anchorCtr="0" upright="1"/>
                            </wps:wsp>
                            <wps:wsp>
                              <wps:cNvPr id="132" name="Text Box 3391"/>
                              <wps:cNvSpPr txBox="1"/>
                              <wps:spPr>
                                <a:xfrm>
                                  <a:off x="4724" y="421362"/>
                                  <a:ext cx="1185" cy="448"/>
                                </a:xfrm>
                                <a:prstGeom prst="rect">
                                  <a:avLst/>
                                </a:prstGeom>
                                <a:noFill/>
                                <a:ln w="9525" cap="flat" cmpd="sng">
                                  <a:solidFill>
                                    <a:srgbClr val="000000"/>
                                  </a:solidFill>
                                  <a:prstDash val="solid"/>
                                  <a:miter/>
                                  <a:headEnd type="none" w="med" len="med"/>
                                  <a:tailEnd type="none" w="med" len="med"/>
                                </a:ln>
                              </wps:spPr>
                              <wps:txbx>
                                <w:txbxContent>
                                  <w:p w14:paraId="3022C977">
                                    <w:pPr>
                                      <w:spacing w:line="300" w:lineRule="exact"/>
                                      <w:rPr>
                                        <w:rFonts w:hint="eastAsia" w:ascii="宋体" w:hAnsi="宋体" w:cs="宋体"/>
                                      </w:rPr>
                                    </w:pPr>
                                    <w:r>
                                      <w:rPr>
                                        <w:rFonts w:hint="eastAsia" w:ascii="宋体" w:hAnsi="宋体" w:cs="宋体"/>
                                      </w:rPr>
                                      <w:t>生活用水</w:t>
                                    </w:r>
                                  </w:p>
                                </w:txbxContent>
                              </wps:txbx>
                              <wps:bodyPr vert="horz" wrap="square" anchor="t" anchorCtr="0" upright="1"/>
                            </wps:wsp>
                            <wps:wsp>
                              <wps:cNvPr id="133" name="Line 3405"/>
                              <wps:cNvCnPr/>
                              <wps:spPr>
                                <a:xfrm>
                                  <a:off x="5924" y="421616"/>
                                  <a:ext cx="675" cy="1"/>
                                </a:xfrm>
                                <a:prstGeom prst="line">
                                  <a:avLst/>
                                </a:prstGeom>
                                <a:ln w="9525" cap="flat" cmpd="sng">
                                  <a:solidFill>
                                    <a:srgbClr val="000000"/>
                                  </a:solidFill>
                                  <a:prstDash val="solid"/>
                                  <a:round/>
                                  <a:headEnd type="none" w="med" len="med"/>
                                  <a:tailEnd type="triangle" w="med" len="med"/>
                                </a:ln>
                              </wps:spPr>
                              <wps:bodyPr upright="1"/>
                            </wps:wsp>
                            <wps:wsp>
                              <wps:cNvPr id="134" name="文本框 259"/>
                              <wps:cNvSpPr txBox="1"/>
                              <wps:spPr>
                                <a:xfrm>
                                  <a:off x="5319" y="420825"/>
                                  <a:ext cx="1481" cy="393"/>
                                </a:xfrm>
                                <a:prstGeom prst="rect">
                                  <a:avLst/>
                                </a:prstGeom>
                                <a:noFill/>
                                <a:ln>
                                  <a:noFill/>
                                </a:ln>
                              </wps:spPr>
                              <wps:txbx>
                                <w:txbxContent>
                                  <w:p w14:paraId="563E2178">
                                    <w:pPr>
                                      <w:jc w:val="center"/>
                                      <w:rPr>
                                        <w:rFonts w:hint="default" w:eastAsia="宋体"/>
                                        <w:lang w:val="en-US" w:eastAsia="zh-CN"/>
                                      </w:rPr>
                                    </w:pPr>
                                    <w:r>
                                      <w:t>损耗</w:t>
                                    </w:r>
                                    <w:r>
                                      <w:rPr>
                                        <w:rFonts w:hint="eastAsia"/>
                                        <w:lang w:val="en-US" w:eastAsia="zh-CN"/>
                                      </w:rPr>
                                      <w:t>29.7</w:t>
                                    </w:r>
                                  </w:p>
                                </w:txbxContent>
                              </wps:txbx>
                              <wps:bodyPr vert="horz" wrap="square" anchor="t" anchorCtr="0" upright="1"/>
                            </wps:wsp>
                            <wps:wsp>
                              <wps:cNvPr id="135" name="FreeForm 3414"/>
                              <wps:cNvSpPr/>
                              <wps:spPr>
                                <a:xfrm rot="21360000">
                                  <a:off x="5226" y="421067"/>
                                  <a:ext cx="450" cy="275"/>
                                </a:xfrm>
                                <a:custGeom>
                                  <a:avLst/>
                                  <a:gdLst/>
                                  <a:ahLst/>
                                  <a:cxnLst/>
                                  <a:pathLst>
                                    <a:path w="690" h="230">
                                      <a:moveTo>
                                        <a:pt x="0" y="230"/>
                                      </a:moveTo>
                                      <a:cubicBezTo>
                                        <a:pt x="180" y="202"/>
                                        <a:pt x="360" y="175"/>
                                        <a:pt x="390" y="140"/>
                                      </a:cubicBezTo>
                                      <a:cubicBezTo>
                                        <a:pt x="420" y="105"/>
                                        <a:pt x="130" y="40"/>
                                        <a:pt x="180" y="20"/>
                                      </a:cubicBezTo>
                                      <a:cubicBezTo>
                                        <a:pt x="230" y="0"/>
                                        <a:pt x="460" y="10"/>
                                        <a:pt x="690" y="20"/>
                                      </a:cubicBezTo>
                                    </a:path>
                                  </a:pathLst>
                                </a:custGeom>
                                <a:noFill/>
                                <a:ln w="9525" cap="flat" cmpd="sng">
                                  <a:solidFill>
                                    <a:srgbClr val="000000"/>
                                  </a:solidFill>
                                  <a:prstDash val="dash"/>
                                  <a:round/>
                                  <a:headEnd type="none" w="med" len="med"/>
                                  <a:tailEnd type="triangle" w="med" len="med"/>
                                </a:ln>
                              </wps:spPr>
                              <wps:bodyPr vert="horz" wrap="square" anchor="t" anchorCtr="0" upright="1"/>
                            </wps:wsp>
                            <wps:wsp>
                              <wps:cNvPr id="136" name="Line 3816"/>
                              <wps:cNvCnPr/>
                              <wps:spPr>
                                <a:xfrm>
                                  <a:off x="7601" y="421611"/>
                                  <a:ext cx="929" cy="1"/>
                                </a:xfrm>
                                <a:prstGeom prst="line">
                                  <a:avLst/>
                                </a:prstGeom>
                                <a:ln w="9525" cap="flat" cmpd="sng">
                                  <a:solidFill>
                                    <a:srgbClr val="000000"/>
                                  </a:solidFill>
                                  <a:prstDash val="solid"/>
                                  <a:round/>
                                  <a:headEnd type="none" w="med" len="med"/>
                                  <a:tailEnd type="triangle" w="med" len="med"/>
                                </a:ln>
                              </wps:spPr>
                              <wps:bodyPr upright="1"/>
                            </wps:wsp>
                            <wps:wsp>
                              <wps:cNvPr id="137" name="文本框 268"/>
                              <wps:cNvSpPr txBox="1"/>
                              <wps:spPr>
                                <a:xfrm>
                                  <a:off x="5758" y="421296"/>
                                  <a:ext cx="990" cy="393"/>
                                </a:xfrm>
                                <a:prstGeom prst="rect">
                                  <a:avLst/>
                                </a:prstGeom>
                                <a:noFill/>
                                <a:ln>
                                  <a:noFill/>
                                </a:ln>
                              </wps:spPr>
                              <wps:txbx>
                                <w:txbxContent>
                                  <w:p w14:paraId="47CB9EBD">
                                    <w:pPr>
                                      <w:jc w:val="center"/>
                                      <w:rPr>
                                        <w:rFonts w:hint="default" w:eastAsia="宋体"/>
                                        <w:lang w:val="en-US" w:eastAsia="zh-CN"/>
                                      </w:rPr>
                                    </w:pPr>
                                    <w:r>
                                      <w:rPr>
                                        <w:rFonts w:hint="eastAsia"/>
                                        <w:lang w:val="en-US" w:eastAsia="zh-CN"/>
                                      </w:rPr>
                                      <w:t>168.3</w:t>
                                    </w:r>
                                  </w:p>
                                </w:txbxContent>
                              </wps:txbx>
                              <wps:bodyPr vert="horz" wrap="square" anchor="t" anchorCtr="0" upright="1"/>
                            </wps:wsp>
                            <wps:wsp>
                              <wps:cNvPr id="138" name="文本框 267"/>
                              <wps:cNvSpPr txBox="1"/>
                              <wps:spPr>
                                <a:xfrm>
                                  <a:off x="7555" y="421312"/>
                                  <a:ext cx="990" cy="393"/>
                                </a:xfrm>
                                <a:prstGeom prst="rect">
                                  <a:avLst/>
                                </a:prstGeom>
                                <a:noFill/>
                                <a:ln>
                                  <a:noFill/>
                                </a:ln>
                              </wps:spPr>
                              <wps:txbx>
                                <w:txbxContent>
                                  <w:p w14:paraId="63E8F260">
                                    <w:pPr>
                                      <w:jc w:val="center"/>
                                      <w:rPr>
                                        <w:rFonts w:hint="default" w:eastAsia="宋体"/>
                                        <w:lang w:val="en-US" w:eastAsia="zh-CN"/>
                                      </w:rPr>
                                    </w:pPr>
                                    <w:r>
                                      <w:rPr>
                                        <w:rFonts w:hint="eastAsia"/>
                                        <w:lang w:val="en-US" w:eastAsia="zh-CN"/>
                                      </w:rPr>
                                      <w:t>168.3</w:t>
                                    </w:r>
                                  </w:p>
                                </w:txbxContent>
                              </wps:txbx>
                              <wps:bodyPr vert="horz" wrap="square" anchor="t" anchorCtr="0" upright="1"/>
                            </wps:wsp>
                            <wps:wsp>
                              <wps:cNvPr id="139" name="直线 265"/>
                              <wps:cNvCnPr/>
                              <wps:spPr>
                                <a:xfrm>
                                  <a:off x="3984" y="421597"/>
                                  <a:ext cx="16" cy="1216"/>
                                </a:xfrm>
                                <a:prstGeom prst="line">
                                  <a:avLst/>
                                </a:prstGeom>
                                <a:ln w="9525" cap="flat" cmpd="sng">
                                  <a:solidFill>
                                    <a:srgbClr val="000001"/>
                                  </a:solidFill>
                                  <a:prstDash val="solid"/>
                                  <a:round/>
                                  <a:headEnd type="none" w="med" len="med"/>
                                  <a:tailEnd type="none" w="med" len="med"/>
                                </a:ln>
                              </wps:spPr>
                              <wps:bodyPr upright="1"/>
                            </wps:wsp>
                            <wps:wsp>
                              <wps:cNvPr id="140" name="直线 281"/>
                              <wps:cNvCnPr/>
                              <wps:spPr>
                                <a:xfrm>
                                  <a:off x="4012" y="422795"/>
                                  <a:ext cx="736" cy="1"/>
                                </a:xfrm>
                                <a:prstGeom prst="line">
                                  <a:avLst/>
                                </a:prstGeom>
                                <a:ln w="9525" cap="flat" cmpd="sng">
                                  <a:solidFill>
                                    <a:srgbClr val="000000"/>
                                  </a:solidFill>
                                  <a:prstDash val="solid"/>
                                  <a:round/>
                                  <a:headEnd type="none" w="med" len="med"/>
                                  <a:tailEnd type="triangle" w="med" len="med"/>
                                </a:ln>
                              </wps:spPr>
                              <wps:bodyPr upright="1"/>
                            </wps:wsp>
                            <wps:wsp>
                              <wps:cNvPr id="141" name="文本框 276"/>
                              <wps:cNvSpPr txBox="1"/>
                              <wps:spPr>
                                <a:xfrm>
                                  <a:off x="4764" y="422569"/>
                                  <a:ext cx="1693" cy="448"/>
                                </a:xfrm>
                                <a:prstGeom prst="rect">
                                  <a:avLst/>
                                </a:prstGeom>
                                <a:noFill/>
                                <a:ln w="9525" cap="flat" cmpd="sng">
                                  <a:solidFill>
                                    <a:srgbClr val="000000"/>
                                  </a:solidFill>
                                  <a:prstDash val="solid"/>
                                  <a:miter/>
                                  <a:headEnd type="none" w="med" len="med"/>
                                  <a:tailEnd type="none" w="med" len="med"/>
                                </a:ln>
                              </wps:spPr>
                              <wps:txbx>
                                <w:txbxContent>
                                  <w:p w14:paraId="4FD590F0">
                                    <w:pPr>
                                      <w:spacing w:line="300" w:lineRule="exact"/>
                                      <w:jc w:val="center"/>
                                      <w:rPr>
                                        <w:rFonts w:hint="default" w:ascii="宋体" w:hAnsi="宋体" w:eastAsia="宋体" w:cs="宋体"/>
                                        <w:lang w:val="en-US" w:eastAsia="zh-CN"/>
                                      </w:rPr>
                                    </w:pPr>
                                    <w:r>
                                      <w:rPr>
                                        <w:rFonts w:hint="eastAsia" w:ascii="宋体" w:hAnsi="宋体" w:cs="宋体"/>
                                        <w:lang w:val="en-US" w:eastAsia="zh-CN"/>
                                      </w:rPr>
                                      <w:t>破碎、清洗用水</w:t>
                                    </w:r>
                                  </w:p>
                                </w:txbxContent>
                              </wps:txbx>
                              <wps:bodyPr vert="horz" wrap="square" anchor="t" anchorCtr="0" upright="1"/>
                            </wps:wsp>
                            <wps:wsp>
                              <wps:cNvPr id="142" name="直线 275"/>
                              <wps:cNvCnPr/>
                              <wps:spPr>
                                <a:xfrm>
                                  <a:off x="2795" y="422162"/>
                                  <a:ext cx="1207" cy="9"/>
                                </a:xfrm>
                                <a:prstGeom prst="line">
                                  <a:avLst/>
                                </a:prstGeom>
                                <a:ln w="9525" cap="flat" cmpd="sng">
                                  <a:solidFill>
                                    <a:srgbClr val="000000"/>
                                  </a:solidFill>
                                  <a:prstDash val="solid"/>
                                  <a:round/>
                                  <a:headEnd type="none" w="med" len="med"/>
                                  <a:tailEnd type="triangle" w="med" len="med"/>
                                </a:ln>
                              </wps:spPr>
                              <wps:bodyPr upright="1"/>
                            </wps:wsp>
                            <wps:wsp>
                              <wps:cNvPr id="143" name="直线 279"/>
                              <wps:cNvCnPr/>
                              <wps:spPr>
                                <a:xfrm>
                                  <a:off x="6452" y="422785"/>
                                  <a:ext cx="736" cy="1"/>
                                </a:xfrm>
                                <a:prstGeom prst="line">
                                  <a:avLst/>
                                </a:prstGeom>
                                <a:ln w="9525" cap="flat" cmpd="sng">
                                  <a:solidFill>
                                    <a:srgbClr val="000000"/>
                                  </a:solidFill>
                                  <a:prstDash val="solid"/>
                                  <a:round/>
                                  <a:headEnd type="none" w="med" len="med"/>
                                  <a:tailEnd type="triangle" w="med" len="med"/>
                                </a:ln>
                              </wps:spPr>
                              <wps:bodyPr upright="1"/>
                            </wps:wsp>
                            <wps:wsp>
                              <wps:cNvPr id="144" name="任意多边形 273"/>
                              <wps:cNvSpPr/>
                              <wps:spPr>
                                <a:xfrm rot="21360000">
                                  <a:off x="5332" y="422273"/>
                                  <a:ext cx="450" cy="275"/>
                                </a:xfrm>
                                <a:custGeom>
                                  <a:avLst/>
                                  <a:gdLst/>
                                  <a:ahLst/>
                                  <a:cxnLst/>
                                  <a:pathLst>
                                    <a:path w="690" h="230">
                                      <a:moveTo>
                                        <a:pt x="0" y="230"/>
                                      </a:moveTo>
                                      <a:cubicBezTo>
                                        <a:pt x="180" y="202"/>
                                        <a:pt x="360" y="175"/>
                                        <a:pt x="390" y="140"/>
                                      </a:cubicBezTo>
                                      <a:cubicBezTo>
                                        <a:pt x="420" y="105"/>
                                        <a:pt x="130" y="40"/>
                                        <a:pt x="180" y="20"/>
                                      </a:cubicBezTo>
                                      <a:cubicBezTo>
                                        <a:pt x="230" y="0"/>
                                        <a:pt x="460" y="10"/>
                                        <a:pt x="690" y="20"/>
                                      </a:cubicBezTo>
                                    </a:path>
                                  </a:pathLst>
                                </a:custGeom>
                                <a:noFill/>
                                <a:ln w="9525" cap="flat" cmpd="sng">
                                  <a:solidFill>
                                    <a:srgbClr val="000000"/>
                                  </a:solidFill>
                                  <a:prstDash val="dash"/>
                                  <a:round/>
                                  <a:headEnd type="none" w="med" len="med"/>
                                  <a:tailEnd type="triangle" w="med" len="med"/>
                                </a:ln>
                              </wps:spPr>
                              <wps:bodyPr vert="horz" wrap="square" anchor="t" anchorCtr="0" upright="1"/>
                            </wps:wsp>
                            <wps:wsp>
                              <wps:cNvPr id="145" name="文本框 261"/>
                              <wps:cNvSpPr txBox="1"/>
                              <wps:spPr>
                                <a:xfrm>
                                  <a:off x="5414" y="421966"/>
                                  <a:ext cx="1481" cy="393"/>
                                </a:xfrm>
                                <a:prstGeom prst="rect">
                                  <a:avLst/>
                                </a:prstGeom>
                                <a:noFill/>
                                <a:ln>
                                  <a:noFill/>
                                </a:ln>
                              </wps:spPr>
                              <wps:txbx>
                                <w:txbxContent>
                                  <w:p w14:paraId="31E148AC">
                                    <w:pPr>
                                      <w:jc w:val="center"/>
                                      <w:rPr>
                                        <w:rFonts w:hint="default" w:eastAsia="宋体"/>
                                        <w:lang w:val="en-US" w:eastAsia="zh-CN"/>
                                      </w:rPr>
                                    </w:pPr>
                                    <w:r>
                                      <w:t>损耗</w:t>
                                    </w:r>
                                    <w:r>
                                      <w:rPr>
                                        <w:rFonts w:hint="eastAsia"/>
                                        <w:lang w:val="en-US" w:eastAsia="zh-CN"/>
                                      </w:rPr>
                                      <w:t>1164</w:t>
                                    </w:r>
                                  </w:p>
                                </w:txbxContent>
                              </wps:txbx>
                              <wps:bodyPr vert="horz" wrap="square" anchor="t" anchorCtr="0" upright="1"/>
                            </wps:wsp>
                            <wps:wsp>
                              <wps:cNvPr id="146" name="文本框 258"/>
                              <wps:cNvSpPr txBox="1"/>
                              <wps:spPr>
                                <a:xfrm>
                                  <a:off x="3933" y="421335"/>
                                  <a:ext cx="656" cy="393"/>
                                </a:xfrm>
                                <a:prstGeom prst="rect">
                                  <a:avLst/>
                                </a:prstGeom>
                                <a:noFill/>
                                <a:ln>
                                  <a:noFill/>
                                </a:ln>
                              </wps:spPr>
                              <wps:txbx>
                                <w:txbxContent>
                                  <w:p w14:paraId="011B5AA0">
                                    <w:pPr>
                                      <w:jc w:val="both"/>
                                      <w:rPr>
                                        <w:rFonts w:hint="default" w:eastAsia="宋体"/>
                                        <w:lang w:val="en-US" w:eastAsia="zh-CN"/>
                                      </w:rPr>
                                    </w:pPr>
                                    <w:r>
                                      <w:rPr>
                                        <w:rFonts w:hint="eastAsia"/>
                                        <w:lang w:val="en-US" w:eastAsia="zh-CN"/>
                                      </w:rPr>
                                      <w:t>198</w:t>
                                    </w:r>
                                  </w:p>
                                </w:txbxContent>
                              </wps:txbx>
                              <wps:bodyPr vert="horz" wrap="square" anchor="t" anchorCtr="0" upright="1"/>
                            </wps:wsp>
                            <wps:wsp>
                              <wps:cNvPr id="147" name="文本框 274"/>
                              <wps:cNvSpPr txBox="1"/>
                              <wps:spPr>
                                <a:xfrm>
                                  <a:off x="3598" y="422476"/>
                                  <a:ext cx="1481" cy="393"/>
                                </a:xfrm>
                                <a:prstGeom prst="rect">
                                  <a:avLst/>
                                </a:prstGeom>
                                <a:noFill/>
                                <a:ln>
                                  <a:noFill/>
                                </a:ln>
                              </wps:spPr>
                              <wps:txbx>
                                <w:txbxContent>
                                  <w:p w14:paraId="228665AD">
                                    <w:pPr>
                                      <w:jc w:val="center"/>
                                      <w:rPr>
                                        <w:rFonts w:hint="default" w:eastAsia="宋体"/>
                                        <w:lang w:val="en-US" w:eastAsia="zh-CN"/>
                                      </w:rPr>
                                    </w:pPr>
                                    <w:r>
                                      <w:rPr>
                                        <w:rFonts w:hint="eastAsia"/>
                                        <w:lang w:val="en-US" w:eastAsia="zh-CN"/>
                                      </w:rPr>
                                      <w:t>5356</w:t>
                                    </w:r>
                                  </w:p>
                                </w:txbxContent>
                              </wps:txbx>
                              <wps:bodyPr vert="horz" wrap="square" anchor="t" anchorCtr="0" upright="1"/>
                            </wps:wsp>
                            <wps:wsp>
                              <wps:cNvPr id="148" name="文本框 277"/>
                              <wps:cNvSpPr txBox="1"/>
                              <wps:spPr>
                                <a:xfrm>
                                  <a:off x="5671" y="423041"/>
                                  <a:ext cx="1845" cy="393"/>
                                </a:xfrm>
                                <a:prstGeom prst="rect">
                                  <a:avLst/>
                                </a:prstGeom>
                                <a:noFill/>
                                <a:ln>
                                  <a:noFill/>
                                </a:ln>
                              </wps:spPr>
                              <wps:txbx>
                                <w:txbxContent>
                                  <w:p w14:paraId="57912C75">
                                    <w:pPr>
                                      <w:jc w:val="center"/>
                                      <w:rPr>
                                        <w:rFonts w:hint="default" w:eastAsia="宋体"/>
                                        <w:lang w:val="en-US" w:eastAsia="zh-CN"/>
                                      </w:rPr>
                                    </w:pPr>
                                    <w:r>
                                      <w:rPr>
                                        <w:rFonts w:hint="eastAsia" w:eastAsia="宋体"/>
                                        <w:lang w:val="en-US" w:eastAsia="zh-CN"/>
                                      </w:rPr>
                                      <w:t>循环回用</w:t>
                                    </w:r>
                                    <w:r>
                                      <w:rPr>
                                        <w:rFonts w:hint="eastAsia"/>
                                        <w:lang w:val="en-US" w:eastAsia="zh-CN"/>
                                      </w:rPr>
                                      <w:t>6288</w:t>
                                    </w:r>
                                  </w:p>
                                </w:txbxContent>
                              </wps:txbx>
                              <wps:bodyPr vert="horz" wrap="square" anchor="t" anchorCtr="0" upright="1"/>
                            </wps:wsp>
                            <wps:wsp>
                              <wps:cNvPr id="149" name="文本框 272"/>
                              <wps:cNvSpPr txBox="1"/>
                              <wps:spPr>
                                <a:xfrm>
                                  <a:off x="7187" y="422585"/>
                                  <a:ext cx="1752" cy="448"/>
                                </a:xfrm>
                                <a:prstGeom prst="rect">
                                  <a:avLst/>
                                </a:prstGeom>
                                <a:noFill/>
                                <a:ln w="9525" cap="flat" cmpd="sng">
                                  <a:solidFill>
                                    <a:srgbClr val="000000"/>
                                  </a:solidFill>
                                  <a:prstDash val="solid"/>
                                  <a:miter/>
                                  <a:headEnd type="none" w="med" len="med"/>
                                  <a:tailEnd type="none" w="med" len="med"/>
                                </a:ln>
                              </wps:spPr>
                              <wps:txbx>
                                <w:txbxContent>
                                  <w:p w14:paraId="36314BBF">
                                    <w:pPr>
                                      <w:spacing w:line="300" w:lineRule="exact"/>
                                      <w:rPr>
                                        <w:rFonts w:hint="default" w:ascii="宋体" w:hAnsi="宋体" w:eastAsia="宋体" w:cs="宋体"/>
                                        <w:lang w:val="en-US" w:eastAsia="zh-CN"/>
                                      </w:rPr>
                                    </w:pPr>
                                    <w:r>
                                      <w:rPr>
                                        <w:rFonts w:hint="eastAsia" w:ascii="宋体" w:hAnsi="宋体" w:cs="宋体"/>
                                        <w:lang w:val="en-US" w:eastAsia="zh-CN"/>
                                      </w:rPr>
                                      <w:t>污水处理设施</w:t>
                                    </w:r>
                                  </w:p>
                                </w:txbxContent>
                              </wps:txbx>
                              <wps:bodyPr vert="horz" wrap="square" anchor="t" anchorCtr="0" upright="1"/>
                            </wps:wsp>
                            <wps:wsp>
                              <wps:cNvPr id="150" name="Text Box 3391"/>
                              <wps:cNvSpPr txBox="1"/>
                              <wps:spPr>
                                <a:xfrm>
                                  <a:off x="6593" y="421399"/>
                                  <a:ext cx="1001" cy="448"/>
                                </a:xfrm>
                                <a:prstGeom prst="rect">
                                  <a:avLst/>
                                </a:prstGeom>
                                <a:noFill/>
                                <a:ln w="9525" cap="flat" cmpd="sng">
                                  <a:solidFill>
                                    <a:srgbClr val="000000"/>
                                  </a:solidFill>
                                  <a:prstDash val="solid"/>
                                  <a:miter/>
                                  <a:headEnd type="none" w="med" len="med"/>
                                  <a:tailEnd type="none" w="med" len="med"/>
                                </a:ln>
                              </wps:spPr>
                              <wps:txbx>
                                <w:txbxContent>
                                  <w:p w14:paraId="4E31A19F">
                                    <w:pPr>
                                      <w:spacing w:line="300" w:lineRule="exact"/>
                                      <w:jc w:val="center"/>
                                      <w:rPr>
                                        <w:rFonts w:hint="eastAsia" w:ascii="宋体" w:hAnsi="宋体" w:eastAsia="宋体" w:cs="宋体"/>
                                        <w:lang w:eastAsia="zh-CN"/>
                                      </w:rPr>
                                    </w:pPr>
                                    <w:r>
                                      <w:rPr>
                                        <w:rFonts w:hint="eastAsia" w:ascii="宋体" w:hAnsi="宋体" w:cs="宋体"/>
                                        <w:lang w:eastAsia="zh-CN"/>
                                      </w:rPr>
                                      <w:t>化粪池</w:t>
                                    </w:r>
                                  </w:p>
                                </w:txbxContent>
                              </wps:txbx>
                              <wps:bodyPr vert="horz" wrap="square" anchor="t" anchorCtr="0" upright="1"/>
                            </wps:wsp>
                            <wps:wsp>
                              <wps:cNvPr id="151" name="自选图形 285"/>
                              <wps:cNvCnPr>
                                <a:stCxn id="149" idx="2"/>
                                <a:endCxn id="141" idx="2"/>
                              </wps:cNvCnPr>
                              <wps:spPr>
                                <a:xfrm rot="5400000" flipH="1">
                                  <a:off x="6829" y="421799"/>
                                  <a:ext cx="16" cy="2452"/>
                                </a:xfrm>
                                <a:prstGeom prst="bentConnector3">
                                  <a:avLst>
                                    <a:gd name="adj1" fmla="val -2343750"/>
                                  </a:avLst>
                                </a:prstGeom>
                                <a:ln w="9525" cap="flat" cmpd="sng">
                                  <a:solidFill>
                                    <a:srgbClr val="000000"/>
                                  </a:solidFill>
                                  <a:prstDash val="solid"/>
                                  <a:miter/>
                                  <a:headEnd type="none" w="med" len="med"/>
                                  <a:tailEnd type="triangle" w="med" len="med"/>
                                </a:ln>
                              </wps:spPr>
                              <wps:bodyPr/>
                            </wps:wsp>
                            <wps:wsp>
                              <wps:cNvPr id="152" name="Text Box 3413"/>
                              <wps:cNvSpPr txBox="1"/>
                              <wps:spPr>
                                <a:xfrm>
                                  <a:off x="3892" y="423665"/>
                                  <a:ext cx="5083" cy="516"/>
                                </a:xfrm>
                                <a:prstGeom prst="rect">
                                  <a:avLst/>
                                </a:prstGeom>
                                <a:noFill/>
                                <a:ln>
                                  <a:noFill/>
                                </a:ln>
                              </wps:spPr>
                              <wps:txbx>
                                <w:txbxContent>
                                  <w:p w14:paraId="711B7782">
                                    <w:pPr>
                                      <w:jc w:val="center"/>
                                      <w:rPr>
                                        <w:color w:val="auto"/>
                                        <w:sz w:val="24"/>
                                      </w:rPr>
                                    </w:pPr>
                                    <w:r>
                                      <w:rPr>
                                        <w:rFonts w:eastAsia="黑体"/>
                                        <w:color w:val="auto"/>
                                        <w:sz w:val="24"/>
                                      </w:rPr>
                                      <w:t>图</w:t>
                                    </w:r>
                                    <w:r>
                                      <w:rPr>
                                        <w:rFonts w:hint="eastAsia" w:eastAsia="黑体"/>
                                        <w:color w:val="auto"/>
                                        <w:sz w:val="24"/>
                                      </w:rPr>
                                      <w:t>2.2-2</w:t>
                                    </w:r>
                                    <w:r>
                                      <w:rPr>
                                        <w:rFonts w:eastAsia="黑体"/>
                                        <w:color w:val="auto"/>
                                        <w:sz w:val="24"/>
                                      </w:rPr>
                                      <w:t xml:space="preserve">  项目水平衡图(单位：t/</w:t>
                                    </w:r>
                                    <w:r>
                                      <w:rPr>
                                        <w:rFonts w:hint="eastAsia" w:eastAsia="黑体"/>
                                        <w:color w:val="auto"/>
                                        <w:sz w:val="24"/>
                                        <w:lang w:val="en-US" w:eastAsia="zh-CN"/>
                                      </w:rPr>
                                      <w:t>a</w:t>
                                    </w:r>
                                    <w:r>
                                      <w:rPr>
                                        <w:rFonts w:eastAsia="黑体"/>
                                        <w:color w:val="auto"/>
                                        <w:sz w:val="24"/>
                                      </w:rPr>
                                      <w:t>)</w:t>
                                    </w:r>
                                  </w:p>
                                </w:txbxContent>
                              </wps:txbx>
                              <wps:bodyPr vert="horz" wrap="square" anchor="t" anchorCtr="0" upright="1"/>
                            </wps:wsp>
                            <wps:wsp>
                              <wps:cNvPr id="88" name="直线 279"/>
                              <wps:cNvCnPr>
                                <a:stCxn id="149" idx="0"/>
                                <a:endCxn id="138" idx="2"/>
                              </wps:cNvCnPr>
                              <wps:spPr>
                                <a:xfrm flipH="1" flipV="1">
                                  <a:off x="8050" y="421705"/>
                                  <a:ext cx="13" cy="880"/>
                                </a:xfrm>
                                <a:prstGeom prst="line">
                                  <a:avLst/>
                                </a:prstGeom>
                                <a:ln w="9525" cap="flat" cmpd="sng">
                                  <a:solidFill>
                                    <a:srgbClr val="000000"/>
                                  </a:solidFill>
                                  <a:prstDash val="solid"/>
                                  <a:round/>
                                  <a:headEnd type="none" w="med" len="med"/>
                                  <a:tailEnd type="triangle" w="med" len="med"/>
                                </a:ln>
                              </wps:spPr>
                              <wps:bodyPr upright="1"/>
                            </wps:wsp>
                            <wps:wsp>
                              <wps:cNvPr id="89" name="文本框 267"/>
                              <wps:cNvSpPr txBox="1"/>
                              <wps:spPr>
                                <a:xfrm>
                                  <a:off x="7870" y="422002"/>
                                  <a:ext cx="990" cy="393"/>
                                </a:xfrm>
                                <a:prstGeom prst="rect">
                                  <a:avLst/>
                                </a:prstGeom>
                                <a:noFill/>
                                <a:ln>
                                  <a:noFill/>
                                </a:ln>
                              </wps:spPr>
                              <wps:txbx>
                                <w:txbxContent>
                                  <w:p w14:paraId="196EF5C2">
                                    <w:pPr>
                                      <w:jc w:val="center"/>
                                      <w:rPr>
                                        <w:rFonts w:hint="default" w:eastAsia="宋体"/>
                                        <w:lang w:val="en-US" w:eastAsia="zh-CN"/>
                                      </w:rPr>
                                    </w:pPr>
                                    <w:r>
                                      <w:rPr>
                                        <w:rFonts w:hint="eastAsia"/>
                                        <w:lang w:val="en-US" w:eastAsia="zh-CN"/>
                                      </w:rPr>
                                      <w:t>4192</w:t>
                                    </w:r>
                                  </w:p>
                                </w:txbxContent>
                              </wps:txbx>
                              <wps:bodyPr vert="horz" wrap="square" anchor="t" anchorCtr="0" upright="1"/>
                            </wps:wsp>
                          </wpg:wgp>
                        </a:graphicData>
                      </a:graphic>
                    </wp:anchor>
                  </w:drawing>
                </mc:Choice>
                <mc:Fallback>
                  <w:pict>
                    <v:group id="_x0000_s1026" o:spid="_x0000_s1026" o:spt="203" style="position:absolute;left:0pt;margin-left:14.65pt;margin-top:11.45pt;height:167.8pt;width:375.5pt;z-index:251667456;mso-width-relative:page;mso-height-relative:page;" coordorigin="2467,420825" coordsize="7510,3356" o:gfxdata="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">
                      <o:lock v:ext="edit" aspectratio="f"/>
                      <v:shape id="Text Box 3389" o:spid="_x0000_s1026" o:spt="202" type="#_x0000_t202" style="position:absolute;left:2467;top:421825;height:486;width:1449;" filled="f" stroked="f" coordsize="21600,21600" o:gfxdata="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CB7ZC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401F1551">
                              <w:pPr>
                                <w:jc w:val="left"/>
                                <w:rPr>
                                  <w:rFonts w:hint="default" w:eastAsia="宋体"/>
                                  <w:color w:val="FF0000"/>
                                  <w:lang w:val="en-US" w:eastAsia="zh-CN"/>
                                </w:rPr>
                              </w:pPr>
                              <w:r>
                                <w:t>新鲜</w:t>
                              </w:r>
                              <w:r>
                                <w:rPr>
                                  <w:rFonts w:hint="eastAsia"/>
                                </w:rPr>
                                <w:t>水</w:t>
                              </w:r>
                              <w:r>
                                <w:rPr>
                                  <w:rFonts w:hint="eastAsia"/>
                                  <w:lang w:val="en-US" w:eastAsia="zh-CN"/>
                                </w:rPr>
                                <w:t>5554</w:t>
                              </w:r>
                            </w:p>
                          </w:txbxContent>
                        </v:textbox>
                      </v:shape>
                      <v:line id="Line 3399" o:spid="_x0000_s1026" o:spt="20" style="position:absolute;left:3988;top:421604;height:1;width:736;" filled="f" stroked="t" coordsize="21600,21600" o:gfxdata="UEsDBAoAAAAAAIdO4kAAAAAAAAAAAAAAAAAEAAAAZHJzL1BLAwQUAAAACACHTuJAKNE0C8AAAADc&#10;AAAADwAAAGRycy9kb3ducmV2LnhtbEWPT2vCQBDF74V+h2UK3uomC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0TQ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Rectangle 3373" o:spid="_x0000_s1026" o:spt="1" style="position:absolute;left:8367;top:421369;height:490;width:1611;" filled="f" stroked="f" coordsize="21600,21600" o:gfxdata="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Qzzu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32C5CF0D">
                              <w:pPr>
                                <w:spacing w:line="300" w:lineRule="exact"/>
                                <w:jc w:val="center"/>
                                <w:rPr>
                                  <w:rFonts w:hint="eastAsia" w:ascii="宋体" w:hAnsi="宋体" w:eastAsia="宋体" w:cs="宋体"/>
                                  <w:lang w:eastAsia="zh-CN"/>
                                </w:rPr>
                              </w:pPr>
                              <w:r>
                                <w:rPr>
                                  <w:rFonts w:hint="eastAsia" w:ascii="宋体" w:hAnsi="宋体" w:eastAsia="宋体" w:cs="宋体"/>
                                  <w:lang w:eastAsia="zh-CN"/>
                                </w:rPr>
                                <w:t>市政污水管网</w:t>
                              </w:r>
                            </w:p>
                          </w:txbxContent>
                        </v:textbox>
                      </v:rect>
                      <v:shape id="Text Box 3391" o:spid="_x0000_s1026" o:spt="202" type="#_x0000_t202" style="position:absolute;left:4724;top:421362;height:448;width:1185;" filled="f" stroked="t" coordsize="21600,21600" o:gfxdata="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skPm/&#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14:paraId="3022C977">
                              <w:pPr>
                                <w:spacing w:line="300" w:lineRule="exact"/>
                                <w:rPr>
                                  <w:rFonts w:hint="eastAsia" w:ascii="宋体" w:hAnsi="宋体" w:cs="宋体"/>
                                </w:rPr>
                              </w:pPr>
                              <w:r>
                                <w:rPr>
                                  <w:rFonts w:hint="eastAsia" w:ascii="宋体" w:hAnsi="宋体" w:cs="宋体"/>
                                </w:rPr>
                                <w:t>生活用水</w:t>
                              </w:r>
                            </w:p>
                          </w:txbxContent>
                        </v:textbox>
                      </v:shape>
                      <v:line id="Line 3405" o:spid="_x0000_s1026" o:spt="20" style="position:absolute;left:5924;top:421616;height:1;width:675;" filled="f" stroked="t" coordsize="21600,21600" o:gfxdata="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A6p8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259" o:spid="_x0000_s1026" o:spt="202" type="#_x0000_t202" style="position:absolute;left:5319;top:420825;height:393;width:1481;" filled="f" stroked="f" coordsize="21600,21600" o:gfxdata="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Z1NO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563E2178">
                              <w:pPr>
                                <w:jc w:val="center"/>
                                <w:rPr>
                                  <w:rFonts w:hint="default" w:eastAsia="宋体"/>
                                  <w:lang w:val="en-US" w:eastAsia="zh-CN"/>
                                </w:rPr>
                              </w:pPr>
                              <w:r>
                                <w:t>损耗</w:t>
                              </w:r>
                              <w:r>
                                <w:rPr>
                                  <w:rFonts w:hint="eastAsia"/>
                                  <w:lang w:val="en-US" w:eastAsia="zh-CN"/>
                                </w:rPr>
                                <w:t>29.7</w:t>
                              </w:r>
                            </w:p>
                          </w:txbxContent>
                        </v:textbox>
                      </v:shape>
                      <v:shape id="FreeForm 3414" o:spid="_x0000_s1026" o:spt="100" style="position:absolute;left:5226;top:421067;height:275;width:450;rotation:-262144f;" filled="f" stroked="t" coordsize="690,230" o:gfxdata="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dHSi5AAAA3AAA&#10;AA8AAAAAAAAAAQAgAAAAIgAAAGRycy9kb3ducmV2LnhtbFBLAQIUABQAAAAIAIdO4kAzLwWeOwAA&#10;ADkAAAAQAAAAAAAAAAEAIAAAAAgBAABkcnMvc2hhcGV4bWwueG1sUEsFBgAAAAAGAAYAWwEAALID&#10;AAAAAA==&#10;" path="m0,230c180,202,360,175,390,140c420,105,130,40,180,20c230,0,460,10,690,20e">
                        <v:fill on="f" focussize="0,0"/>
                        <v:stroke color="#000000" joinstyle="round" dashstyle="dash" endarrow="block"/>
                        <v:imagedata o:title=""/>
                        <o:lock v:ext="edit" aspectratio="f"/>
                      </v:shape>
                      <v:line id="Line 3816" o:spid="_x0000_s1026" o:spt="20" style="position:absolute;left:7601;top:421611;height:1;width:929;" filled="f" stroked="t" coordsize="21600,21600" o:gfxdata="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Ank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268" o:spid="_x0000_s1026" o:spt="202" type="#_x0000_t202" style="position:absolute;left:5758;top:421296;height:393;width:990;" filled="f" stroked="f" coordsize="21600,21600" o:gfxdata="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4tKp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47CB9EBD">
                              <w:pPr>
                                <w:jc w:val="center"/>
                                <w:rPr>
                                  <w:rFonts w:hint="default" w:eastAsia="宋体"/>
                                  <w:lang w:val="en-US" w:eastAsia="zh-CN"/>
                                </w:rPr>
                              </w:pPr>
                              <w:r>
                                <w:rPr>
                                  <w:rFonts w:hint="eastAsia"/>
                                  <w:lang w:val="en-US" w:eastAsia="zh-CN"/>
                                </w:rPr>
                                <w:t>168.3</w:t>
                              </w:r>
                            </w:p>
                          </w:txbxContent>
                        </v:textbox>
                      </v:shape>
                      <v:shape id="文本框 267" o:spid="_x0000_s1026" o:spt="202" type="#_x0000_t202" style="position:absolute;left:7555;top:421312;height:393;width:990;" filled="f" stroked="f" coordsize="21600,21600" o:gfxdata="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Te1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63E8F260">
                              <w:pPr>
                                <w:jc w:val="center"/>
                                <w:rPr>
                                  <w:rFonts w:hint="default" w:eastAsia="宋体"/>
                                  <w:lang w:val="en-US" w:eastAsia="zh-CN"/>
                                </w:rPr>
                              </w:pPr>
                              <w:r>
                                <w:rPr>
                                  <w:rFonts w:hint="eastAsia"/>
                                  <w:lang w:val="en-US" w:eastAsia="zh-CN"/>
                                </w:rPr>
                                <w:t>168.3</w:t>
                              </w:r>
                            </w:p>
                          </w:txbxContent>
                        </v:textbox>
                      </v:shape>
                      <v:line id="直线 265" o:spid="_x0000_s1026" o:spt="20" style="position:absolute;left:3984;top:421597;height:1216;width:16;" filled="f" stroked="t" coordsize="21600,21600" o:gfxdata="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wjZs7gAAADcAAAA&#10;DwAAAAAAAAABACAAAAAiAAAAZHJzL2Rvd25yZXYueG1sUEsBAhQAFAAAAAgAh07iQDMvBZ47AAAA&#10;OQAAABAAAAAAAAAAAQAgAAAABwEAAGRycy9zaGFwZXhtbC54bWxQSwUGAAAAAAYABgBbAQAAsQMA&#10;AAAA&#10;">
                        <v:fill on="f" focussize="0,0"/>
                        <v:stroke color="#000001" joinstyle="round"/>
                        <v:imagedata o:title=""/>
                        <o:lock v:ext="edit" aspectratio="f"/>
                      </v:line>
                      <v:line id="直线 281" o:spid="_x0000_s1026" o:spt="20" style="position:absolute;left:4012;top:422795;height:1;width:736;" filled="f" stroked="t" coordsize="21600,21600" o:gfxdata="UEsDBAoAAAAAAIdO4kAAAAAAAAAAAAAAAAAEAAAAZHJzL1BLAwQUAAAACACHTuJAcNdHdsAAAADc&#10;AAAADwAAAGRycy9kb3ducmV2LnhtbEWPT2vCQBDF74V+h2UK3uomI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10d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276" o:spid="_x0000_s1026" o:spt="202" type="#_x0000_t202" style="position:absolute;left:4764;top:422569;height:448;width:1693;" filled="f" stroked="t" coordsize="21600,21600" o:gfxdata="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4ffO/&#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14:paraId="4FD590F0">
                              <w:pPr>
                                <w:spacing w:line="300" w:lineRule="exact"/>
                                <w:jc w:val="center"/>
                                <w:rPr>
                                  <w:rFonts w:hint="default" w:ascii="宋体" w:hAnsi="宋体" w:eastAsia="宋体" w:cs="宋体"/>
                                  <w:lang w:val="en-US" w:eastAsia="zh-CN"/>
                                </w:rPr>
                              </w:pPr>
                              <w:r>
                                <w:rPr>
                                  <w:rFonts w:hint="eastAsia" w:ascii="宋体" w:hAnsi="宋体" w:cs="宋体"/>
                                  <w:lang w:val="en-US" w:eastAsia="zh-CN"/>
                                </w:rPr>
                                <w:t>破碎、清洗用水</w:t>
                              </w:r>
                            </w:p>
                          </w:txbxContent>
                        </v:textbox>
                      </v:shape>
                      <v:line id="直线 275" o:spid="_x0000_s1026" o:spt="20" style="position:absolute;left:2795;top:422162;height:9;width:1207;" filled="f" stroked="t" coordsize="21600,21600" o:gfxdata="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0l8m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279" o:spid="_x0000_s1026" o:spt="20" style="position:absolute;left:6452;top:422785;height:1;width:736;" filled="f" stroked="t" coordsize="21600,21600" o:gfxdata="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BdkB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任意多边形 273" o:spid="_x0000_s1026" o:spt="100" style="position:absolute;left:5332;top:422273;height:275;width:450;rotation:-262144f;" filled="f" stroked="t" coordsize="690,230" o:gfxdata="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F8vOugAAANwA&#10;AAAPAAAAAAAAAAEAIAAAACIAAABkcnMvZG93bnJldi54bWxQSwECFAAUAAAACACHTuJAMy8FnjsA&#10;AAA5AAAAEAAAAAAAAAABACAAAAAJAQAAZHJzL3NoYXBleG1sLnhtbFBLBQYAAAAABgAGAFsBAACz&#10;AwAAAAA=&#10;" path="m0,230c180,202,360,175,390,140c420,105,130,40,180,20c230,0,460,10,690,20e">
                        <v:fill on="f" focussize="0,0"/>
                        <v:stroke color="#000000" joinstyle="round" dashstyle="dash" endarrow="block"/>
                        <v:imagedata o:title=""/>
                        <o:lock v:ext="edit" aspectratio="f"/>
                      </v:shape>
                      <v:shape id="文本框 261" o:spid="_x0000_s1026" o:spt="202" type="#_x0000_t202" style="position:absolute;left:5414;top:421966;height:393;width:1481;" filled="f" stroked="f" coordsize="21600,21600" o:gfxdata="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wTAjW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31E148AC">
                              <w:pPr>
                                <w:jc w:val="center"/>
                                <w:rPr>
                                  <w:rFonts w:hint="default" w:eastAsia="宋体"/>
                                  <w:lang w:val="en-US" w:eastAsia="zh-CN"/>
                                </w:rPr>
                              </w:pPr>
                              <w:r>
                                <w:t>损耗</w:t>
                              </w:r>
                              <w:r>
                                <w:rPr>
                                  <w:rFonts w:hint="eastAsia"/>
                                  <w:lang w:val="en-US" w:eastAsia="zh-CN"/>
                                </w:rPr>
                                <w:t>1164</w:t>
                              </w:r>
                            </w:p>
                          </w:txbxContent>
                        </v:textbox>
                      </v:shape>
                      <v:shape id="文本框 258" o:spid="_x0000_s1026" o:spt="202" type="#_x0000_t202" style="position:absolute;left:3933;top:421335;height:393;width:656;" filled="f" stroked="f" coordsize="21600,21600" o:gfxdata="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zBnEK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011B5AA0">
                              <w:pPr>
                                <w:jc w:val="both"/>
                                <w:rPr>
                                  <w:rFonts w:hint="default" w:eastAsia="宋体"/>
                                  <w:lang w:val="en-US" w:eastAsia="zh-CN"/>
                                </w:rPr>
                              </w:pPr>
                              <w:r>
                                <w:rPr>
                                  <w:rFonts w:hint="eastAsia"/>
                                  <w:lang w:val="en-US" w:eastAsia="zh-CN"/>
                                </w:rPr>
                                <w:t>198</w:t>
                              </w:r>
                            </w:p>
                          </w:txbxContent>
                        </v:textbox>
                      </v:shape>
                      <v:shape id="文本框 274" o:spid="_x0000_s1026" o:spt="202" type="#_x0000_t202" style="position:absolute;left:3598;top:422476;height:393;width:1481;" filled="f" stroked="f" coordsize="21600,21600" o:gfxdata="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NOdm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228665AD">
                              <w:pPr>
                                <w:jc w:val="center"/>
                                <w:rPr>
                                  <w:rFonts w:hint="default" w:eastAsia="宋体"/>
                                  <w:lang w:val="en-US" w:eastAsia="zh-CN"/>
                                </w:rPr>
                              </w:pPr>
                              <w:r>
                                <w:rPr>
                                  <w:rFonts w:hint="eastAsia"/>
                                  <w:lang w:val="en-US" w:eastAsia="zh-CN"/>
                                </w:rPr>
                                <w:t>5356</w:t>
                              </w:r>
                            </w:p>
                          </w:txbxContent>
                        </v:textbox>
                      </v:shape>
                      <v:shape id="文本框 277" o:spid="_x0000_s1026" o:spt="202" type="#_x0000_t202" style="position:absolute;left:5671;top:423041;height:393;width:1845;" filled="f" stroked="f" coordsize="21600,21600" o:gfxdata="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q2r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7912C75">
                              <w:pPr>
                                <w:jc w:val="center"/>
                                <w:rPr>
                                  <w:rFonts w:hint="default" w:eastAsia="宋体"/>
                                  <w:lang w:val="en-US" w:eastAsia="zh-CN"/>
                                </w:rPr>
                              </w:pPr>
                              <w:r>
                                <w:rPr>
                                  <w:rFonts w:hint="eastAsia" w:eastAsia="宋体"/>
                                  <w:lang w:val="en-US" w:eastAsia="zh-CN"/>
                                </w:rPr>
                                <w:t>循环回用</w:t>
                              </w:r>
                              <w:r>
                                <w:rPr>
                                  <w:rFonts w:hint="eastAsia"/>
                                  <w:lang w:val="en-US" w:eastAsia="zh-CN"/>
                                </w:rPr>
                                <w:t>6288</w:t>
                              </w:r>
                            </w:p>
                          </w:txbxContent>
                        </v:textbox>
                      </v:shape>
                      <v:shape id="文本框 272" o:spid="_x0000_s1026" o:spt="202" type="#_x0000_t202" style="position:absolute;left:7187;top:422585;height:448;width:1752;" filled="f" stroked="t" coordsize="21600,21600" o:gfxdata="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05x9b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36314BBF">
                              <w:pPr>
                                <w:spacing w:line="300" w:lineRule="exact"/>
                                <w:rPr>
                                  <w:rFonts w:hint="default" w:ascii="宋体" w:hAnsi="宋体" w:eastAsia="宋体" w:cs="宋体"/>
                                  <w:lang w:val="en-US" w:eastAsia="zh-CN"/>
                                </w:rPr>
                              </w:pPr>
                              <w:r>
                                <w:rPr>
                                  <w:rFonts w:hint="eastAsia" w:ascii="宋体" w:hAnsi="宋体" w:cs="宋体"/>
                                  <w:lang w:val="en-US" w:eastAsia="zh-CN"/>
                                </w:rPr>
                                <w:t>污水处理设施</w:t>
                              </w:r>
                            </w:p>
                          </w:txbxContent>
                        </v:textbox>
                      </v:shape>
                      <v:shape id="Text Box 3391" o:spid="_x0000_s1026" o:spt="202" type="#_x0000_t202" style="position:absolute;left:6593;top:421399;height:448;width:1001;" filled="f" stroked="t" coordsize="21600,21600" o:gfxdata="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61Otb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4E31A19F">
                              <w:pPr>
                                <w:spacing w:line="300" w:lineRule="exact"/>
                                <w:jc w:val="center"/>
                                <w:rPr>
                                  <w:rFonts w:hint="eastAsia" w:ascii="宋体" w:hAnsi="宋体" w:eastAsia="宋体" w:cs="宋体"/>
                                  <w:lang w:eastAsia="zh-CN"/>
                                </w:rPr>
                              </w:pPr>
                              <w:r>
                                <w:rPr>
                                  <w:rFonts w:hint="eastAsia" w:ascii="宋体" w:hAnsi="宋体" w:cs="宋体"/>
                                  <w:lang w:eastAsia="zh-CN"/>
                                </w:rPr>
                                <w:t>化粪池</w:t>
                              </w:r>
                            </w:p>
                          </w:txbxContent>
                        </v:textbox>
                      </v:shape>
                      <v:shape id="自选图形 285" o:spid="_x0000_s1026" o:spt="34" type="#_x0000_t34" style="position:absolute;left:6829;top:421799;flip:x;height:2452;width:16;rotation:-5898240f;" filled="f" stroked="t" coordsize="21600,21600" o:gfxdata="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dAumugAAANwA&#10;AAAPAAAAAAAAAAEAIAAAACIAAABkcnMvZG93bnJldi54bWxQSwECFAAUAAAACACHTuJAMy8FnjsA&#10;AAA5AAAAEAAAAAAAAAABACAAAAAJAQAAZHJzL3NoYXBleG1sLnhtbFBLBQYAAAAABgAGAFsBAACz&#10;AwAAAAA=&#10;" adj="-506250">
                        <v:fill on="f" focussize="0,0"/>
                        <v:stroke color="#000000" joinstyle="miter" endarrow="block"/>
                        <v:imagedata o:title=""/>
                        <o:lock v:ext="edit" aspectratio="f"/>
                      </v:shape>
                      <v:shape id="Text Box 3413" o:spid="_x0000_s1026" o:spt="202" type="#_x0000_t202" style="position:absolute;left:3892;top:423665;height:516;width:5083;" filled="f" stroked="f" coordsize="21600,21600" o:gfxdata="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jDJy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711B7782">
                              <w:pPr>
                                <w:jc w:val="center"/>
                                <w:rPr>
                                  <w:color w:val="auto"/>
                                  <w:sz w:val="24"/>
                                </w:rPr>
                              </w:pPr>
                              <w:r>
                                <w:rPr>
                                  <w:rFonts w:eastAsia="黑体"/>
                                  <w:color w:val="auto"/>
                                  <w:sz w:val="24"/>
                                </w:rPr>
                                <w:t>图</w:t>
                              </w:r>
                              <w:r>
                                <w:rPr>
                                  <w:rFonts w:hint="eastAsia" w:eastAsia="黑体"/>
                                  <w:color w:val="auto"/>
                                  <w:sz w:val="24"/>
                                </w:rPr>
                                <w:t>2.2-2</w:t>
                              </w:r>
                              <w:r>
                                <w:rPr>
                                  <w:rFonts w:eastAsia="黑体"/>
                                  <w:color w:val="auto"/>
                                  <w:sz w:val="24"/>
                                </w:rPr>
                                <w:t xml:space="preserve">  项目水平衡图(单位：t/</w:t>
                              </w:r>
                              <w:r>
                                <w:rPr>
                                  <w:rFonts w:hint="eastAsia" w:eastAsia="黑体"/>
                                  <w:color w:val="auto"/>
                                  <w:sz w:val="24"/>
                                  <w:lang w:val="en-US" w:eastAsia="zh-CN"/>
                                </w:rPr>
                                <w:t>a</w:t>
                              </w:r>
                              <w:r>
                                <w:rPr>
                                  <w:rFonts w:eastAsia="黑体"/>
                                  <w:color w:val="auto"/>
                                  <w:sz w:val="24"/>
                                </w:rPr>
                                <w:t>)</w:t>
                              </w:r>
                            </w:p>
                          </w:txbxContent>
                        </v:textbox>
                      </v:shape>
                      <v:line id="直线 279" o:spid="_x0000_s1026" o:spt="20" style="position:absolute;left:8050;top:421705;flip:x y;height:880;width:13;" filled="f" stroked="t" coordsize="21600,21600" o:gfxdata="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DuORm5AAAA2wAA&#10;AA8AAAAAAAAAAQAgAAAAIgAAAGRycy9kb3ducmV2LnhtbFBLAQIUABQAAAAIAIdO4kAzLwWeOwAA&#10;ADkAAAAQAAAAAAAAAAEAIAAAAAgBAABkcnMvc2hhcGV4bWwueG1sUEsFBgAAAAAGAAYAWwEAALID&#10;AAAAAA==&#10;">
                        <v:fill on="f" focussize="0,0"/>
                        <v:stroke color="#000000" joinstyle="round" endarrow="block"/>
                        <v:imagedata o:title=""/>
                        <o:lock v:ext="edit" aspectratio="f"/>
                      </v:line>
                      <v:shape id="文本框 267" o:spid="_x0000_s1026" o:spt="202" type="#_x0000_t202" style="position:absolute;left:7870;top:422002;height:393;width:990;"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196EF5C2">
                              <w:pPr>
                                <w:jc w:val="center"/>
                                <w:rPr>
                                  <w:rFonts w:hint="default" w:eastAsia="宋体"/>
                                  <w:lang w:val="en-US" w:eastAsia="zh-CN"/>
                                </w:rPr>
                              </w:pPr>
                              <w:r>
                                <w:rPr>
                                  <w:rFonts w:hint="eastAsia"/>
                                  <w:lang w:val="en-US" w:eastAsia="zh-CN"/>
                                </w:rPr>
                                <w:t>4192</w:t>
                              </w:r>
                            </w:p>
                          </w:txbxContent>
                        </v:textbox>
                      </v:shape>
                    </v:group>
                  </w:pict>
                </mc:Fallback>
              </mc:AlternateContent>
            </w:r>
          </w:p>
          <w:p w14:paraId="6E26B00D">
            <w:pPr>
              <w:pStyle w:val="1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p>
          <w:p w14:paraId="5FE7A83F">
            <w:pPr>
              <w:pStyle w:val="13"/>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p>
          <w:p w14:paraId="434659B4">
            <w:pP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p>
          <w:p w14:paraId="65662D03">
            <w:pPr>
              <w:keepNext/>
              <w:keepLines/>
              <w:widowControl w:val="0"/>
              <w:bidi w:val="0"/>
              <w:spacing w:beforeAutospacing="0" w:afterAutospacing="0" w:line="360" w:lineRule="auto"/>
              <w:jc w:val="both"/>
              <w:outlineLvl w:val="9"/>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pPr>
          </w:p>
          <w:p w14:paraId="4DC7AFAB">
            <w:pPr>
              <w:keepNext/>
              <w:keepLines/>
              <w:widowControl w:val="0"/>
              <w:bidi w:val="0"/>
              <w:spacing w:beforeAutospacing="0" w:afterAutospacing="0" w:line="360" w:lineRule="auto"/>
              <w:jc w:val="both"/>
              <w:outlineLvl w:val="9"/>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pPr>
          </w:p>
          <w:p w14:paraId="05C4D4C3">
            <w:pPr>
              <w:keepNext/>
              <w:keepLines/>
              <w:widowControl w:val="0"/>
              <w:bidi w:val="0"/>
              <w:spacing w:beforeAutospacing="0" w:afterAutospacing="0" w:line="360" w:lineRule="auto"/>
              <w:jc w:val="both"/>
              <w:outlineLvl w:val="9"/>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pPr>
          </w:p>
          <w:p w14:paraId="39D1A1FC">
            <w:pPr>
              <w:keepNext/>
              <w:keepLines/>
              <w:widowControl w:val="0"/>
              <w:bidi w:val="0"/>
              <w:spacing w:beforeAutospacing="0" w:afterAutospacing="0" w:line="360" w:lineRule="auto"/>
              <w:jc w:val="both"/>
              <w:outlineLvl w:val="9"/>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pPr>
          </w:p>
          <w:p w14:paraId="03391A12">
            <w:pPr>
              <w:keepNext/>
              <w:keepLines/>
              <w:widowControl w:val="0"/>
              <w:bidi w:val="0"/>
              <w:spacing w:beforeAutospacing="0" w:afterAutospacing="0" w:line="360" w:lineRule="auto"/>
              <w:jc w:val="both"/>
              <w:outlineLvl w:val="9"/>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pPr>
          </w:p>
          <w:p w14:paraId="2FF214C4">
            <w:pPr>
              <w:keepNext/>
              <w:keepLines/>
              <w:widowControl w:val="0"/>
              <w:bidi w:val="0"/>
              <w:spacing w:beforeAutospacing="0" w:afterAutospacing="0" w:line="360" w:lineRule="auto"/>
              <w:jc w:val="both"/>
              <w:outlineLvl w:val="2"/>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t>2.2.</w:t>
            </w:r>
            <w:r>
              <w:rPr>
                <w:rFonts w:hint="default" w:ascii="Times New Roman" w:hAnsi="Times New Roman" w:cs="Times New Roman"/>
                <w:b/>
                <w:color w:val="000000" w:themeColor="text1"/>
                <w:kern w:val="2"/>
                <w:sz w:val="24"/>
                <w:szCs w:val="24"/>
                <w:lang w:val="en-US" w:eastAsia="zh-CN" w:bidi="ar-SA"/>
                <w14:textFill>
                  <w14:solidFill>
                    <w14:schemeClr w14:val="tx1"/>
                  </w14:solidFill>
                </w14:textFill>
              </w:rPr>
              <w:t>8</w:t>
            </w:r>
            <w:r>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t xml:space="preserve"> 项目平面布置合理性分析</w:t>
            </w:r>
          </w:p>
          <w:p w14:paraId="54C030D1">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项目</w:t>
            </w:r>
            <w:r>
              <w:rPr>
                <w:rFonts w:hint="default" w:ascii="Times New Roman" w:hAnsi="Times New Roman" w:cs="Times New Roman"/>
                <w:color w:val="000000" w:themeColor="text1"/>
                <w:sz w:val="24"/>
                <w14:textFill>
                  <w14:solidFill>
                    <w14:schemeClr w14:val="tx1"/>
                  </w14:solidFill>
                </w14:textFill>
              </w:rPr>
              <w:t>平面布置方案功能划分相对清晰，在满足生产条件要求的前提下，充分利用厂区空间进行设备布置，布局紧凑，生产流程比较流畅，布局基本合理。</w:t>
            </w:r>
            <w:r>
              <w:rPr>
                <w:rFonts w:hint="default" w:ascii="Times New Roman" w:hAnsi="Times New Roman" w:cs="Times New Roman"/>
                <w:color w:val="000000" w:themeColor="text1"/>
                <w:sz w:val="24"/>
                <w:lang w:val="en-US" w:eastAsia="zh-CN"/>
                <w14:textFill>
                  <w14:solidFill>
                    <w14:schemeClr w14:val="tx1"/>
                  </w14:solidFill>
                </w14:textFill>
              </w:rPr>
              <w:t>平面布置图</w:t>
            </w:r>
            <w:r>
              <w:rPr>
                <w:rFonts w:hint="default" w:ascii="Times New Roman" w:hAnsi="Times New Roman" w:cs="Times New Roman"/>
                <w:color w:val="000000" w:themeColor="text1"/>
                <w:sz w:val="24"/>
                <w14:textFill>
                  <w14:solidFill>
                    <w14:schemeClr w14:val="tx1"/>
                  </w14:solidFill>
                </w14:textFill>
              </w:rPr>
              <w:t>详见</w:t>
            </w:r>
            <w:r>
              <w:rPr>
                <w:rFonts w:hint="default" w:ascii="Times New Roman" w:hAnsi="Times New Roman" w:cs="Times New Roman"/>
                <w:b w:val="0"/>
                <w:bCs w:val="0"/>
                <w:color w:val="000000" w:themeColor="text1"/>
                <w:sz w:val="24"/>
                <w:highlight w:val="none"/>
                <w14:textFill>
                  <w14:solidFill>
                    <w14:schemeClr w14:val="tx1"/>
                  </w14:solidFill>
                </w14:textFill>
              </w:rPr>
              <w:t>附图</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6。</w:t>
            </w:r>
          </w:p>
          <w:p w14:paraId="3398348D">
            <w:pPr>
              <w:pStyle w:val="134"/>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建设单位在厂房中间设置过道，过道将厂区一分为二，厂区总共设置1条</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塑料</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清洗</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破碎</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线，1条</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玻璃</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破碎清洗线。厂房北侧区域，由西往东依次为环保设施、成品区；厂房南侧区域，由西往东依次为原料区、破碎线、清洗线。</w:t>
            </w:r>
          </w:p>
        </w:tc>
      </w:tr>
      <w:tr w14:paraId="0F56B0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dxa"/>
            <w:noWrap w:val="0"/>
            <w:vAlign w:val="center"/>
          </w:tcPr>
          <w:p w14:paraId="088FC667">
            <w:pPr>
              <w:pStyle w:val="23"/>
              <w:adjustRightInd w:val="0"/>
              <w:snapToGrid w:val="0"/>
              <w:spacing w:before="0" w:beforeAutospacing="0" w:after="0" w:afterAutospacing="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工艺流程和产排污环节</w:t>
            </w:r>
          </w:p>
        </w:tc>
        <w:tc>
          <w:tcPr>
            <w:tcW w:w="8594" w:type="dxa"/>
            <w:noWrap w:val="0"/>
            <w:vAlign w:val="top"/>
          </w:tcPr>
          <w:p w14:paraId="5FB4CAE0">
            <w:pPr>
              <w:pStyle w:val="3"/>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生产工艺流程及产污环节</w:t>
            </w:r>
          </w:p>
          <w:p w14:paraId="5A9924B5">
            <w:pPr>
              <w:adjustRightInd w:val="0"/>
              <w:snapToGrid w:val="0"/>
              <w:spacing w:before="120" w:beforeLines="50" w:line="360" w:lineRule="auto"/>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2.3.1工艺流程及工艺介绍</w:t>
            </w:r>
          </w:p>
          <w:p w14:paraId="35472850">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工艺介绍</w:t>
            </w:r>
          </w:p>
          <w:p w14:paraId="711A933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sz w:val="21"/>
              </w:rPr>
              <mc:AlternateContent>
                <mc:Choice Requires="wps">
                  <w:drawing>
                    <wp:anchor distT="0" distB="0" distL="114300" distR="114300" simplePos="0" relativeHeight="251668480" behindDoc="0" locked="0" layoutInCell="1" allowOverlap="1">
                      <wp:simplePos x="0" y="0"/>
                      <wp:positionH relativeFrom="column">
                        <wp:posOffset>2777490</wp:posOffset>
                      </wp:positionH>
                      <wp:positionV relativeFrom="paragraph">
                        <wp:posOffset>1423035</wp:posOffset>
                      </wp:positionV>
                      <wp:extent cx="1295400" cy="675640"/>
                      <wp:effectExtent l="0" t="38100" r="0" b="10160"/>
                      <wp:wrapNone/>
                      <wp:docPr id="105" name="肘形连接符 105"/>
                      <wp:cNvGraphicFramePr/>
                      <a:graphic xmlns:a="http://schemas.openxmlformats.org/drawingml/2006/main">
                        <a:graphicData uri="http://schemas.microsoft.com/office/word/2010/wordprocessingShape">
                          <wps:wsp>
                            <wps:cNvCnPr/>
                            <wps:spPr>
                              <a:xfrm rot="10800000">
                                <a:off x="5328285" y="4958080"/>
                                <a:ext cx="1295400" cy="675640"/>
                              </a:xfrm>
                              <a:prstGeom prst="bentConnector3">
                                <a:avLst>
                                  <a:gd name="adj1" fmla="val 2156"/>
                                </a:avLst>
                              </a:prstGeom>
                              <a:noFill/>
                              <a:ln w="12700" cap="flat" cmpd="sng" algn="ctr">
                                <a:solidFill>
                                  <a:srgbClr val="000000"/>
                                </a:solidFill>
                                <a:prstDash val="dash"/>
                                <a:tailEnd type="triangle"/>
                              </a:ln>
                              <a:effectLst/>
                            </wps:spPr>
                            <wps:bodyPr/>
                          </wps:wsp>
                        </a:graphicData>
                      </a:graphic>
                    </wp:anchor>
                  </w:drawing>
                </mc:Choice>
                <mc:Fallback>
                  <w:pict>
                    <v:shape id="_x0000_s1026" o:spid="_x0000_s1026" o:spt="34" type="#_x0000_t34" style="position:absolute;left:0pt;margin-left:218.7pt;margin-top:112.05pt;height:53.2pt;width:102pt;rotation:11796480f;z-index:251668480;mso-width-relative:page;mso-height-relative:page;" filled="f" stroked="t" coordsize="21600,21600" o:gfxdata="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tTEdF2gAAAAsBAAAPAAAAAAAAAAEAIAAAACIAAABkcnMvZG93bnJldi54bWxQ&#10;SwECFAAUAAAACACHTuJA800kBy4CAAAeBAAADgAAAAAAAAABACAAAAApAQAAZHJzL2Uyb0RvYy54&#10;bWxQSwUGAAAAAAYABgBZAQAAyQUAAAAA&#10;" adj="466">
                      <v:fill on="f" focussize="0,0"/>
                      <v:stroke weight="1pt" color="#000000" joinstyle="round" dashstyle="dash" endarrow="block"/>
                      <v:imagedata o:title=""/>
                      <o:lock v:ext="edit" aspectratio="f"/>
                    </v:shape>
                  </w:pict>
                </mc:Fallback>
              </mc:AlternateContent>
            </w:r>
          </w:p>
          <w:p w14:paraId="0E075D5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p>
          <w:p w14:paraId="47504E0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p>
          <w:p w14:paraId="36ACA31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p>
          <w:p w14:paraId="7844EFF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p>
          <w:p w14:paraId="0ED34AB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sz w:val="21"/>
              </w:rPr>
              <mc:AlternateContent>
                <mc:Choice Requires="wpc">
                  <w:drawing>
                    <wp:anchor distT="0" distB="0" distL="114300" distR="114300" simplePos="0" relativeHeight="251660288" behindDoc="0" locked="0" layoutInCell="1" allowOverlap="1">
                      <wp:simplePos x="0" y="0"/>
                      <wp:positionH relativeFrom="column">
                        <wp:posOffset>607695</wp:posOffset>
                      </wp:positionH>
                      <wp:positionV relativeFrom="paragraph">
                        <wp:posOffset>116205</wp:posOffset>
                      </wp:positionV>
                      <wp:extent cx="3864610" cy="4862195"/>
                      <wp:effectExtent l="0" t="0" r="0" b="0"/>
                      <wp:wrapNone/>
                      <wp:docPr id="47" name="画布 47"/>
                      <wp:cNvGraphicFramePr/>
                      <a:graphic xmlns:a="http://schemas.openxmlformats.org/drawingml/2006/main">
                        <a:graphicData uri="http://schemas.microsoft.com/office/word/2010/wordprocessingCanvas">
                          <wpc:wpc>
                            <wpc:bg>
                              <a:noFill/>
                            </wpc:bg>
                            <wpc:whole>
                              <a:ln>
                                <a:noFill/>
                              </a:ln>
                            </wpc:whole>
                            <wps:wsp>
                              <wps:cNvPr id="40" name="文本框 40"/>
                              <wps:cNvSpPr txBox="1"/>
                              <wps:spPr>
                                <a:xfrm>
                                  <a:off x="770890" y="95885"/>
                                  <a:ext cx="1771015" cy="493395"/>
                                </a:xfrm>
                                <a:prstGeom prst="rect">
                                  <a:avLst/>
                                </a:prstGeom>
                                <a:noFill/>
                                <a:ln w="6350">
                                  <a:noFill/>
                                </a:ln>
                                <a:effectLst/>
                              </wps:spPr>
                              <wps:txbx>
                                <w:txbxContent>
                                  <w:p w14:paraId="0C06522A">
                                    <w:pPr>
                                      <w:jc w:val="center"/>
                                      <w:rPr>
                                        <w:rFonts w:hint="default"/>
                                        <w:sz w:val="24"/>
                                        <w:szCs w:val="24"/>
                                        <w:lang w:val="en-US"/>
                                      </w:rPr>
                                    </w:pPr>
                                    <w:r>
                                      <w:rPr>
                                        <w:rFonts w:hint="eastAsia" w:ascii="Times New Roman" w:hAnsi="Times New Roman" w:eastAsia="宋体" w:cs="Times New Roman"/>
                                        <w:color w:val="auto"/>
                                        <w:sz w:val="24"/>
                                        <w:szCs w:val="24"/>
                                        <w:lang w:val="en-US" w:eastAsia="zh-CN"/>
                                      </w:rPr>
                                      <w:t>未被污染的医用塑料输液瓶（袋）/废塑料品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 name="文本框 41"/>
                              <wps:cNvSpPr txBox="1"/>
                              <wps:spPr>
                                <a:xfrm>
                                  <a:off x="1209040" y="1319530"/>
                                  <a:ext cx="821055" cy="334645"/>
                                </a:xfrm>
                                <a:prstGeom prst="rect">
                                  <a:avLst/>
                                </a:prstGeom>
                                <a:noFill/>
                                <a:ln w="6350">
                                  <a:solidFill>
                                    <a:srgbClr val="000000"/>
                                  </a:solidFill>
                                </a:ln>
                                <a:effectLst/>
                              </wps:spPr>
                              <wps:txbx>
                                <w:txbxContent>
                                  <w:p w14:paraId="21FB8172">
                                    <w:pPr>
                                      <w:jc w:val="center"/>
                                      <w:rPr>
                                        <w:sz w:val="24"/>
                                        <w:szCs w:val="24"/>
                                      </w:rPr>
                                    </w:pPr>
                                    <w:r>
                                      <w:rPr>
                                        <w:rFonts w:hint="eastAsia" w:ascii="Times New Roman" w:hAnsi="Times New Roman" w:eastAsia="宋体" w:cs="Times New Roman"/>
                                        <w:color w:val="auto"/>
                                        <w:sz w:val="24"/>
                                        <w:szCs w:val="24"/>
                                        <w:lang w:val="en-US" w:eastAsia="zh-CN"/>
                                      </w:rPr>
                                      <w:t>破碎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 name="文本框 42"/>
                              <wps:cNvSpPr txBox="1"/>
                              <wps:spPr>
                                <a:xfrm>
                                  <a:off x="1209040" y="1856740"/>
                                  <a:ext cx="819150" cy="334645"/>
                                </a:xfrm>
                                <a:prstGeom prst="rect">
                                  <a:avLst/>
                                </a:prstGeom>
                                <a:noFill/>
                                <a:ln w="6350">
                                  <a:solidFill>
                                    <a:srgbClr val="000000"/>
                                  </a:solidFill>
                                </a:ln>
                                <a:effectLst/>
                              </wps:spPr>
                              <wps:txbx>
                                <w:txbxContent>
                                  <w:p w14:paraId="3C4FDA77">
                                    <w:pPr>
                                      <w:jc w:val="center"/>
                                      <w:rPr>
                                        <w:sz w:val="24"/>
                                        <w:szCs w:val="24"/>
                                      </w:rPr>
                                    </w:pPr>
                                    <w:r>
                                      <w:rPr>
                                        <w:rFonts w:hint="eastAsia" w:ascii="Times New Roman" w:hAnsi="Times New Roman" w:eastAsia="宋体" w:cs="Times New Roman"/>
                                        <w:color w:val="auto"/>
                                        <w:sz w:val="24"/>
                                        <w:szCs w:val="24"/>
                                        <w:lang w:val="en-US" w:eastAsia="zh-CN"/>
                                      </w:rPr>
                                      <w:t>强力摩擦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 name="文本框 43"/>
                              <wps:cNvSpPr txBox="1"/>
                              <wps:spPr>
                                <a:xfrm>
                                  <a:off x="1209040" y="2393950"/>
                                  <a:ext cx="821055" cy="334645"/>
                                </a:xfrm>
                                <a:prstGeom prst="rect">
                                  <a:avLst/>
                                </a:prstGeom>
                                <a:noFill/>
                                <a:ln w="6350">
                                  <a:solidFill>
                                    <a:srgbClr val="000000"/>
                                  </a:solidFill>
                                </a:ln>
                                <a:effectLst/>
                              </wps:spPr>
                              <wps:txbx>
                                <w:txbxContent>
                                  <w:p w14:paraId="64BBF5B0">
                                    <w:pPr>
                                      <w:jc w:val="center"/>
                                      <w:rPr>
                                        <w:sz w:val="24"/>
                                        <w:szCs w:val="24"/>
                                      </w:rPr>
                                    </w:pPr>
                                    <w:r>
                                      <w:rPr>
                                        <w:rFonts w:hint="eastAsia" w:ascii="Times New Roman" w:hAnsi="Times New Roman" w:eastAsia="宋体" w:cs="Times New Roman"/>
                                        <w:color w:val="auto"/>
                                        <w:sz w:val="24"/>
                                        <w:szCs w:val="24"/>
                                        <w:lang w:val="en-US" w:eastAsia="zh-CN"/>
                                      </w:rPr>
                                      <w:t>洗脱机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 name="文本框 44"/>
                              <wps:cNvSpPr txBox="1"/>
                              <wps:spPr>
                                <a:xfrm>
                                  <a:off x="1209040" y="2931160"/>
                                  <a:ext cx="819150" cy="334645"/>
                                </a:xfrm>
                                <a:prstGeom prst="rect">
                                  <a:avLst/>
                                </a:prstGeom>
                                <a:noFill/>
                                <a:ln w="6350">
                                  <a:solidFill>
                                    <a:srgbClr val="000000"/>
                                  </a:solidFill>
                                </a:ln>
                                <a:effectLst/>
                              </wps:spPr>
                              <wps:txbx>
                                <w:txbxContent>
                                  <w:p w14:paraId="290D6F8D">
                                    <w:pPr>
                                      <w:jc w:val="center"/>
                                      <w:rPr>
                                        <w:sz w:val="24"/>
                                        <w:szCs w:val="24"/>
                                      </w:rPr>
                                    </w:pPr>
                                    <w:r>
                                      <w:rPr>
                                        <w:rFonts w:hint="eastAsia" w:ascii="Times New Roman" w:hAnsi="Times New Roman" w:eastAsia="宋体" w:cs="Times New Roman"/>
                                        <w:color w:val="auto"/>
                                        <w:sz w:val="24"/>
                                        <w:szCs w:val="24"/>
                                        <w:lang w:val="en-US" w:eastAsia="zh-CN"/>
                                      </w:rPr>
                                      <w:t>沉浮分流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 name="文本框 9"/>
                              <wps:cNvSpPr txBox="1"/>
                              <wps:spPr>
                                <a:xfrm>
                                  <a:off x="1209040" y="3468370"/>
                                  <a:ext cx="819150" cy="334645"/>
                                </a:xfrm>
                                <a:prstGeom prst="rect">
                                  <a:avLst/>
                                </a:prstGeom>
                                <a:noFill/>
                                <a:ln w="6350">
                                  <a:solidFill>
                                    <a:srgbClr val="000000"/>
                                  </a:solidFill>
                                </a:ln>
                                <a:effectLst/>
                              </wps:spPr>
                              <wps:txbx>
                                <w:txbxContent>
                                  <w:p w14:paraId="199874DA">
                                    <w:pPr>
                                      <w:jc w:val="center"/>
                                      <w:rPr>
                                        <w:sz w:val="24"/>
                                        <w:szCs w:val="24"/>
                                      </w:rPr>
                                    </w:pPr>
                                    <w:r>
                                      <w:rPr>
                                        <w:rFonts w:hint="eastAsia" w:ascii="Times New Roman" w:hAnsi="Times New Roman" w:eastAsia="宋体" w:cs="Times New Roman"/>
                                        <w:color w:val="auto"/>
                                        <w:sz w:val="24"/>
                                        <w:szCs w:val="24"/>
                                        <w:lang w:val="en-US" w:eastAsia="zh-CN"/>
                                      </w:rPr>
                                      <w:t>脱水干燥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文本框 10"/>
                              <wps:cNvSpPr txBox="1"/>
                              <wps:spPr>
                                <a:xfrm>
                                  <a:off x="1209040" y="4005580"/>
                                  <a:ext cx="819150" cy="334645"/>
                                </a:xfrm>
                                <a:prstGeom prst="rect">
                                  <a:avLst/>
                                </a:prstGeom>
                                <a:noFill/>
                                <a:ln w="6350">
                                  <a:solidFill>
                                    <a:srgbClr val="000000"/>
                                  </a:solidFill>
                                </a:ln>
                                <a:effectLst/>
                              </wps:spPr>
                              <wps:txbx>
                                <w:txbxContent>
                                  <w:p w14:paraId="5495B849">
                                    <w:pPr>
                                      <w:jc w:val="center"/>
                                      <w:rPr>
                                        <w:sz w:val="24"/>
                                        <w:szCs w:val="24"/>
                                      </w:rPr>
                                    </w:pPr>
                                    <w:r>
                                      <w:rPr>
                                        <w:rFonts w:hint="eastAsia" w:ascii="Times New Roman" w:hAnsi="Times New Roman" w:eastAsia="宋体" w:cs="Times New Roman"/>
                                        <w:color w:val="auto"/>
                                        <w:sz w:val="24"/>
                                        <w:szCs w:val="24"/>
                                        <w:lang w:val="en-US" w:eastAsia="zh-CN"/>
                                      </w:rPr>
                                      <w:t>分选分离</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 name="文本框 11"/>
                              <wps:cNvSpPr txBox="1"/>
                              <wps:spPr>
                                <a:xfrm>
                                  <a:off x="1189990" y="4542790"/>
                                  <a:ext cx="857250" cy="297180"/>
                                </a:xfrm>
                                <a:prstGeom prst="rect">
                                  <a:avLst/>
                                </a:prstGeom>
                                <a:noFill/>
                                <a:ln w="6350">
                                  <a:noFill/>
                                </a:ln>
                                <a:effectLst/>
                              </wps:spPr>
                              <wps:txbx>
                                <w:txbxContent>
                                  <w:p w14:paraId="0FAD6608">
                                    <w:pPr>
                                      <w:jc w:val="center"/>
                                      <w:rPr>
                                        <w:sz w:val="24"/>
                                        <w:szCs w:val="24"/>
                                      </w:rPr>
                                    </w:pPr>
                                    <w:r>
                                      <w:rPr>
                                        <w:rFonts w:hint="eastAsia" w:ascii="Times New Roman" w:hAnsi="Times New Roman" w:eastAsia="宋体" w:cs="Times New Roman"/>
                                        <w:color w:val="auto"/>
                                        <w:sz w:val="24"/>
                                        <w:szCs w:val="24"/>
                                        <w:lang w:val="en-US" w:eastAsia="zh-CN"/>
                                      </w:rPr>
                                      <w:t>塑料回收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 name="文本框 12"/>
                              <wps:cNvSpPr txBox="1"/>
                              <wps:spPr>
                                <a:xfrm>
                                  <a:off x="0" y="4033520"/>
                                  <a:ext cx="856615" cy="297180"/>
                                </a:xfrm>
                                <a:prstGeom prst="rect">
                                  <a:avLst/>
                                </a:prstGeom>
                                <a:noFill/>
                                <a:ln w="6350">
                                  <a:noFill/>
                                </a:ln>
                                <a:effectLst/>
                              </wps:spPr>
                              <wps:txbx>
                                <w:txbxContent>
                                  <w:p w14:paraId="3A44F0FD">
                                    <w:pPr>
                                      <w:jc w:val="center"/>
                                      <w:rPr>
                                        <w:sz w:val="21"/>
                                        <w:szCs w:val="21"/>
                                      </w:rPr>
                                    </w:pPr>
                                    <w:r>
                                      <w:rPr>
                                        <w:rFonts w:hint="eastAsia" w:ascii="Times New Roman" w:hAnsi="Times New Roman" w:eastAsia="宋体" w:cs="Times New Roman"/>
                                        <w:color w:val="auto"/>
                                        <w:sz w:val="24"/>
                                        <w:szCs w:val="24"/>
                                        <w:lang w:val="en-US" w:eastAsia="zh-CN"/>
                                      </w:rPr>
                                      <w:t>橡胶回收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文本框 15"/>
                              <wps:cNvSpPr txBox="1"/>
                              <wps:spPr>
                                <a:xfrm>
                                  <a:off x="1209040" y="782320"/>
                                  <a:ext cx="819150" cy="334645"/>
                                </a:xfrm>
                                <a:prstGeom prst="rect">
                                  <a:avLst/>
                                </a:prstGeom>
                                <a:noFill/>
                                <a:ln w="6350">
                                  <a:solidFill>
                                    <a:srgbClr val="000000"/>
                                  </a:solidFill>
                                </a:ln>
                                <a:effectLst/>
                              </wps:spPr>
                              <wps:txbx>
                                <w:txbxContent>
                                  <w:p w14:paraId="692BEF48">
                                    <w:pPr>
                                      <w:keepNext w:val="0"/>
                                      <w:keepLines w:val="0"/>
                                      <w:pageBreakBefore w:val="0"/>
                                      <w:widowControl w:val="0"/>
                                      <w:kinsoku/>
                                      <w:wordWrap/>
                                      <w:overflowPunct/>
                                      <w:topLinePunct w:val="0"/>
                                      <w:bidi w:val="0"/>
                                      <w:adjustRightInd/>
                                      <w:snapToGrid/>
                                      <w:spacing w:line="240" w:lineRule="auto"/>
                                      <w:jc w:val="center"/>
                                      <w:textAlignment w:val="auto"/>
                                      <w:rPr>
                                        <w:sz w:val="24"/>
                                        <w:szCs w:val="24"/>
                                      </w:rPr>
                                    </w:pPr>
                                    <w:r>
                                      <w:rPr>
                                        <w:rFonts w:hint="eastAsia" w:ascii="Times New Roman" w:hAnsi="Times New Roman" w:eastAsia="宋体" w:cs="Times New Roman"/>
                                        <w:color w:val="auto"/>
                                        <w:sz w:val="24"/>
                                        <w:szCs w:val="24"/>
                                        <w:lang w:val="en-US" w:eastAsia="zh-CN"/>
                                      </w:rPr>
                                      <w:t>进料分选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 name="文本框 45"/>
                              <wps:cNvSpPr txBox="1"/>
                              <wps:spPr>
                                <a:xfrm>
                                  <a:off x="2941955" y="2094230"/>
                                  <a:ext cx="819150" cy="496570"/>
                                </a:xfrm>
                                <a:prstGeom prst="rect">
                                  <a:avLst/>
                                </a:prstGeom>
                                <a:noFill/>
                                <a:ln w="6350" cap="flat" cmpd="sng">
                                  <a:solidFill>
                                    <a:srgbClr val="000000"/>
                                  </a:solidFill>
                                  <a:prstDash val="solid"/>
                                  <a:round/>
                                  <a:headEnd type="none" w="med" len="med"/>
                                  <a:tailEnd type="none" w="med" len="med"/>
                                </a:ln>
                              </wps:spPr>
                              <wps:txbx>
                                <w:txbxContent>
                                  <w:p w14:paraId="472C9E9E">
                                    <w:pPr>
                                      <w:jc w:val="center"/>
                                      <w:rPr>
                                        <w:sz w:val="24"/>
                                        <w:szCs w:val="24"/>
                                      </w:rPr>
                                    </w:pPr>
                                    <w:r>
                                      <w:rPr>
                                        <w:rFonts w:hint="eastAsia" w:ascii="Times New Roman" w:hAnsi="Times New Roman" w:eastAsia="宋体" w:cs="Times New Roman"/>
                                        <w:color w:val="auto"/>
                                        <w:sz w:val="24"/>
                                        <w:szCs w:val="24"/>
                                        <w:lang w:val="en-US" w:eastAsia="zh-CN"/>
                                      </w:rPr>
                                      <w:t>污水预处理设施</w:t>
                                    </w:r>
                                  </w:p>
                                </w:txbxContent>
                              </wps:txbx>
                              <wps:bodyPr upright="1"/>
                            </wps:wsp>
                            <wps:wsp>
                              <wps:cNvPr id="24" name="直接箭头连接符 24"/>
                              <wps:cNvCnPr/>
                              <wps:spPr>
                                <a:xfrm>
                                  <a:off x="1618615" y="579755"/>
                                  <a:ext cx="0" cy="202565"/>
                                </a:xfrm>
                                <a:prstGeom prst="straightConnector1">
                                  <a:avLst/>
                                </a:prstGeom>
                                <a:noFill/>
                                <a:ln w="15875" cap="flat" cmpd="sng" algn="ctr">
                                  <a:solidFill>
                                    <a:srgbClr val="000000"/>
                                  </a:solidFill>
                                  <a:prstDash val="solid"/>
                                  <a:tailEnd type="triangle"/>
                                </a:ln>
                                <a:effectLst/>
                              </wps:spPr>
                              <wps:bodyPr/>
                            </wps:wsp>
                            <wps:wsp>
                              <wps:cNvPr id="25" name="直接箭头连接符 25"/>
                              <wps:cNvCnPr/>
                              <wps:spPr>
                                <a:xfrm>
                                  <a:off x="1618615" y="1116965"/>
                                  <a:ext cx="1270" cy="202565"/>
                                </a:xfrm>
                                <a:prstGeom prst="straightConnector1">
                                  <a:avLst/>
                                </a:prstGeom>
                                <a:noFill/>
                                <a:ln w="15875" cap="flat" cmpd="sng" algn="ctr">
                                  <a:solidFill>
                                    <a:srgbClr val="000000"/>
                                  </a:solidFill>
                                  <a:prstDash val="solid"/>
                                  <a:tailEnd type="triangle"/>
                                </a:ln>
                                <a:effectLst/>
                              </wps:spPr>
                              <wps:bodyPr/>
                            </wps:wsp>
                            <wps:wsp>
                              <wps:cNvPr id="26" name="直接箭头连接符 26"/>
                              <wps:cNvCnPr/>
                              <wps:spPr>
                                <a:xfrm flipH="1">
                                  <a:off x="1618615" y="1654175"/>
                                  <a:ext cx="1270" cy="202565"/>
                                </a:xfrm>
                                <a:prstGeom prst="straightConnector1">
                                  <a:avLst/>
                                </a:prstGeom>
                                <a:noFill/>
                                <a:ln w="15875" cap="flat" cmpd="sng" algn="ctr">
                                  <a:solidFill>
                                    <a:srgbClr val="000000"/>
                                  </a:solidFill>
                                  <a:prstDash val="solid"/>
                                  <a:tailEnd type="triangle"/>
                                </a:ln>
                                <a:effectLst/>
                              </wps:spPr>
                              <wps:bodyPr/>
                            </wps:wsp>
                            <wps:wsp>
                              <wps:cNvPr id="27" name="直接箭头连接符 27"/>
                              <wps:cNvCnPr/>
                              <wps:spPr>
                                <a:xfrm>
                                  <a:off x="1618615" y="2191385"/>
                                  <a:ext cx="1270" cy="202565"/>
                                </a:xfrm>
                                <a:prstGeom prst="straightConnector1">
                                  <a:avLst/>
                                </a:prstGeom>
                                <a:noFill/>
                                <a:ln w="15875" cap="flat" cmpd="sng" algn="ctr">
                                  <a:solidFill>
                                    <a:srgbClr val="000000"/>
                                  </a:solidFill>
                                  <a:prstDash val="solid"/>
                                  <a:tailEnd type="triangle"/>
                                </a:ln>
                                <a:effectLst/>
                              </wps:spPr>
                              <wps:bodyPr/>
                            </wps:wsp>
                            <wps:wsp>
                              <wps:cNvPr id="28" name="直接箭头连接符 28"/>
                              <wps:cNvCnPr/>
                              <wps:spPr>
                                <a:xfrm flipH="1">
                                  <a:off x="1618615" y="2728595"/>
                                  <a:ext cx="1270" cy="202565"/>
                                </a:xfrm>
                                <a:prstGeom prst="straightConnector1">
                                  <a:avLst/>
                                </a:prstGeom>
                                <a:noFill/>
                                <a:ln w="15875" cap="flat" cmpd="sng" algn="ctr">
                                  <a:solidFill>
                                    <a:srgbClr val="000000"/>
                                  </a:solidFill>
                                  <a:prstDash val="solid"/>
                                  <a:tailEnd type="triangle"/>
                                </a:ln>
                                <a:effectLst/>
                              </wps:spPr>
                              <wps:bodyPr/>
                            </wps:wsp>
                            <wps:wsp>
                              <wps:cNvPr id="30" name="直接箭头连接符 30"/>
                              <wps:cNvCnPr/>
                              <wps:spPr>
                                <a:xfrm>
                                  <a:off x="1618615" y="3265805"/>
                                  <a:ext cx="0" cy="202565"/>
                                </a:xfrm>
                                <a:prstGeom prst="straightConnector1">
                                  <a:avLst/>
                                </a:prstGeom>
                                <a:noFill/>
                                <a:ln w="15875" cap="flat" cmpd="sng" algn="ctr">
                                  <a:solidFill>
                                    <a:srgbClr val="000000"/>
                                  </a:solidFill>
                                  <a:prstDash val="solid"/>
                                  <a:tailEnd type="triangle"/>
                                </a:ln>
                                <a:effectLst/>
                              </wps:spPr>
                              <wps:bodyPr/>
                            </wps:wsp>
                            <wps:wsp>
                              <wps:cNvPr id="46" name="直接箭头连接符 46"/>
                              <wps:cNvCnPr/>
                              <wps:spPr>
                                <a:xfrm>
                                  <a:off x="1618615" y="3803015"/>
                                  <a:ext cx="0" cy="202565"/>
                                </a:xfrm>
                                <a:prstGeom prst="straightConnector1">
                                  <a:avLst/>
                                </a:prstGeom>
                                <a:noFill/>
                                <a:ln w="15875" cap="flat" cmpd="sng" algn="ctr">
                                  <a:solidFill>
                                    <a:srgbClr val="000000"/>
                                  </a:solidFill>
                                  <a:prstDash val="solid"/>
                                  <a:tailEnd type="triangle"/>
                                </a:ln>
                                <a:effectLst/>
                              </wps:spPr>
                              <wps:bodyPr/>
                            </wps:wsp>
                            <wps:wsp>
                              <wps:cNvPr id="55" name="直接箭头连接符 55"/>
                              <wps:cNvCnPr/>
                              <wps:spPr>
                                <a:xfrm>
                                  <a:off x="1618615" y="4340225"/>
                                  <a:ext cx="0" cy="202565"/>
                                </a:xfrm>
                                <a:prstGeom prst="straightConnector1">
                                  <a:avLst/>
                                </a:prstGeom>
                                <a:noFill/>
                                <a:ln w="15875" cap="flat" cmpd="sng" algn="ctr">
                                  <a:solidFill>
                                    <a:srgbClr val="000000"/>
                                  </a:solidFill>
                                  <a:prstDash val="solid"/>
                                  <a:tailEnd type="triangle"/>
                                </a:ln>
                                <a:effectLst/>
                              </wps:spPr>
                              <wps:bodyPr/>
                            </wps:wsp>
                            <wps:wsp>
                              <wps:cNvPr id="59" name="文本框 59"/>
                              <wps:cNvSpPr txBox="1"/>
                              <wps:spPr>
                                <a:xfrm>
                                  <a:off x="0" y="2941955"/>
                                  <a:ext cx="866140" cy="297180"/>
                                </a:xfrm>
                                <a:prstGeom prst="rect">
                                  <a:avLst/>
                                </a:prstGeom>
                                <a:noFill/>
                                <a:ln w="6350">
                                  <a:noFill/>
                                </a:ln>
                                <a:effectLst/>
                              </wps:spPr>
                              <wps:txbx>
                                <w:txbxContent>
                                  <w:p w14:paraId="2112DE29">
                                    <w:pPr>
                                      <w:jc w:val="center"/>
                                      <w:rPr>
                                        <w:sz w:val="24"/>
                                        <w:szCs w:val="24"/>
                                      </w:rPr>
                                    </w:pPr>
                                    <w:r>
                                      <w:rPr>
                                        <w:rFonts w:hint="eastAsia" w:ascii="Times New Roman" w:hAnsi="Times New Roman" w:eastAsia="宋体" w:cs="Times New Roman"/>
                                        <w:color w:val="auto"/>
                                        <w:sz w:val="24"/>
                                        <w:szCs w:val="24"/>
                                        <w:lang w:val="en-US" w:eastAsia="zh-CN"/>
                                      </w:rPr>
                                      <w:t>橡胶回收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0" name="直接箭头连接符 60"/>
                              <wps:cNvCnPr/>
                              <wps:spPr>
                                <a:xfrm flipH="1">
                                  <a:off x="855980" y="4173220"/>
                                  <a:ext cx="353060" cy="8890"/>
                                </a:xfrm>
                                <a:prstGeom prst="straightConnector1">
                                  <a:avLst/>
                                </a:prstGeom>
                                <a:noFill/>
                                <a:ln w="15875" cap="flat" cmpd="sng" algn="ctr">
                                  <a:solidFill>
                                    <a:srgbClr val="000000"/>
                                  </a:solidFill>
                                  <a:prstDash val="solid"/>
                                  <a:tailEnd type="triangle"/>
                                </a:ln>
                                <a:effectLst/>
                              </wps:spPr>
                              <wps:bodyPr/>
                            </wps:wsp>
                            <wps:wsp>
                              <wps:cNvPr id="61" name="直接箭头连接符 61"/>
                              <wps:cNvCnPr/>
                              <wps:spPr>
                                <a:xfrm flipH="1" flipV="1">
                                  <a:off x="855980" y="3090545"/>
                                  <a:ext cx="353060" cy="8255"/>
                                </a:xfrm>
                                <a:prstGeom prst="straightConnector1">
                                  <a:avLst/>
                                </a:prstGeom>
                                <a:noFill/>
                                <a:ln w="15875" cap="flat" cmpd="sng" algn="ctr">
                                  <a:solidFill>
                                    <a:srgbClr val="000000"/>
                                  </a:solidFill>
                                  <a:prstDash val="solid"/>
                                  <a:tailEnd type="triangle"/>
                                </a:ln>
                                <a:effectLst/>
                              </wps:spPr>
                              <wps:bodyPr/>
                            </wps:wsp>
                            <wps:wsp>
                              <wps:cNvPr id="48" name="肘形连接符 48"/>
                              <wps:cNvCnPr>
                                <a:stCxn id="41" idx="3"/>
                                <a:endCxn id="44" idx="3"/>
                              </wps:cNvCnPr>
                              <wps:spPr>
                                <a:xfrm flipH="1">
                                  <a:off x="2028190" y="1487170"/>
                                  <a:ext cx="3175" cy="1611630"/>
                                </a:xfrm>
                                <a:prstGeom prst="bentConnector3">
                                  <a:avLst>
                                    <a:gd name="adj1" fmla="val -12500000"/>
                                  </a:avLst>
                                </a:prstGeom>
                                <a:noFill/>
                                <a:ln w="12700" cap="flat" cmpd="sng" algn="ctr">
                                  <a:solidFill>
                                    <a:srgbClr val="000000"/>
                                  </a:solidFill>
                                  <a:prstDash val="dash"/>
                                  <a:tailEnd type="none"/>
                                </a:ln>
                                <a:effectLst/>
                              </wps:spPr>
                              <wps:bodyPr/>
                            </wps:wsp>
                            <wps:wsp>
                              <wps:cNvPr id="49" name="直接连接符 49"/>
                              <wps:cNvCnPr/>
                              <wps:spPr>
                                <a:xfrm>
                                  <a:off x="2028190" y="2024380"/>
                                  <a:ext cx="403860" cy="0"/>
                                </a:xfrm>
                                <a:prstGeom prst="line">
                                  <a:avLst/>
                                </a:prstGeom>
                                <a:noFill/>
                                <a:ln w="12700" cap="flat" cmpd="sng" algn="ctr">
                                  <a:solidFill>
                                    <a:srgbClr val="000000"/>
                                  </a:solidFill>
                                  <a:prstDash val="dash"/>
                                  <a:tailEnd type="triangle"/>
                                </a:ln>
                                <a:effectLst/>
                              </wps:spPr>
                              <wps:bodyPr/>
                            </wps:wsp>
                            <wps:wsp>
                              <wps:cNvPr id="50" name="直接连接符 50"/>
                              <wps:cNvCnPr/>
                              <wps:spPr>
                                <a:xfrm>
                                  <a:off x="2028190" y="2576830"/>
                                  <a:ext cx="403860" cy="0"/>
                                </a:xfrm>
                                <a:prstGeom prst="line">
                                  <a:avLst/>
                                </a:prstGeom>
                                <a:noFill/>
                                <a:ln w="12700" cap="flat" cmpd="sng" algn="ctr">
                                  <a:solidFill>
                                    <a:srgbClr val="000000"/>
                                  </a:solidFill>
                                  <a:prstDash val="dash"/>
                                  <a:tailEnd type="triangle"/>
                                </a:ln>
                                <a:effectLst/>
                              </wps:spPr>
                              <wps:bodyPr/>
                            </wps:wsp>
                            <wps:wsp>
                              <wps:cNvPr id="56" name="直接连接符 56"/>
                              <wps:cNvCnPr>
                                <a:endCxn id="45" idx="1"/>
                              </wps:cNvCnPr>
                              <wps:spPr>
                                <a:xfrm flipV="1">
                                  <a:off x="2447290" y="2342515"/>
                                  <a:ext cx="494665" cy="5715"/>
                                </a:xfrm>
                                <a:prstGeom prst="line">
                                  <a:avLst/>
                                </a:prstGeom>
                                <a:noFill/>
                                <a:ln w="12700" cap="flat" cmpd="sng" algn="ctr">
                                  <a:solidFill>
                                    <a:srgbClr val="000000"/>
                                  </a:solidFill>
                                  <a:prstDash val="dash"/>
                                  <a:tailEnd type="triangle"/>
                                </a:ln>
                                <a:effectLst/>
                              </wps:spPr>
                              <wps:bodyPr/>
                            </wps:wsp>
                          </wpc:wpc>
                        </a:graphicData>
                      </a:graphic>
                    </wp:anchor>
                  </w:drawing>
                </mc:Choice>
                <mc:Fallback>
                  <w:pict>
                    <v:group id="_x0000_s1026" o:spid="_x0000_s1026" o:spt="203" style="position:absolute;left:0pt;margin-left:47.85pt;margin-top:9.15pt;height:382.85pt;width:304.3pt;z-index:251660288;mso-width-relative:page;mso-height-relative:page;" coordsize="3864610,4862195" editas="canvas" o:gfxdata="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">
                      <o:lock v:ext="edit" aspectratio="f"/>
                      <v:shape id="_x0000_s1026" o:spid="_x0000_s1026" style="position:absolute;left:0;top:0;height:4862195;width:3864610;" filled="f" stroked="f" coordsize="21600,21600" o:gfxdata="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">
                        <v:fill on="f" focussize="0,0"/>
                        <v:stroke on="f"/>
                        <v:imagedata o:title=""/>
                        <o:lock v:ext="edit" aspectratio="f"/>
                      </v:shape>
                      <v:shape id="_x0000_s1026" o:spid="_x0000_s1026" o:spt="202" type="#_x0000_t202" style="position:absolute;left:770890;top:95885;height:493395;width:1771015;" filled="f" stroked="f" coordsize="21600,21600" o:gfxdata="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jVbLm2QAAAAkBAAAPAAAA&#10;AAAAAAEAIAAAACIAAABkcnMvZG93bnJldi54bWxQSwECFAAUAAAACACHTuJAIuKmh00CAAB/BAAA&#10;DgAAAAAAAAABACAAAAAoAQAAZHJzL2Uyb0RvYy54bWxQSwUGAAAAAAYABgBZAQAA5wUAAAAA&#10;">
                        <v:fill on="f" focussize="0,0"/>
                        <v:stroke on="f" weight="0.5pt"/>
                        <v:imagedata o:title=""/>
                        <o:lock v:ext="edit" aspectratio="f"/>
                        <v:textbox>
                          <w:txbxContent>
                            <w:p w14:paraId="0C06522A">
                              <w:pPr>
                                <w:jc w:val="center"/>
                                <w:rPr>
                                  <w:rFonts w:hint="default"/>
                                  <w:sz w:val="24"/>
                                  <w:szCs w:val="24"/>
                                  <w:lang w:val="en-US"/>
                                </w:rPr>
                              </w:pPr>
                              <w:r>
                                <w:rPr>
                                  <w:rFonts w:hint="eastAsia" w:ascii="Times New Roman" w:hAnsi="Times New Roman" w:eastAsia="宋体" w:cs="Times New Roman"/>
                                  <w:color w:val="auto"/>
                                  <w:sz w:val="24"/>
                                  <w:szCs w:val="24"/>
                                  <w:lang w:val="en-US" w:eastAsia="zh-CN"/>
                                </w:rPr>
                                <w:t>未被污染的医用塑料输液瓶（袋）/废塑料品</w:t>
                              </w:r>
                            </w:p>
                          </w:txbxContent>
                        </v:textbox>
                      </v:shape>
                      <v:shape id="_x0000_s1026" o:spid="_x0000_s1026" o:spt="202" type="#_x0000_t202" style="position:absolute;left:1209040;top:1319530;height:334645;width:821055;" filled="f" stroked="t" coordsize="21600,21600" o:gfxdata="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LP+Tm2AAAAAkBAAAPAAAAAAAAAAEAIAAAACIAAABkcnMvZG93bnJldi54bWxQSwECFAAUAAAA&#10;CACHTuJAazcb9GACAACqBAAADgAAAAAAAAABACAAAAAnAQAAZHJzL2Uyb0RvYy54bWxQSwUGAAAA&#10;AAYABgBZAQAA+QUAAAAA&#10;">
                        <v:fill on="f" focussize="0,0"/>
                        <v:stroke weight="0.5pt" color="#000000" joinstyle="round"/>
                        <v:imagedata o:title=""/>
                        <o:lock v:ext="edit" aspectratio="f"/>
                        <v:textbox>
                          <w:txbxContent>
                            <w:p w14:paraId="21FB8172">
                              <w:pPr>
                                <w:jc w:val="center"/>
                                <w:rPr>
                                  <w:sz w:val="24"/>
                                  <w:szCs w:val="24"/>
                                </w:rPr>
                              </w:pPr>
                              <w:r>
                                <w:rPr>
                                  <w:rFonts w:hint="eastAsia" w:ascii="Times New Roman" w:hAnsi="Times New Roman" w:eastAsia="宋体" w:cs="Times New Roman"/>
                                  <w:color w:val="auto"/>
                                  <w:sz w:val="24"/>
                                  <w:szCs w:val="24"/>
                                  <w:lang w:val="en-US" w:eastAsia="zh-CN"/>
                                </w:rPr>
                                <w:t>破碎</w:t>
                              </w:r>
                            </w:p>
                          </w:txbxContent>
                        </v:textbox>
                      </v:shape>
                      <v:shape id="_x0000_s1026" o:spid="_x0000_s1026" o:spt="202" type="#_x0000_t202" style="position:absolute;left:1209040;top:1856740;height:334645;width:819150;" filled="f" stroked="t" coordsize="21600,21600" o:gfxdata="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L&#10;P+Tm2AAAAAkBAAAPAAAAAAAAAAEAIAAAACIAAABkcnMvZG93bnJldi54bWxQSwECFAAUAAAACACH&#10;TuJA2De7YF0CAACqBAAADgAAAAAAAAABACAAAAAnAQAAZHJzL2Uyb0RvYy54bWxQSwUGAAAAAAYA&#10;BgBZAQAA9gUAAAAA&#10;">
                        <v:fill on="f" focussize="0,0"/>
                        <v:stroke weight="0.5pt" color="#000000" joinstyle="round"/>
                        <v:imagedata o:title=""/>
                        <o:lock v:ext="edit" aspectratio="f"/>
                        <v:textbox>
                          <w:txbxContent>
                            <w:p w14:paraId="3C4FDA77">
                              <w:pPr>
                                <w:jc w:val="center"/>
                                <w:rPr>
                                  <w:sz w:val="24"/>
                                  <w:szCs w:val="24"/>
                                </w:rPr>
                              </w:pPr>
                              <w:r>
                                <w:rPr>
                                  <w:rFonts w:hint="eastAsia" w:ascii="Times New Roman" w:hAnsi="Times New Roman" w:eastAsia="宋体" w:cs="Times New Roman"/>
                                  <w:color w:val="auto"/>
                                  <w:sz w:val="24"/>
                                  <w:szCs w:val="24"/>
                                  <w:lang w:val="en-US" w:eastAsia="zh-CN"/>
                                </w:rPr>
                                <w:t>强力摩擦</w:t>
                              </w:r>
                            </w:p>
                          </w:txbxContent>
                        </v:textbox>
                      </v:shape>
                      <v:shape id="_x0000_s1026" o:spid="_x0000_s1026" o:spt="202" type="#_x0000_t202" style="position:absolute;left:1209040;top:2393950;height:334645;width:821055;" filled="f" stroked="t" coordsize="21600,21600" o:gfxdata="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s/5ObYAAAACQEAAA8AAAAAAAAAAQAgAAAAIgAAAGRycy9kb3ducmV2LnhtbFBLAQIUABQAAAAI&#10;AIdO4kA5R0ZHXwIAAKoEAAAOAAAAAAAAAAEAIAAAACcBAABkcnMvZTJvRG9jLnhtbFBLBQYAAAAA&#10;BgAGAFkBAAD4BQAAAAA=&#10;">
                        <v:fill on="f" focussize="0,0"/>
                        <v:stroke weight="0.5pt" color="#000000" joinstyle="round"/>
                        <v:imagedata o:title=""/>
                        <o:lock v:ext="edit" aspectratio="f"/>
                        <v:textbox>
                          <w:txbxContent>
                            <w:p w14:paraId="64BBF5B0">
                              <w:pPr>
                                <w:jc w:val="center"/>
                                <w:rPr>
                                  <w:sz w:val="24"/>
                                  <w:szCs w:val="24"/>
                                </w:rPr>
                              </w:pPr>
                              <w:r>
                                <w:rPr>
                                  <w:rFonts w:hint="eastAsia" w:ascii="Times New Roman" w:hAnsi="Times New Roman" w:eastAsia="宋体" w:cs="Times New Roman"/>
                                  <w:color w:val="auto"/>
                                  <w:sz w:val="24"/>
                                  <w:szCs w:val="24"/>
                                  <w:lang w:val="en-US" w:eastAsia="zh-CN"/>
                                </w:rPr>
                                <w:t>洗脱机</w:t>
                              </w:r>
                            </w:p>
                          </w:txbxContent>
                        </v:textbox>
                      </v:shape>
                      <v:shape id="_x0000_s1026" o:spid="_x0000_s1026" o:spt="202" type="#_x0000_t202" style="position:absolute;left:1209040;top:2931160;height:334645;width:819150;" filled="f" stroked="t" coordsize="21600,21600" o:gfxdata="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LP+Tm2AAAAAkBAAAPAAAAAAAAAAEAIAAAACIAAABkcnMvZG93bnJldi54bWxQSwECFAAUAAAA&#10;CACHTuJA8uOEgWACAACqBAAADgAAAAAAAAABACAAAAAnAQAAZHJzL2Uyb0RvYy54bWxQSwUGAAAA&#10;AAYABgBZAQAA+QUAAAAA&#10;">
                        <v:fill on="f" focussize="0,0"/>
                        <v:stroke weight="0.5pt" color="#000000" joinstyle="round"/>
                        <v:imagedata o:title=""/>
                        <o:lock v:ext="edit" aspectratio="f"/>
                        <v:textbox>
                          <w:txbxContent>
                            <w:p w14:paraId="290D6F8D">
                              <w:pPr>
                                <w:jc w:val="center"/>
                                <w:rPr>
                                  <w:sz w:val="24"/>
                                  <w:szCs w:val="24"/>
                                </w:rPr>
                              </w:pPr>
                              <w:r>
                                <w:rPr>
                                  <w:rFonts w:hint="eastAsia" w:ascii="Times New Roman" w:hAnsi="Times New Roman" w:eastAsia="宋体" w:cs="Times New Roman"/>
                                  <w:color w:val="auto"/>
                                  <w:sz w:val="24"/>
                                  <w:szCs w:val="24"/>
                                  <w:lang w:val="en-US" w:eastAsia="zh-CN"/>
                                </w:rPr>
                                <w:t>沉浮分流</w:t>
                              </w:r>
                            </w:p>
                          </w:txbxContent>
                        </v:textbox>
                      </v:shape>
                      <v:shape id="_x0000_s1026" o:spid="_x0000_s1026" o:spt="202" type="#_x0000_t202" style="position:absolute;left:1209040;top:3468370;height:334645;width:819150;" filled="f" stroked="t" coordsize="21600,21600" o:gfxdata="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L&#10;P+Tm2AAAAAkBAAAPAAAAAAAAAAEAIAAAACIAAABkcnMvZG93bnJldi54bWxQSwECFAAUAAAACACH&#10;TuJAjkM5ql0CAACoBAAADgAAAAAAAAABACAAAAAnAQAAZHJzL2Uyb0RvYy54bWxQSwUGAAAAAAYA&#10;BgBZAQAA9gUAAAAA&#10;">
                        <v:fill on="f" focussize="0,0"/>
                        <v:stroke weight="0.5pt" color="#000000" joinstyle="round"/>
                        <v:imagedata o:title=""/>
                        <o:lock v:ext="edit" aspectratio="f"/>
                        <v:textbox>
                          <w:txbxContent>
                            <w:p w14:paraId="199874DA">
                              <w:pPr>
                                <w:jc w:val="center"/>
                                <w:rPr>
                                  <w:sz w:val="24"/>
                                  <w:szCs w:val="24"/>
                                </w:rPr>
                              </w:pPr>
                              <w:r>
                                <w:rPr>
                                  <w:rFonts w:hint="eastAsia" w:ascii="Times New Roman" w:hAnsi="Times New Roman" w:eastAsia="宋体" w:cs="Times New Roman"/>
                                  <w:color w:val="auto"/>
                                  <w:sz w:val="24"/>
                                  <w:szCs w:val="24"/>
                                  <w:lang w:val="en-US" w:eastAsia="zh-CN"/>
                                </w:rPr>
                                <w:t>脱水干燥</w:t>
                              </w:r>
                            </w:p>
                          </w:txbxContent>
                        </v:textbox>
                      </v:shape>
                      <v:shape id="_x0000_s1026" o:spid="_x0000_s1026" o:spt="202" type="#_x0000_t202" style="position:absolute;left:1209040;top:4005580;height:334645;width:819150;" filled="f" stroked="t" coordsize="21600,21600" o:gfxdata="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Cz/k5tgAAAAJAQAADwAAAAAAAAABACAAAAAiAAAAZHJzL2Rvd25yZXYueG1sUEsBAhQAFAAAAAgA&#10;h07iQL0uE1xeAgAAqgQAAA4AAAAAAAAAAQAgAAAAJwEAAGRycy9lMm9Eb2MueG1sUEsFBgAAAAAG&#10;AAYAWQEAAPcFAAAAAA==&#10;">
                        <v:fill on="f" focussize="0,0"/>
                        <v:stroke weight="0.5pt" color="#000000" joinstyle="round"/>
                        <v:imagedata o:title=""/>
                        <o:lock v:ext="edit" aspectratio="f"/>
                        <v:textbox>
                          <w:txbxContent>
                            <w:p w14:paraId="5495B849">
                              <w:pPr>
                                <w:jc w:val="center"/>
                                <w:rPr>
                                  <w:sz w:val="24"/>
                                  <w:szCs w:val="24"/>
                                </w:rPr>
                              </w:pPr>
                              <w:r>
                                <w:rPr>
                                  <w:rFonts w:hint="eastAsia" w:ascii="Times New Roman" w:hAnsi="Times New Roman" w:eastAsia="宋体" w:cs="Times New Roman"/>
                                  <w:color w:val="auto"/>
                                  <w:sz w:val="24"/>
                                  <w:szCs w:val="24"/>
                                  <w:lang w:val="en-US" w:eastAsia="zh-CN"/>
                                </w:rPr>
                                <w:t>分选分离</w:t>
                              </w:r>
                            </w:p>
                          </w:txbxContent>
                        </v:textbox>
                      </v:shape>
                      <v:shape id="_x0000_s1026" o:spid="_x0000_s1026" o:spt="202" type="#_x0000_t202" style="position:absolute;left:1189990;top:4542790;height:297180;width:857250;" filled="f" stroked="f" coordsize="21600,21600" o:gfxdata="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NVsubZAAAACQEAAA8AAAAAAAAA&#10;AQAgAAAAIgAAAGRycy9kb3ducmV2LnhtbFBLAQIUABQAAAAIAIdO4kBCdXN5SQIAAIEEAAAOAAAA&#10;AAAAAAEAIAAAACgBAABkcnMvZTJvRG9jLnhtbFBLBQYAAAAABgAGAFkBAADjBQAAAAA=&#10;">
                        <v:fill on="f" focussize="0,0"/>
                        <v:stroke on="f" weight="0.5pt"/>
                        <v:imagedata o:title=""/>
                        <o:lock v:ext="edit" aspectratio="f"/>
                        <v:textbox>
                          <w:txbxContent>
                            <w:p w14:paraId="0FAD6608">
                              <w:pPr>
                                <w:jc w:val="center"/>
                                <w:rPr>
                                  <w:sz w:val="24"/>
                                  <w:szCs w:val="24"/>
                                </w:rPr>
                              </w:pPr>
                              <w:r>
                                <w:rPr>
                                  <w:rFonts w:hint="eastAsia" w:ascii="Times New Roman" w:hAnsi="Times New Roman" w:eastAsia="宋体" w:cs="Times New Roman"/>
                                  <w:color w:val="auto"/>
                                  <w:sz w:val="24"/>
                                  <w:szCs w:val="24"/>
                                  <w:lang w:val="en-US" w:eastAsia="zh-CN"/>
                                </w:rPr>
                                <w:t>塑料回收</w:t>
                              </w:r>
                            </w:p>
                          </w:txbxContent>
                        </v:textbox>
                      </v:shape>
                      <v:shape id="_x0000_s1026" o:spid="_x0000_s1026" o:spt="202" type="#_x0000_t202" style="position:absolute;left:0;top:4033520;height:297180;width:856615;" filled="f" stroked="f" coordsize="21600,21600" o:gfxdata="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jVbLm2QAAAAkBAAAPAAAAAAAA&#10;AAEAIAAAACIAAABkcnMvZG93bnJldi54bWxQSwECFAAUAAAACACHTuJAzktTI0oCAAB7BAAADgAA&#10;AAAAAAABACAAAAAoAQAAZHJzL2Uyb0RvYy54bWxQSwUGAAAAAAYABgBZAQAA5AUAAAAA&#10;">
                        <v:fill on="f" focussize="0,0"/>
                        <v:stroke on="f" weight="0.5pt"/>
                        <v:imagedata o:title=""/>
                        <o:lock v:ext="edit" aspectratio="f"/>
                        <v:textbox>
                          <w:txbxContent>
                            <w:p w14:paraId="3A44F0FD">
                              <w:pPr>
                                <w:jc w:val="center"/>
                                <w:rPr>
                                  <w:sz w:val="21"/>
                                  <w:szCs w:val="21"/>
                                </w:rPr>
                              </w:pPr>
                              <w:r>
                                <w:rPr>
                                  <w:rFonts w:hint="eastAsia" w:ascii="Times New Roman" w:hAnsi="Times New Roman" w:eastAsia="宋体" w:cs="Times New Roman"/>
                                  <w:color w:val="auto"/>
                                  <w:sz w:val="24"/>
                                  <w:szCs w:val="24"/>
                                  <w:lang w:val="en-US" w:eastAsia="zh-CN"/>
                                </w:rPr>
                                <w:t>橡胶回收</w:t>
                              </w:r>
                            </w:p>
                          </w:txbxContent>
                        </v:textbox>
                      </v:shape>
                      <v:shape id="_x0000_s1026" o:spid="_x0000_s1026" o:spt="202" type="#_x0000_t202" style="position:absolute;left:1209040;top:782320;height:334645;width:819150;" filled="f" stroked="t" coordsize="21600,21600" o:gfxdata="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s/5ObYAAAACQEAAA8AAAAAAAAAAQAgAAAAIgAAAGRycy9kb3ducmV2LnhtbFBLAQIUABQAAAAI&#10;AIdO4kCkiLMZXwIAAKkEAAAOAAAAAAAAAAEAIAAAACcBAABkcnMvZTJvRG9jLnhtbFBLBQYAAAAA&#10;BgAGAFkBAAD4BQAAAAA=&#10;">
                        <v:fill on="f" focussize="0,0"/>
                        <v:stroke weight="0.5pt" color="#000000" joinstyle="round"/>
                        <v:imagedata o:title=""/>
                        <o:lock v:ext="edit" aspectratio="f"/>
                        <v:textbox>
                          <w:txbxContent>
                            <w:p w14:paraId="692BEF48">
                              <w:pPr>
                                <w:keepNext w:val="0"/>
                                <w:keepLines w:val="0"/>
                                <w:pageBreakBefore w:val="0"/>
                                <w:widowControl w:val="0"/>
                                <w:kinsoku/>
                                <w:wordWrap/>
                                <w:overflowPunct/>
                                <w:topLinePunct w:val="0"/>
                                <w:bidi w:val="0"/>
                                <w:adjustRightInd/>
                                <w:snapToGrid/>
                                <w:spacing w:line="240" w:lineRule="auto"/>
                                <w:jc w:val="center"/>
                                <w:textAlignment w:val="auto"/>
                                <w:rPr>
                                  <w:sz w:val="24"/>
                                  <w:szCs w:val="24"/>
                                </w:rPr>
                              </w:pPr>
                              <w:r>
                                <w:rPr>
                                  <w:rFonts w:hint="eastAsia" w:ascii="Times New Roman" w:hAnsi="Times New Roman" w:eastAsia="宋体" w:cs="Times New Roman"/>
                                  <w:color w:val="auto"/>
                                  <w:sz w:val="24"/>
                                  <w:szCs w:val="24"/>
                                  <w:lang w:val="en-US" w:eastAsia="zh-CN"/>
                                </w:rPr>
                                <w:t>进料分选</w:t>
                              </w:r>
                            </w:p>
                          </w:txbxContent>
                        </v:textbox>
                      </v:shape>
                      <v:shape id="_x0000_s1026" o:spid="_x0000_s1026" o:spt="202" type="#_x0000_t202" style="position:absolute;left:2941955;top:2094230;height:496570;width:819150;" filled="f" stroked="t" coordsize="21600,21600" o:gfxdata="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LP+Tm2AAAAAkBAAAPAAAAAAAA&#10;AAEAIAAAACIAAABkcnMvZG93bnJldi54bWxQSwECFAAUAAAACACHTuJANWtyXxICAAAaBAAADgAA&#10;AAAAAAABACAAAAAnAQAAZHJzL2Uyb0RvYy54bWxQSwUGAAAAAAYABgBZAQAAqwUAAAAA&#10;">
                        <v:fill on="f" focussize="0,0"/>
                        <v:stroke weight="0.5pt" color="#000000" joinstyle="round"/>
                        <v:imagedata o:title=""/>
                        <o:lock v:ext="edit" aspectratio="f"/>
                        <v:textbox>
                          <w:txbxContent>
                            <w:p w14:paraId="472C9E9E">
                              <w:pPr>
                                <w:jc w:val="center"/>
                                <w:rPr>
                                  <w:sz w:val="24"/>
                                  <w:szCs w:val="24"/>
                                </w:rPr>
                              </w:pPr>
                              <w:r>
                                <w:rPr>
                                  <w:rFonts w:hint="eastAsia" w:ascii="Times New Roman" w:hAnsi="Times New Roman" w:eastAsia="宋体" w:cs="Times New Roman"/>
                                  <w:color w:val="auto"/>
                                  <w:sz w:val="24"/>
                                  <w:szCs w:val="24"/>
                                  <w:lang w:val="en-US" w:eastAsia="zh-CN"/>
                                </w:rPr>
                                <w:t>污水预处理设施</w:t>
                              </w:r>
                            </w:p>
                          </w:txbxContent>
                        </v:textbox>
                      </v:shape>
                      <v:shape id="_x0000_s1026" o:spid="_x0000_s1026" o:spt="32" type="#_x0000_t32" style="position:absolute;left:1618615;top:579755;height:202565;width:0;" filled="f" stroked="t" coordsize="21600,21600" o:gfxdata="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1eM3rZAAAACQEAAA8AAAAAAAAAAQAg&#10;AAAAIgAAAGRycy9kb3ducmV2LnhtbFBLAQIUABQAAAAIAIdO4kCx9G4gDQIAAOUDAAAOAAAAAAAA&#10;AAEAIAAAACgBAABkcnMvZTJvRG9jLnhtbFBLBQYAAAAABgAGAFkBAACnBQAAAAA=&#10;">
                        <v:fill on="f" focussize="0,0"/>
                        <v:stroke weight="1.25pt" color="#000000" joinstyle="round" endarrow="block"/>
                        <v:imagedata o:title=""/>
                        <o:lock v:ext="edit" aspectratio="f"/>
                      </v:shape>
                      <v:shape id="_x0000_s1026" o:spid="_x0000_s1026" o:spt="32" type="#_x0000_t32" style="position:absolute;left:1618615;top:1116965;height:202565;width:1270;" filled="f" stroked="t" coordsize="21600,21600" o:gfxdata="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NXjN62QAAAAkBAAAPAAAAAAAAAAEA&#10;IAAAACIAAABkcnMvZG93bnJldi54bWxQSwECFAAUAAAACACHTuJALkZUDg4CAADpAwAADgAAAAAA&#10;AAABACAAAAAoAQAAZHJzL2Uyb0RvYy54bWxQSwUGAAAAAAYABgBZAQAAqAUAAAAA&#10;">
                        <v:fill on="f" focussize="0,0"/>
                        <v:stroke weight="1.25pt" color="#000000" joinstyle="round" endarrow="block"/>
                        <v:imagedata o:title=""/>
                        <o:lock v:ext="edit" aspectratio="f"/>
                      </v:shape>
                      <v:shape id="_x0000_s1026" o:spid="_x0000_s1026" o:spt="32" type="#_x0000_t32" style="position:absolute;left:1618615;top:1654175;flip:x;height:202565;width:1270;" filled="f" stroked="t" coordsize="21600,21600" o:gfxdata="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r581toAAAAJAQAADwAA&#10;AAAAAAABACAAAAAiAAAAZHJzL2Rvd25yZXYueG1sUEsBAhQAFAAAAAgAh07iQITlKY0UAgAA8wMA&#10;AA4AAAAAAAAAAQAgAAAAKQEAAGRycy9lMm9Eb2MueG1sUEsFBgAAAAAGAAYAWQEAAK8FAAAAAA==&#10;">
                        <v:fill on="f" focussize="0,0"/>
                        <v:stroke weight="1.25pt" color="#000000" joinstyle="round" endarrow="block"/>
                        <v:imagedata o:title=""/>
                        <o:lock v:ext="edit" aspectratio="f"/>
                      </v:shape>
                      <v:shape id="_x0000_s1026" o:spid="_x0000_s1026" o:spt="32" type="#_x0000_t32" style="position:absolute;left:1618615;top:2191385;height:202565;width:1270;" filled="f" stroked="t" coordsize="21600,21600" o:gfxdata="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NXjN62QAAAAkBAAAPAAAAAAAAAAEA&#10;IAAAACIAAABkcnMvZG93bnJldi54bWxQSwECFAAUAAAACACHTuJAyMEgUw4CAADpAwAADgAAAAAA&#10;AAABACAAAAAoAQAAZHJzL2Uyb0RvYy54bWxQSwUGAAAAAAYABgBZAQAAqAUAAAAA&#10;">
                        <v:fill on="f" focussize="0,0"/>
                        <v:stroke weight="1.25pt" color="#000000" joinstyle="round" endarrow="block"/>
                        <v:imagedata o:title=""/>
                        <o:lock v:ext="edit" aspectratio="f"/>
                      </v:shape>
                      <v:shape id="_x0000_s1026" o:spid="_x0000_s1026" o:spt="32" type="#_x0000_t32" style="position:absolute;left:1618615;top:2728595;flip:x;height:202565;width:1270;" filled="f" stroked="t" coordsize="21600,21600" o:gfxdata="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a+fNbaAAAACQEAAA8A&#10;AAAAAAAAAQAgAAAAIgAAAGRycy9kb3ducmV2LnhtbFBLAQIUABQAAAAIAIdO4kAjMNWaFQIAAPMD&#10;AAAOAAAAAAAAAAEAIAAAACkBAABkcnMvZTJvRG9jLnhtbFBLBQYAAAAABgAGAFkBAACwBQAAAAA=&#10;">
                        <v:fill on="f" focussize="0,0"/>
                        <v:stroke weight="1.25pt" color="#000000" joinstyle="round" endarrow="block"/>
                        <v:imagedata o:title=""/>
                        <o:lock v:ext="edit" aspectratio="f"/>
                      </v:shape>
                      <v:shape id="_x0000_s1026" o:spid="_x0000_s1026" o:spt="32" type="#_x0000_t32" style="position:absolute;left:1618615;top:3265805;height:202565;width:0;" filled="f" stroked="t" coordsize="21600,21600" o:gfxdata="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zV4zetkAAAAJAQAADwAAAAAAAAABACAA&#10;AAAiAAAAZHJzL2Rvd25yZXYueG1sUEsBAhQAFAAAAAgAh07iQORx47kMAgAA5gMAAA4AAAAAAAAA&#10;AQAgAAAAKAEAAGRycy9lMm9Eb2MueG1sUEsFBgAAAAAGAAYAWQEAAKYFAAAAAA==&#10;">
                        <v:fill on="f" focussize="0,0"/>
                        <v:stroke weight="1.25pt" color="#000000" joinstyle="round" endarrow="block"/>
                        <v:imagedata o:title=""/>
                        <o:lock v:ext="edit" aspectratio="f"/>
                      </v:shape>
                      <v:shape id="_x0000_s1026" o:spid="_x0000_s1026" o:spt="32" type="#_x0000_t32" style="position:absolute;left:1618615;top:3803015;height:202565;width:0;" filled="f" stroked="t" coordsize="21600,21600" o:gfxdata="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1eM3rZAAAACQEAAA8AAAAAAAAAAQAg&#10;AAAAIgAAAGRycy9kb3ducmV2LnhtbFBLAQIUABQAAAAIAIdO4kCMcBNHDQIAAOYDAAAOAAAAAAAA&#10;AAEAIAAAACgBAABkcnMvZTJvRG9jLnhtbFBLBQYAAAAABgAGAFkBAACnBQAAAAA=&#10;">
                        <v:fill on="f" focussize="0,0"/>
                        <v:stroke weight="1.25pt" color="#000000" joinstyle="round" endarrow="block"/>
                        <v:imagedata o:title=""/>
                        <o:lock v:ext="edit" aspectratio="f"/>
                      </v:shape>
                      <v:shape id="_x0000_s1026" o:spid="_x0000_s1026" o:spt="32" type="#_x0000_t32" style="position:absolute;left:1618615;top:4340225;height:202565;width:0;" filled="f" stroked="t" coordsize="21600,21600" o:gfxdata="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NXjN62QAAAAkBAAAPAAAAAAAAAAEA&#10;IAAAACIAAABkcnMvZG93bnJldi54bWxQSwECFAAUAAAACACHTuJAjB+vog4CAADmAwAADgAAAAAA&#10;AAABACAAAAAoAQAAZHJzL2Uyb0RvYy54bWxQSwUGAAAAAAYABgBZAQAAqAUAAAAA&#10;">
                        <v:fill on="f" focussize="0,0"/>
                        <v:stroke weight="1.25pt" color="#000000" joinstyle="round" endarrow="block"/>
                        <v:imagedata o:title=""/>
                        <o:lock v:ext="edit" aspectratio="f"/>
                      </v:shape>
                      <v:shape id="_x0000_s1026" o:spid="_x0000_s1026" o:spt="202" type="#_x0000_t202" style="position:absolute;left:0;top:2941955;height:297180;width:866140;" filled="f" stroked="f" coordsize="21600,21600" o:gfxdata="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I1Wy5tkAAAAJAQAADwAAAAAAAAAB&#10;ACAAAAAiAAAAZHJzL2Rvd25yZXYueG1sUEsBAhQAFAAAAAgAh07iQOvF3cBIAgAAewQAAA4AAAAA&#10;AAAAAQAgAAAAKAEAAGRycy9lMm9Eb2MueG1sUEsFBgAAAAAGAAYAWQEAAOIFAAAAAA==&#10;">
                        <v:fill on="f" focussize="0,0"/>
                        <v:stroke on="f" weight="0.5pt"/>
                        <v:imagedata o:title=""/>
                        <o:lock v:ext="edit" aspectratio="f"/>
                        <v:textbox>
                          <w:txbxContent>
                            <w:p w14:paraId="2112DE29">
                              <w:pPr>
                                <w:jc w:val="center"/>
                                <w:rPr>
                                  <w:sz w:val="24"/>
                                  <w:szCs w:val="24"/>
                                </w:rPr>
                              </w:pPr>
                              <w:r>
                                <w:rPr>
                                  <w:rFonts w:hint="eastAsia" w:ascii="Times New Roman" w:hAnsi="Times New Roman" w:eastAsia="宋体" w:cs="Times New Roman"/>
                                  <w:color w:val="auto"/>
                                  <w:sz w:val="24"/>
                                  <w:szCs w:val="24"/>
                                  <w:lang w:val="en-US" w:eastAsia="zh-CN"/>
                                </w:rPr>
                                <w:t>橡胶回收</w:t>
                              </w:r>
                            </w:p>
                          </w:txbxContent>
                        </v:textbox>
                      </v:shape>
                      <v:shape id="_x0000_s1026" o:spid="_x0000_s1026" o:spt="32" type="#_x0000_t32" style="position:absolute;left:855980;top:4173220;flip:x;height:8890;width:353060;" filled="f" stroked="t" coordsize="21600,21600" o:gfxdata="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GvnzW2gAAAAkBAAAP&#10;AAAAAAAAAAEAIAAAACIAAABkcnMvZG93bnJldi54bWxQSwECFAAUAAAACACHTuJAhNpomBYCAADy&#10;AwAADgAAAAAAAAABACAAAAApAQAAZHJzL2Uyb0RvYy54bWxQSwUGAAAAAAYABgBZAQAAsQUAAAAA&#10;">
                        <v:fill on="f" focussize="0,0"/>
                        <v:stroke weight="1.25pt" color="#000000" joinstyle="round" endarrow="block"/>
                        <v:imagedata o:title=""/>
                        <o:lock v:ext="edit" aspectratio="f"/>
                      </v:shape>
                      <v:shape id="_x0000_s1026" o:spid="_x0000_s1026" o:spt="32" type="#_x0000_t32" style="position:absolute;left:855980;top:3090545;flip:x y;height:8255;width:353060;" filled="f" stroked="t" coordsize="21600,21600" o:gfxdata="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c19qXWAAAACQEA&#10;AA8AAAAAAAAAAQAgAAAAIgAAAGRycy9kb3ducmV2LnhtbFBLAQIUABQAAAAIAIdO4kAAiLqFHAIA&#10;APwDAAAOAAAAAAAAAAEAIAAAACUBAABkcnMvZTJvRG9jLnhtbFBLBQYAAAAABgAGAFkBAACzBQAA&#10;AAA=&#10;">
                        <v:fill on="f" focussize="0,0"/>
                        <v:stroke weight="1.25pt" color="#000000" joinstyle="round" endarrow="block"/>
                        <v:imagedata o:title=""/>
                        <o:lock v:ext="edit" aspectratio="f"/>
                      </v:shape>
                      <v:shape id="_x0000_s1026" o:spid="_x0000_s1026" o:spt="34" type="#_x0000_t34" style="position:absolute;left:2028190;top:1487170;flip:x;height:1611630;width:3175;" filled="f" stroked="t" coordsize="21600,21600" o:gfxdata="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SCXStUAAAAJAQAADwAAAAAAAAABACAAAAAiAAAAZHJz&#10;L2Rvd25yZXYueG1sUEsBAhQAFAAAAAgAh07iQFvM1kFAAgAAWAQAAA4AAAAAAAAAAQAgAAAAJAEA&#10;AGRycy9lMm9Eb2MueG1sUEsFBgAAAAAGAAYAWQEAANYFAAAAAA==&#10;" adj="-2700000">
                        <v:fill on="f" focussize="0,0"/>
                        <v:stroke weight="1pt" color="#000000" joinstyle="round" dashstyle="dash"/>
                        <v:imagedata o:title=""/>
                        <o:lock v:ext="edit" aspectratio="f"/>
                      </v:shape>
                      <v:line id="_x0000_s1026" o:spid="_x0000_s1026" o:spt="20" style="position:absolute;left:2028190;top:2024380;height:0;width:403860;" filled="f" stroked="t" coordsize="21600,21600" o:gfxdata="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CJGSHaAAAACQEAAA8AAAAAAAAAAQAgAAAAIgAAAGRycy9kb3ducmV2&#10;LnhtbFBLAQIUABQAAAAIAIdO4kBX+5WD+gEAANEDAAAOAAAAAAAAAAEAIAAAACkBAABkcnMvZTJv&#10;RG9jLnhtbFBLBQYAAAAABgAGAFkBAACVBQAAAAA=&#10;">
                        <v:fill on="f" focussize="0,0"/>
                        <v:stroke weight="1pt" color="#000000" joinstyle="round" dashstyle="dash" endarrow="block"/>
                        <v:imagedata o:title=""/>
                        <o:lock v:ext="edit" aspectratio="f"/>
                      </v:line>
                      <v:line id="_x0000_s1026" o:spid="_x0000_s1026" o:spt="20" style="position:absolute;left:2028190;top:2576830;height:0;width:403860;" filled="f" stroked="t" coordsize="21600,21600" o:gfxdata="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iRkh2gAAAAkBAAAPAAAAAAAAAAEAIAAAACIAAABkcnMvZG93bnJl&#10;di54bWxQSwECFAAUAAAACACHTuJAeZyMAPsBAADRAwAADgAAAAAAAAABACAAAAApAQAAZHJzL2Uy&#10;b0RvYy54bWxQSwUGAAAAAAYABgBZAQAAlgUAAAAA&#10;">
                        <v:fill on="f" focussize="0,0"/>
                        <v:stroke weight="1pt" color="#000000" joinstyle="round" dashstyle="dash" endarrow="block"/>
                        <v:imagedata o:title=""/>
                        <o:lock v:ext="edit" aspectratio="f"/>
                      </v:line>
                      <v:line id="_x0000_s1026" o:spid="_x0000_s1026" o:spt="20" style="position:absolute;left:2447290;top:2342515;flip:y;height:5715;width:494665;" filled="f" stroked="t" coordsize="21600,21600" o:gfxdata="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wFIstcAAAAJAQAADwAA&#10;AAAAAAABACAAAAAiAAAAZHJzL2Rvd25yZXYueG1sUEsBAhQAFAAAAAgAh07iQOM3Fn8XAgAABgQA&#10;AA4AAAAAAAAAAQAgAAAAJgEAAGRycy9lMm9Eb2MueG1sUEsFBgAAAAAGAAYAWQEAAK8FAAAAAA==&#10;">
                        <v:fill on="f" focussize="0,0"/>
                        <v:stroke weight="1pt" color="#000000" joinstyle="round" dashstyle="dash" endarrow="block"/>
                        <v:imagedata o:title=""/>
                        <o:lock v:ext="edit" aspectratio="f"/>
                      </v:line>
                    </v:group>
                  </w:pict>
                </mc:Fallback>
              </mc:AlternateContent>
            </w:r>
          </w:p>
          <w:p w14:paraId="4BD1D3A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p>
          <w:p w14:paraId="0D3C9ED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p>
          <w:p w14:paraId="3F04B96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p>
          <w:p w14:paraId="636FEC3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p>
          <w:p w14:paraId="43A45D8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p>
          <w:p w14:paraId="14769C2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p>
          <w:p w14:paraId="24106F5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p>
          <w:p w14:paraId="78C1A0A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p>
          <w:p w14:paraId="2E3B7F4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p>
          <w:p w14:paraId="722AA35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p>
          <w:p w14:paraId="66B6B43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p>
          <w:p w14:paraId="09B4F03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p>
          <w:p w14:paraId="425C306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p>
          <w:p w14:paraId="61007ED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p>
          <w:p w14:paraId="71F3991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p>
          <w:p w14:paraId="2EE2E8B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p>
          <w:p w14:paraId="1E8209B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p>
          <w:p w14:paraId="4B4BE95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p>
          <w:p w14:paraId="5D0FD99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图2.3-1 塑料输液瓶（袋）及生活源塑料工艺流程</w:t>
            </w:r>
          </w:p>
          <w:p w14:paraId="2B344AE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eastAsia="zh-CN"/>
              </w:rPr>
              <w:t>进料分选：</w:t>
            </w:r>
            <w:r>
              <w:rPr>
                <w:rFonts w:hint="default" w:ascii="Times New Roman" w:hAnsi="Times New Roman" w:eastAsia="宋体" w:cs="Times New Roman"/>
                <w:color w:val="auto"/>
                <w:sz w:val="24"/>
                <w:szCs w:val="24"/>
                <w:lang w:eastAsia="zh-CN"/>
              </w:rPr>
              <w:t>艺</w:t>
            </w:r>
            <w:r>
              <w:rPr>
                <w:rFonts w:hint="default" w:ascii="Times New Roman" w:hAnsi="Times New Roman" w:eastAsia="宋体" w:cs="Times New Roman"/>
                <w:color w:val="auto"/>
                <w:sz w:val="24"/>
                <w:szCs w:val="24"/>
              </w:rPr>
              <w:t>以使用后的一次性医用</w:t>
            </w:r>
            <w:r>
              <w:rPr>
                <w:rFonts w:hint="default" w:ascii="Times New Roman" w:hAnsi="Times New Roman" w:eastAsia="宋体" w:cs="Times New Roman"/>
                <w:color w:val="auto"/>
                <w:sz w:val="24"/>
                <w:szCs w:val="24"/>
                <w:lang w:eastAsia="zh-CN"/>
              </w:rPr>
              <w:t>塑料</w:t>
            </w:r>
            <w:r>
              <w:rPr>
                <w:rFonts w:hint="default" w:ascii="Times New Roman" w:hAnsi="Times New Roman" w:eastAsia="宋体" w:cs="Times New Roman"/>
                <w:color w:val="auto"/>
                <w:sz w:val="24"/>
                <w:szCs w:val="24"/>
              </w:rPr>
              <w:t>输液瓶（袋）为原料，未被病人血液、体液、排泄物污染，不属于医疗废物。先由各医疗机构负责对一次性医用输液瓶（袋）进行分拣，将针头和输液管等剪下来（作为医疗废物），和一次性医用输液瓶（袋）分开暂存，并将输液袋内残留的液体倒出，然后由密闭车辆运输进入本项目再生利用。</w:t>
            </w:r>
          </w:p>
          <w:p w14:paraId="0C640F0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医用输液瓶</w:t>
            </w:r>
            <w:r>
              <w:rPr>
                <w:rFonts w:hint="default" w:ascii="Times New Roman" w:hAnsi="Times New Roman" w:eastAsia="宋体" w:cs="Times New Roman"/>
                <w:color w:val="auto"/>
                <w:sz w:val="24"/>
                <w:szCs w:val="24"/>
                <w:lang w:eastAsia="zh-CN"/>
              </w:rPr>
              <w:t>（袋）</w:t>
            </w:r>
            <w:r>
              <w:rPr>
                <w:rFonts w:hint="default" w:ascii="Times New Roman" w:hAnsi="Times New Roman" w:eastAsia="宋体" w:cs="Times New Roman"/>
                <w:color w:val="auto"/>
                <w:sz w:val="24"/>
                <w:szCs w:val="24"/>
              </w:rPr>
              <w:t>从各医疗卫生机构回收集中原料堆放区，经过人工的初步筛选，筛选掉其中的废包装材料。</w:t>
            </w:r>
          </w:p>
          <w:p w14:paraId="310DD36E">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宋体" w:cs="Times New Roman"/>
                <w:b/>
                <w:bCs/>
                <w:color w:val="0000FF"/>
                <w:sz w:val="24"/>
                <w:szCs w:val="24"/>
                <w:lang w:eastAsia="zh-CN"/>
              </w:rPr>
            </w:pPr>
            <w:r>
              <w:rPr>
                <w:rFonts w:hint="default" w:ascii="Times New Roman" w:hAnsi="Times New Roman" w:eastAsia="宋体" w:cs="Times New Roman"/>
                <w:b/>
                <w:bCs/>
                <w:color w:val="auto"/>
                <w:sz w:val="24"/>
                <w:szCs w:val="24"/>
                <w:lang w:eastAsia="zh-CN"/>
              </w:rPr>
              <w:t>破碎：</w:t>
            </w:r>
            <w:r>
              <w:rPr>
                <w:rFonts w:hint="default" w:ascii="Times New Roman" w:hAnsi="Times New Roman" w:eastAsia="宋体" w:cs="Times New Roman"/>
                <w:b w:val="0"/>
                <w:bCs w:val="0"/>
                <w:color w:val="auto"/>
                <w:sz w:val="24"/>
                <w:szCs w:val="24"/>
                <w:lang w:eastAsia="zh-CN"/>
              </w:rPr>
              <w:t>采用</w:t>
            </w:r>
            <w:r>
              <w:rPr>
                <w:rFonts w:hint="default" w:ascii="Times New Roman" w:hAnsi="Times New Roman" w:eastAsia="宋体" w:cs="Times New Roman"/>
                <w:b w:val="0"/>
                <w:bCs w:val="0"/>
                <w:color w:val="auto"/>
                <w:sz w:val="24"/>
                <w:szCs w:val="24"/>
                <w:lang w:val="en-US" w:eastAsia="zh-CN"/>
              </w:rPr>
              <w:t>上料输送机</w:t>
            </w:r>
            <w:r>
              <w:rPr>
                <w:rFonts w:hint="default" w:ascii="Times New Roman" w:hAnsi="Times New Roman" w:eastAsia="宋体" w:cs="Times New Roman"/>
                <w:b w:val="0"/>
                <w:bCs w:val="0"/>
                <w:color w:val="auto"/>
                <w:sz w:val="24"/>
                <w:szCs w:val="24"/>
                <w:lang w:eastAsia="zh-CN"/>
              </w:rPr>
              <w:t>送入</w:t>
            </w:r>
            <w:r>
              <w:rPr>
                <w:rFonts w:hint="default" w:ascii="Times New Roman" w:hAnsi="Times New Roman" w:eastAsia="宋体" w:cs="Times New Roman"/>
                <w:i w:val="0"/>
                <w:iCs w:val="0"/>
                <w:color w:val="auto"/>
                <w:kern w:val="0"/>
                <w:sz w:val="24"/>
                <w:szCs w:val="24"/>
                <w:u w:val="none"/>
                <w:lang w:val="en-US" w:eastAsia="zh-CN" w:bidi="ar"/>
              </w:rPr>
              <w:t>卧式粉碎机</w:t>
            </w:r>
            <w:r>
              <w:rPr>
                <w:rFonts w:hint="default" w:ascii="Times New Roman" w:hAnsi="Times New Roman" w:eastAsia="宋体" w:cs="Times New Roman"/>
                <w:b w:val="0"/>
                <w:bCs w:val="0"/>
                <w:color w:val="auto"/>
                <w:sz w:val="24"/>
                <w:szCs w:val="24"/>
                <w:lang w:eastAsia="zh-CN"/>
              </w:rPr>
              <w:t>进行湿式机械破碎。破碎机为密闭式，一侧接有水管，原料与水混合旋转搅拌并通过转轴上的破碎齿进行破碎，同时水对原料起到预清洗作用，破碎清洗为流水线形式，通过传送带持续送入破碎清洗机内，在机器内持续约1min的破碎清洗后流出，全过程常温、常压。破碎机底部设过滤网，湿式破碎后的塑料碎片通过螺旋机输送至</w:t>
            </w:r>
            <w:r>
              <w:rPr>
                <w:rFonts w:hint="default" w:ascii="Times New Roman" w:hAnsi="Times New Roman" w:eastAsia="宋体" w:cs="Times New Roman"/>
                <w:b w:val="0"/>
                <w:bCs w:val="0"/>
                <w:color w:val="auto"/>
                <w:sz w:val="24"/>
                <w:szCs w:val="24"/>
                <w:lang w:val="en-US" w:eastAsia="zh-CN"/>
              </w:rPr>
              <w:t>后续工段</w:t>
            </w:r>
            <w:r>
              <w:rPr>
                <w:rFonts w:hint="default" w:ascii="Times New Roman" w:hAnsi="Times New Roman" w:eastAsia="宋体" w:cs="Times New Roman"/>
                <w:b w:val="0"/>
                <w:bCs w:val="0"/>
                <w:color w:val="auto"/>
                <w:sz w:val="24"/>
                <w:szCs w:val="24"/>
                <w:lang w:eastAsia="zh-CN"/>
              </w:rPr>
              <w:t>；湿式破碎废水经破碎机底部流入破碎机下方的围堰并引入污水</w:t>
            </w:r>
            <w:r>
              <w:rPr>
                <w:rFonts w:hint="eastAsia" w:ascii="Times New Roman" w:hAnsi="Times New Roman" w:cs="Times New Roman"/>
                <w:b w:val="0"/>
                <w:bCs w:val="0"/>
                <w:color w:val="auto"/>
                <w:sz w:val="24"/>
                <w:szCs w:val="24"/>
                <w:lang w:val="en-US" w:eastAsia="zh-CN"/>
              </w:rPr>
              <w:t>处理</w:t>
            </w:r>
            <w:r>
              <w:rPr>
                <w:rFonts w:hint="default" w:ascii="Times New Roman" w:hAnsi="Times New Roman" w:eastAsia="宋体" w:cs="Times New Roman"/>
                <w:b w:val="0"/>
                <w:bCs w:val="0"/>
                <w:color w:val="auto"/>
                <w:sz w:val="24"/>
                <w:szCs w:val="24"/>
                <w:lang w:eastAsia="zh-CN"/>
              </w:rPr>
              <w:t>设施处理后通过回用</w:t>
            </w:r>
            <w:r>
              <w:rPr>
                <w:rFonts w:hint="eastAsia" w:ascii="Times New Roman" w:hAnsi="Times New Roman" w:cs="Times New Roman"/>
                <w:b w:val="0"/>
                <w:bCs w:val="0"/>
                <w:color w:val="auto"/>
                <w:sz w:val="24"/>
                <w:szCs w:val="24"/>
                <w:lang w:val="en-US" w:eastAsia="zh-CN"/>
              </w:rPr>
              <w:t>管道</w:t>
            </w:r>
            <w:r>
              <w:rPr>
                <w:rFonts w:hint="default" w:ascii="Times New Roman" w:hAnsi="Times New Roman" w:eastAsia="宋体" w:cs="Times New Roman"/>
                <w:b w:val="0"/>
                <w:bCs w:val="0"/>
                <w:color w:val="auto"/>
                <w:sz w:val="24"/>
                <w:szCs w:val="24"/>
                <w:lang w:eastAsia="zh-CN"/>
              </w:rPr>
              <w:t>循环再利用，回用水池中部分水定期再经一体化生化设备处理后纳管排放。</w:t>
            </w:r>
          </w:p>
          <w:p w14:paraId="18E21189">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eastAsia="zh-CN"/>
              </w:rPr>
              <w:t>强力摩擦：</w:t>
            </w:r>
            <w:r>
              <w:rPr>
                <w:rFonts w:hint="default" w:ascii="Times New Roman" w:hAnsi="Times New Roman" w:eastAsia="宋体" w:cs="Times New Roman"/>
                <w:color w:val="auto"/>
                <w:sz w:val="24"/>
                <w:szCs w:val="24"/>
              </w:rPr>
              <w:t>塑料片材输送至</w:t>
            </w:r>
            <w:r>
              <w:rPr>
                <w:rFonts w:hint="default" w:ascii="Times New Roman" w:hAnsi="Times New Roman" w:eastAsia="宋体" w:cs="Times New Roman"/>
                <w:i w:val="0"/>
                <w:iCs w:val="0"/>
                <w:color w:val="000000"/>
                <w:kern w:val="0"/>
                <w:sz w:val="24"/>
                <w:szCs w:val="24"/>
                <w:u w:val="none"/>
                <w:lang w:val="en-US" w:eastAsia="zh-CN" w:bidi="ar"/>
              </w:rPr>
              <w:t>强力摩擦机</w:t>
            </w:r>
            <w:r>
              <w:rPr>
                <w:rFonts w:hint="default" w:ascii="Times New Roman" w:hAnsi="Times New Roman" w:eastAsia="宋体" w:cs="Times New Roman"/>
                <w:color w:val="auto"/>
                <w:sz w:val="24"/>
                <w:szCs w:val="24"/>
              </w:rPr>
              <w:t>，通过物料间高速摩擦将附着在塑料上的不干胶纸等清洗干净，后续进入立式洗脱机。</w:t>
            </w:r>
          </w:p>
          <w:p w14:paraId="0C8C32B9">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eastAsia="zh-CN"/>
              </w:rPr>
              <w:t>洗脱机：</w:t>
            </w:r>
            <w:r>
              <w:rPr>
                <w:rFonts w:hint="default" w:ascii="Times New Roman" w:hAnsi="Times New Roman" w:eastAsia="宋体" w:cs="Times New Roman"/>
                <w:color w:val="auto"/>
                <w:sz w:val="24"/>
                <w:szCs w:val="24"/>
              </w:rPr>
              <w:t>项目90%以上的纸浆从立式洗脱机甩出，被脱离纸浆后的物料进入下段洗料机中进行洗除残留纸浆，该工段需要添加回用水。</w:t>
            </w:r>
          </w:p>
          <w:p w14:paraId="33728DA9">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lang w:eastAsia="zh-CN"/>
              </w:rPr>
              <w:t>沉浮分流：</w:t>
            </w:r>
            <w:r>
              <w:rPr>
                <w:rFonts w:hint="default" w:ascii="Times New Roman" w:hAnsi="Times New Roman" w:eastAsia="宋体" w:cs="Times New Roman"/>
                <w:color w:val="auto"/>
                <w:sz w:val="24"/>
                <w:szCs w:val="24"/>
              </w:rPr>
              <w:t>分离完纸浆的物料进入沉浮分离水槽中进行分离沉水的橡胶，后续再进入脱水机中进行脱水。本工段分离沉浮需要添加新鲜水</w:t>
            </w:r>
            <w:r>
              <w:rPr>
                <w:rFonts w:hint="default" w:ascii="Times New Roman" w:hAnsi="Times New Roman" w:eastAsia="宋体" w:cs="Times New Roman"/>
                <w:color w:val="auto"/>
                <w:sz w:val="24"/>
                <w:szCs w:val="24"/>
                <w:lang w:eastAsia="zh-CN"/>
              </w:rPr>
              <w:t>。</w:t>
            </w:r>
          </w:p>
          <w:p w14:paraId="4742BD08">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4"/>
                <w:szCs w:val="24"/>
                <w:lang w:eastAsia="zh-CN"/>
              </w:rPr>
              <w:t>脱水干燥：</w:t>
            </w:r>
            <w:r>
              <w:rPr>
                <w:rFonts w:hint="default" w:ascii="Times New Roman" w:hAnsi="Times New Roman" w:eastAsia="宋体" w:cs="Times New Roman"/>
                <w:color w:val="auto"/>
                <w:sz w:val="24"/>
                <w:szCs w:val="24"/>
              </w:rPr>
              <w:t>经过脱水完后的物料进入烘干机中烘干水分</w:t>
            </w:r>
            <w:r>
              <w:rPr>
                <w:rFonts w:hint="default" w:ascii="Times New Roman" w:hAnsi="Times New Roman" w:eastAsia="宋体" w:cs="Times New Roman"/>
                <w:color w:val="auto"/>
                <w:sz w:val="24"/>
                <w:szCs w:val="24"/>
                <w:lang w:eastAsia="zh-CN"/>
              </w:rPr>
              <w:t>。</w:t>
            </w:r>
          </w:p>
          <w:p w14:paraId="7B9053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sz w:val="21"/>
              </w:rPr>
              <mc:AlternateContent>
                <mc:Choice Requires="wpc">
                  <w:drawing>
                    <wp:anchor distT="0" distB="0" distL="114300" distR="114300" simplePos="0" relativeHeight="251661312" behindDoc="0" locked="0" layoutInCell="1" allowOverlap="1">
                      <wp:simplePos x="0" y="0"/>
                      <wp:positionH relativeFrom="column">
                        <wp:posOffset>657225</wp:posOffset>
                      </wp:positionH>
                      <wp:positionV relativeFrom="paragraph">
                        <wp:posOffset>509905</wp:posOffset>
                      </wp:positionV>
                      <wp:extent cx="3902710" cy="3726815"/>
                      <wp:effectExtent l="0" t="0" r="0" b="0"/>
                      <wp:wrapNone/>
                      <wp:docPr id="71" name="画布 71"/>
                      <wp:cNvGraphicFramePr/>
                      <a:graphic xmlns:a="http://schemas.openxmlformats.org/drawingml/2006/main">
                        <a:graphicData uri="http://schemas.microsoft.com/office/word/2010/wordprocessingCanvas">
                          <wpc:wpc>
                            <wpc:bg>
                              <a:noFill/>
                            </wpc:bg>
                            <wpc:whole>
                              <a:ln>
                                <a:noFill/>
                              </a:ln>
                            </wpc:whole>
                            <wps:wsp>
                              <wps:cNvPr id="305" name="文本框 57"/>
                              <wps:cNvSpPr txBox="1"/>
                              <wps:spPr>
                                <a:xfrm>
                                  <a:off x="1018540" y="607695"/>
                                  <a:ext cx="1200150" cy="486410"/>
                                </a:xfrm>
                                <a:prstGeom prst="rect">
                                  <a:avLst/>
                                </a:prstGeom>
                                <a:noFill/>
                                <a:ln w="6350">
                                  <a:noFill/>
                                </a:ln>
                                <a:effectLst/>
                              </wps:spPr>
                              <wps:txbx>
                                <w:txbxContent>
                                  <w:p w14:paraId="5AF3AB3B">
                                    <w:pPr>
                                      <w:jc w:val="center"/>
                                      <w:rPr>
                                        <w:sz w:val="24"/>
                                        <w:szCs w:val="24"/>
                                      </w:rPr>
                                    </w:pPr>
                                    <w:r>
                                      <w:rPr>
                                        <w:rFonts w:hint="eastAsia" w:ascii="Times New Roman" w:hAnsi="Times New Roman" w:eastAsia="宋体" w:cs="Times New Roman"/>
                                        <w:color w:val="auto"/>
                                        <w:sz w:val="24"/>
                                        <w:szCs w:val="24"/>
                                        <w:lang w:val="en-US" w:eastAsia="zh-CN"/>
                                      </w:rPr>
                                      <w:t>未被污染的医用玻璃瓶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6" name="文本框 58"/>
                              <wps:cNvSpPr txBox="1"/>
                              <wps:spPr>
                                <a:xfrm>
                                  <a:off x="1209040" y="1319530"/>
                                  <a:ext cx="821055" cy="334645"/>
                                </a:xfrm>
                                <a:prstGeom prst="rect">
                                  <a:avLst/>
                                </a:prstGeom>
                                <a:noFill/>
                                <a:ln w="6350" cap="flat" cmpd="sng">
                                  <a:solidFill>
                                    <a:srgbClr val="000000"/>
                                  </a:solidFill>
                                  <a:prstDash val="solid"/>
                                  <a:round/>
                                  <a:headEnd type="none" w="med" len="med"/>
                                  <a:tailEnd type="none" w="med" len="med"/>
                                </a:ln>
                              </wps:spPr>
                              <wps:txbx>
                                <w:txbxContent>
                                  <w:p w14:paraId="103CF47F">
                                    <w:pPr>
                                      <w:jc w:val="center"/>
                                      <w:rPr>
                                        <w:sz w:val="24"/>
                                        <w:szCs w:val="24"/>
                                      </w:rPr>
                                    </w:pPr>
                                    <w:r>
                                      <w:rPr>
                                        <w:rFonts w:hint="eastAsia" w:ascii="Times New Roman" w:hAnsi="Times New Roman" w:eastAsia="宋体" w:cs="Times New Roman"/>
                                        <w:color w:val="auto"/>
                                        <w:sz w:val="24"/>
                                        <w:szCs w:val="24"/>
                                        <w:lang w:val="en-US" w:eastAsia="zh-CN"/>
                                      </w:rPr>
                                      <w:t>破碎</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307" name="文本框 62"/>
                              <wps:cNvSpPr txBox="1"/>
                              <wps:spPr>
                                <a:xfrm>
                                  <a:off x="1209040" y="1856740"/>
                                  <a:ext cx="819150" cy="334645"/>
                                </a:xfrm>
                                <a:prstGeom prst="rect">
                                  <a:avLst/>
                                </a:prstGeom>
                                <a:noFill/>
                                <a:ln w="6350" cap="flat" cmpd="sng">
                                  <a:solidFill>
                                    <a:srgbClr val="000000"/>
                                  </a:solidFill>
                                  <a:prstDash val="solid"/>
                                  <a:round/>
                                  <a:headEnd type="none" w="med" len="med"/>
                                  <a:tailEnd type="none" w="med" len="med"/>
                                </a:ln>
                              </wps:spPr>
                              <wps:txbx>
                                <w:txbxContent>
                                  <w:p w14:paraId="49E1A074">
                                    <w:pPr>
                                      <w:jc w:val="center"/>
                                      <w:rPr>
                                        <w:rFonts w:hint="default"/>
                                        <w:sz w:val="24"/>
                                        <w:szCs w:val="24"/>
                                        <w:lang w:val="en-US"/>
                                      </w:rPr>
                                    </w:pPr>
                                    <w:r>
                                      <w:rPr>
                                        <w:rFonts w:hint="eastAsia" w:ascii="Times New Roman" w:hAnsi="Times New Roman" w:eastAsia="宋体" w:cs="Times New Roman"/>
                                        <w:color w:val="auto"/>
                                        <w:sz w:val="24"/>
                                        <w:szCs w:val="24"/>
                                        <w:lang w:val="en-US" w:eastAsia="zh-CN"/>
                                      </w:rPr>
                                      <w:t>清洗</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309" name="文本框 64"/>
                              <wps:cNvSpPr txBox="1"/>
                              <wps:spPr>
                                <a:xfrm>
                                  <a:off x="1199515" y="2411095"/>
                                  <a:ext cx="819150" cy="334645"/>
                                </a:xfrm>
                                <a:prstGeom prst="rect">
                                  <a:avLst/>
                                </a:prstGeom>
                                <a:noFill/>
                                <a:ln w="6350" cap="flat" cmpd="sng">
                                  <a:solidFill>
                                    <a:srgbClr val="000000"/>
                                  </a:solidFill>
                                  <a:prstDash val="solid"/>
                                  <a:round/>
                                  <a:headEnd type="none" w="med" len="med"/>
                                  <a:tailEnd type="none" w="med" len="med"/>
                                </a:ln>
                              </wps:spPr>
                              <wps:txbx>
                                <w:txbxContent>
                                  <w:p w14:paraId="2E2CFE44">
                                    <w:pPr>
                                      <w:jc w:val="center"/>
                                      <w:rPr>
                                        <w:sz w:val="24"/>
                                        <w:szCs w:val="24"/>
                                      </w:rPr>
                                    </w:pPr>
                                    <w:r>
                                      <w:rPr>
                                        <w:rFonts w:hint="eastAsia" w:ascii="Times New Roman" w:hAnsi="Times New Roman" w:eastAsia="宋体" w:cs="Times New Roman"/>
                                        <w:color w:val="auto"/>
                                        <w:sz w:val="24"/>
                                        <w:szCs w:val="24"/>
                                        <w:lang w:val="en-US" w:eastAsia="zh-CN"/>
                                      </w:rPr>
                                      <w:t>晾干</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310" name="文本框 65"/>
                              <wps:cNvSpPr txBox="1"/>
                              <wps:spPr>
                                <a:xfrm>
                                  <a:off x="1209040" y="2923540"/>
                                  <a:ext cx="819150" cy="297180"/>
                                </a:xfrm>
                                <a:prstGeom prst="rect">
                                  <a:avLst/>
                                </a:prstGeom>
                                <a:noFill/>
                                <a:ln w="6350" cap="flat" cmpd="sng">
                                  <a:solidFill>
                                    <a:srgbClr val="000000"/>
                                  </a:solidFill>
                                  <a:prstDash val="solid"/>
                                  <a:round/>
                                  <a:headEnd type="none" w="med" len="med"/>
                                  <a:tailEnd type="none" w="med" len="med"/>
                                </a:ln>
                              </wps:spPr>
                              <wps:txbx>
                                <w:txbxContent>
                                  <w:p w14:paraId="6976599A">
                                    <w:pPr>
                                      <w:jc w:val="center"/>
                                      <w:rPr>
                                        <w:sz w:val="21"/>
                                        <w:szCs w:val="21"/>
                                      </w:rPr>
                                    </w:pPr>
                                    <w:r>
                                      <w:rPr>
                                        <w:rFonts w:hint="eastAsia" w:ascii="Times New Roman" w:hAnsi="Times New Roman" w:eastAsia="宋体" w:cs="Times New Roman"/>
                                        <w:color w:val="auto"/>
                                        <w:sz w:val="21"/>
                                        <w:szCs w:val="21"/>
                                        <w:lang w:val="en-US" w:eastAsia="zh-CN"/>
                                      </w:rPr>
                                      <w:t>玻璃回收</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311" name="文本框 16"/>
                              <wps:cNvSpPr txBox="1"/>
                              <wps:spPr>
                                <a:xfrm>
                                  <a:off x="2541905" y="1760855"/>
                                  <a:ext cx="819150" cy="486410"/>
                                </a:xfrm>
                                <a:prstGeom prst="rect">
                                  <a:avLst/>
                                </a:prstGeom>
                                <a:noFill/>
                                <a:ln w="6350" cap="flat" cmpd="sng">
                                  <a:solidFill>
                                    <a:srgbClr val="000000"/>
                                  </a:solidFill>
                                  <a:prstDash val="solid"/>
                                  <a:round/>
                                  <a:headEnd type="none" w="med" len="med"/>
                                  <a:tailEnd type="none" w="med" len="med"/>
                                </a:ln>
                              </wps:spPr>
                              <wps:txbx>
                                <w:txbxContent>
                                  <w:p w14:paraId="364EC911">
                                    <w:pPr>
                                      <w:jc w:val="center"/>
                                      <w:rPr>
                                        <w:sz w:val="24"/>
                                        <w:szCs w:val="24"/>
                                      </w:rPr>
                                    </w:pPr>
                                    <w:r>
                                      <w:rPr>
                                        <w:rFonts w:hint="eastAsia" w:ascii="Times New Roman" w:hAnsi="Times New Roman" w:eastAsia="宋体" w:cs="Times New Roman"/>
                                        <w:color w:val="auto"/>
                                        <w:sz w:val="24"/>
                                        <w:szCs w:val="24"/>
                                        <w:lang w:val="en-US" w:eastAsia="zh-CN"/>
                                      </w:rPr>
                                      <w:t>污水预处理设施</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wps:wsp>
                              <wps:cNvPr id="312" name="直接箭头连接符 66"/>
                              <wps:cNvCnPr/>
                              <wps:spPr>
                                <a:xfrm>
                                  <a:off x="1618615" y="1116965"/>
                                  <a:ext cx="1270" cy="202565"/>
                                </a:xfrm>
                                <a:prstGeom prst="straightConnector1">
                                  <a:avLst/>
                                </a:prstGeom>
                                <a:noFill/>
                                <a:ln w="15875" cap="flat" cmpd="sng" algn="ctr">
                                  <a:solidFill>
                                    <a:srgbClr val="000000"/>
                                  </a:solidFill>
                                  <a:prstDash val="solid"/>
                                  <a:tailEnd type="triangle"/>
                                </a:ln>
                                <a:effectLst/>
                              </wps:spPr>
                              <wps:bodyPr/>
                            </wps:wsp>
                            <wps:wsp>
                              <wps:cNvPr id="313" name="直接箭头连接符 67"/>
                              <wps:cNvCnPr/>
                              <wps:spPr>
                                <a:xfrm flipH="1">
                                  <a:off x="1618615" y="1654175"/>
                                  <a:ext cx="1270" cy="202565"/>
                                </a:xfrm>
                                <a:prstGeom prst="straightConnector1">
                                  <a:avLst/>
                                </a:prstGeom>
                                <a:noFill/>
                                <a:ln w="15875" cap="flat" cmpd="sng" algn="ctr">
                                  <a:solidFill>
                                    <a:srgbClr val="000000"/>
                                  </a:solidFill>
                                  <a:prstDash val="solid"/>
                                  <a:tailEnd type="triangle"/>
                                </a:ln>
                                <a:effectLst/>
                              </wps:spPr>
                              <wps:bodyPr/>
                            </wps:wsp>
                            <wps:wsp>
                              <wps:cNvPr id="315" name="直接箭头连接符 69"/>
                              <wps:cNvCnPr/>
                              <wps:spPr>
                                <a:xfrm flipH="1">
                                  <a:off x="1618615" y="2204720"/>
                                  <a:ext cx="1270" cy="202565"/>
                                </a:xfrm>
                                <a:prstGeom prst="straightConnector1">
                                  <a:avLst/>
                                </a:prstGeom>
                                <a:noFill/>
                                <a:ln w="15875" cap="flat" cmpd="sng" algn="ctr">
                                  <a:solidFill>
                                    <a:srgbClr val="000000"/>
                                  </a:solidFill>
                                  <a:prstDash val="solid"/>
                                  <a:tailEnd type="triangle"/>
                                </a:ln>
                                <a:effectLst/>
                              </wps:spPr>
                              <wps:bodyPr/>
                            </wps:wsp>
                            <wps:wsp>
                              <wps:cNvPr id="316" name="直接箭头连接符 70"/>
                              <wps:cNvCnPr/>
                              <wps:spPr>
                                <a:xfrm>
                                  <a:off x="1618615" y="2741930"/>
                                  <a:ext cx="0" cy="202565"/>
                                </a:xfrm>
                                <a:prstGeom prst="straightConnector1">
                                  <a:avLst/>
                                </a:prstGeom>
                                <a:noFill/>
                                <a:ln w="15875" cap="flat" cmpd="sng" algn="ctr">
                                  <a:solidFill>
                                    <a:srgbClr val="000000"/>
                                  </a:solidFill>
                                  <a:prstDash val="solid"/>
                                  <a:tailEnd type="triangle"/>
                                </a:ln>
                                <a:effectLst/>
                              </wps:spPr>
                              <wps:bodyPr/>
                            </wps:wsp>
                            <wps:wsp>
                              <wps:cNvPr id="318" name="直接箭头连接符 73"/>
                              <wps:cNvCnPr/>
                              <wps:spPr>
                                <a:xfrm>
                                  <a:off x="2025015" y="2011045"/>
                                  <a:ext cx="516890" cy="2540"/>
                                </a:xfrm>
                                <a:prstGeom prst="straightConnector1">
                                  <a:avLst/>
                                </a:prstGeom>
                                <a:noFill/>
                                <a:ln w="12700" cap="flat" cmpd="sng" algn="ctr">
                                  <a:solidFill>
                                    <a:srgbClr val="000000"/>
                                  </a:solidFill>
                                  <a:prstDash val="dash"/>
                                  <a:tailEnd type="triangle"/>
                                </a:ln>
                                <a:effectLst/>
                              </wps:spPr>
                              <wps:bodyPr/>
                            </wps:wsp>
                          </wpc:wpc>
                        </a:graphicData>
                      </a:graphic>
                    </wp:anchor>
                  </w:drawing>
                </mc:Choice>
                <mc:Fallback>
                  <w:pict>
                    <v:group id="_x0000_s1026" o:spid="_x0000_s1026" o:spt="203" style="position:absolute;left:0pt;margin-left:51.75pt;margin-top:40.15pt;height:293.45pt;width:307.3pt;z-index:251661312;mso-width-relative:page;mso-height-relative:page;" coordsize="3902710,3726815" editas="canvas" o:gfxdata="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">
                      <o:lock v:ext="edit" aspectratio="f"/>
                      <v:shape id="_x0000_s1026" o:spid="_x0000_s1026" style="position:absolute;left:0;top:0;height:3726815;width:3902710;" filled="f" stroked="f" coordsize="21600,21600" o:gfxdata="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&#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">
                        <v:fill on="f" focussize="0,0"/>
                        <v:stroke on="f"/>
                        <v:imagedata o:title=""/>
                        <o:lock v:ext="edit" aspectratio="f"/>
                      </v:shape>
                      <v:shape id="文本框 57" o:spid="_x0000_s1026" o:spt="202" type="#_x0000_t202" style="position:absolute;left:1018540;top:607695;height:486410;width:1200150;" filled="f" stroked="f" coordsize="21600,21600" o:gfxdata="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9AktfbAAAACgEAAA8A&#10;AAAAAAAAAQAgAAAAIgAAAGRycy9kb3ducmV2LnhtbFBLAQIUABQAAAAIAIdO4kBuwq//TQIAAIIE&#10;AAAOAAAAAAAAAAEAIAAAACoBAABkcnMvZTJvRG9jLnhtbFBLBQYAAAAABgAGAFkBAADpBQAAAAA=&#10;">
                        <v:fill on="f" focussize="0,0"/>
                        <v:stroke on="f" weight="0.5pt"/>
                        <v:imagedata o:title=""/>
                        <o:lock v:ext="edit" aspectratio="f"/>
                        <v:textbox>
                          <w:txbxContent>
                            <w:p w14:paraId="5AF3AB3B">
                              <w:pPr>
                                <w:jc w:val="center"/>
                                <w:rPr>
                                  <w:sz w:val="24"/>
                                  <w:szCs w:val="24"/>
                                </w:rPr>
                              </w:pPr>
                              <w:r>
                                <w:rPr>
                                  <w:rFonts w:hint="eastAsia" w:ascii="Times New Roman" w:hAnsi="Times New Roman" w:eastAsia="宋体" w:cs="Times New Roman"/>
                                  <w:color w:val="auto"/>
                                  <w:sz w:val="24"/>
                                  <w:szCs w:val="24"/>
                                  <w:lang w:val="en-US" w:eastAsia="zh-CN"/>
                                </w:rPr>
                                <w:t>未被污染的医用玻璃瓶</w:t>
                              </w:r>
                            </w:p>
                          </w:txbxContent>
                        </v:textbox>
                      </v:shape>
                      <v:shape id="文本框 58" o:spid="_x0000_s1026" o:spt="202" type="#_x0000_t202" style="position:absolute;left:1209040;top:1319530;height:334645;width:821055;" filled="f" stroked="t" coordsize="21600,21600" o:gfxdata="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fvifi2gAAAAoBAAAPAAAAAAAAAAEAIAAAACIAAABkcnMvZG93bnJldi54bWxQSwEC&#10;FAAUAAAACACHTuJARcJqep0CAAA2BQAADgAAAAAAAAABACAAAAApAQAAZHJzL2Uyb0RvYy54bWxQ&#10;SwUGAAAAAAYABgBZAQAAOAYAAAAA&#10;">
                        <v:fill on="f" focussize="0,0"/>
                        <v:stroke weight="0.5pt" color="#000000" joinstyle="round"/>
                        <v:imagedata o:title=""/>
                        <o:lock v:ext="edit" aspectratio="f"/>
                        <v:textbox>
                          <w:txbxContent>
                            <w:p w14:paraId="103CF47F">
                              <w:pPr>
                                <w:jc w:val="center"/>
                                <w:rPr>
                                  <w:sz w:val="24"/>
                                  <w:szCs w:val="24"/>
                                </w:rPr>
                              </w:pPr>
                              <w:r>
                                <w:rPr>
                                  <w:rFonts w:hint="eastAsia" w:ascii="Times New Roman" w:hAnsi="Times New Roman" w:eastAsia="宋体" w:cs="Times New Roman"/>
                                  <w:color w:val="auto"/>
                                  <w:sz w:val="24"/>
                                  <w:szCs w:val="24"/>
                                  <w:lang w:val="en-US" w:eastAsia="zh-CN"/>
                                </w:rPr>
                                <w:t>破碎</w:t>
                              </w:r>
                            </w:p>
                          </w:txbxContent>
                        </v:textbox>
                      </v:shape>
                      <v:shape id="文本框 62" o:spid="_x0000_s1026" o:spt="202" type="#_x0000_t202" style="position:absolute;left:1209040;top:1856740;height:334645;width:819150;" filled="f" stroked="t" coordsize="21600,21600" o:gfxdata="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H74n4toAAAAKAQAADwAAAAAAAAABACAAAAAiAAAAZHJzL2Rvd25yZXYueG1sUEsBAhQA&#10;FAAAAAgAh07iQCdlZgabAgAANgUAAA4AAAAAAAAAAQAgAAAAKQEAAGRycy9lMm9Eb2MueG1sUEsF&#10;BgAAAAAGAAYAWQEAADYGAAAAAA==&#10;">
                        <v:fill on="f" focussize="0,0"/>
                        <v:stroke weight="0.5pt" color="#000000" joinstyle="round"/>
                        <v:imagedata o:title=""/>
                        <o:lock v:ext="edit" aspectratio="f"/>
                        <v:textbox>
                          <w:txbxContent>
                            <w:p w14:paraId="49E1A074">
                              <w:pPr>
                                <w:jc w:val="center"/>
                                <w:rPr>
                                  <w:rFonts w:hint="default"/>
                                  <w:sz w:val="24"/>
                                  <w:szCs w:val="24"/>
                                  <w:lang w:val="en-US"/>
                                </w:rPr>
                              </w:pPr>
                              <w:r>
                                <w:rPr>
                                  <w:rFonts w:hint="eastAsia" w:ascii="Times New Roman" w:hAnsi="Times New Roman" w:eastAsia="宋体" w:cs="Times New Roman"/>
                                  <w:color w:val="auto"/>
                                  <w:sz w:val="24"/>
                                  <w:szCs w:val="24"/>
                                  <w:lang w:val="en-US" w:eastAsia="zh-CN"/>
                                </w:rPr>
                                <w:t>清洗</w:t>
                              </w:r>
                            </w:p>
                          </w:txbxContent>
                        </v:textbox>
                      </v:shape>
                      <v:shape id="文本框 64" o:spid="_x0000_s1026" o:spt="202" type="#_x0000_t202" style="position:absolute;left:1199515;top:2411095;height:334645;width:819150;" filled="f" stroked="t" coordsize="21600,21600" o:gfxdata="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fvifi2gAAAAoBAAAPAAAAAAAAAAEAIAAAACIAAABkcnMvZG93bnJldi54bWxQ&#10;SwECFAAUAAAACACHTuJA322tsaACAAA2BQAADgAAAAAAAAABACAAAAApAQAAZHJzL2Uyb0RvYy54&#10;bWxQSwUGAAAAAAYABgBZAQAAOwYAAAAA&#10;">
                        <v:fill on="f" focussize="0,0"/>
                        <v:stroke weight="0.5pt" color="#000000" joinstyle="round"/>
                        <v:imagedata o:title=""/>
                        <o:lock v:ext="edit" aspectratio="f"/>
                        <v:textbox>
                          <w:txbxContent>
                            <w:p w14:paraId="2E2CFE44">
                              <w:pPr>
                                <w:jc w:val="center"/>
                                <w:rPr>
                                  <w:sz w:val="24"/>
                                  <w:szCs w:val="24"/>
                                </w:rPr>
                              </w:pPr>
                              <w:r>
                                <w:rPr>
                                  <w:rFonts w:hint="eastAsia" w:ascii="Times New Roman" w:hAnsi="Times New Roman" w:eastAsia="宋体" w:cs="Times New Roman"/>
                                  <w:color w:val="auto"/>
                                  <w:sz w:val="24"/>
                                  <w:szCs w:val="24"/>
                                  <w:lang w:val="en-US" w:eastAsia="zh-CN"/>
                                </w:rPr>
                                <w:t>晾干</w:t>
                              </w:r>
                            </w:p>
                          </w:txbxContent>
                        </v:textbox>
                      </v:shape>
                      <v:shape id="文本框 65" o:spid="_x0000_s1026" o:spt="202" type="#_x0000_t202" style="position:absolute;left:1209040;top:2923540;height:297180;width:819150;" filled="f" stroked="t" coordsize="21600,21600" o:gfxdata="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fvifi2gAAAAoBAAAPAAAAAAAAAAEAIAAAACIAAABkcnMvZG93bnJldi54bWxQSwEC&#10;FAAUAAAACACHTuJAqUXRgJ0CAAA2BQAADgAAAAAAAAABACAAAAApAQAAZHJzL2Uyb0RvYy54bWxQ&#10;SwUGAAAAAAYABgBZAQAAOAYAAAAA&#10;">
                        <v:fill on="f" focussize="0,0"/>
                        <v:stroke weight="0.5pt" color="#000000" joinstyle="round"/>
                        <v:imagedata o:title=""/>
                        <o:lock v:ext="edit" aspectratio="f"/>
                        <v:textbox>
                          <w:txbxContent>
                            <w:p w14:paraId="6976599A">
                              <w:pPr>
                                <w:jc w:val="center"/>
                                <w:rPr>
                                  <w:sz w:val="21"/>
                                  <w:szCs w:val="21"/>
                                </w:rPr>
                              </w:pPr>
                              <w:r>
                                <w:rPr>
                                  <w:rFonts w:hint="eastAsia" w:ascii="Times New Roman" w:hAnsi="Times New Roman" w:eastAsia="宋体" w:cs="Times New Roman"/>
                                  <w:color w:val="auto"/>
                                  <w:sz w:val="21"/>
                                  <w:szCs w:val="21"/>
                                  <w:lang w:val="en-US" w:eastAsia="zh-CN"/>
                                </w:rPr>
                                <w:t>玻璃回收</w:t>
                              </w:r>
                            </w:p>
                          </w:txbxContent>
                        </v:textbox>
                      </v:shape>
                      <v:shape id="文本框 16" o:spid="_x0000_s1026" o:spt="202" type="#_x0000_t202" style="position:absolute;left:2541905;top:1760855;height:486410;width:819150;" filled="f" stroked="t" coordsize="21600,21600" o:gfxdata="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fvifi2gAAAAoBAAAPAAAAAAAAAAEAIAAAACIAAABkcnMvZG93bnJldi54bWxQ&#10;SwECFAAUAAAACACHTuJAc42yUqACAAA2BQAADgAAAAAAAAABACAAAAApAQAAZHJzL2Uyb0RvYy54&#10;bWxQSwUGAAAAAAYABgBZAQAAOwYAAAAA&#10;">
                        <v:fill on="f" focussize="0,0"/>
                        <v:stroke weight="0.5pt" color="#000000" joinstyle="round"/>
                        <v:imagedata o:title=""/>
                        <o:lock v:ext="edit" aspectratio="f"/>
                        <v:textbox>
                          <w:txbxContent>
                            <w:p w14:paraId="364EC911">
                              <w:pPr>
                                <w:jc w:val="center"/>
                                <w:rPr>
                                  <w:sz w:val="24"/>
                                  <w:szCs w:val="24"/>
                                </w:rPr>
                              </w:pPr>
                              <w:r>
                                <w:rPr>
                                  <w:rFonts w:hint="eastAsia" w:ascii="Times New Roman" w:hAnsi="Times New Roman" w:eastAsia="宋体" w:cs="Times New Roman"/>
                                  <w:color w:val="auto"/>
                                  <w:sz w:val="24"/>
                                  <w:szCs w:val="24"/>
                                  <w:lang w:val="en-US" w:eastAsia="zh-CN"/>
                                </w:rPr>
                                <w:t>污水预处理设施</w:t>
                              </w:r>
                            </w:p>
                          </w:txbxContent>
                        </v:textbox>
                      </v:shape>
                      <v:shape id="直接箭头连接符 66" o:spid="_x0000_s1026" o:spt="32" type="#_x0000_t32" style="position:absolute;left:1618615;top:1116965;height:202565;width:1270;" filled="f" stroked="t" coordsize="21600,21600" o:gfxdata="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68kNkAAAAKAQAADwAAAAAAAAAB&#10;ACAAAAAiAAAAZHJzL2Rvd25yZXYueG1sUEsBAhQAFAAAAAgAh07iQGkF5c4PAgAA6gMAAA4AAAAA&#10;AAAAAQAgAAAAKAEAAGRycy9lMm9Eb2MueG1sUEsFBgAAAAAGAAYAWQEAAKkFAAAAAA==&#10;">
                        <v:fill on="f" focussize="0,0"/>
                        <v:stroke weight="1.25pt" color="#000000" joinstyle="round" endarrow="block"/>
                        <v:imagedata o:title=""/>
                        <o:lock v:ext="edit" aspectratio="f"/>
                      </v:shape>
                      <v:shape id="直接箭头连接符 67" o:spid="_x0000_s1026" o:spt="32" type="#_x0000_t32" style="position:absolute;left:1618615;top:1654175;flip:x;height:202565;width:1270;" filled="f" stroked="t" coordsize="21600,21600" o:gfxdata="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9kecdsAAAAKAQAA&#10;DwAAAAAAAAABACAAAAAiAAAAZHJzL2Rvd25yZXYueG1sUEsBAhQAFAAAAAgAh07iQAP/DzMWAgAA&#10;9AMAAA4AAAAAAAAAAQAgAAAAKgEAAGRycy9lMm9Eb2MueG1sUEsFBgAAAAAGAAYAWQEAALIFAAAA&#10;AA==&#10;">
                        <v:fill on="f" focussize="0,0"/>
                        <v:stroke weight="1.25pt" color="#000000" joinstyle="round" endarrow="block"/>
                        <v:imagedata o:title=""/>
                        <o:lock v:ext="edit" aspectratio="f"/>
                      </v:shape>
                      <v:shape id="直接箭头连接符 69" o:spid="_x0000_s1026" o:spt="32" type="#_x0000_t32" style="position:absolute;left:1618615;top:2204720;flip:x;height:202565;width:1270;" filled="f" stroked="t" coordsize="21600,21600" o:gfxdata="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D2R5x2wAAAAoBAAAP&#10;AAAAAAAAAAEAIAAAACIAAABkcnMvZG93bnJldi54bWxQSwECFAAUAAAACACHTuJA7VpqLhUCAAD0&#10;AwAADgAAAAAAAAABACAAAAAqAQAAZHJzL2Uyb0RvYy54bWxQSwUGAAAAAAYABgBZAQAAsQUAAAAA&#10;">
                        <v:fill on="f" focussize="0,0"/>
                        <v:stroke weight="1.25pt" color="#000000" joinstyle="round" endarrow="block"/>
                        <v:imagedata o:title=""/>
                        <o:lock v:ext="edit" aspectratio="f"/>
                      </v:shape>
                      <v:shape id="直接箭头连接符 70" o:spid="_x0000_s1026" o:spt="32" type="#_x0000_t32" style="position:absolute;left:1618615;top:2741930;height:202565;width:0;" filled="f" stroked="t" coordsize="21600,21600" o:gfxdata="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7DryQ2QAAAAoBAAAPAAAAAAAAAAEA&#10;IAAAACIAAABkcnMvZG93bnJldi54bWxQSwECFAAUAAAACACHTuJA3eQ0nQ4CAADnAwAADgAAAAAA&#10;AAABACAAAAAoAQAAZHJzL2Uyb0RvYy54bWxQSwUGAAAAAAYABgBZAQAAqAUAAAAA&#10;">
                        <v:fill on="f" focussize="0,0"/>
                        <v:stroke weight="1.25pt" color="#000000" joinstyle="round" endarrow="block"/>
                        <v:imagedata o:title=""/>
                        <o:lock v:ext="edit" aspectratio="f"/>
                      </v:shape>
                      <v:shape id="直接箭头连接符 73" o:spid="_x0000_s1026" o:spt="32" type="#_x0000_t32" style="position:absolute;left:2025015;top:2011045;height:2540;width:516890;" filled="f" stroked="t" coordsize="21600,21600" o:gfxdata="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HvO9e3AAAAAoBAAAPAAAA&#10;AAAAAAEAIAAAACIAAABkcnMvZG93bnJldi54bWxQSwECFAAUAAAACACHTuJAYQxEuxECAADpAwAA&#10;DgAAAAAAAAABACAAAAArAQAAZHJzL2Uyb0RvYy54bWxQSwUGAAAAAAYABgBZAQAArgUAAAAA&#10;">
                        <v:fill on="f" focussize="0,0"/>
                        <v:stroke weight="1pt" color="#000000" joinstyle="round" dashstyle="dash" endarrow="block"/>
                        <v:imagedata o:title=""/>
                        <o:lock v:ext="edit" aspectratio="f"/>
                      </v:shape>
                    </v:group>
                  </w:pict>
                </mc:Fallback>
              </mc:AlternateContent>
            </w:r>
            <w:r>
              <w:rPr>
                <w:rFonts w:hint="default" w:ascii="Times New Roman" w:hAnsi="Times New Roman" w:eastAsia="宋体" w:cs="Times New Roman"/>
                <w:b/>
                <w:bCs/>
                <w:color w:val="auto"/>
                <w:sz w:val="24"/>
                <w:szCs w:val="24"/>
                <w:lang w:eastAsia="zh-CN"/>
              </w:rPr>
              <w:t>分选分离：</w:t>
            </w:r>
            <w:r>
              <w:rPr>
                <w:rFonts w:hint="default" w:ascii="Times New Roman" w:hAnsi="Times New Roman" w:eastAsia="宋体" w:cs="Times New Roman"/>
                <w:color w:val="auto"/>
                <w:sz w:val="24"/>
                <w:szCs w:val="24"/>
              </w:rPr>
              <w:t>送入负压气流风选机中进行风选分离，主要用于输液袋的袋身与袋嘴分离。分离后的物料中是含有发泡浮水橡胶，后续工序经过橡胶材质分离机进行分离发泡浮水橡胶，分离率千分之二，根据分离效果实际情况增设人工挑选。最终得到纯净的塑料破碎料。</w:t>
            </w:r>
          </w:p>
          <w:p w14:paraId="1150C51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p w14:paraId="5572F53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p w14:paraId="6F6F43D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p w14:paraId="3C84825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p w14:paraId="5E44EF4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p w14:paraId="034D9BD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p w14:paraId="1A7222A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p w14:paraId="48A4D0D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p w14:paraId="095E601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p w14:paraId="2BE4CB2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p w14:paraId="4C42AA7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图2.3-2 未被污染的医用玻璃瓶工艺流程</w:t>
            </w:r>
          </w:p>
          <w:p w14:paraId="24970FA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破碎：</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将玻璃瓶从破碎机开门处倾倒至地坑内，以重力破碎方式将玻璃容器破碎。也可采用玻璃专用破碎机进行破碎，破碎过程中加注水及进行湿法破碎。</w:t>
            </w:r>
          </w:p>
          <w:p w14:paraId="098206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清洗：</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使用移动式高压清洗设备对玻璃碎片进行清洗。破碎后的玻璃碎片进入</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清洗线</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，通过水流的冲洗作用，去除玻璃表面的残液、纸屑、橡胶等污染物。</w:t>
            </w:r>
          </w:p>
          <w:p w14:paraId="3C0EDB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晾干</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将清洗后的玻璃碎片静置沥干。</w:t>
            </w:r>
          </w:p>
          <w:p w14:paraId="19C33641">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2.3.2 产污环节分析</w:t>
            </w:r>
          </w:p>
          <w:p w14:paraId="3D83F1BB">
            <w:pPr>
              <w:autoSpaceDE w:val="0"/>
              <w:autoSpaceDN w:val="0"/>
              <w:spacing w:line="360" w:lineRule="auto"/>
              <w:ind w:firstLine="480" w:firstLineChars="200"/>
              <w:textAlignment w:val="bottom"/>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项目产污环节说明一览表详见下表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2.3-1。</w:t>
            </w:r>
          </w:p>
          <w:p w14:paraId="53737D0C">
            <w:pPr>
              <w:pStyle w:val="23"/>
              <w:keepNext w:val="0"/>
              <w:keepLines w:val="0"/>
              <w:pageBreakBefore w:val="0"/>
              <w:widowControl w:val="0"/>
              <w:kinsoku/>
              <w:wordWrap/>
              <w:overflowPunct/>
              <w:topLinePunct w:val="0"/>
              <w:autoSpaceDE w:val="0"/>
              <w:autoSpaceDN w:val="0"/>
              <w:bidi w:val="0"/>
              <w:adjustRightInd w:val="0"/>
              <w:snapToGrid w:val="0"/>
              <w:spacing w:before="191" w:beforeLines="50" w:beforeAutospacing="0" w:after="0" w:afterAutospacing="0"/>
              <w:jc w:val="center"/>
              <w:textAlignment w:val="baseline"/>
              <w:rPr>
                <w:rFonts w:hint="default" w:ascii="Times New Roman" w:hAnsi="Times New Roman" w:eastAsia="宋体" w:cs="Times New Roman"/>
                <w:color w:val="000000" w:themeColor="text1"/>
                <w:spacing w:val="6"/>
                <w:highlight w:val="none"/>
                <w14:textFill>
                  <w14:solidFill>
                    <w14:schemeClr w14:val="tx1"/>
                  </w14:solidFill>
                </w14:textFill>
              </w:rPr>
            </w:pPr>
            <w:r>
              <w:rPr>
                <w:rFonts w:hint="default" w:ascii="Times New Roman" w:hAnsi="Times New Roman" w:eastAsia="黑体" w:cs="Times New Roman"/>
                <w:color w:val="000000" w:themeColor="text1"/>
                <w:spacing w:val="6"/>
                <w:highlight w:val="none"/>
                <w14:textFill>
                  <w14:solidFill>
                    <w14:schemeClr w14:val="tx1"/>
                  </w14:solidFill>
                </w14:textFill>
              </w:rPr>
              <w:t>表</w:t>
            </w:r>
            <w:r>
              <w:rPr>
                <w:rFonts w:hint="default" w:ascii="Times New Roman" w:hAnsi="Times New Roman" w:eastAsia="黑体" w:cs="Times New Roman"/>
                <w:color w:val="000000" w:themeColor="text1"/>
                <w:spacing w:val="6"/>
                <w:highlight w:val="none"/>
                <w:lang w:val="en-US" w:eastAsia="zh-CN"/>
                <w14:textFill>
                  <w14:solidFill>
                    <w14:schemeClr w14:val="tx1"/>
                  </w14:solidFill>
                </w14:textFill>
              </w:rPr>
              <w:t>2.3-1</w:t>
            </w:r>
            <w:r>
              <w:rPr>
                <w:rFonts w:hint="default" w:ascii="Times New Roman" w:hAnsi="Times New Roman" w:eastAsia="黑体" w:cs="Times New Roman"/>
                <w:color w:val="000000" w:themeColor="text1"/>
                <w:spacing w:val="6"/>
                <w:highlight w:val="none"/>
                <w14:textFill>
                  <w14:solidFill>
                    <w14:schemeClr w14:val="tx1"/>
                  </w14:solidFill>
                </w14:textFill>
              </w:rPr>
              <w:t xml:space="preserve">  </w:t>
            </w:r>
            <w:r>
              <w:rPr>
                <w:rFonts w:hint="default" w:ascii="Times New Roman" w:hAnsi="Times New Roman" w:eastAsia="黑体" w:cs="Times New Roman"/>
                <w:color w:val="000000" w:themeColor="text1"/>
                <w:spacing w:val="6"/>
                <w:highlight w:val="none"/>
                <w:lang w:eastAsia="zh-CN"/>
                <w14:textFill>
                  <w14:solidFill>
                    <w14:schemeClr w14:val="tx1"/>
                  </w14:solidFill>
                </w14:textFill>
              </w:rPr>
              <w:t>项目产污环节说明一览</w:t>
            </w:r>
            <w:r>
              <w:rPr>
                <w:rFonts w:hint="default" w:ascii="Times New Roman" w:hAnsi="Times New Roman" w:eastAsia="黑体" w:cs="Times New Roman"/>
                <w:color w:val="000000" w:themeColor="text1"/>
                <w:spacing w:val="6"/>
                <w:highlight w:val="none"/>
                <w14:textFill>
                  <w14:solidFill>
                    <w14:schemeClr w14:val="tx1"/>
                  </w14:solidFill>
                </w14:textFill>
              </w:rPr>
              <w:t>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727"/>
              <w:gridCol w:w="1615"/>
              <w:gridCol w:w="2220"/>
              <w:gridCol w:w="3072"/>
            </w:tblGrid>
            <w:tr w14:paraId="5518DD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noWrap w:val="0"/>
                  <w:vAlign w:val="center"/>
                </w:tcPr>
                <w:p w14:paraId="4C14B380">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序号</w:t>
                  </w:r>
                </w:p>
              </w:tc>
              <w:tc>
                <w:tcPr>
                  <w:tcW w:w="434" w:type="pct"/>
                  <w:noWrap w:val="0"/>
                  <w:vAlign w:val="center"/>
                </w:tcPr>
                <w:p w14:paraId="3445BBC4">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类别</w:t>
                  </w:r>
                </w:p>
              </w:tc>
              <w:tc>
                <w:tcPr>
                  <w:tcW w:w="964" w:type="pct"/>
                  <w:tcBorders>
                    <w:left w:val="single" w:color="000000" w:sz="4" w:space="0"/>
                    <w:right w:val="single" w:color="000000" w:sz="4" w:space="0"/>
                  </w:tcBorders>
                  <w:noWrap w:val="0"/>
                  <w:vAlign w:val="center"/>
                </w:tcPr>
                <w:p w14:paraId="5D160F6C">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污染源或污染工序</w:t>
                  </w:r>
                </w:p>
              </w:tc>
              <w:tc>
                <w:tcPr>
                  <w:tcW w:w="1325" w:type="pct"/>
                  <w:tcBorders>
                    <w:left w:val="single" w:color="000000" w:sz="4" w:space="0"/>
                    <w:right w:val="single" w:color="000000" w:sz="4" w:space="0"/>
                  </w:tcBorders>
                  <w:noWrap w:val="0"/>
                  <w:vAlign w:val="center"/>
                </w:tcPr>
                <w:p w14:paraId="7F94CE26">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主要污染物</w:t>
                  </w:r>
                </w:p>
              </w:tc>
              <w:tc>
                <w:tcPr>
                  <w:tcW w:w="1833" w:type="pct"/>
                  <w:tcBorders>
                    <w:left w:val="single" w:color="000000" w:sz="4" w:space="0"/>
                  </w:tcBorders>
                  <w:noWrap w:val="0"/>
                  <w:vAlign w:val="center"/>
                </w:tcPr>
                <w:p w14:paraId="51149F31">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环保措施</w:t>
                  </w:r>
                </w:p>
              </w:tc>
            </w:tr>
            <w:tr w14:paraId="6D4CFF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Merge w:val="restart"/>
                  <w:noWrap w:val="0"/>
                  <w:vAlign w:val="center"/>
                </w:tcPr>
                <w:p w14:paraId="20965868">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w:t>
                  </w:r>
                </w:p>
              </w:tc>
              <w:tc>
                <w:tcPr>
                  <w:tcW w:w="434" w:type="pct"/>
                  <w:vMerge w:val="restart"/>
                  <w:noWrap w:val="0"/>
                  <w:vAlign w:val="center"/>
                </w:tcPr>
                <w:p w14:paraId="51798A56">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废水</w:t>
                  </w:r>
                </w:p>
              </w:tc>
              <w:tc>
                <w:tcPr>
                  <w:tcW w:w="964" w:type="pct"/>
                  <w:tcBorders>
                    <w:left w:val="single" w:color="000000" w:sz="4" w:space="0"/>
                    <w:right w:val="single" w:color="000000" w:sz="4" w:space="0"/>
                  </w:tcBorders>
                  <w:noWrap w:val="0"/>
                  <w:vAlign w:val="center"/>
                </w:tcPr>
                <w:p w14:paraId="21A785D0">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职工生活污水</w:t>
                  </w:r>
                </w:p>
              </w:tc>
              <w:tc>
                <w:tcPr>
                  <w:tcW w:w="1325" w:type="pct"/>
                  <w:tcBorders>
                    <w:left w:val="single" w:color="000000" w:sz="4" w:space="0"/>
                    <w:right w:val="single" w:color="000000" w:sz="4" w:space="0"/>
                  </w:tcBorders>
                  <w:noWrap w:val="0"/>
                  <w:vAlign w:val="center"/>
                </w:tcPr>
                <w:p w14:paraId="5B5D271B">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pH、COD、SS、BOD</w:t>
                  </w:r>
                  <w:r>
                    <w:rPr>
                      <w:rFonts w:hint="default" w:ascii="Times New Roman" w:hAnsi="Times New Roman" w:eastAsia="宋体" w:cs="Times New Roman"/>
                      <w:color w:val="000000" w:themeColor="text1"/>
                      <w:kern w:val="0"/>
                      <w:sz w:val="21"/>
                      <w:szCs w:val="21"/>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、氨氮</w:t>
                  </w:r>
                </w:p>
              </w:tc>
              <w:tc>
                <w:tcPr>
                  <w:tcW w:w="1833" w:type="pct"/>
                  <w:tcBorders>
                    <w:left w:val="single" w:color="000000" w:sz="4" w:space="0"/>
                  </w:tcBorders>
                  <w:noWrap w:val="0"/>
                  <w:vAlign w:val="center"/>
                </w:tcPr>
                <w:p w14:paraId="3CBDBF35">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生活污水经</w:t>
                  </w:r>
                  <w:r>
                    <w:rPr>
                      <w:rFonts w:hint="default" w:ascii="Times New Roman" w:hAnsi="Times New Roman" w:eastAsia="宋体" w:cs="Times New Roman"/>
                      <w:color w:val="000000" w:themeColor="text1"/>
                      <w:sz w:val="21"/>
                      <w:szCs w:val="21"/>
                      <w:lang w:eastAsia="zh-CN"/>
                      <w14:textFill>
                        <w14:solidFill>
                          <w14:schemeClr w14:val="tx1"/>
                        </w14:solidFill>
                      </w14:textFill>
                    </w:rPr>
                    <w:t>园区已建的</w:t>
                  </w:r>
                  <w:r>
                    <w:rPr>
                      <w:rFonts w:hint="default" w:ascii="Times New Roman" w:hAnsi="Times New Roman" w:eastAsia="宋体" w:cs="Times New Roman"/>
                      <w:color w:val="000000" w:themeColor="text1"/>
                      <w:sz w:val="21"/>
                      <w:szCs w:val="21"/>
                      <w14:textFill>
                        <w14:solidFill>
                          <w14:schemeClr w14:val="tx1"/>
                        </w14:solidFill>
                      </w14:textFill>
                    </w:rPr>
                    <w:t>化粪池</w:t>
                  </w:r>
                  <w:r>
                    <w:rPr>
                      <w:rFonts w:hint="default" w:ascii="Times New Roman" w:hAnsi="Times New Roman" w:eastAsia="宋体" w:cs="Times New Roman"/>
                      <w:color w:val="000000" w:themeColor="text1"/>
                      <w:sz w:val="21"/>
                      <w:szCs w:val="21"/>
                      <w:lang w:eastAsia="zh-CN"/>
                      <w14:textFill>
                        <w14:solidFill>
                          <w14:schemeClr w14:val="tx1"/>
                        </w14:solidFill>
                      </w14:textFill>
                    </w:rPr>
                    <w:t>预</w:t>
                  </w:r>
                  <w:r>
                    <w:rPr>
                      <w:rFonts w:hint="default" w:ascii="Times New Roman" w:hAnsi="Times New Roman" w:eastAsia="宋体" w:cs="Times New Roman"/>
                      <w:color w:val="000000" w:themeColor="text1"/>
                      <w:sz w:val="21"/>
                      <w:szCs w:val="21"/>
                      <w14:textFill>
                        <w14:solidFill>
                          <w14:schemeClr w14:val="tx1"/>
                        </w14:solidFill>
                      </w14:textFill>
                    </w:rPr>
                    <w:t>处理达标后接入市政管网</w:t>
                  </w:r>
                </w:p>
              </w:tc>
            </w:tr>
            <w:tr w14:paraId="6B6734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Merge w:val="continue"/>
                  <w:noWrap w:val="0"/>
                  <w:vAlign w:val="center"/>
                </w:tcPr>
                <w:p w14:paraId="3B216008">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434" w:type="pct"/>
                  <w:vMerge w:val="continue"/>
                  <w:noWrap w:val="0"/>
                  <w:vAlign w:val="center"/>
                </w:tcPr>
                <w:p w14:paraId="7467136D">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p>
              </w:tc>
              <w:tc>
                <w:tcPr>
                  <w:tcW w:w="964" w:type="pct"/>
                  <w:tcBorders>
                    <w:left w:val="single" w:color="000000" w:sz="4" w:space="0"/>
                    <w:right w:val="single" w:color="000000" w:sz="4" w:space="0"/>
                  </w:tcBorders>
                  <w:noWrap w:val="0"/>
                  <w:vAlign w:val="center"/>
                </w:tcPr>
                <w:p w14:paraId="54247C39">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破碎、清洗废水</w:t>
                  </w:r>
                </w:p>
              </w:tc>
              <w:tc>
                <w:tcPr>
                  <w:tcW w:w="1325" w:type="pct"/>
                  <w:tcBorders>
                    <w:left w:val="single" w:color="000000" w:sz="4" w:space="0"/>
                    <w:right w:val="single" w:color="000000" w:sz="4" w:space="0"/>
                  </w:tcBorders>
                  <w:noWrap w:val="0"/>
                  <w:vAlign w:val="center"/>
                </w:tcPr>
                <w:p w14:paraId="1DE00282">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COD、SS、BOD</w:t>
                  </w:r>
                  <w:r>
                    <w:rPr>
                      <w:rFonts w:hint="default" w:ascii="Times New Roman" w:hAnsi="Times New Roman" w:eastAsia="宋体" w:cs="Times New Roman"/>
                      <w:color w:val="000000" w:themeColor="text1"/>
                      <w:kern w:val="0"/>
                      <w:sz w:val="21"/>
                      <w:szCs w:val="21"/>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、氨氮、石油类</w:t>
                  </w:r>
                  <w:r>
                    <w:rPr>
                      <w:rFonts w:hint="eastAsia" w:ascii="Times New Roman" w:hAnsi="Times New Roman" w:cs="Times New Roman"/>
                      <w:color w:val="000000" w:themeColor="text1"/>
                      <w:kern w:val="0"/>
                      <w:sz w:val="21"/>
                      <w:szCs w:val="21"/>
                      <w:lang w:val="en-US" w:eastAsia="zh-CN"/>
                      <w14:textFill>
                        <w14:solidFill>
                          <w14:schemeClr w14:val="tx1"/>
                        </w14:solidFill>
                      </w14:textFill>
                    </w:rPr>
                    <w:t>、TP、TN</w:t>
                  </w:r>
                </w:p>
              </w:tc>
              <w:tc>
                <w:tcPr>
                  <w:tcW w:w="1833" w:type="pct"/>
                  <w:tcBorders>
                    <w:left w:val="single" w:color="000000" w:sz="4" w:space="0"/>
                  </w:tcBorders>
                  <w:noWrap w:val="0"/>
                  <w:vAlign w:val="center"/>
                </w:tcPr>
                <w:p w14:paraId="6E0E6E82">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收集后经自建污水处理设施处理，处理后约60%的废水回用于生产，剩余40%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w:t>
                  </w:r>
                  <w:r>
                    <w:rPr>
                      <w:rFonts w:hint="default" w:ascii="Times New Roman" w:hAnsi="Times New Roman" w:eastAsia="宋体" w:cs="Times New Roman"/>
                      <w:color w:val="000000" w:themeColor="text1"/>
                      <w:sz w:val="21"/>
                      <w:szCs w:val="21"/>
                      <w14:textFill>
                        <w14:solidFill>
                          <w14:schemeClr w14:val="tx1"/>
                        </w14:solidFill>
                      </w14:textFill>
                    </w:rPr>
                    <w:t>入市政管网</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r>
            <w:tr w14:paraId="409337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noWrap w:val="0"/>
                  <w:vAlign w:val="center"/>
                </w:tcPr>
                <w:p w14:paraId="41C18E22">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w:t>
                  </w:r>
                </w:p>
              </w:tc>
              <w:tc>
                <w:tcPr>
                  <w:tcW w:w="434" w:type="pct"/>
                  <w:noWrap w:val="0"/>
                  <w:vAlign w:val="center"/>
                </w:tcPr>
                <w:p w14:paraId="691EEB58">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废气</w:t>
                  </w:r>
                </w:p>
              </w:tc>
              <w:tc>
                <w:tcPr>
                  <w:tcW w:w="964" w:type="pct"/>
                  <w:tcBorders>
                    <w:left w:val="single" w:color="000000" w:sz="4" w:space="0"/>
                    <w:right w:val="single" w:color="000000" w:sz="4" w:space="0"/>
                  </w:tcBorders>
                  <w:noWrap w:val="0"/>
                  <w:vAlign w:val="center"/>
                </w:tcPr>
                <w:p w14:paraId="340DB2D2">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w:t>
                  </w:r>
                </w:p>
              </w:tc>
              <w:tc>
                <w:tcPr>
                  <w:tcW w:w="1325" w:type="pct"/>
                  <w:tcBorders>
                    <w:left w:val="single" w:color="000000" w:sz="4" w:space="0"/>
                    <w:right w:val="single" w:color="000000" w:sz="4" w:space="0"/>
                  </w:tcBorders>
                  <w:noWrap w:val="0"/>
                  <w:vAlign w:val="center"/>
                </w:tcPr>
                <w:p w14:paraId="4B19D7BF">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w:t>
                  </w:r>
                </w:p>
              </w:tc>
              <w:tc>
                <w:tcPr>
                  <w:tcW w:w="1833" w:type="pct"/>
                  <w:tcBorders>
                    <w:left w:val="single" w:color="000000" w:sz="4" w:space="0"/>
                  </w:tcBorders>
                  <w:noWrap w:val="0"/>
                  <w:vAlign w:val="center"/>
                </w:tcPr>
                <w:p w14:paraId="28A798F1">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3FBCB1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Merge w:val="restart"/>
                  <w:noWrap w:val="0"/>
                  <w:vAlign w:val="center"/>
                </w:tcPr>
                <w:p w14:paraId="217F6F5A">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3</w:t>
                  </w:r>
                </w:p>
              </w:tc>
              <w:tc>
                <w:tcPr>
                  <w:tcW w:w="434" w:type="pct"/>
                  <w:vMerge w:val="restart"/>
                  <w:noWrap w:val="0"/>
                  <w:vAlign w:val="center"/>
                </w:tcPr>
                <w:p w14:paraId="155972FA">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固废</w:t>
                  </w:r>
                </w:p>
              </w:tc>
              <w:tc>
                <w:tcPr>
                  <w:tcW w:w="964" w:type="pct"/>
                  <w:tcBorders>
                    <w:left w:val="single" w:color="000000" w:sz="4" w:space="0"/>
                    <w:right w:val="single" w:color="000000" w:sz="4" w:space="0"/>
                  </w:tcBorders>
                  <w:noWrap w:val="0"/>
                  <w:vAlign w:val="center"/>
                </w:tcPr>
                <w:p w14:paraId="5A6EDDC5">
                  <w:pPr>
                    <w:keepNext w:val="0"/>
                    <w:keepLines w:val="0"/>
                    <w:pageBreakBefore w:val="0"/>
                    <w:widowControl w:val="0"/>
                    <w:kinsoku/>
                    <w:wordWrap/>
                    <w:overflowPunct/>
                    <w:topLinePunct w:val="0"/>
                    <w:autoSpaceDE w:val="0"/>
                    <w:autoSpaceDN w:val="0"/>
                    <w:bidi w:val="0"/>
                    <w:adjustRightInd/>
                    <w:snapToGrid/>
                    <w:spacing w:line="340" w:lineRule="exact"/>
                    <w:ind w:firstLine="0" w:firstLineChars="0"/>
                    <w:jc w:val="center"/>
                    <w:textAlignment w:val="bottom"/>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分选</w:t>
                  </w:r>
                </w:p>
              </w:tc>
              <w:tc>
                <w:tcPr>
                  <w:tcW w:w="1325" w:type="pct"/>
                  <w:tcBorders>
                    <w:left w:val="single" w:color="000000" w:sz="4" w:space="0"/>
                    <w:right w:val="single" w:color="000000" w:sz="4" w:space="0"/>
                  </w:tcBorders>
                  <w:noWrap w:val="0"/>
                  <w:vAlign w:val="center"/>
                </w:tcPr>
                <w:p w14:paraId="32E4131A">
                  <w:pPr>
                    <w:keepNext w:val="0"/>
                    <w:keepLines w:val="0"/>
                    <w:pageBreakBefore w:val="0"/>
                    <w:widowControl w:val="0"/>
                    <w:kinsoku/>
                    <w:wordWrap/>
                    <w:overflowPunct/>
                    <w:topLinePunct w:val="0"/>
                    <w:autoSpaceDE w:val="0"/>
                    <w:autoSpaceDN w:val="0"/>
                    <w:bidi w:val="0"/>
                    <w:adjustRightInd/>
                    <w:snapToGrid/>
                    <w:spacing w:line="340" w:lineRule="exact"/>
                    <w:ind w:firstLine="0" w:firstLineChars="0"/>
                    <w:jc w:val="center"/>
                    <w:textAlignment w:val="bottom"/>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cs="Times New Roman"/>
                      <w:color w:val="auto"/>
                    </w:rPr>
                    <w:t>废包装</w:t>
                  </w:r>
                  <w:r>
                    <w:rPr>
                      <w:rFonts w:hint="default" w:ascii="Times New Roman" w:hAnsi="Times New Roman" w:cs="Times New Roman"/>
                      <w:color w:val="auto"/>
                      <w:lang w:val="en-US" w:eastAsia="zh-CN"/>
                    </w:rPr>
                    <w:t>材</w:t>
                  </w:r>
                  <w:r>
                    <w:rPr>
                      <w:rFonts w:hint="default" w:ascii="Times New Roman" w:hAnsi="Times New Roman" w:cs="Times New Roman"/>
                      <w:color w:val="auto"/>
                    </w:rPr>
                    <w:t>料</w:t>
                  </w:r>
                </w:p>
              </w:tc>
              <w:tc>
                <w:tcPr>
                  <w:tcW w:w="1833" w:type="pct"/>
                  <w:vMerge w:val="restart"/>
                  <w:tcBorders>
                    <w:left w:val="single" w:color="000000" w:sz="4" w:space="0"/>
                  </w:tcBorders>
                  <w:noWrap w:val="0"/>
                  <w:vAlign w:val="center"/>
                </w:tcPr>
                <w:p w14:paraId="26EE4C7C">
                  <w:pPr>
                    <w:pStyle w:val="97"/>
                    <w:keepNext w:val="0"/>
                    <w:keepLines w:val="0"/>
                    <w:pageBreakBefore w:val="0"/>
                    <w:widowControl w:val="0"/>
                    <w:kinsoku/>
                    <w:wordWrap/>
                    <w:overflowPunct/>
                    <w:topLinePunct w:val="0"/>
                    <w:autoSpaceDE/>
                    <w:autoSpaceDN/>
                    <w:bidi w:val="0"/>
                    <w:adjustRightInd/>
                    <w:snapToGrid/>
                    <w:spacing w:before="0" w:line="340" w:lineRule="exact"/>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属于一般工业固体废物，分类收集后</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外售给企业综合利用</w:t>
                  </w:r>
                </w:p>
              </w:tc>
            </w:tr>
            <w:tr w14:paraId="730D02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Merge w:val="continue"/>
                  <w:noWrap w:val="0"/>
                  <w:vAlign w:val="center"/>
                </w:tcPr>
                <w:p w14:paraId="167DF03B">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434" w:type="pct"/>
                  <w:vMerge w:val="continue"/>
                  <w:noWrap w:val="0"/>
                  <w:vAlign w:val="center"/>
                </w:tcPr>
                <w:p w14:paraId="59ADCAC5">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p>
              </w:tc>
              <w:tc>
                <w:tcPr>
                  <w:tcW w:w="964" w:type="pct"/>
                  <w:tcBorders>
                    <w:left w:val="single" w:color="000000" w:sz="4" w:space="0"/>
                    <w:right w:val="single" w:color="000000" w:sz="4" w:space="0"/>
                  </w:tcBorders>
                  <w:noWrap w:val="0"/>
                  <w:vAlign w:val="center"/>
                </w:tcPr>
                <w:p w14:paraId="69DB77F6">
                  <w:pPr>
                    <w:keepNext w:val="0"/>
                    <w:keepLines w:val="0"/>
                    <w:pageBreakBefore w:val="0"/>
                    <w:widowControl w:val="0"/>
                    <w:kinsoku/>
                    <w:wordWrap/>
                    <w:overflowPunct/>
                    <w:topLinePunct w:val="0"/>
                    <w:autoSpaceDE w:val="0"/>
                    <w:autoSpaceDN w:val="0"/>
                    <w:bidi w:val="0"/>
                    <w:adjustRightInd/>
                    <w:snapToGrid/>
                    <w:spacing w:line="340" w:lineRule="exact"/>
                    <w:ind w:firstLine="0" w:firstLineChars="0"/>
                    <w:jc w:val="center"/>
                    <w:textAlignment w:val="bottom"/>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摩擦、洗脱</w:t>
                  </w:r>
                </w:p>
              </w:tc>
              <w:tc>
                <w:tcPr>
                  <w:tcW w:w="1325" w:type="pct"/>
                  <w:tcBorders>
                    <w:left w:val="single" w:color="000000" w:sz="4" w:space="0"/>
                    <w:right w:val="single" w:color="000000" w:sz="4" w:space="0"/>
                  </w:tcBorders>
                  <w:noWrap w:val="0"/>
                  <w:vAlign w:val="center"/>
                </w:tcPr>
                <w:p w14:paraId="2D6457E9">
                  <w:pPr>
                    <w:keepNext w:val="0"/>
                    <w:keepLines w:val="0"/>
                    <w:pageBreakBefore w:val="0"/>
                    <w:widowControl w:val="0"/>
                    <w:kinsoku/>
                    <w:wordWrap/>
                    <w:overflowPunct/>
                    <w:topLinePunct w:val="0"/>
                    <w:autoSpaceDE w:val="0"/>
                    <w:autoSpaceDN w:val="0"/>
                    <w:bidi w:val="0"/>
                    <w:adjustRightInd/>
                    <w:snapToGrid/>
                    <w:spacing w:line="340" w:lineRule="exact"/>
                    <w:ind w:firstLine="0" w:firstLineChars="0"/>
                    <w:jc w:val="center"/>
                    <w:textAlignment w:val="bottom"/>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auto"/>
                    </w:rPr>
                    <w:t>废脱水纸浆</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清洗沉渣</w:t>
                  </w:r>
                </w:p>
              </w:tc>
              <w:tc>
                <w:tcPr>
                  <w:tcW w:w="1833" w:type="pct"/>
                  <w:vMerge w:val="continue"/>
                  <w:tcBorders>
                    <w:left w:val="single" w:color="000000" w:sz="4" w:space="0"/>
                  </w:tcBorders>
                  <w:noWrap w:val="0"/>
                  <w:vAlign w:val="center"/>
                </w:tcPr>
                <w:p w14:paraId="30B6FE81">
                  <w:pPr>
                    <w:pStyle w:val="97"/>
                    <w:keepNext w:val="0"/>
                    <w:keepLines w:val="0"/>
                    <w:pageBreakBefore w:val="0"/>
                    <w:widowControl w:val="0"/>
                    <w:kinsoku/>
                    <w:wordWrap/>
                    <w:overflowPunct/>
                    <w:topLinePunct w:val="0"/>
                    <w:autoSpaceDE/>
                    <w:autoSpaceDN/>
                    <w:bidi w:val="0"/>
                    <w:adjustRightInd/>
                    <w:snapToGrid/>
                    <w:spacing w:before="0" w:line="340" w:lineRule="exact"/>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p>
              </w:tc>
            </w:tr>
            <w:tr w14:paraId="7F8642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Merge w:val="continue"/>
                  <w:noWrap w:val="0"/>
                  <w:vAlign w:val="center"/>
                </w:tcPr>
                <w:p w14:paraId="40E057F7">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434" w:type="pct"/>
                  <w:vMerge w:val="continue"/>
                  <w:noWrap w:val="0"/>
                  <w:vAlign w:val="center"/>
                </w:tcPr>
                <w:p w14:paraId="243418E9">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p>
              </w:tc>
              <w:tc>
                <w:tcPr>
                  <w:tcW w:w="964" w:type="pct"/>
                  <w:tcBorders>
                    <w:left w:val="single" w:color="000000" w:sz="4" w:space="0"/>
                    <w:right w:val="single" w:color="000000" w:sz="4" w:space="0"/>
                  </w:tcBorders>
                  <w:noWrap w:val="0"/>
                  <w:vAlign w:val="center"/>
                </w:tcPr>
                <w:p w14:paraId="7E46F074">
                  <w:pPr>
                    <w:keepNext w:val="0"/>
                    <w:keepLines w:val="0"/>
                    <w:pageBreakBefore w:val="0"/>
                    <w:widowControl w:val="0"/>
                    <w:kinsoku/>
                    <w:wordWrap/>
                    <w:overflowPunct/>
                    <w:topLinePunct w:val="0"/>
                    <w:autoSpaceDE w:val="0"/>
                    <w:autoSpaceDN w:val="0"/>
                    <w:bidi w:val="0"/>
                    <w:adjustRightInd/>
                    <w:snapToGrid/>
                    <w:spacing w:line="340" w:lineRule="exact"/>
                    <w:ind w:firstLine="0" w:firstLineChars="0"/>
                    <w:jc w:val="center"/>
                    <w:textAlignment w:val="bottom"/>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污水处理设施</w:t>
                  </w:r>
                </w:p>
              </w:tc>
              <w:tc>
                <w:tcPr>
                  <w:tcW w:w="1325" w:type="pct"/>
                  <w:tcBorders>
                    <w:left w:val="single" w:color="000000" w:sz="4" w:space="0"/>
                    <w:right w:val="single" w:color="000000" w:sz="4" w:space="0"/>
                  </w:tcBorders>
                  <w:noWrap w:val="0"/>
                  <w:vAlign w:val="center"/>
                </w:tcPr>
                <w:p w14:paraId="2989C799">
                  <w:pPr>
                    <w:keepNext w:val="0"/>
                    <w:keepLines w:val="0"/>
                    <w:pageBreakBefore w:val="0"/>
                    <w:widowControl w:val="0"/>
                    <w:kinsoku/>
                    <w:wordWrap/>
                    <w:overflowPunct/>
                    <w:topLinePunct w:val="0"/>
                    <w:autoSpaceDE w:val="0"/>
                    <w:autoSpaceDN w:val="0"/>
                    <w:bidi w:val="0"/>
                    <w:adjustRightInd/>
                    <w:snapToGrid/>
                    <w:spacing w:line="340" w:lineRule="exact"/>
                    <w:ind w:firstLine="0" w:firstLineChars="0"/>
                    <w:jc w:val="center"/>
                    <w:textAlignment w:val="bottom"/>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auto"/>
                    </w:rPr>
                    <w:t>污水站污泥</w:t>
                  </w:r>
                </w:p>
              </w:tc>
              <w:tc>
                <w:tcPr>
                  <w:tcW w:w="1833" w:type="pct"/>
                  <w:vMerge w:val="continue"/>
                  <w:tcBorders>
                    <w:left w:val="single" w:color="000000" w:sz="4" w:space="0"/>
                  </w:tcBorders>
                  <w:noWrap w:val="0"/>
                  <w:vAlign w:val="center"/>
                </w:tcPr>
                <w:p w14:paraId="1FDB751C">
                  <w:pPr>
                    <w:pStyle w:val="97"/>
                    <w:keepNext w:val="0"/>
                    <w:keepLines w:val="0"/>
                    <w:pageBreakBefore w:val="0"/>
                    <w:widowControl w:val="0"/>
                    <w:kinsoku/>
                    <w:wordWrap/>
                    <w:overflowPunct/>
                    <w:topLinePunct w:val="0"/>
                    <w:autoSpaceDE/>
                    <w:autoSpaceDN/>
                    <w:bidi w:val="0"/>
                    <w:adjustRightInd/>
                    <w:snapToGrid/>
                    <w:spacing w:before="0" w:line="340" w:lineRule="exact"/>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p>
              </w:tc>
            </w:tr>
            <w:tr w14:paraId="679A96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Merge w:val="continue"/>
                  <w:noWrap w:val="0"/>
                  <w:vAlign w:val="center"/>
                </w:tcPr>
                <w:p w14:paraId="111E3858">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434" w:type="pct"/>
                  <w:vMerge w:val="continue"/>
                  <w:noWrap w:val="0"/>
                  <w:vAlign w:val="center"/>
                </w:tcPr>
                <w:p w14:paraId="70FDDF1D">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p>
              </w:tc>
              <w:tc>
                <w:tcPr>
                  <w:tcW w:w="964" w:type="pct"/>
                  <w:tcBorders>
                    <w:left w:val="single" w:color="000000" w:sz="4" w:space="0"/>
                    <w:right w:val="single" w:color="000000" w:sz="4" w:space="0"/>
                  </w:tcBorders>
                  <w:noWrap w:val="0"/>
                  <w:vAlign w:val="center"/>
                </w:tcPr>
                <w:p w14:paraId="699252B3">
                  <w:pPr>
                    <w:keepNext w:val="0"/>
                    <w:keepLines w:val="0"/>
                    <w:pageBreakBefore w:val="0"/>
                    <w:widowControl w:val="0"/>
                    <w:kinsoku/>
                    <w:wordWrap/>
                    <w:overflowPunct/>
                    <w:topLinePunct w:val="0"/>
                    <w:autoSpaceDE w:val="0"/>
                    <w:autoSpaceDN w:val="0"/>
                    <w:bidi w:val="0"/>
                    <w:adjustRightInd/>
                    <w:snapToGrid/>
                    <w:spacing w:line="340" w:lineRule="exact"/>
                    <w:ind w:firstLine="0" w:firstLineChars="0"/>
                    <w:jc w:val="center"/>
                    <w:textAlignment w:val="bottom"/>
                    <w:rPr>
                      <w:rFonts w:hint="default" w:ascii="Times New Roman" w:hAnsi="Times New Roman" w:eastAsia="宋体" w:cs="Times New Roman"/>
                      <w:color w:val="000000" w:themeColor="text1"/>
                      <w:kern w:val="0"/>
                      <w:sz w:val="21"/>
                      <w:szCs w:val="21"/>
                      <w:lang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bidi="ar"/>
                      <w14:textFill>
                        <w14:solidFill>
                          <w14:schemeClr w14:val="tx1"/>
                        </w14:solidFill>
                      </w14:textFill>
                    </w:rPr>
                    <w:t>职工生活垃圾</w:t>
                  </w:r>
                </w:p>
              </w:tc>
              <w:tc>
                <w:tcPr>
                  <w:tcW w:w="1325" w:type="pct"/>
                  <w:tcBorders>
                    <w:left w:val="single" w:color="000000" w:sz="4" w:space="0"/>
                    <w:right w:val="single" w:color="000000" w:sz="4" w:space="0"/>
                  </w:tcBorders>
                  <w:noWrap w:val="0"/>
                  <w:vAlign w:val="center"/>
                </w:tcPr>
                <w:p w14:paraId="5768C2A4">
                  <w:pPr>
                    <w:keepNext w:val="0"/>
                    <w:keepLines w:val="0"/>
                    <w:pageBreakBefore w:val="0"/>
                    <w:widowControl w:val="0"/>
                    <w:kinsoku/>
                    <w:wordWrap/>
                    <w:overflowPunct/>
                    <w:topLinePunct w:val="0"/>
                    <w:autoSpaceDE w:val="0"/>
                    <w:autoSpaceDN w:val="0"/>
                    <w:bidi w:val="0"/>
                    <w:adjustRightInd/>
                    <w:snapToGrid/>
                    <w:spacing w:line="340" w:lineRule="exact"/>
                    <w:ind w:firstLine="0" w:firstLineChars="0"/>
                    <w:jc w:val="center"/>
                    <w:textAlignment w:val="bottom"/>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纸屑、塑料等</w:t>
                  </w:r>
                </w:p>
              </w:tc>
              <w:tc>
                <w:tcPr>
                  <w:tcW w:w="1833" w:type="pct"/>
                  <w:tcBorders>
                    <w:left w:val="single" w:color="000000" w:sz="4" w:space="0"/>
                  </w:tcBorders>
                  <w:noWrap w:val="0"/>
                  <w:vAlign w:val="center"/>
                </w:tcPr>
                <w:p w14:paraId="451C2487">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收集后由环卫部门每日清运</w:t>
                  </w:r>
                </w:p>
              </w:tc>
            </w:tr>
            <w:tr w14:paraId="72D561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noWrap w:val="0"/>
                  <w:vAlign w:val="center"/>
                </w:tcPr>
                <w:p w14:paraId="1064394B">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4</w:t>
                  </w:r>
                </w:p>
              </w:tc>
              <w:tc>
                <w:tcPr>
                  <w:tcW w:w="434" w:type="pct"/>
                  <w:noWrap w:val="0"/>
                  <w:vAlign w:val="center"/>
                </w:tcPr>
                <w:p w14:paraId="51BD6C96">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噪声</w:t>
                  </w:r>
                </w:p>
              </w:tc>
              <w:tc>
                <w:tcPr>
                  <w:tcW w:w="964" w:type="pct"/>
                  <w:tcBorders>
                    <w:left w:val="single" w:color="000000" w:sz="4" w:space="0"/>
                    <w:right w:val="single" w:color="000000" w:sz="4" w:space="0"/>
                  </w:tcBorders>
                  <w:noWrap w:val="0"/>
                  <w:vAlign w:val="center"/>
                </w:tcPr>
                <w:p w14:paraId="30519567">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000000" w:themeColor="text1"/>
                      <w:kern w:val="0"/>
                      <w:sz w:val="21"/>
                      <w:szCs w:val="21"/>
                      <w:highlight w:val="yellow"/>
                      <w:lang w:bidi="ar"/>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生产设备</w:t>
                  </w:r>
                </w:p>
              </w:tc>
              <w:tc>
                <w:tcPr>
                  <w:tcW w:w="1325" w:type="pct"/>
                  <w:tcBorders>
                    <w:left w:val="single" w:color="000000" w:sz="4" w:space="0"/>
                    <w:right w:val="single" w:color="000000" w:sz="4" w:space="0"/>
                  </w:tcBorders>
                  <w:noWrap w:val="0"/>
                  <w:vAlign w:val="center"/>
                </w:tcPr>
                <w:p w14:paraId="6F5DD37B">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Leq</w:t>
                  </w:r>
                </w:p>
              </w:tc>
              <w:tc>
                <w:tcPr>
                  <w:tcW w:w="1833" w:type="pct"/>
                  <w:tcBorders>
                    <w:left w:val="single" w:color="000000" w:sz="4" w:space="0"/>
                  </w:tcBorders>
                  <w:noWrap w:val="0"/>
                  <w:vAlign w:val="center"/>
                </w:tcPr>
                <w:p w14:paraId="1D8703F8">
                  <w:pPr>
                    <w:keepNext w:val="0"/>
                    <w:keepLines w:val="0"/>
                    <w:pageBreakBefore w:val="0"/>
                    <w:widowControl/>
                    <w:kinsoku/>
                    <w:wordWrap/>
                    <w:overflowPunct/>
                    <w:topLinePunct w:val="0"/>
                    <w:bidi w:val="0"/>
                    <w:adjustRightInd/>
                    <w:snapToGrid/>
                    <w:spacing w:line="340" w:lineRule="exact"/>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厂房隔声、设备基础减振等综合降噪措施</w:t>
                  </w:r>
                </w:p>
              </w:tc>
            </w:tr>
          </w:tbl>
          <w:p w14:paraId="48ABDF8C">
            <w:pPr>
              <w:rPr>
                <w:rFonts w:hint="default" w:ascii="Times New Roman" w:hAnsi="Times New Roman" w:eastAsia="宋体" w:cs="Times New Roman"/>
                <w:color w:val="000000" w:themeColor="text1"/>
                <w14:textFill>
                  <w14:solidFill>
                    <w14:schemeClr w14:val="tx1"/>
                  </w14:solidFill>
                </w14:textFill>
              </w:rPr>
            </w:pPr>
          </w:p>
        </w:tc>
      </w:tr>
      <w:tr w14:paraId="150CBE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dxa"/>
            <w:noWrap w:val="0"/>
            <w:vAlign w:val="center"/>
          </w:tcPr>
          <w:p w14:paraId="199E498E">
            <w:pPr>
              <w:pStyle w:val="23"/>
              <w:adjustRightInd w:val="0"/>
              <w:snapToGrid w:val="0"/>
              <w:spacing w:before="0" w:beforeAutospacing="0" w:after="0" w:afterAutospacing="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kern w:val="2"/>
                <w:sz w:val="21"/>
                <w:szCs w:val="21"/>
                <w14:textFill>
                  <w14:solidFill>
                    <w14:schemeClr w14:val="tx1"/>
                  </w14:solidFill>
                </w14:textFill>
              </w:rPr>
              <w:t>与项目有关的原有环境污染问题</w:t>
            </w:r>
          </w:p>
        </w:tc>
        <w:tc>
          <w:tcPr>
            <w:tcW w:w="8594" w:type="dxa"/>
            <w:noWrap w:val="0"/>
            <w:vAlign w:val="center"/>
          </w:tcPr>
          <w:p w14:paraId="5830F76E">
            <w:pPr>
              <w:keepNext/>
              <w:keepLines w:val="0"/>
              <w:pageBreakBefore w:val="0"/>
              <w:widowControl w:val="0"/>
              <w:kinsoku/>
              <w:wordWrap/>
              <w:overflowPunct w:val="0"/>
              <w:topLinePunct w:val="0"/>
              <w:autoSpaceDE/>
              <w:autoSpaceDN/>
              <w:bidi w:val="0"/>
              <w:adjustRightInd/>
              <w:snapToGrid w:val="0"/>
              <w:spacing w:before="0" w:after="0" w:line="360" w:lineRule="auto"/>
              <w:ind w:left="431" w:hanging="431"/>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bookmarkStart w:id="13" w:name="_Toc31817"/>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无</w:t>
            </w:r>
            <w:bookmarkEnd w:id="13"/>
          </w:p>
        </w:tc>
      </w:tr>
    </w:tbl>
    <w:p w14:paraId="432A38A9">
      <w:pPr>
        <w:pStyle w:val="2"/>
        <w:outlineLvl w:val="9"/>
        <w:rPr>
          <w:rFonts w:hint="default" w:ascii="Times New Roman" w:hAnsi="Times New Roman" w:eastAsia="宋体" w:cs="Times New Roman"/>
          <w:color w:val="000000" w:themeColor="text1"/>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49572E7C">
      <w:pPr>
        <w:pStyle w:val="23"/>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pPr>
      <w:bookmarkStart w:id="14" w:name="_Toc22575"/>
      <w:r>
        <w:rPr>
          <w:rFonts w:hint="default" w:ascii="Times New Roman" w:hAnsi="Times New Roman" w:eastAsia="黑体" w:cs="Times New Roman"/>
          <w:snapToGrid w:val="0"/>
          <w:color w:val="000000" w:themeColor="text1"/>
          <w:sz w:val="30"/>
          <w:szCs w:val="30"/>
          <w14:textFill>
            <w14:solidFill>
              <w14:schemeClr w14:val="tx1"/>
            </w14:solidFill>
          </w14:textFill>
        </w:rPr>
        <w:t>三、区域环境质量现状、环境保护目标及评价标准</w:t>
      </w:r>
      <w:bookmarkEnd w:id="14"/>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65"/>
        <w:gridCol w:w="8496"/>
      </w:tblGrid>
      <w:tr w14:paraId="3C8CEA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565" w:type="dxa"/>
            <w:noWrap w:val="0"/>
            <w:vAlign w:val="center"/>
          </w:tcPr>
          <w:p w14:paraId="47206C20">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区域</w:t>
            </w:r>
          </w:p>
          <w:p w14:paraId="655BF473">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环境</w:t>
            </w:r>
          </w:p>
          <w:p w14:paraId="0850EF0D">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质量</w:t>
            </w:r>
          </w:p>
          <w:p w14:paraId="008AB441">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现状</w:t>
            </w:r>
          </w:p>
        </w:tc>
        <w:tc>
          <w:tcPr>
            <w:tcW w:w="8496" w:type="dxa"/>
            <w:noWrap w:val="0"/>
            <w:vAlign w:val="center"/>
          </w:tcPr>
          <w:p w14:paraId="62B5344D">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textAlignment w:val="auto"/>
              <w:rPr>
                <w:rFonts w:hint="default" w:ascii="Times New Roman" w:hAnsi="Times New Roman" w:eastAsia="宋体" w:cs="Times New Roman"/>
                <w:b/>
                <w:color w:val="000000" w:themeColor="text1"/>
                <w:sz w:val="28"/>
                <w:szCs w:val="28"/>
                <w14:textFill>
                  <w14:solidFill>
                    <w14:schemeClr w14:val="tx1"/>
                  </w14:solidFill>
                </w14:textFill>
              </w:rPr>
            </w:pPr>
            <w:r>
              <w:rPr>
                <w:rFonts w:hint="default" w:ascii="Times New Roman" w:hAnsi="Times New Roman" w:eastAsia="宋体" w:cs="Times New Roman"/>
                <w:b/>
                <w:color w:val="000000" w:themeColor="text1"/>
                <w:sz w:val="28"/>
                <w:szCs w:val="28"/>
                <w14:textFill>
                  <w14:solidFill>
                    <w14:schemeClr w14:val="tx1"/>
                  </w14:solidFill>
                </w14:textFill>
              </w:rPr>
              <w:t>3.</w:t>
            </w:r>
            <w:r>
              <w:rPr>
                <w:rFonts w:hint="default" w:ascii="Times New Roman" w:hAnsi="Times New Roman" w:eastAsia="宋体" w:cs="Times New Roman"/>
                <w:b/>
                <w:color w:val="000000" w:themeColor="text1"/>
                <w:sz w:val="28"/>
                <w:szCs w:val="28"/>
                <w:lang w:val="en-US" w:eastAsia="zh-CN"/>
                <w14:textFill>
                  <w14:solidFill>
                    <w14:schemeClr w14:val="tx1"/>
                  </w14:solidFill>
                </w14:textFill>
              </w:rPr>
              <w:t>1</w:t>
            </w:r>
            <w:r>
              <w:rPr>
                <w:rFonts w:hint="default" w:ascii="Times New Roman" w:hAnsi="Times New Roman" w:eastAsia="宋体" w:cs="Times New Roman"/>
                <w:b/>
                <w:color w:val="000000" w:themeColor="text1"/>
                <w:sz w:val="28"/>
                <w:szCs w:val="28"/>
                <w14:textFill>
                  <w14:solidFill>
                    <w14:schemeClr w14:val="tx1"/>
                  </w14:solidFill>
                </w14:textFill>
              </w:rPr>
              <w:t>大气环境质量现状</w:t>
            </w:r>
          </w:p>
          <w:p w14:paraId="1B24A238">
            <w:pPr>
              <w:adjustRightInd w:val="0"/>
              <w:snapToGrid w:val="0"/>
              <w:spacing w:line="360" w:lineRule="auto"/>
              <w:rPr>
                <w:rFonts w:hint="default" w:ascii="Times New Roman" w:hAnsi="Times New Roman" w:eastAsia="宋体" w:cs="Times New Roman"/>
                <w:b/>
                <w:bCs/>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kern w:val="0"/>
                <w:sz w:val="24"/>
                <w14:textFill>
                  <w14:solidFill>
                    <w14:schemeClr w14:val="tx1"/>
                  </w14:solidFill>
                </w14:textFill>
              </w:rPr>
              <w:t>3.1.1环境空气质量功能区划</w:t>
            </w:r>
          </w:p>
          <w:p w14:paraId="6D1AF5FD">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bookmarkStart w:id="15" w:name="_Toc338850492"/>
            <w:bookmarkStart w:id="16" w:name="_Toc339964236"/>
            <w:r>
              <w:rPr>
                <w:rFonts w:hint="default" w:ascii="Times New Roman" w:hAnsi="Times New Roman" w:eastAsia="宋体" w:cs="Times New Roman"/>
                <w:i w:val="0"/>
                <w:iCs w:val="0"/>
                <w:color w:val="000000" w:themeColor="text1"/>
                <w:sz w:val="24"/>
                <w:szCs w:val="24"/>
                <w14:textFill>
                  <w14:solidFill>
                    <w14:schemeClr w14:val="tx1"/>
                  </w14:solidFill>
                </w14:textFill>
              </w:rPr>
              <w:t>根据福州市人民政府榕政综[2014]30号文件</w:t>
            </w:r>
            <w:r>
              <w:rPr>
                <w:rFonts w:hint="default" w:ascii="Times New Roman" w:hAnsi="Times New Roman" w:eastAsia="宋体" w:cs="Times New Roman"/>
                <w:i w:val="0"/>
                <w:iCs w:val="0"/>
                <w:color w:val="000000" w:themeColor="text1"/>
                <w:sz w:val="24"/>
                <w:szCs w:val="24"/>
                <w:lang w:val="en-US" w:eastAsia="zh-CN"/>
                <w14:textFill>
                  <w14:solidFill>
                    <w14:schemeClr w14:val="tx1"/>
                  </w14:solidFill>
                </w14:textFill>
              </w:rPr>
              <w:t>正式</w:t>
            </w:r>
            <w:r>
              <w:rPr>
                <w:rFonts w:hint="default" w:ascii="Times New Roman" w:hAnsi="Times New Roman" w:eastAsia="宋体" w:cs="Times New Roman"/>
                <w:i w:val="0"/>
                <w:iCs w:val="0"/>
                <w:color w:val="000000" w:themeColor="text1"/>
                <w:sz w:val="24"/>
                <w:szCs w:val="24"/>
                <w14:textFill>
                  <w14:solidFill>
                    <w14:schemeClr w14:val="tx1"/>
                  </w14:solidFill>
                </w14:textFill>
              </w:rPr>
              <w:t>批准实施《福州市环境空气质量功能区划》的规定，评价区域环境空气功能规划为二类区，环境空气质量执行《环境空气质量标准》(GB3095-2012)</w:t>
            </w:r>
            <w:r>
              <w:rPr>
                <w:rFonts w:hint="default" w:ascii="Times New Roman" w:hAnsi="Times New Roman" w:eastAsia="宋体" w:cs="Times New Roman"/>
                <w:i w:val="0"/>
                <w:iCs w:val="0"/>
                <w:color w:val="000000" w:themeColor="text1"/>
                <w:sz w:val="24"/>
                <w:szCs w:val="24"/>
                <w:lang w:eastAsia="zh-CN"/>
                <w14:textFill>
                  <w14:solidFill>
                    <w14:schemeClr w14:val="tx1"/>
                  </w14:solidFill>
                </w14:textFill>
              </w:rPr>
              <w:t>及其修改单</w:t>
            </w:r>
            <w:r>
              <w:rPr>
                <w:rFonts w:hint="default" w:ascii="Times New Roman" w:hAnsi="Times New Roman" w:eastAsia="宋体" w:cs="Times New Roman"/>
                <w:i w:val="0"/>
                <w:iCs w:val="0"/>
                <w:color w:val="000000" w:themeColor="text1"/>
                <w:sz w:val="24"/>
                <w:szCs w:val="24"/>
                <w14:textFill>
                  <w14:solidFill>
                    <w14:schemeClr w14:val="tx1"/>
                  </w14:solidFill>
                </w14:textFill>
              </w:rPr>
              <w:t>中的二级标准</w:t>
            </w:r>
            <w:r>
              <w:rPr>
                <w:rFonts w:hint="default" w:ascii="Times New Roman" w:hAnsi="Times New Roman" w:eastAsia="宋体" w:cs="Times New Roman"/>
                <w:i w:val="0"/>
                <w:iCs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i w:val="0"/>
                <w:iCs w:val="0"/>
                <w:color w:val="000000" w:themeColor="text1"/>
                <w:sz w:val="24"/>
                <w:szCs w:val="24"/>
                <w14:textFill>
                  <w14:solidFill>
                    <w14:schemeClr w14:val="tx1"/>
                  </w14:solidFill>
                </w14:textFill>
              </w:rPr>
              <w:t>具体详见表3.</w:t>
            </w:r>
            <w:r>
              <w:rPr>
                <w:rFonts w:hint="default" w:ascii="Times New Roman" w:hAnsi="Times New Roman" w:eastAsia="宋体" w:cs="Times New Roman"/>
                <w:i w:val="0"/>
                <w:iCs w:val="0"/>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i w:val="0"/>
                <w:iCs w:val="0"/>
                <w:color w:val="000000" w:themeColor="text1"/>
                <w:sz w:val="24"/>
                <w:szCs w:val="24"/>
                <w14:textFill>
                  <w14:solidFill>
                    <w14:schemeClr w14:val="tx1"/>
                  </w14:solidFill>
                </w14:textFill>
              </w:rPr>
              <w:t>-</w:t>
            </w:r>
            <w:r>
              <w:rPr>
                <w:rFonts w:hint="default" w:ascii="Times New Roman" w:hAnsi="Times New Roman" w:eastAsia="宋体" w:cs="Times New Roman"/>
                <w:i w:val="0"/>
                <w:iCs w:val="0"/>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i w:val="0"/>
                <w:iCs w:val="0"/>
                <w:color w:val="000000" w:themeColor="text1"/>
                <w:sz w:val="24"/>
                <w:szCs w:val="24"/>
                <w14:textFill>
                  <w14:solidFill>
                    <w14:schemeClr w14:val="tx1"/>
                  </w14:solidFill>
                </w14:textFill>
              </w:rPr>
              <w:t>。</w:t>
            </w:r>
          </w:p>
          <w:p w14:paraId="1356819F">
            <w:pPr>
              <w:keepNext w:val="0"/>
              <w:keepLines w:val="0"/>
              <w:pageBreakBefore w:val="0"/>
              <w:widowControl w:val="0"/>
              <w:kinsoku/>
              <w:wordWrap/>
              <w:overflowPunct/>
              <w:topLinePunct w:val="0"/>
              <w:autoSpaceDE/>
              <w:autoSpaceDN/>
              <w:bidi w:val="0"/>
              <w:adjustRightInd/>
              <w:snapToGrid/>
              <w:spacing w:before="120" w:beforeLines="50"/>
              <w:jc w:val="center"/>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黑体" w:cs="Times New Roman"/>
                <w:color w:val="000000" w:themeColor="text1"/>
                <w:sz w:val="24"/>
                <w14:textFill>
                  <w14:solidFill>
                    <w14:schemeClr w14:val="tx1"/>
                  </w14:solidFill>
                </w14:textFill>
              </w:rPr>
              <w:t>表3.</w:t>
            </w:r>
            <w:r>
              <w:rPr>
                <w:rFonts w:hint="default" w:ascii="Times New Roman" w:hAnsi="Times New Roman" w:eastAsia="黑体" w:cs="Times New Roman"/>
                <w:color w:val="000000" w:themeColor="text1"/>
                <w:sz w:val="24"/>
                <w:lang w:val="en-US" w:eastAsia="zh-CN"/>
                <w14:textFill>
                  <w14:solidFill>
                    <w14:schemeClr w14:val="tx1"/>
                  </w14:solidFill>
                </w14:textFill>
              </w:rPr>
              <w:t>1-1</w:t>
            </w:r>
            <w:r>
              <w:rPr>
                <w:rFonts w:hint="default" w:ascii="Times New Roman" w:hAnsi="Times New Roman" w:eastAsia="黑体" w:cs="Times New Roman"/>
                <w:color w:val="000000" w:themeColor="text1"/>
                <w:sz w:val="24"/>
                <w14:textFill>
                  <w14:solidFill>
                    <w14:schemeClr w14:val="tx1"/>
                  </w14:solidFill>
                </w14:textFill>
              </w:rPr>
              <w:t xml:space="preserve">  本项目环境空气标准一览表</w:t>
            </w:r>
          </w:p>
          <w:tbl>
            <w:tblPr>
              <w:tblStyle w:val="28"/>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1715"/>
              <w:gridCol w:w="1847"/>
              <w:gridCol w:w="1542"/>
              <w:gridCol w:w="3176"/>
            </w:tblGrid>
            <w:tr w14:paraId="10005AF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1035" w:type="pct"/>
                  <w:noWrap w:val="0"/>
                  <w:vAlign w:val="center"/>
                </w:tcPr>
                <w:p w14:paraId="718C58E3">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污染物名称</w:t>
                  </w:r>
                </w:p>
              </w:tc>
              <w:tc>
                <w:tcPr>
                  <w:tcW w:w="1115" w:type="pct"/>
                  <w:noWrap w:val="0"/>
                  <w:vAlign w:val="center"/>
                </w:tcPr>
                <w:p w14:paraId="46146A25">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取值时间</w:t>
                  </w:r>
                </w:p>
              </w:tc>
              <w:tc>
                <w:tcPr>
                  <w:tcW w:w="931" w:type="pct"/>
                  <w:noWrap w:val="0"/>
                  <w:vAlign w:val="center"/>
                </w:tcPr>
                <w:p w14:paraId="3C559315">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浓度限值</w:t>
                  </w:r>
                </w:p>
              </w:tc>
              <w:tc>
                <w:tcPr>
                  <w:tcW w:w="1917" w:type="pct"/>
                  <w:noWrap w:val="0"/>
                  <w:vAlign w:val="center"/>
                </w:tcPr>
                <w:p w14:paraId="697A59D1">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标准来源</w:t>
                  </w:r>
                </w:p>
              </w:tc>
            </w:tr>
            <w:tr w14:paraId="7AFEBF2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1035" w:type="pct"/>
                  <w:vMerge w:val="restart"/>
                  <w:noWrap w:val="0"/>
                  <w:vAlign w:val="center"/>
                </w:tcPr>
                <w:p w14:paraId="04A2DC84">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PM</w:t>
                  </w:r>
                  <w:r>
                    <w:rPr>
                      <w:rFonts w:hint="default" w:ascii="Times New Roman" w:hAnsi="Times New Roman" w:eastAsia="宋体" w:cs="Times New Roman"/>
                      <w:color w:val="000000" w:themeColor="text1"/>
                      <w:sz w:val="21"/>
                      <w:szCs w:val="21"/>
                      <w:vertAlign w:val="subscript"/>
                      <w14:textFill>
                        <w14:solidFill>
                          <w14:schemeClr w14:val="tx1"/>
                        </w14:solidFill>
                      </w14:textFill>
                    </w:rPr>
                    <w:t>10</w:t>
                  </w:r>
                </w:p>
              </w:tc>
              <w:tc>
                <w:tcPr>
                  <w:tcW w:w="1115" w:type="pct"/>
                  <w:noWrap w:val="0"/>
                  <w:vAlign w:val="center"/>
                </w:tcPr>
                <w:p w14:paraId="6D76CB60">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年平均</w:t>
                  </w:r>
                </w:p>
              </w:tc>
              <w:tc>
                <w:tcPr>
                  <w:tcW w:w="931" w:type="pct"/>
                  <w:noWrap w:val="0"/>
                  <w:vAlign w:val="center"/>
                </w:tcPr>
                <w:p w14:paraId="5E892F9E">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70μg/m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17" w:type="pct"/>
                  <w:vMerge w:val="restart"/>
                  <w:noWrap w:val="0"/>
                  <w:vAlign w:val="center"/>
                </w:tcPr>
                <w:p w14:paraId="1857D7B2">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《环境空气质量标准》(GB3095-2012)及其修改</w:t>
                  </w:r>
                </w:p>
                <w:p w14:paraId="149BCD3D">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单</w:t>
                  </w:r>
                  <w:r>
                    <w:rPr>
                      <w:rFonts w:hint="default" w:ascii="Times New Roman" w:hAnsi="Times New Roman" w:eastAsia="宋体" w:cs="Times New Roman"/>
                      <w:color w:val="000000" w:themeColor="text1"/>
                      <w:sz w:val="21"/>
                      <w:szCs w:val="21"/>
                      <w14:textFill>
                        <w14:solidFill>
                          <w14:schemeClr w14:val="tx1"/>
                        </w14:solidFill>
                      </w14:textFill>
                    </w:rPr>
                    <w:t>中的二级标准</w:t>
                  </w:r>
                </w:p>
              </w:tc>
            </w:tr>
            <w:tr w14:paraId="1C38F84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1035" w:type="pct"/>
                  <w:vMerge w:val="continue"/>
                  <w:noWrap w:val="0"/>
                  <w:vAlign w:val="center"/>
                </w:tcPr>
                <w:p w14:paraId="591328F3">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15" w:type="pct"/>
                  <w:noWrap w:val="0"/>
                  <w:vAlign w:val="center"/>
                </w:tcPr>
                <w:p w14:paraId="3C372356">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24小时平均</w:t>
                  </w:r>
                </w:p>
              </w:tc>
              <w:tc>
                <w:tcPr>
                  <w:tcW w:w="931" w:type="pct"/>
                  <w:noWrap w:val="0"/>
                  <w:vAlign w:val="center"/>
                </w:tcPr>
                <w:p w14:paraId="3A337C84">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150μg/m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17" w:type="pct"/>
                  <w:vMerge w:val="continue"/>
                  <w:noWrap w:val="0"/>
                  <w:vAlign w:val="center"/>
                </w:tcPr>
                <w:p w14:paraId="2D4DBA7E">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4F0CB4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1035" w:type="pct"/>
                  <w:vMerge w:val="restart"/>
                  <w:noWrap w:val="0"/>
                  <w:vAlign w:val="center"/>
                </w:tcPr>
                <w:p w14:paraId="62631273">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PM</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2.5</w:t>
                  </w:r>
                </w:p>
              </w:tc>
              <w:tc>
                <w:tcPr>
                  <w:tcW w:w="1115" w:type="pct"/>
                  <w:noWrap w:val="0"/>
                  <w:vAlign w:val="center"/>
                </w:tcPr>
                <w:p w14:paraId="49908803">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年平均</w:t>
                  </w:r>
                </w:p>
              </w:tc>
              <w:tc>
                <w:tcPr>
                  <w:tcW w:w="931" w:type="pct"/>
                  <w:noWrap w:val="0"/>
                  <w:vAlign w:val="center"/>
                </w:tcPr>
                <w:p w14:paraId="5AE8C21A">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35</w:t>
                  </w:r>
                  <w:r>
                    <w:rPr>
                      <w:rFonts w:hint="default" w:ascii="Times New Roman" w:hAnsi="Times New Roman" w:eastAsia="宋体" w:cs="Times New Roman"/>
                      <w:color w:val="000000" w:themeColor="text1"/>
                      <w:sz w:val="21"/>
                      <w:szCs w:val="21"/>
                      <w14:textFill>
                        <w14:solidFill>
                          <w14:schemeClr w14:val="tx1"/>
                        </w14:solidFill>
                      </w14:textFill>
                    </w:rPr>
                    <w:t>μg/m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17" w:type="pct"/>
                  <w:vMerge w:val="continue"/>
                  <w:noWrap w:val="0"/>
                  <w:vAlign w:val="center"/>
                </w:tcPr>
                <w:p w14:paraId="0A75EDC1">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3D8FDD2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1035" w:type="pct"/>
                  <w:vMerge w:val="continue"/>
                  <w:noWrap w:val="0"/>
                  <w:vAlign w:val="center"/>
                </w:tcPr>
                <w:p w14:paraId="3E2638F8">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15" w:type="pct"/>
                  <w:noWrap w:val="0"/>
                  <w:vAlign w:val="center"/>
                </w:tcPr>
                <w:p w14:paraId="7E499C02">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24小时平均</w:t>
                  </w:r>
                </w:p>
              </w:tc>
              <w:tc>
                <w:tcPr>
                  <w:tcW w:w="931" w:type="pct"/>
                  <w:noWrap w:val="0"/>
                  <w:vAlign w:val="center"/>
                </w:tcPr>
                <w:p w14:paraId="0178EFB6">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75</w:t>
                  </w:r>
                  <w:r>
                    <w:rPr>
                      <w:rFonts w:hint="default" w:ascii="Times New Roman" w:hAnsi="Times New Roman" w:eastAsia="宋体" w:cs="Times New Roman"/>
                      <w:color w:val="000000" w:themeColor="text1"/>
                      <w:sz w:val="21"/>
                      <w:szCs w:val="21"/>
                      <w14:textFill>
                        <w14:solidFill>
                          <w14:schemeClr w14:val="tx1"/>
                        </w14:solidFill>
                      </w14:textFill>
                    </w:rPr>
                    <w:t>μg/m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17" w:type="pct"/>
                  <w:vMerge w:val="continue"/>
                  <w:noWrap w:val="0"/>
                  <w:vAlign w:val="center"/>
                </w:tcPr>
                <w:p w14:paraId="688C318B">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AB7267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1035" w:type="pct"/>
                  <w:vMerge w:val="restart"/>
                  <w:noWrap w:val="0"/>
                  <w:vAlign w:val="center"/>
                </w:tcPr>
                <w:p w14:paraId="08C51AF1">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p>
              </w:tc>
              <w:tc>
                <w:tcPr>
                  <w:tcW w:w="1115" w:type="pct"/>
                  <w:noWrap w:val="0"/>
                  <w:vAlign w:val="center"/>
                </w:tcPr>
                <w:p w14:paraId="0FD412B8">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年平均</w:t>
                  </w:r>
                </w:p>
              </w:tc>
              <w:tc>
                <w:tcPr>
                  <w:tcW w:w="931" w:type="pct"/>
                  <w:noWrap w:val="0"/>
                  <w:vAlign w:val="center"/>
                </w:tcPr>
                <w:p w14:paraId="3775EA1E">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60μg/m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17" w:type="pct"/>
                  <w:vMerge w:val="continue"/>
                  <w:noWrap w:val="0"/>
                  <w:vAlign w:val="center"/>
                </w:tcPr>
                <w:p w14:paraId="6BCB6808">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5D2187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1035" w:type="pct"/>
                  <w:vMerge w:val="continue"/>
                  <w:noWrap w:val="0"/>
                  <w:vAlign w:val="center"/>
                </w:tcPr>
                <w:p w14:paraId="4DD99B2F">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15" w:type="pct"/>
                  <w:noWrap w:val="0"/>
                  <w:vAlign w:val="center"/>
                </w:tcPr>
                <w:p w14:paraId="5CE531AE">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24小时平均</w:t>
                  </w:r>
                </w:p>
              </w:tc>
              <w:tc>
                <w:tcPr>
                  <w:tcW w:w="931" w:type="pct"/>
                  <w:noWrap w:val="0"/>
                  <w:vAlign w:val="center"/>
                </w:tcPr>
                <w:p w14:paraId="7A9B3A9F">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150μg/m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17" w:type="pct"/>
                  <w:vMerge w:val="continue"/>
                  <w:noWrap w:val="0"/>
                  <w:vAlign w:val="center"/>
                </w:tcPr>
                <w:p w14:paraId="1AE1ADB7">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3D58BEF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1035" w:type="pct"/>
                  <w:vMerge w:val="continue"/>
                  <w:noWrap w:val="0"/>
                  <w:vAlign w:val="center"/>
                </w:tcPr>
                <w:p w14:paraId="235B632D">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15" w:type="pct"/>
                  <w:noWrap w:val="0"/>
                  <w:vAlign w:val="center"/>
                </w:tcPr>
                <w:p w14:paraId="7C505223">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1小时平均</w:t>
                  </w:r>
                </w:p>
              </w:tc>
              <w:tc>
                <w:tcPr>
                  <w:tcW w:w="931" w:type="pct"/>
                  <w:noWrap w:val="0"/>
                  <w:vAlign w:val="center"/>
                </w:tcPr>
                <w:p w14:paraId="19974C6A">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500μg/m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17" w:type="pct"/>
                  <w:vMerge w:val="continue"/>
                  <w:noWrap w:val="0"/>
                  <w:vAlign w:val="center"/>
                </w:tcPr>
                <w:p w14:paraId="4B0CFDAC">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6DE047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1035" w:type="pct"/>
                  <w:vMerge w:val="restart"/>
                  <w:noWrap w:val="0"/>
                  <w:vAlign w:val="center"/>
                </w:tcPr>
                <w:p w14:paraId="1B850520">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p>
              </w:tc>
              <w:tc>
                <w:tcPr>
                  <w:tcW w:w="1115" w:type="pct"/>
                  <w:noWrap w:val="0"/>
                  <w:vAlign w:val="center"/>
                </w:tcPr>
                <w:p w14:paraId="383BE2F7">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年平均</w:t>
                  </w:r>
                </w:p>
              </w:tc>
              <w:tc>
                <w:tcPr>
                  <w:tcW w:w="931" w:type="pct"/>
                  <w:noWrap w:val="0"/>
                  <w:vAlign w:val="center"/>
                </w:tcPr>
                <w:p w14:paraId="4AFD50C1">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40μg/m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17" w:type="pct"/>
                  <w:vMerge w:val="continue"/>
                  <w:noWrap w:val="0"/>
                  <w:vAlign w:val="center"/>
                </w:tcPr>
                <w:p w14:paraId="1829E17D">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204D43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1035" w:type="pct"/>
                  <w:vMerge w:val="continue"/>
                  <w:noWrap w:val="0"/>
                  <w:vAlign w:val="center"/>
                </w:tcPr>
                <w:p w14:paraId="53B05A20">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15" w:type="pct"/>
                  <w:noWrap w:val="0"/>
                  <w:vAlign w:val="center"/>
                </w:tcPr>
                <w:p w14:paraId="0D0DD907">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24小时平均</w:t>
                  </w:r>
                </w:p>
              </w:tc>
              <w:tc>
                <w:tcPr>
                  <w:tcW w:w="931" w:type="pct"/>
                  <w:noWrap w:val="0"/>
                  <w:vAlign w:val="center"/>
                </w:tcPr>
                <w:p w14:paraId="1D44FF6C">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80μg/m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17" w:type="pct"/>
                  <w:vMerge w:val="continue"/>
                  <w:noWrap w:val="0"/>
                  <w:vAlign w:val="center"/>
                </w:tcPr>
                <w:p w14:paraId="4180B018">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1CA069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1035" w:type="pct"/>
                  <w:vMerge w:val="continue"/>
                  <w:noWrap w:val="0"/>
                  <w:vAlign w:val="center"/>
                </w:tcPr>
                <w:p w14:paraId="56997D6C">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15" w:type="pct"/>
                  <w:noWrap w:val="0"/>
                  <w:vAlign w:val="center"/>
                </w:tcPr>
                <w:p w14:paraId="2795D2CE">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1小时平均</w:t>
                  </w:r>
                </w:p>
              </w:tc>
              <w:tc>
                <w:tcPr>
                  <w:tcW w:w="931" w:type="pct"/>
                  <w:noWrap w:val="0"/>
                  <w:vAlign w:val="center"/>
                </w:tcPr>
                <w:p w14:paraId="6C0D6887">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200μg/m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17" w:type="pct"/>
                  <w:vMerge w:val="continue"/>
                  <w:noWrap w:val="0"/>
                  <w:vAlign w:val="center"/>
                </w:tcPr>
                <w:p w14:paraId="372785D3">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5E03B7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1035" w:type="pct"/>
                  <w:vMerge w:val="restart"/>
                  <w:noWrap w:val="0"/>
                  <w:vAlign w:val="center"/>
                </w:tcPr>
                <w:p w14:paraId="43356555">
                  <w:pPr>
                    <w:keepNext w:val="0"/>
                    <w:keepLines w:val="0"/>
                    <w:pageBreakBefore w:val="0"/>
                    <w:widowControl w:val="0"/>
                    <w:suppressLineNumbers w:val="0"/>
                    <w:kinsoku/>
                    <w:wordWrap/>
                    <w:overflowPunct/>
                    <w:topLinePunct w:val="0"/>
                    <w:autoSpaceDE/>
                    <w:autoSpaceDN w:val="0"/>
                    <w:bidi w:val="0"/>
                    <w:snapToGrid/>
                    <w:spacing w:before="0" w:beforeAutospacing="0" w:after="0" w:afterAutospacing="0" w:line="340" w:lineRule="exact"/>
                    <w:ind w:left="0" w:leftChars="0" w:right="0" w:rightChars="0" w:firstLine="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CO</w:t>
                  </w:r>
                </w:p>
              </w:tc>
              <w:tc>
                <w:tcPr>
                  <w:tcW w:w="1115" w:type="pct"/>
                  <w:noWrap w:val="0"/>
                  <w:vAlign w:val="center"/>
                </w:tcPr>
                <w:p w14:paraId="2C98FDF2">
                  <w:pPr>
                    <w:keepNext w:val="0"/>
                    <w:keepLines w:val="0"/>
                    <w:pageBreakBefore w:val="0"/>
                    <w:widowControl w:val="0"/>
                    <w:suppressLineNumbers w:val="0"/>
                    <w:kinsoku/>
                    <w:wordWrap/>
                    <w:overflowPunct/>
                    <w:topLinePunct w:val="0"/>
                    <w:autoSpaceDE/>
                    <w:autoSpaceDN w:val="0"/>
                    <w:bidi w:val="0"/>
                    <w:snapToGrid/>
                    <w:spacing w:before="0" w:beforeAutospacing="0" w:after="0" w:afterAutospacing="0" w:line="340" w:lineRule="exact"/>
                    <w:ind w:left="0" w:leftChars="0" w:right="0" w:rightChars="0" w:firstLine="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24小时平均</w:t>
                  </w:r>
                </w:p>
              </w:tc>
              <w:tc>
                <w:tcPr>
                  <w:tcW w:w="931" w:type="pct"/>
                  <w:noWrap w:val="0"/>
                  <w:vAlign w:val="center"/>
                </w:tcPr>
                <w:p w14:paraId="496092B1">
                  <w:pPr>
                    <w:keepNext w:val="0"/>
                    <w:keepLines w:val="0"/>
                    <w:pageBreakBefore w:val="0"/>
                    <w:widowControl w:val="0"/>
                    <w:suppressLineNumbers w:val="0"/>
                    <w:kinsoku/>
                    <w:wordWrap/>
                    <w:overflowPunct/>
                    <w:topLinePunct w:val="0"/>
                    <w:autoSpaceDE/>
                    <w:autoSpaceDN w:val="0"/>
                    <w:bidi w:val="0"/>
                    <w:snapToGrid/>
                    <w:spacing w:before="0" w:beforeAutospacing="0" w:after="0" w:afterAutospacing="0" w:line="340" w:lineRule="exact"/>
                    <w:ind w:left="0" w:leftChars="0" w:right="0" w:rightChars="0" w:firstLine="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4mg/m</w:t>
                  </w:r>
                  <w:r>
                    <w:rPr>
                      <w:rFonts w:hint="default" w:ascii="Times New Roman" w:hAnsi="Times New Roman" w:eastAsia="宋体" w:cs="Times New Roman"/>
                      <w:color w:val="000000" w:themeColor="text1"/>
                      <w:kern w:val="2"/>
                      <w:sz w:val="21"/>
                      <w:szCs w:val="21"/>
                      <w:vertAlign w:val="superscript"/>
                      <w:lang w:val="en-US" w:eastAsia="zh-CN" w:bidi="ar"/>
                      <w14:textFill>
                        <w14:solidFill>
                          <w14:schemeClr w14:val="tx1"/>
                        </w14:solidFill>
                      </w14:textFill>
                    </w:rPr>
                    <w:t>3</w:t>
                  </w:r>
                </w:p>
              </w:tc>
              <w:tc>
                <w:tcPr>
                  <w:tcW w:w="1917" w:type="pct"/>
                  <w:vMerge w:val="continue"/>
                  <w:noWrap w:val="0"/>
                  <w:vAlign w:val="center"/>
                </w:tcPr>
                <w:p w14:paraId="5E2E806E">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3647205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1035" w:type="pct"/>
                  <w:vMerge w:val="continue"/>
                  <w:noWrap w:val="0"/>
                  <w:vAlign w:val="center"/>
                </w:tcPr>
                <w:p w14:paraId="29FE8C05">
                  <w:pPr>
                    <w:keepNext w:val="0"/>
                    <w:keepLines w:val="0"/>
                    <w:pageBreakBefore w:val="0"/>
                    <w:widowControl w:val="0"/>
                    <w:kinsoku/>
                    <w:wordWrap/>
                    <w:overflowPunct/>
                    <w:topLinePunct w:val="0"/>
                    <w:autoSpaceDE/>
                    <w:bidi w:val="0"/>
                    <w:snapToGrid/>
                    <w:spacing w:line="340" w:lineRule="exact"/>
                    <w:ind w:firstLine="0"/>
                    <w:rPr>
                      <w:rFonts w:hint="default" w:ascii="Times New Roman" w:hAnsi="Times New Roman" w:eastAsia="宋体" w:cs="Times New Roman"/>
                      <w:color w:val="000000" w:themeColor="text1"/>
                      <w:sz w:val="21"/>
                      <w:szCs w:val="21"/>
                      <w14:textFill>
                        <w14:solidFill>
                          <w14:schemeClr w14:val="tx1"/>
                        </w14:solidFill>
                      </w14:textFill>
                    </w:rPr>
                  </w:pPr>
                </w:p>
              </w:tc>
              <w:tc>
                <w:tcPr>
                  <w:tcW w:w="1115" w:type="pct"/>
                  <w:noWrap w:val="0"/>
                  <w:vAlign w:val="center"/>
                </w:tcPr>
                <w:p w14:paraId="73DDDA05">
                  <w:pPr>
                    <w:keepNext w:val="0"/>
                    <w:keepLines w:val="0"/>
                    <w:pageBreakBefore w:val="0"/>
                    <w:widowControl w:val="0"/>
                    <w:suppressLineNumbers w:val="0"/>
                    <w:kinsoku/>
                    <w:wordWrap/>
                    <w:overflowPunct/>
                    <w:topLinePunct w:val="0"/>
                    <w:autoSpaceDE/>
                    <w:autoSpaceDN w:val="0"/>
                    <w:bidi w:val="0"/>
                    <w:snapToGrid/>
                    <w:spacing w:before="0" w:beforeAutospacing="0" w:after="0" w:afterAutospacing="0" w:line="340" w:lineRule="exact"/>
                    <w:ind w:left="0" w:leftChars="0" w:right="0" w:rightChars="0" w:firstLine="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1小时平均</w:t>
                  </w:r>
                </w:p>
              </w:tc>
              <w:tc>
                <w:tcPr>
                  <w:tcW w:w="931" w:type="pct"/>
                  <w:noWrap w:val="0"/>
                  <w:vAlign w:val="center"/>
                </w:tcPr>
                <w:p w14:paraId="4065030F">
                  <w:pPr>
                    <w:keepNext w:val="0"/>
                    <w:keepLines w:val="0"/>
                    <w:pageBreakBefore w:val="0"/>
                    <w:widowControl w:val="0"/>
                    <w:suppressLineNumbers w:val="0"/>
                    <w:kinsoku/>
                    <w:wordWrap/>
                    <w:overflowPunct/>
                    <w:topLinePunct w:val="0"/>
                    <w:autoSpaceDE/>
                    <w:autoSpaceDN w:val="0"/>
                    <w:bidi w:val="0"/>
                    <w:snapToGrid/>
                    <w:spacing w:before="0" w:beforeAutospacing="0" w:after="0" w:afterAutospacing="0" w:line="340" w:lineRule="exact"/>
                    <w:ind w:left="0" w:leftChars="0" w:right="0" w:rightChars="0" w:firstLine="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10mg/m</w:t>
                  </w:r>
                  <w:r>
                    <w:rPr>
                      <w:rFonts w:hint="default" w:ascii="Times New Roman" w:hAnsi="Times New Roman" w:eastAsia="宋体" w:cs="Times New Roman"/>
                      <w:color w:val="000000" w:themeColor="text1"/>
                      <w:kern w:val="2"/>
                      <w:sz w:val="21"/>
                      <w:szCs w:val="21"/>
                      <w:vertAlign w:val="superscript"/>
                      <w:lang w:val="en-US" w:eastAsia="zh-CN" w:bidi="ar"/>
                      <w14:textFill>
                        <w14:solidFill>
                          <w14:schemeClr w14:val="tx1"/>
                        </w14:solidFill>
                      </w14:textFill>
                    </w:rPr>
                    <w:t>3</w:t>
                  </w:r>
                </w:p>
              </w:tc>
              <w:tc>
                <w:tcPr>
                  <w:tcW w:w="1917" w:type="pct"/>
                  <w:vMerge w:val="continue"/>
                  <w:noWrap w:val="0"/>
                  <w:vAlign w:val="center"/>
                </w:tcPr>
                <w:p w14:paraId="25435456">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DC9D6E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1035" w:type="pct"/>
                  <w:vMerge w:val="restart"/>
                  <w:noWrap w:val="0"/>
                  <w:vAlign w:val="center"/>
                </w:tcPr>
                <w:p w14:paraId="232304B9">
                  <w:pPr>
                    <w:keepNext w:val="0"/>
                    <w:keepLines w:val="0"/>
                    <w:pageBreakBefore w:val="0"/>
                    <w:widowControl w:val="0"/>
                    <w:suppressLineNumbers w:val="0"/>
                    <w:kinsoku/>
                    <w:wordWrap/>
                    <w:overflowPunct/>
                    <w:topLinePunct w:val="0"/>
                    <w:autoSpaceDE/>
                    <w:autoSpaceDN w:val="0"/>
                    <w:bidi w:val="0"/>
                    <w:snapToGrid/>
                    <w:spacing w:before="0" w:beforeAutospacing="0" w:after="0" w:afterAutospacing="0" w:line="340" w:lineRule="exact"/>
                    <w:ind w:left="0" w:leftChars="0" w:right="0" w:rightChars="0" w:firstLine="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O</w:t>
                  </w:r>
                  <w:r>
                    <w:rPr>
                      <w:rFonts w:hint="default" w:ascii="Times New Roman" w:hAnsi="Times New Roman" w:eastAsia="宋体" w:cs="Times New Roman"/>
                      <w:color w:val="000000" w:themeColor="text1"/>
                      <w:kern w:val="2"/>
                      <w:sz w:val="21"/>
                      <w:szCs w:val="21"/>
                      <w:vertAlign w:val="subscript"/>
                      <w:lang w:val="en-US" w:eastAsia="zh-CN" w:bidi="ar"/>
                      <w14:textFill>
                        <w14:solidFill>
                          <w14:schemeClr w14:val="tx1"/>
                        </w14:solidFill>
                      </w14:textFill>
                    </w:rPr>
                    <w:t>3</w:t>
                  </w:r>
                </w:p>
              </w:tc>
              <w:tc>
                <w:tcPr>
                  <w:tcW w:w="1115" w:type="pct"/>
                  <w:noWrap w:val="0"/>
                  <w:vAlign w:val="center"/>
                </w:tcPr>
                <w:p w14:paraId="7A992B86">
                  <w:pPr>
                    <w:keepNext w:val="0"/>
                    <w:keepLines w:val="0"/>
                    <w:pageBreakBefore w:val="0"/>
                    <w:widowControl w:val="0"/>
                    <w:suppressLineNumbers w:val="0"/>
                    <w:kinsoku/>
                    <w:wordWrap/>
                    <w:overflowPunct/>
                    <w:topLinePunct w:val="0"/>
                    <w:autoSpaceDE/>
                    <w:autoSpaceDN w:val="0"/>
                    <w:bidi w:val="0"/>
                    <w:snapToGrid/>
                    <w:spacing w:before="0" w:beforeAutospacing="0" w:after="0" w:afterAutospacing="0" w:line="340" w:lineRule="exact"/>
                    <w:ind w:left="0" w:leftChars="0" w:right="0" w:rightChars="0" w:firstLine="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日最大8小时平均</w:t>
                  </w:r>
                </w:p>
              </w:tc>
              <w:tc>
                <w:tcPr>
                  <w:tcW w:w="931" w:type="pct"/>
                  <w:noWrap w:val="0"/>
                  <w:vAlign w:val="center"/>
                </w:tcPr>
                <w:p w14:paraId="51C0C9B9">
                  <w:pPr>
                    <w:keepNext w:val="0"/>
                    <w:keepLines w:val="0"/>
                    <w:pageBreakBefore w:val="0"/>
                    <w:widowControl w:val="0"/>
                    <w:suppressLineNumbers w:val="0"/>
                    <w:kinsoku/>
                    <w:wordWrap/>
                    <w:overflowPunct/>
                    <w:topLinePunct w:val="0"/>
                    <w:autoSpaceDE/>
                    <w:autoSpaceDN w:val="0"/>
                    <w:bidi w:val="0"/>
                    <w:snapToGrid/>
                    <w:spacing w:before="0" w:beforeAutospacing="0" w:after="0" w:afterAutospacing="0" w:line="340" w:lineRule="exact"/>
                    <w:ind w:left="0" w:leftChars="0" w:right="0" w:rightChars="0" w:firstLine="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160</w:t>
                  </w:r>
                  <w:r>
                    <w:rPr>
                      <w:rFonts w:hint="default" w:ascii="Times New Roman" w:hAnsi="Times New Roman" w:eastAsia="宋体" w:cs="Times New Roman"/>
                      <w:color w:val="000000" w:themeColor="text1"/>
                      <w:sz w:val="21"/>
                      <w:szCs w:val="21"/>
                      <w14:textFill>
                        <w14:solidFill>
                          <w14:schemeClr w14:val="tx1"/>
                        </w14:solidFill>
                      </w14:textFill>
                    </w:rPr>
                    <w:t>μg/m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17" w:type="pct"/>
                  <w:vMerge w:val="continue"/>
                  <w:noWrap w:val="0"/>
                  <w:vAlign w:val="center"/>
                </w:tcPr>
                <w:p w14:paraId="3870C807">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8A3877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97" w:hRule="atLeast"/>
                <w:jc w:val="center"/>
              </w:trPr>
              <w:tc>
                <w:tcPr>
                  <w:tcW w:w="1035" w:type="pct"/>
                  <w:vMerge w:val="continue"/>
                  <w:noWrap w:val="0"/>
                  <w:vAlign w:val="center"/>
                </w:tcPr>
                <w:p w14:paraId="68128B84">
                  <w:pPr>
                    <w:keepNext w:val="0"/>
                    <w:keepLines w:val="0"/>
                    <w:pageBreakBefore w:val="0"/>
                    <w:widowControl w:val="0"/>
                    <w:kinsoku/>
                    <w:wordWrap/>
                    <w:overflowPunct/>
                    <w:topLinePunct w:val="0"/>
                    <w:autoSpaceDE/>
                    <w:bidi w:val="0"/>
                    <w:snapToGrid/>
                    <w:spacing w:line="340" w:lineRule="exact"/>
                    <w:ind w:firstLine="0"/>
                    <w:rPr>
                      <w:rFonts w:hint="default" w:ascii="Times New Roman" w:hAnsi="Times New Roman" w:eastAsia="宋体" w:cs="Times New Roman"/>
                      <w:color w:val="000000" w:themeColor="text1"/>
                      <w:sz w:val="21"/>
                      <w:szCs w:val="21"/>
                      <w14:textFill>
                        <w14:solidFill>
                          <w14:schemeClr w14:val="tx1"/>
                        </w14:solidFill>
                      </w14:textFill>
                    </w:rPr>
                  </w:pPr>
                </w:p>
              </w:tc>
              <w:tc>
                <w:tcPr>
                  <w:tcW w:w="1115" w:type="pct"/>
                  <w:noWrap w:val="0"/>
                  <w:vAlign w:val="center"/>
                </w:tcPr>
                <w:p w14:paraId="507B0873">
                  <w:pPr>
                    <w:keepNext w:val="0"/>
                    <w:keepLines w:val="0"/>
                    <w:pageBreakBefore w:val="0"/>
                    <w:widowControl w:val="0"/>
                    <w:suppressLineNumbers w:val="0"/>
                    <w:kinsoku/>
                    <w:wordWrap/>
                    <w:overflowPunct/>
                    <w:topLinePunct w:val="0"/>
                    <w:autoSpaceDE/>
                    <w:autoSpaceDN w:val="0"/>
                    <w:bidi w:val="0"/>
                    <w:snapToGrid/>
                    <w:spacing w:before="0" w:beforeAutospacing="0" w:after="0" w:afterAutospacing="0" w:line="340" w:lineRule="exact"/>
                    <w:ind w:left="0" w:leftChars="0" w:right="0" w:rightChars="0" w:firstLine="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1小时平均</w:t>
                  </w:r>
                </w:p>
              </w:tc>
              <w:tc>
                <w:tcPr>
                  <w:tcW w:w="931" w:type="pct"/>
                  <w:noWrap w:val="0"/>
                  <w:vAlign w:val="center"/>
                </w:tcPr>
                <w:p w14:paraId="4CEE6848">
                  <w:pPr>
                    <w:keepNext w:val="0"/>
                    <w:keepLines w:val="0"/>
                    <w:pageBreakBefore w:val="0"/>
                    <w:widowControl w:val="0"/>
                    <w:suppressLineNumbers w:val="0"/>
                    <w:kinsoku/>
                    <w:wordWrap/>
                    <w:overflowPunct/>
                    <w:topLinePunct w:val="0"/>
                    <w:autoSpaceDE/>
                    <w:autoSpaceDN w:val="0"/>
                    <w:bidi w:val="0"/>
                    <w:snapToGrid/>
                    <w:spacing w:before="0" w:beforeAutospacing="0" w:after="0" w:afterAutospacing="0" w:line="340" w:lineRule="exact"/>
                    <w:ind w:left="0" w:leftChars="0" w:right="0" w:rightChars="0" w:firstLine="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200</w:t>
                  </w:r>
                  <w:r>
                    <w:rPr>
                      <w:rFonts w:hint="default" w:ascii="Times New Roman" w:hAnsi="Times New Roman" w:eastAsia="宋体" w:cs="Times New Roman"/>
                      <w:color w:val="000000" w:themeColor="text1"/>
                      <w:sz w:val="21"/>
                      <w:szCs w:val="21"/>
                      <w14:textFill>
                        <w14:solidFill>
                          <w14:schemeClr w14:val="tx1"/>
                        </w14:solidFill>
                      </w14:textFill>
                    </w:rPr>
                    <w:t>μg/m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17" w:type="pct"/>
                  <w:vMerge w:val="continue"/>
                  <w:noWrap w:val="0"/>
                  <w:vAlign w:val="center"/>
                </w:tcPr>
                <w:p w14:paraId="644E5A61">
                  <w:pPr>
                    <w:keepNext w:val="0"/>
                    <w:keepLines w:val="0"/>
                    <w:pageBreakBefore w:val="0"/>
                    <w:widowControl w:val="0"/>
                    <w:kinsoku/>
                    <w:wordWrap/>
                    <w:overflowPunct/>
                    <w:topLinePunct w:val="0"/>
                    <w:autoSpaceDE/>
                    <w:bidi w:val="0"/>
                    <w:adjustRightInd w:val="0"/>
                    <w:snapToGrid/>
                    <w:spacing w:line="340" w:lineRule="exact"/>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r>
            <w:bookmarkEnd w:id="15"/>
            <w:bookmarkEnd w:id="16"/>
          </w:tbl>
          <w:p w14:paraId="4FA3D623">
            <w:pPr>
              <w:pStyle w:val="83"/>
              <w:keepNext w:val="0"/>
              <w:keepLines w:val="0"/>
              <w:pageBreakBefore w:val="0"/>
              <w:widowControl/>
              <w:kinsoku/>
              <w:wordWrap/>
              <w:overflowPunct/>
              <w:topLinePunct w:val="0"/>
              <w:autoSpaceDE/>
              <w:autoSpaceDN/>
              <w:bidi w:val="0"/>
              <w:adjustRightInd w:val="0"/>
              <w:snapToGrid w:val="0"/>
              <w:spacing w:before="157" w:beforeLines="50"/>
              <w:ind w:left="0" w:leftChars="0" w:firstLine="0" w:firstLineChars="0"/>
              <w:textAlignment w:val="auto"/>
              <w:rPr>
                <w:rFonts w:hint="default" w:ascii="Times New Roman" w:hAnsi="Times New Roman" w:eastAsia="宋体" w:cs="Times New Roman"/>
                <w:b/>
                <w:bCs/>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 xml:space="preserve">3.1.2 </w:t>
            </w:r>
            <w:r>
              <w:rPr>
                <w:rFonts w:hint="default" w:ascii="Times New Roman" w:hAnsi="Times New Roman" w:eastAsia="宋体" w:cs="Times New Roman"/>
                <w:b/>
                <w:bCs/>
                <w:color w:val="000000" w:themeColor="text1"/>
                <w:kern w:val="0"/>
                <w:sz w:val="24"/>
                <w14:textFill>
                  <w14:solidFill>
                    <w14:schemeClr w14:val="tx1"/>
                  </w14:solidFill>
                </w14:textFill>
              </w:rPr>
              <w:t>区域大气环境质量现状</w:t>
            </w:r>
          </w:p>
          <w:p w14:paraId="615756A7">
            <w:pPr>
              <w:pStyle w:val="83"/>
              <w:keepNext w:val="0"/>
              <w:keepLines w:val="0"/>
              <w:pageBreakBefore w:val="0"/>
              <w:kinsoku/>
              <w:wordWrap/>
              <w:overflowPunct/>
              <w:topLinePunct w:val="0"/>
              <w:bidi w:val="0"/>
              <w:adjustRightInd w:val="0"/>
              <w:snapToGrid w:val="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区域</w:t>
            </w:r>
            <w:r>
              <w:rPr>
                <w:rFonts w:hint="default" w:ascii="Times New Roman" w:hAnsi="Times New Roman" w:eastAsia="宋体" w:cs="Times New Roman"/>
                <w:color w:val="000000" w:themeColor="text1"/>
                <w:sz w:val="24"/>
                <w:szCs w:val="24"/>
                <w:highlight w:val="none"/>
                <w14:textFill>
                  <w14:solidFill>
                    <w14:schemeClr w14:val="tx1"/>
                  </w14:solidFill>
                </w14:textFill>
              </w:rPr>
              <w:t>环境空气质量现状</w:t>
            </w:r>
          </w:p>
          <w:p w14:paraId="2A756E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基本污染因子</w:t>
            </w:r>
          </w:p>
          <w:p w14:paraId="594ABA8E">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福清市人民政府发布的2024年1月至2024年12月空气质量月报数据（</w:t>
            </w:r>
            <w:bookmarkStart w:id="17" w:name="OLE_LINK45"/>
            <w:r>
              <w:rPr>
                <w:rFonts w:hint="default" w:ascii="Times New Roman" w:hAnsi="Times New Roman" w:cs="Times New Roman"/>
                <w:color w:val="000000"/>
                <w:sz w:val="24"/>
                <w:szCs w:val="24"/>
              </w:rPr>
              <w:t>http：//www.fuqing.gov.cn/xjwz/zwgk/ztzl/sdgjz/dhwrfzgjz/hjzl）</w:t>
            </w:r>
            <w:bookmarkEnd w:id="17"/>
            <w:r>
              <w:rPr>
                <w:rFonts w:hint="default" w:ascii="Times New Roman" w:hAnsi="Times New Roman" w:cs="Times New Roman"/>
                <w:color w:val="000000"/>
                <w:sz w:val="24"/>
                <w:szCs w:val="24"/>
              </w:rPr>
              <w:t>。福清市区2024年空气环境中SO</w:t>
            </w:r>
            <w:r>
              <w:rPr>
                <w:rFonts w:hint="default" w:ascii="Times New Roman" w:hAnsi="Times New Roman" w:cs="Times New Roman"/>
                <w:color w:val="000000"/>
                <w:sz w:val="24"/>
                <w:szCs w:val="24"/>
                <w:vertAlign w:val="subscript"/>
              </w:rPr>
              <w:t>2</w:t>
            </w:r>
            <w:r>
              <w:rPr>
                <w:rFonts w:hint="default" w:ascii="Times New Roman" w:hAnsi="Times New Roman" w:cs="Times New Roman"/>
                <w:color w:val="000000"/>
                <w:sz w:val="24"/>
                <w:szCs w:val="24"/>
              </w:rPr>
              <w:t>、NO</w:t>
            </w:r>
            <w:r>
              <w:rPr>
                <w:rFonts w:hint="default" w:ascii="Times New Roman" w:hAnsi="Times New Roman" w:cs="Times New Roman"/>
                <w:color w:val="000000"/>
                <w:sz w:val="24"/>
                <w:szCs w:val="24"/>
                <w:vertAlign w:val="subscript"/>
              </w:rPr>
              <w:t>2</w:t>
            </w:r>
            <w:r>
              <w:rPr>
                <w:rFonts w:hint="default" w:ascii="Times New Roman" w:hAnsi="Times New Roman" w:cs="Times New Roman"/>
                <w:color w:val="000000"/>
                <w:sz w:val="24"/>
                <w:szCs w:val="24"/>
              </w:rPr>
              <w:t>、PM</w:t>
            </w:r>
            <w:r>
              <w:rPr>
                <w:rFonts w:hint="default" w:ascii="Times New Roman" w:hAnsi="Times New Roman" w:cs="Times New Roman"/>
                <w:color w:val="000000"/>
                <w:sz w:val="24"/>
                <w:szCs w:val="24"/>
                <w:vertAlign w:val="subscript"/>
              </w:rPr>
              <w:t>10</w:t>
            </w:r>
            <w:r>
              <w:rPr>
                <w:rFonts w:hint="default" w:ascii="Times New Roman" w:hAnsi="Times New Roman" w:cs="Times New Roman"/>
                <w:color w:val="000000"/>
                <w:sz w:val="24"/>
                <w:szCs w:val="24"/>
              </w:rPr>
              <w:t>和PM</w:t>
            </w:r>
            <w:r>
              <w:rPr>
                <w:rFonts w:hint="default" w:ascii="Times New Roman" w:hAnsi="Times New Roman" w:cs="Times New Roman"/>
                <w:color w:val="000000"/>
                <w:sz w:val="24"/>
                <w:szCs w:val="24"/>
                <w:vertAlign w:val="subscript"/>
              </w:rPr>
              <w:t>2.5</w:t>
            </w:r>
            <w:r>
              <w:rPr>
                <w:rFonts w:hint="default" w:ascii="Times New Roman" w:hAnsi="Times New Roman" w:cs="Times New Roman"/>
                <w:color w:val="000000"/>
                <w:sz w:val="24"/>
                <w:szCs w:val="24"/>
              </w:rPr>
              <w:t>均未超过国家二级标准，CO日均值第95百分位数和O</w:t>
            </w:r>
            <w:r>
              <w:rPr>
                <w:rFonts w:hint="default" w:ascii="Times New Roman" w:hAnsi="Times New Roman" w:cs="Times New Roman"/>
                <w:color w:val="000000"/>
                <w:sz w:val="24"/>
                <w:szCs w:val="24"/>
                <w:vertAlign w:val="subscript"/>
              </w:rPr>
              <w:t>3</w:t>
            </w:r>
            <w:r>
              <w:rPr>
                <w:rFonts w:hint="default" w:ascii="Times New Roman" w:hAnsi="Times New Roman" w:cs="Times New Roman"/>
                <w:color w:val="000000"/>
                <w:sz w:val="24"/>
                <w:szCs w:val="24"/>
              </w:rPr>
              <w:t>日最大8h值第90百分位数未超过国家二级标准。因此，项目所在区域为达标区。</w:t>
            </w:r>
          </w:p>
          <w:p w14:paraId="3F9EFA6E">
            <w:pPr>
              <w:pStyle w:val="110"/>
              <w:keepNext w:val="0"/>
              <w:keepLines w:val="0"/>
              <w:pageBreakBefore w:val="0"/>
              <w:widowControl w:val="0"/>
              <w:kinsoku/>
              <w:wordWrap/>
              <w:overflowPunct/>
              <w:topLinePunct w:val="0"/>
              <w:autoSpaceDE/>
              <w:autoSpaceDN/>
              <w:bidi w:val="0"/>
              <w:adjustRightInd w:val="0"/>
              <w:snapToGrid/>
              <w:spacing w:before="157" w:beforeLines="50" w:after="0" w:line="240" w:lineRule="auto"/>
              <w:ind w:left="0" w:leftChars="0"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sz w:val="24"/>
                <w:szCs w:val="24"/>
              </w:rPr>
              <w:t>表3.1-</w:t>
            </w:r>
            <w:r>
              <w:rPr>
                <w:rFonts w:hint="default" w:ascii="Times New Roman" w:hAnsi="Times New Roman" w:cs="Times New Roman"/>
                <w:color w:val="000000"/>
                <w:sz w:val="24"/>
                <w:szCs w:val="24"/>
                <w:lang w:val="en-US" w:eastAsia="zh-CN"/>
              </w:rPr>
              <w:t>2</w:t>
            </w:r>
            <w:r>
              <w:rPr>
                <w:rFonts w:hint="default" w:ascii="Times New Roman" w:hAnsi="Times New Roman" w:cs="Times New Roman"/>
                <w:color w:val="000000"/>
                <w:sz w:val="24"/>
                <w:szCs w:val="24"/>
              </w:rPr>
              <w:t xml:space="preserve">  福清市2024年1月-2024年12月空气质量月报数据（摘录）</w:t>
            </w:r>
          </w:p>
          <w:tbl>
            <w:tblPr>
              <w:tblStyle w:val="28"/>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73"/>
              <w:gridCol w:w="1144"/>
              <w:gridCol w:w="1144"/>
              <w:gridCol w:w="1145"/>
              <w:gridCol w:w="1145"/>
              <w:gridCol w:w="970"/>
              <w:gridCol w:w="1152"/>
            </w:tblGrid>
            <w:tr w14:paraId="539003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1" w:type="pct"/>
                  <w:tcBorders>
                    <w:tl2br w:val="nil"/>
                    <w:tr2bl w:val="nil"/>
                  </w:tcBorders>
                  <w:vAlign w:val="center"/>
                </w:tcPr>
                <w:p w14:paraId="5A908F38">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时间</w:t>
                  </w:r>
                </w:p>
              </w:tc>
              <w:tc>
                <w:tcPr>
                  <w:tcW w:w="691" w:type="pct"/>
                  <w:tcBorders>
                    <w:tl2br w:val="nil"/>
                    <w:tr2bl w:val="nil"/>
                  </w:tcBorders>
                  <w:vAlign w:val="center"/>
                </w:tcPr>
                <w:p w14:paraId="43070AA5">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SO</w:t>
                  </w:r>
                  <w:r>
                    <w:rPr>
                      <w:rFonts w:hint="default" w:ascii="Times New Roman" w:hAnsi="Times New Roman" w:cs="Times New Roman"/>
                      <w:color w:val="000000"/>
                      <w:sz w:val="21"/>
                      <w:szCs w:val="21"/>
                      <w:vertAlign w:val="subscript"/>
                    </w:rPr>
                    <w:t>2</w:t>
                  </w:r>
                </w:p>
              </w:tc>
              <w:tc>
                <w:tcPr>
                  <w:tcW w:w="691" w:type="pct"/>
                  <w:tcBorders>
                    <w:tl2br w:val="nil"/>
                    <w:tr2bl w:val="nil"/>
                  </w:tcBorders>
                  <w:vAlign w:val="center"/>
                </w:tcPr>
                <w:p w14:paraId="7504EC1E">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NO</w:t>
                  </w:r>
                  <w:r>
                    <w:rPr>
                      <w:rFonts w:hint="default" w:ascii="Times New Roman" w:hAnsi="Times New Roman" w:cs="Times New Roman"/>
                      <w:color w:val="000000"/>
                      <w:sz w:val="21"/>
                      <w:szCs w:val="21"/>
                      <w:vertAlign w:val="subscript"/>
                    </w:rPr>
                    <w:t>2</w:t>
                  </w:r>
                </w:p>
              </w:tc>
              <w:tc>
                <w:tcPr>
                  <w:tcW w:w="692" w:type="pct"/>
                  <w:tcBorders>
                    <w:tl2br w:val="nil"/>
                    <w:tr2bl w:val="nil"/>
                  </w:tcBorders>
                  <w:vAlign w:val="center"/>
                </w:tcPr>
                <w:p w14:paraId="06A15C1E">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PM</w:t>
                  </w:r>
                  <w:r>
                    <w:rPr>
                      <w:rFonts w:hint="default" w:ascii="Times New Roman" w:hAnsi="Times New Roman" w:cs="Times New Roman"/>
                      <w:color w:val="000000"/>
                      <w:sz w:val="21"/>
                      <w:szCs w:val="21"/>
                      <w:vertAlign w:val="subscript"/>
                    </w:rPr>
                    <w:t>10</w:t>
                  </w:r>
                </w:p>
              </w:tc>
              <w:tc>
                <w:tcPr>
                  <w:tcW w:w="692" w:type="pct"/>
                  <w:tcBorders>
                    <w:tl2br w:val="nil"/>
                    <w:tr2bl w:val="nil"/>
                  </w:tcBorders>
                  <w:vAlign w:val="center"/>
                </w:tcPr>
                <w:p w14:paraId="3E7889C3">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PM</w:t>
                  </w:r>
                  <w:r>
                    <w:rPr>
                      <w:rFonts w:hint="default" w:ascii="Times New Roman" w:hAnsi="Times New Roman" w:cs="Times New Roman"/>
                      <w:color w:val="000000"/>
                      <w:sz w:val="21"/>
                      <w:szCs w:val="21"/>
                      <w:vertAlign w:val="subscript"/>
                    </w:rPr>
                    <w:t>2.5</w:t>
                  </w:r>
                </w:p>
              </w:tc>
              <w:tc>
                <w:tcPr>
                  <w:tcW w:w="586" w:type="pct"/>
                  <w:tcBorders>
                    <w:tl2br w:val="nil"/>
                    <w:tr2bl w:val="nil"/>
                  </w:tcBorders>
                  <w:vAlign w:val="center"/>
                </w:tcPr>
                <w:p w14:paraId="66EE4822">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CO</w:t>
                  </w:r>
                </w:p>
              </w:tc>
              <w:tc>
                <w:tcPr>
                  <w:tcW w:w="694" w:type="pct"/>
                  <w:tcBorders>
                    <w:tl2br w:val="nil"/>
                    <w:tr2bl w:val="nil"/>
                  </w:tcBorders>
                  <w:vAlign w:val="center"/>
                </w:tcPr>
                <w:p w14:paraId="177E3DF3">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O</w:t>
                  </w:r>
                  <w:r>
                    <w:rPr>
                      <w:rFonts w:hint="default" w:ascii="Times New Roman" w:hAnsi="Times New Roman" w:cs="Times New Roman"/>
                      <w:color w:val="000000"/>
                      <w:sz w:val="21"/>
                      <w:szCs w:val="21"/>
                      <w:vertAlign w:val="subscript"/>
                    </w:rPr>
                    <w:t>3</w:t>
                  </w:r>
                </w:p>
              </w:tc>
            </w:tr>
            <w:tr w14:paraId="1A3963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1" w:type="pct"/>
                  <w:tcBorders>
                    <w:tl2br w:val="nil"/>
                    <w:tr2bl w:val="nil"/>
                  </w:tcBorders>
                  <w:vAlign w:val="center"/>
                </w:tcPr>
                <w:p w14:paraId="72CEF0C8">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2024年1月</w:t>
                  </w:r>
                </w:p>
              </w:tc>
              <w:tc>
                <w:tcPr>
                  <w:tcW w:w="691" w:type="pct"/>
                  <w:tcBorders>
                    <w:tl2br w:val="nil"/>
                    <w:tr2bl w:val="nil"/>
                  </w:tcBorders>
                  <w:vAlign w:val="center"/>
                </w:tcPr>
                <w:p w14:paraId="133B5A6D">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0.003</w:t>
                  </w:r>
                </w:p>
              </w:tc>
              <w:tc>
                <w:tcPr>
                  <w:tcW w:w="691" w:type="pct"/>
                  <w:tcBorders>
                    <w:tl2br w:val="nil"/>
                    <w:tr2bl w:val="nil"/>
                  </w:tcBorders>
                  <w:vAlign w:val="center"/>
                </w:tcPr>
                <w:p w14:paraId="540436E9">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0.022</w:t>
                  </w:r>
                </w:p>
              </w:tc>
              <w:tc>
                <w:tcPr>
                  <w:tcW w:w="692" w:type="pct"/>
                  <w:tcBorders>
                    <w:tl2br w:val="nil"/>
                    <w:tr2bl w:val="nil"/>
                  </w:tcBorders>
                  <w:vAlign w:val="center"/>
                </w:tcPr>
                <w:p w14:paraId="18AB42BD">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0.048</w:t>
                  </w:r>
                </w:p>
              </w:tc>
              <w:tc>
                <w:tcPr>
                  <w:tcW w:w="692" w:type="pct"/>
                  <w:tcBorders>
                    <w:tl2br w:val="nil"/>
                    <w:tr2bl w:val="nil"/>
                  </w:tcBorders>
                  <w:vAlign w:val="center"/>
                </w:tcPr>
                <w:p w14:paraId="7BD38D92">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0.03</w:t>
                  </w:r>
                </w:p>
              </w:tc>
              <w:tc>
                <w:tcPr>
                  <w:tcW w:w="586" w:type="pct"/>
                  <w:tcBorders>
                    <w:tl2br w:val="nil"/>
                    <w:tr2bl w:val="nil"/>
                  </w:tcBorders>
                  <w:vAlign w:val="center"/>
                </w:tcPr>
                <w:p w14:paraId="3B0F02EB">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0.9</w:t>
                  </w:r>
                </w:p>
              </w:tc>
              <w:tc>
                <w:tcPr>
                  <w:tcW w:w="694" w:type="pct"/>
                  <w:tcBorders>
                    <w:tl2br w:val="nil"/>
                    <w:tr2bl w:val="nil"/>
                  </w:tcBorders>
                  <w:vAlign w:val="center"/>
                </w:tcPr>
                <w:p w14:paraId="745629DB">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0.11</w:t>
                  </w:r>
                </w:p>
              </w:tc>
            </w:tr>
            <w:tr w14:paraId="76F792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1" w:type="pct"/>
                  <w:tcBorders>
                    <w:tl2br w:val="nil"/>
                    <w:tr2bl w:val="nil"/>
                  </w:tcBorders>
                  <w:vAlign w:val="center"/>
                </w:tcPr>
                <w:p w14:paraId="2A9CB11B">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2024年2月</w:t>
                  </w:r>
                </w:p>
              </w:tc>
              <w:tc>
                <w:tcPr>
                  <w:tcW w:w="691" w:type="pct"/>
                  <w:tcBorders>
                    <w:tl2br w:val="nil"/>
                    <w:tr2bl w:val="nil"/>
                  </w:tcBorders>
                  <w:vAlign w:val="center"/>
                </w:tcPr>
                <w:p w14:paraId="4B3C14F9">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0.003</w:t>
                  </w:r>
                </w:p>
              </w:tc>
              <w:tc>
                <w:tcPr>
                  <w:tcW w:w="691" w:type="pct"/>
                  <w:tcBorders>
                    <w:tl2br w:val="nil"/>
                    <w:tr2bl w:val="nil"/>
                  </w:tcBorders>
                  <w:vAlign w:val="center"/>
                </w:tcPr>
                <w:p w14:paraId="387DE1E8">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0.009</w:t>
                  </w:r>
                </w:p>
              </w:tc>
              <w:tc>
                <w:tcPr>
                  <w:tcW w:w="692" w:type="pct"/>
                  <w:tcBorders>
                    <w:tl2br w:val="nil"/>
                    <w:tr2bl w:val="nil"/>
                  </w:tcBorders>
                  <w:vAlign w:val="center"/>
                </w:tcPr>
                <w:p w14:paraId="772FC56C">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0.038</w:t>
                  </w:r>
                </w:p>
              </w:tc>
              <w:tc>
                <w:tcPr>
                  <w:tcW w:w="692" w:type="pct"/>
                  <w:tcBorders>
                    <w:tl2br w:val="nil"/>
                    <w:tr2bl w:val="nil"/>
                  </w:tcBorders>
                  <w:vAlign w:val="center"/>
                </w:tcPr>
                <w:p w14:paraId="4153DB3C">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0.023</w:t>
                  </w:r>
                </w:p>
              </w:tc>
              <w:tc>
                <w:tcPr>
                  <w:tcW w:w="586" w:type="pct"/>
                  <w:tcBorders>
                    <w:tl2br w:val="nil"/>
                    <w:tr2bl w:val="nil"/>
                  </w:tcBorders>
                  <w:vAlign w:val="center"/>
                </w:tcPr>
                <w:p w14:paraId="492E7427">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1.2</w:t>
                  </w:r>
                </w:p>
              </w:tc>
              <w:tc>
                <w:tcPr>
                  <w:tcW w:w="694" w:type="pct"/>
                  <w:tcBorders>
                    <w:tl2br w:val="nil"/>
                    <w:tr2bl w:val="nil"/>
                  </w:tcBorders>
                  <w:vAlign w:val="center"/>
                </w:tcPr>
                <w:p w14:paraId="4577814A">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0.112</w:t>
                  </w:r>
                </w:p>
              </w:tc>
            </w:tr>
            <w:tr w14:paraId="28273C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1" w:type="pct"/>
                  <w:tcBorders>
                    <w:tl2br w:val="nil"/>
                    <w:tr2bl w:val="nil"/>
                  </w:tcBorders>
                  <w:vAlign w:val="center"/>
                </w:tcPr>
                <w:p w14:paraId="04BCE933">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2024年3月</w:t>
                  </w:r>
                </w:p>
              </w:tc>
              <w:tc>
                <w:tcPr>
                  <w:tcW w:w="691" w:type="pct"/>
                  <w:tcBorders>
                    <w:tl2br w:val="nil"/>
                    <w:tr2bl w:val="nil"/>
                  </w:tcBorders>
                  <w:vAlign w:val="center"/>
                </w:tcPr>
                <w:p w14:paraId="47AE68A2">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0.002</w:t>
                  </w:r>
                </w:p>
              </w:tc>
              <w:tc>
                <w:tcPr>
                  <w:tcW w:w="691" w:type="pct"/>
                  <w:tcBorders>
                    <w:tl2br w:val="nil"/>
                    <w:tr2bl w:val="nil"/>
                  </w:tcBorders>
                  <w:vAlign w:val="center"/>
                </w:tcPr>
                <w:p w14:paraId="25BD7E87">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0.018</w:t>
                  </w:r>
                </w:p>
              </w:tc>
              <w:tc>
                <w:tcPr>
                  <w:tcW w:w="692" w:type="pct"/>
                  <w:tcBorders>
                    <w:tl2br w:val="nil"/>
                    <w:tr2bl w:val="nil"/>
                  </w:tcBorders>
                  <w:vAlign w:val="center"/>
                </w:tcPr>
                <w:p w14:paraId="20B88E53">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0.05</w:t>
                  </w:r>
                </w:p>
              </w:tc>
              <w:tc>
                <w:tcPr>
                  <w:tcW w:w="692" w:type="pct"/>
                  <w:tcBorders>
                    <w:tl2br w:val="nil"/>
                    <w:tr2bl w:val="nil"/>
                  </w:tcBorders>
                  <w:vAlign w:val="center"/>
                </w:tcPr>
                <w:p w14:paraId="5EC4394D">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0.023</w:t>
                  </w:r>
                </w:p>
              </w:tc>
              <w:tc>
                <w:tcPr>
                  <w:tcW w:w="586" w:type="pct"/>
                  <w:tcBorders>
                    <w:tl2br w:val="nil"/>
                    <w:tr2bl w:val="nil"/>
                  </w:tcBorders>
                  <w:vAlign w:val="center"/>
                </w:tcPr>
                <w:p w14:paraId="490769A6">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694" w:type="pct"/>
                  <w:tcBorders>
                    <w:tl2br w:val="nil"/>
                    <w:tr2bl w:val="nil"/>
                  </w:tcBorders>
                  <w:vAlign w:val="center"/>
                </w:tcPr>
                <w:p w14:paraId="13431BD5">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0.121</w:t>
                  </w:r>
                </w:p>
              </w:tc>
            </w:tr>
            <w:tr w14:paraId="0CBB69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1" w:type="pct"/>
                  <w:tcBorders>
                    <w:tl2br w:val="nil"/>
                    <w:tr2bl w:val="nil"/>
                  </w:tcBorders>
                  <w:vAlign w:val="center"/>
                </w:tcPr>
                <w:p w14:paraId="1DFD6625">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2024年4月</w:t>
                  </w:r>
                </w:p>
              </w:tc>
              <w:tc>
                <w:tcPr>
                  <w:tcW w:w="691" w:type="pct"/>
                  <w:tcBorders>
                    <w:tl2br w:val="nil"/>
                    <w:tr2bl w:val="nil"/>
                  </w:tcBorders>
                  <w:vAlign w:val="center"/>
                </w:tcPr>
                <w:p w14:paraId="401B9683">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0.003</w:t>
                  </w:r>
                </w:p>
              </w:tc>
              <w:tc>
                <w:tcPr>
                  <w:tcW w:w="691" w:type="pct"/>
                  <w:tcBorders>
                    <w:tl2br w:val="nil"/>
                    <w:tr2bl w:val="nil"/>
                  </w:tcBorders>
                  <w:vAlign w:val="center"/>
                </w:tcPr>
                <w:p w14:paraId="44511983">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0.016</w:t>
                  </w:r>
                </w:p>
              </w:tc>
              <w:tc>
                <w:tcPr>
                  <w:tcW w:w="692" w:type="pct"/>
                  <w:tcBorders>
                    <w:tl2br w:val="nil"/>
                    <w:tr2bl w:val="nil"/>
                  </w:tcBorders>
                  <w:vAlign w:val="center"/>
                </w:tcPr>
                <w:p w14:paraId="146FEE62">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0.041</w:t>
                  </w:r>
                </w:p>
              </w:tc>
              <w:tc>
                <w:tcPr>
                  <w:tcW w:w="692" w:type="pct"/>
                  <w:tcBorders>
                    <w:tl2br w:val="nil"/>
                    <w:tr2bl w:val="nil"/>
                  </w:tcBorders>
                  <w:vAlign w:val="center"/>
                </w:tcPr>
                <w:p w14:paraId="14B86DA7">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0.02</w:t>
                  </w:r>
                </w:p>
              </w:tc>
              <w:tc>
                <w:tcPr>
                  <w:tcW w:w="586" w:type="pct"/>
                  <w:tcBorders>
                    <w:tl2br w:val="nil"/>
                    <w:tr2bl w:val="nil"/>
                  </w:tcBorders>
                  <w:vAlign w:val="center"/>
                </w:tcPr>
                <w:p w14:paraId="792F09EE">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0.8</w:t>
                  </w:r>
                </w:p>
              </w:tc>
              <w:tc>
                <w:tcPr>
                  <w:tcW w:w="694" w:type="pct"/>
                  <w:tcBorders>
                    <w:tl2br w:val="nil"/>
                    <w:tr2bl w:val="nil"/>
                  </w:tcBorders>
                  <w:vAlign w:val="center"/>
                </w:tcPr>
                <w:p w14:paraId="7B8A0913">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0.122</w:t>
                  </w:r>
                </w:p>
              </w:tc>
            </w:tr>
            <w:tr w14:paraId="4A2C51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1" w:type="pct"/>
                  <w:tcBorders>
                    <w:tl2br w:val="nil"/>
                    <w:tr2bl w:val="nil"/>
                  </w:tcBorders>
                  <w:vAlign w:val="center"/>
                </w:tcPr>
                <w:p w14:paraId="6A59ED4B">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2024年5月</w:t>
                  </w:r>
                </w:p>
              </w:tc>
              <w:tc>
                <w:tcPr>
                  <w:tcW w:w="691" w:type="pct"/>
                  <w:tcBorders>
                    <w:tl2br w:val="nil"/>
                    <w:tr2bl w:val="nil"/>
                  </w:tcBorders>
                  <w:vAlign w:val="center"/>
                </w:tcPr>
                <w:p w14:paraId="0EF3E1C6">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0.002</w:t>
                  </w:r>
                </w:p>
              </w:tc>
              <w:tc>
                <w:tcPr>
                  <w:tcW w:w="691" w:type="pct"/>
                  <w:tcBorders>
                    <w:tl2br w:val="nil"/>
                    <w:tr2bl w:val="nil"/>
                  </w:tcBorders>
                  <w:vAlign w:val="center"/>
                </w:tcPr>
                <w:p w14:paraId="01067F1C">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0.011</w:t>
                  </w:r>
                </w:p>
              </w:tc>
              <w:tc>
                <w:tcPr>
                  <w:tcW w:w="692" w:type="pct"/>
                  <w:tcBorders>
                    <w:tl2br w:val="nil"/>
                    <w:tr2bl w:val="nil"/>
                  </w:tcBorders>
                  <w:vAlign w:val="center"/>
                </w:tcPr>
                <w:p w14:paraId="522667C5">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0.028</w:t>
                  </w:r>
                </w:p>
              </w:tc>
              <w:tc>
                <w:tcPr>
                  <w:tcW w:w="692" w:type="pct"/>
                  <w:tcBorders>
                    <w:tl2br w:val="nil"/>
                    <w:tr2bl w:val="nil"/>
                  </w:tcBorders>
                  <w:vAlign w:val="center"/>
                </w:tcPr>
                <w:p w14:paraId="43FF7678">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0.013</w:t>
                  </w:r>
                </w:p>
              </w:tc>
              <w:tc>
                <w:tcPr>
                  <w:tcW w:w="586" w:type="pct"/>
                  <w:tcBorders>
                    <w:tl2br w:val="nil"/>
                    <w:tr2bl w:val="nil"/>
                  </w:tcBorders>
                  <w:vAlign w:val="center"/>
                </w:tcPr>
                <w:p w14:paraId="68000D37">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0.6</w:t>
                  </w:r>
                </w:p>
              </w:tc>
              <w:tc>
                <w:tcPr>
                  <w:tcW w:w="694" w:type="pct"/>
                  <w:tcBorders>
                    <w:tl2br w:val="nil"/>
                    <w:tr2bl w:val="nil"/>
                  </w:tcBorders>
                  <w:vAlign w:val="center"/>
                </w:tcPr>
                <w:p w14:paraId="331AC87D">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0.13</w:t>
                  </w:r>
                </w:p>
              </w:tc>
            </w:tr>
            <w:tr w14:paraId="2EEB93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1" w:type="pct"/>
                  <w:tcBorders>
                    <w:tl2br w:val="nil"/>
                    <w:tr2bl w:val="nil"/>
                  </w:tcBorders>
                  <w:vAlign w:val="center"/>
                </w:tcPr>
                <w:p w14:paraId="449552F1">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2024年6月</w:t>
                  </w:r>
                </w:p>
              </w:tc>
              <w:tc>
                <w:tcPr>
                  <w:tcW w:w="691" w:type="pct"/>
                  <w:tcBorders>
                    <w:tl2br w:val="nil"/>
                    <w:tr2bl w:val="nil"/>
                  </w:tcBorders>
                  <w:vAlign w:val="center"/>
                </w:tcPr>
                <w:p w14:paraId="333DD9B6">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0.002</w:t>
                  </w:r>
                </w:p>
              </w:tc>
              <w:tc>
                <w:tcPr>
                  <w:tcW w:w="691" w:type="pct"/>
                  <w:tcBorders>
                    <w:tl2br w:val="nil"/>
                    <w:tr2bl w:val="nil"/>
                  </w:tcBorders>
                  <w:vAlign w:val="center"/>
                </w:tcPr>
                <w:p w14:paraId="5565985D">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0.01</w:t>
                  </w:r>
                </w:p>
              </w:tc>
              <w:tc>
                <w:tcPr>
                  <w:tcW w:w="692" w:type="pct"/>
                  <w:tcBorders>
                    <w:tl2br w:val="nil"/>
                    <w:tr2bl w:val="nil"/>
                  </w:tcBorders>
                  <w:vAlign w:val="center"/>
                </w:tcPr>
                <w:p w14:paraId="2E6463A4">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0.022</w:t>
                  </w:r>
                </w:p>
              </w:tc>
              <w:tc>
                <w:tcPr>
                  <w:tcW w:w="692" w:type="pct"/>
                  <w:tcBorders>
                    <w:tl2br w:val="nil"/>
                    <w:tr2bl w:val="nil"/>
                  </w:tcBorders>
                  <w:vAlign w:val="center"/>
                </w:tcPr>
                <w:p w14:paraId="6C0A0239">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0.01</w:t>
                  </w:r>
                </w:p>
              </w:tc>
              <w:tc>
                <w:tcPr>
                  <w:tcW w:w="586" w:type="pct"/>
                  <w:tcBorders>
                    <w:tl2br w:val="nil"/>
                    <w:tr2bl w:val="nil"/>
                  </w:tcBorders>
                  <w:vAlign w:val="center"/>
                </w:tcPr>
                <w:p w14:paraId="454102C0">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0.6</w:t>
                  </w:r>
                </w:p>
              </w:tc>
              <w:tc>
                <w:tcPr>
                  <w:tcW w:w="694" w:type="pct"/>
                  <w:tcBorders>
                    <w:tl2br w:val="nil"/>
                    <w:tr2bl w:val="nil"/>
                  </w:tcBorders>
                  <w:vAlign w:val="center"/>
                </w:tcPr>
                <w:p w14:paraId="2BC604A5">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0.112</w:t>
                  </w:r>
                </w:p>
              </w:tc>
            </w:tr>
            <w:tr w14:paraId="568700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1" w:type="pct"/>
                  <w:tcBorders>
                    <w:tl2br w:val="nil"/>
                    <w:tr2bl w:val="nil"/>
                  </w:tcBorders>
                  <w:vAlign w:val="center"/>
                </w:tcPr>
                <w:p w14:paraId="380D2CB9">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2024年7月</w:t>
                  </w:r>
                </w:p>
              </w:tc>
              <w:tc>
                <w:tcPr>
                  <w:tcW w:w="691" w:type="pct"/>
                  <w:tcBorders>
                    <w:tl2br w:val="nil"/>
                    <w:tr2bl w:val="nil"/>
                  </w:tcBorders>
                  <w:vAlign w:val="center"/>
                </w:tcPr>
                <w:p w14:paraId="68FA13D8">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0.002</w:t>
                  </w:r>
                </w:p>
              </w:tc>
              <w:tc>
                <w:tcPr>
                  <w:tcW w:w="691" w:type="pct"/>
                  <w:tcBorders>
                    <w:tl2br w:val="nil"/>
                    <w:tr2bl w:val="nil"/>
                  </w:tcBorders>
                  <w:vAlign w:val="center"/>
                </w:tcPr>
                <w:p w14:paraId="0AA1E392">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0.008</w:t>
                  </w:r>
                </w:p>
              </w:tc>
              <w:tc>
                <w:tcPr>
                  <w:tcW w:w="692" w:type="pct"/>
                  <w:tcBorders>
                    <w:tl2br w:val="nil"/>
                    <w:tr2bl w:val="nil"/>
                  </w:tcBorders>
                  <w:vAlign w:val="center"/>
                </w:tcPr>
                <w:p w14:paraId="135D5968">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0.02</w:t>
                  </w:r>
                </w:p>
              </w:tc>
              <w:tc>
                <w:tcPr>
                  <w:tcW w:w="692" w:type="pct"/>
                  <w:tcBorders>
                    <w:tl2br w:val="nil"/>
                    <w:tr2bl w:val="nil"/>
                  </w:tcBorders>
                  <w:vAlign w:val="center"/>
                </w:tcPr>
                <w:p w14:paraId="0EF0B5DB">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0.009</w:t>
                  </w:r>
                </w:p>
              </w:tc>
              <w:tc>
                <w:tcPr>
                  <w:tcW w:w="586" w:type="pct"/>
                  <w:tcBorders>
                    <w:tl2br w:val="nil"/>
                    <w:tr2bl w:val="nil"/>
                  </w:tcBorders>
                  <w:vAlign w:val="center"/>
                </w:tcPr>
                <w:p w14:paraId="393F901E">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0.4</w:t>
                  </w:r>
                </w:p>
              </w:tc>
              <w:tc>
                <w:tcPr>
                  <w:tcW w:w="694" w:type="pct"/>
                  <w:tcBorders>
                    <w:tl2br w:val="nil"/>
                    <w:tr2bl w:val="nil"/>
                  </w:tcBorders>
                  <w:vAlign w:val="center"/>
                </w:tcPr>
                <w:p w14:paraId="236DED57">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0.108</w:t>
                  </w:r>
                </w:p>
              </w:tc>
            </w:tr>
            <w:tr w14:paraId="246A40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1" w:type="pct"/>
                  <w:tcBorders>
                    <w:tl2br w:val="nil"/>
                    <w:tr2bl w:val="nil"/>
                  </w:tcBorders>
                  <w:vAlign w:val="center"/>
                </w:tcPr>
                <w:p w14:paraId="0CC407DA">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2024年8月</w:t>
                  </w:r>
                </w:p>
              </w:tc>
              <w:tc>
                <w:tcPr>
                  <w:tcW w:w="691" w:type="pct"/>
                  <w:tcBorders>
                    <w:tl2br w:val="nil"/>
                    <w:tr2bl w:val="nil"/>
                  </w:tcBorders>
                  <w:vAlign w:val="center"/>
                </w:tcPr>
                <w:p w14:paraId="2753FCC0">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0.004</w:t>
                  </w:r>
                </w:p>
              </w:tc>
              <w:tc>
                <w:tcPr>
                  <w:tcW w:w="691" w:type="pct"/>
                  <w:tcBorders>
                    <w:tl2br w:val="nil"/>
                    <w:tr2bl w:val="nil"/>
                  </w:tcBorders>
                  <w:vAlign w:val="center"/>
                </w:tcPr>
                <w:p w14:paraId="66DFB5D4">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0.009</w:t>
                  </w:r>
                </w:p>
              </w:tc>
              <w:tc>
                <w:tcPr>
                  <w:tcW w:w="692" w:type="pct"/>
                  <w:tcBorders>
                    <w:tl2br w:val="nil"/>
                    <w:tr2bl w:val="nil"/>
                  </w:tcBorders>
                  <w:vAlign w:val="center"/>
                </w:tcPr>
                <w:p w14:paraId="08ECEB22">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0.032</w:t>
                  </w:r>
                </w:p>
              </w:tc>
              <w:tc>
                <w:tcPr>
                  <w:tcW w:w="692" w:type="pct"/>
                  <w:tcBorders>
                    <w:tl2br w:val="nil"/>
                    <w:tr2bl w:val="nil"/>
                  </w:tcBorders>
                  <w:vAlign w:val="center"/>
                </w:tcPr>
                <w:p w14:paraId="395D0980">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0.017</w:t>
                  </w:r>
                </w:p>
              </w:tc>
              <w:tc>
                <w:tcPr>
                  <w:tcW w:w="586" w:type="pct"/>
                  <w:tcBorders>
                    <w:tl2br w:val="nil"/>
                    <w:tr2bl w:val="nil"/>
                  </w:tcBorders>
                  <w:vAlign w:val="center"/>
                </w:tcPr>
                <w:p w14:paraId="72951219">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0.5</w:t>
                  </w:r>
                </w:p>
              </w:tc>
              <w:tc>
                <w:tcPr>
                  <w:tcW w:w="694" w:type="pct"/>
                  <w:tcBorders>
                    <w:tl2br w:val="nil"/>
                    <w:tr2bl w:val="nil"/>
                  </w:tcBorders>
                  <w:vAlign w:val="center"/>
                </w:tcPr>
                <w:p w14:paraId="1B45DFB0">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0.144</w:t>
                  </w:r>
                </w:p>
              </w:tc>
            </w:tr>
            <w:tr w14:paraId="668AF9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1" w:type="pct"/>
                  <w:tcBorders>
                    <w:tl2br w:val="nil"/>
                    <w:tr2bl w:val="nil"/>
                  </w:tcBorders>
                  <w:vAlign w:val="center"/>
                </w:tcPr>
                <w:p w14:paraId="4A62616F">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2024年9月</w:t>
                  </w:r>
                </w:p>
              </w:tc>
              <w:tc>
                <w:tcPr>
                  <w:tcW w:w="691" w:type="pct"/>
                  <w:tcBorders>
                    <w:tl2br w:val="nil"/>
                    <w:tr2bl w:val="nil"/>
                  </w:tcBorders>
                  <w:vAlign w:val="center"/>
                </w:tcPr>
                <w:p w14:paraId="07BA7A92">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0.002</w:t>
                  </w:r>
                </w:p>
              </w:tc>
              <w:tc>
                <w:tcPr>
                  <w:tcW w:w="691" w:type="pct"/>
                  <w:tcBorders>
                    <w:tl2br w:val="nil"/>
                    <w:tr2bl w:val="nil"/>
                  </w:tcBorders>
                  <w:vAlign w:val="center"/>
                </w:tcPr>
                <w:p w14:paraId="3A50FFE8">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0.007</w:t>
                  </w:r>
                </w:p>
              </w:tc>
              <w:tc>
                <w:tcPr>
                  <w:tcW w:w="692" w:type="pct"/>
                  <w:tcBorders>
                    <w:tl2br w:val="nil"/>
                    <w:tr2bl w:val="nil"/>
                  </w:tcBorders>
                  <w:vAlign w:val="center"/>
                </w:tcPr>
                <w:p w14:paraId="59BB3207">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0.02</w:t>
                  </w:r>
                </w:p>
              </w:tc>
              <w:tc>
                <w:tcPr>
                  <w:tcW w:w="692" w:type="pct"/>
                  <w:tcBorders>
                    <w:tl2br w:val="nil"/>
                    <w:tr2bl w:val="nil"/>
                  </w:tcBorders>
                  <w:vAlign w:val="center"/>
                </w:tcPr>
                <w:p w14:paraId="7EDDC666">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0.01</w:t>
                  </w:r>
                </w:p>
              </w:tc>
              <w:tc>
                <w:tcPr>
                  <w:tcW w:w="586" w:type="pct"/>
                  <w:tcBorders>
                    <w:tl2br w:val="nil"/>
                    <w:tr2bl w:val="nil"/>
                  </w:tcBorders>
                  <w:vAlign w:val="center"/>
                </w:tcPr>
                <w:p w14:paraId="40E02A2A">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0.4</w:t>
                  </w:r>
                </w:p>
              </w:tc>
              <w:tc>
                <w:tcPr>
                  <w:tcW w:w="694" w:type="pct"/>
                  <w:tcBorders>
                    <w:tl2br w:val="nil"/>
                    <w:tr2bl w:val="nil"/>
                  </w:tcBorders>
                  <w:vAlign w:val="center"/>
                </w:tcPr>
                <w:p w14:paraId="587C9176">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0.09</w:t>
                  </w:r>
                </w:p>
              </w:tc>
            </w:tr>
            <w:tr w14:paraId="75FF3C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1" w:type="pct"/>
                  <w:tcBorders>
                    <w:tl2br w:val="nil"/>
                    <w:tr2bl w:val="nil"/>
                  </w:tcBorders>
                  <w:vAlign w:val="center"/>
                </w:tcPr>
                <w:p w14:paraId="676F6845">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2024年10月</w:t>
                  </w:r>
                </w:p>
              </w:tc>
              <w:tc>
                <w:tcPr>
                  <w:tcW w:w="691" w:type="pct"/>
                  <w:tcBorders>
                    <w:tl2br w:val="nil"/>
                    <w:tr2bl w:val="nil"/>
                  </w:tcBorders>
                  <w:vAlign w:val="center"/>
                </w:tcPr>
                <w:p w14:paraId="67310E2E">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0.002</w:t>
                  </w:r>
                </w:p>
              </w:tc>
              <w:tc>
                <w:tcPr>
                  <w:tcW w:w="691" w:type="pct"/>
                  <w:tcBorders>
                    <w:tl2br w:val="nil"/>
                    <w:tr2bl w:val="nil"/>
                  </w:tcBorders>
                  <w:vAlign w:val="center"/>
                </w:tcPr>
                <w:p w14:paraId="4122F62B">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0.005</w:t>
                  </w:r>
                </w:p>
              </w:tc>
              <w:tc>
                <w:tcPr>
                  <w:tcW w:w="692" w:type="pct"/>
                  <w:tcBorders>
                    <w:tl2br w:val="nil"/>
                    <w:tr2bl w:val="nil"/>
                  </w:tcBorders>
                  <w:vAlign w:val="center"/>
                </w:tcPr>
                <w:p w14:paraId="564010DE">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0.022</w:t>
                  </w:r>
                </w:p>
              </w:tc>
              <w:tc>
                <w:tcPr>
                  <w:tcW w:w="692" w:type="pct"/>
                  <w:tcBorders>
                    <w:tl2br w:val="nil"/>
                    <w:tr2bl w:val="nil"/>
                  </w:tcBorders>
                  <w:vAlign w:val="center"/>
                </w:tcPr>
                <w:p w14:paraId="4C3E636B">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0.013</w:t>
                  </w:r>
                </w:p>
              </w:tc>
              <w:tc>
                <w:tcPr>
                  <w:tcW w:w="586" w:type="pct"/>
                  <w:tcBorders>
                    <w:tl2br w:val="nil"/>
                    <w:tr2bl w:val="nil"/>
                  </w:tcBorders>
                  <w:vAlign w:val="center"/>
                </w:tcPr>
                <w:p w14:paraId="5694194C">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0.4</w:t>
                  </w:r>
                </w:p>
              </w:tc>
              <w:tc>
                <w:tcPr>
                  <w:tcW w:w="694" w:type="pct"/>
                  <w:tcBorders>
                    <w:tl2br w:val="nil"/>
                    <w:tr2bl w:val="nil"/>
                  </w:tcBorders>
                  <w:vAlign w:val="center"/>
                </w:tcPr>
                <w:p w14:paraId="6FCAA232">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0.106</w:t>
                  </w:r>
                </w:p>
              </w:tc>
            </w:tr>
            <w:tr w14:paraId="2C8477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1" w:type="pct"/>
                  <w:tcBorders>
                    <w:tl2br w:val="nil"/>
                    <w:tr2bl w:val="nil"/>
                  </w:tcBorders>
                  <w:vAlign w:val="center"/>
                </w:tcPr>
                <w:p w14:paraId="6D725A85">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2024年11月</w:t>
                  </w:r>
                </w:p>
              </w:tc>
              <w:tc>
                <w:tcPr>
                  <w:tcW w:w="691" w:type="pct"/>
                  <w:tcBorders>
                    <w:tl2br w:val="nil"/>
                    <w:tr2bl w:val="nil"/>
                  </w:tcBorders>
                  <w:vAlign w:val="center"/>
                </w:tcPr>
                <w:p w14:paraId="48629029">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0.002</w:t>
                  </w:r>
                </w:p>
              </w:tc>
              <w:tc>
                <w:tcPr>
                  <w:tcW w:w="691" w:type="pct"/>
                  <w:tcBorders>
                    <w:tl2br w:val="nil"/>
                    <w:tr2bl w:val="nil"/>
                  </w:tcBorders>
                  <w:vAlign w:val="center"/>
                </w:tcPr>
                <w:p w14:paraId="503C35C6">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0.008</w:t>
                  </w:r>
                </w:p>
              </w:tc>
              <w:tc>
                <w:tcPr>
                  <w:tcW w:w="692" w:type="pct"/>
                  <w:tcBorders>
                    <w:tl2br w:val="nil"/>
                    <w:tr2bl w:val="nil"/>
                  </w:tcBorders>
                  <w:vAlign w:val="center"/>
                </w:tcPr>
                <w:p w14:paraId="36429658">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0.023</w:t>
                  </w:r>
                </w:p>
              </w:tc>
              <w:tc>
                <w:tcPr>
                  <w:tcW w:w="692" w:type="pct"/>
                  <w:tcBorders>
                    <w:tl2br w:val="nil"/>
                    <w:tr2bl w:val="nil"/>
                  </w:tcBorders>
                  <w:vAlign w:val="center"/>
                </w:tcPr>
                <w:p w14:paraId="53AC4908">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0.012</w:t>
                  </w:r>
                </w:p>
              </w:tc>
              <w:tc>
                <w:tcPr>
                  <w:tcW w:w="586" w:type="pct"/>
                  <w:tcBorders>
                    <w:tl2br w:val="nil"/>
                    <w:tr2bl w:val="nil"/>
                  </w:tcBorders>
                  <w:vAlign w:val="center"/>
                </w:tcPr>
                <w:p w14:paraId="004897E6">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0.4</w:t>
                  </w:r>
                </w:p>
              </w:tc>
              <w:tc>
                <w:tcPr>
                  <w:tcW w:w="694" w:type="pct"/>
                  <w:tcBorders>
                    <w:tl2br w:val="nil"/>
                    <w:tr2bl w:val="nil"/>
                  </w:tcBorders>
                  <w:vAlign w:val="center"/>
                </w:tcPr>
                <w:p w14:paraId="53475383">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0.1</w:t>
                  </w:r>
                </w:p>
              </w:tc>
            </w:tr>
            <w:tr w14:paraId="224768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1" w:type="pct"/>
                  <w:tcBorders>
                    <w:tl2br w:val="nil"/>
                    <w:tr2bl w:val="nil"/>
                  </w:tcBorders>
                  <w:vAlign w:val="center"/>
                </w:tcPr>
                <w:p w14:paraId="49BD0A6E">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2024年12月</w:t>
                  </w:r>
                </w:p>
              </w:tc>
              <w:tc>
                <w:tcPr>
                  <w:tcW w:w="691" w:type="pct"/>
                  <w:tcBorders>
                    <w:tl2br w:val="nil"/>
                    <w:tr2bl w:val="nil"/>
                  </w:tcBorders>
                  <w:vAlign w:val="center"/>
                </w:tcPr>
                <w:p w14:paraId="7AFC102F">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0.002</w:t>
                  </w:r>
                </w:p>
              </w:tc>
              <w:tc>
                <w:tcPr>
                  <w:tcW w:w="691" w:type="pct"/>
                  <w:tcBorders>
                    <w:tl2br w:val="nil"/>
                    <w:tr2bl w:val="nil"/>
                  </w:tcBorders>
                  <w:vAlign w:val="center"/>
                </w:tcPr>
                <w:p w14:paraId="1F94B3A9">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0.014</w:t>
                  </w:r>
                </w:p>
              </w:tc>
              <w:tc>
                <w:tcPr>
                  <w:tcW w:w="692" w:type="pct"/>
                  <w:tcBorders>
                    <w:tl2br w:val="nil"/>
                    <w:tr2bl w:val="nil"/>
                  </w:tcBorders>
                  <w:vAlign w:val="center"/>
                </w:tcPr>
                <w:p w14:paraId="55A20F87">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0.036</w:t>
                  </w:r>
                </w:p>
              </w:tc>
              <w:tc>
                <w:tcPr>
                  <w:tcW w:w="692" w:type="pct"/>
                  <w:tcBorders>
                    <w:tl2br w:val="nil"/>
                    <w:tr2bl w:val="nil"/>
                  </w:tcBorders>
                  <w:vAlign w:val="center"/>
                </w:tcPr>
                <w:p w14:paraId="36690614">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0.019</w:t>
                  </w:r>
                </w:p>
              </w:tc>
              <w:tc>
                <w:tcPr>
                  <w:tcW w:w="586" w:type="pct"/>
                  <w:tcBorders>
                    <w:tl2br w:val="nil"/>
                    <w:tr2bl w:val="nil"/>
                  </w:tcBorders>
                  <w:vAlign w:val="center"/>
                </w:tcPr>
                <w:p w14:paraId="5F875918">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0.6</w:t>
                  </w:r>
                </w:p>
              </w:tc>
              <w:tc>
                <w:tcPr>
                  <w:tcW w:w="694" w:type="pct"/>
                  <w:tcBorders>
                    <w:tl2br w:val="nil"/>
                    <w:tr2bl w:val="nil"/>
                  </w:tcBorders>
                  <w:vAlign w:val="center"/>
                </w:tcPr>
                <w:p w14:paraId="69D0DBBB">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0.104</w:t>
                  </w:r>
                </w:p>
              </w:tc>
            </w:tr>
            <w:tr w14:paraId="5D5C01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1" w:type="pct"/>
                  <w:tcBorders>
                    <w:tl2br w:val="nil"/>
                    <w:tr2bl w:val="nil"/>
                  </w:tcBorders>
                  <w:vAlign w:val="center"/>
                </w:tcPr>
                <w:p w14:paraId="7C1474F4">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国家二级标准</w:t>
                  </w:r>
                </w:p>
              </w:tc>
              <w:tc>
                <w:tcPr>
                  <w:tcW w:w="691" w:type="pct"/>
                  <w:tcBorders>
                    <w:tl2br w:val="nil"/>
                    <w:tr2bl w:val="nil"/>
                  </w:tcBorders>
                  <w:vAlign w:val="center"/>
                </w:tcPr>
                <w:p w14:paraId="243A9CB6">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0.06</w:t>
                  </w:r>
                </w:p>
              </w:tc>
              <w:tc>
                <w:tcPr>
                  <w:tcW w:w="691" w:type="pct"/>
                  <w:tcBorders>
                    <w:tl2br w:val="nil"/>
                    <w:tr2bl w:val="nil"/>
                  </w:tcBorders>
                  <w:vAlign w:val="center"/>
                </w:tcPr>
                <w:p w14:paraId="193A2E4E">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0.04</w:t>
                  </w:r>
                </w:p>
              </w:tc>
              <w:tc>
                <w:tcPr>
                  <w:tcW w:w="692" w:type="pct"/>
                  <w:tcBorders>
                    <w:tl2br w:val="nil"/>
                    <w:tr2bl w:val="nil"/>
                  </w:tcBorders>
                  <w:vAlign w:val="center"/>
                </w:tcPr>
                <w:p w14:paraId="4C7DDAAE">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0.07</w:t>
                  </w:r>
                </w:p>
              </w:tc>
              <w:tc>
                <w:tcPr>
                  <w:tcW w:w="692" w:type="pct"/>
                  <w:tcBorders>
                    <w:tl2br w:val="nil"/>
                    <w:tr2bl w:val="nil"/>
                  </w:tcBorders>
                  <w:vAlign w:val="center"/>
                </w:tcPr>
                <w:p w14:paraId="338AEC55">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0.035</w:t>
                  </w:r>
                </w:p>
              </w:tc>
              <w:tc>
                <w:tcPr>
                  <w:tcW w:w="586" w:type="pct"/>
                  <w:tcBorders>
                    <w:tl2br w:val="nil"/>
                    <w:tr2bl w:val="nil"/>
                  </w:tcBorders>
                  <w:vAlign w:val="center"/>
                </w:tcPr>
                <w:p w14:paraId="71FCDF96">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4</w:t>
                  </w:r>
                </w:p>
              </w:tc>
              <w:tc>
                <w:tcPr>
                  <w:tcW w:w="694" w:type="pct"/>
                  <w:tcBorders>
                    <w:tl2br w:val="nil"/>
                    <w:tr2bl w:val="nil"/>
                  </w:tcBorders>
                  <w:vAlign w:val="center"/>
                </w:tcPr>
                <w:p w14:paraId="0ACC90C3">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0.16</w:t>
                  </w:r>
                </w:p>
              </w:tc>
            </w:tr>
            <w:tr w14:paraId="4A81EE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1" w:type="pct"/>
                  <w:tcBorders>
                    <w:tl2br w:val="nil"/>
                    <w:tr2bl w:val="nil"/>
                  </w:tcBorders>
                  <w:vAlign w:val="center"/>
                </w:tcPr>
                <w:p w14:paraId="72EAC8DB">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达标情况</w:t>
                  </w:r>
                </w:p>
              </w:tc>
              <w:tc>
                <w:tcPr>
                  <w:tcW w:w="4048" w:type="pct"/>
                  <w:gridSpan w:val="6"/>
                  <w:tcBorders>
                    <w:tl2br w:val="nil"/>
                    <w:tr2bl w:val="nil"/>
                  </w:tcBorders>
                  <w:vAlign w:val="center"/>
                </w:tcPr>
                <w:p w14:paraId="2148D8F4">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达标</w:t>
                  </w:r>
                </w:p>
              </w:tc>
            </w:tr>
            <w:tr w14:paraId="5EC3F7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1" w:type="pct"/>
                  <w:tcBorders>
                    <w:tl2br w:val="nil"/>
                    <w:tr2bl w:val="nil"/>
                  </w:tcBorders>
                  <w:vAlign w:val="center"/>
                </w:tcPr>
                <w:p w14:paraId="51E8F767">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备注</w:t>
                  </w:r>
                </w:p>
              </w:tc>
              <w:tc>
                <w:tcPr>
                  <w:tcW w:w="4048" w:type="pct"/>
                  <w:gridSpan w:val="6"/>
                  <w:tcBorders>
                    <w:tl2br w:val="nil"/>
                    <w:tr2bl w:val="nil"/>
                  </w:tcBorders>
                  <w:vAlign w:val="center"/>
                </w:tcPr>
                <w:p w14:paraId="63CCE5B0">
                  <w:pPr>
                    <w:pStyle w:val="58"/>
                    <w:keepNext w:val="0"/>
                    <w:keepLines w:val="0"/>
                    <w:pageBreakBefore w:val="0"/>
                    <w:widowControl w:val="0"/>
                    <w:kinsoku/>
                    <w:wordWrap/>
                    <w:overflowPunct/>
                    <w:topLinePunct w:val="0"/>
                    <w:autoSpaceDE/>
                    <w:autoSpaceDN/>
                    <w:bidi w:val="0"/>
                    <w:adjustRightInd w:val="0"/>
                    <w:snapToGrid w:val="0"/>
                    <w:spacing w:beforeLines="0" w:afterLines="0" w:line="340" w:lineRule="exact"/>
                    <w:ind w:firstLine="0" w:firstLineChars="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CO为日均值第95百分位数，O</w:t>
                  </w:r>
                  <w:r>
                    <w:rPr>
                      <w:rFonts w:hint="default" w:ascii="Times New Roman" w:hAnsi="Times New Roman" w:cs="Times New Roman"/>
                      <w:color w:val="000000"/>
                      <w:sz w:val="21"/>
                      <w:szCs w:val="21"/>
                      <w:vertAlign w:val="subscript"/>
                    </w:rPr>
                    <w:t>3</w:t>
                  </w:r>
                  <w:r>
                    <w:rPr>
                      <w:rFonts w:hint="default" w:ascii="Times New Roman" w:hAnsi="Times New Roman" w:cs="Times New Roman"/>
                      <w:color w:val="000000"/>
                      <w:sz w:val="21"/>
                      <w:szCs w:val="21"/>
                    </w:rPr>
                    <w:t>为日最大8小时值第90百分位数</w:t>
                  </w:r>
                </w:p>
              </w:tc>
            </w:tr>
          </w:tbl>
          <w:p w14:paraId="08692126">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②其他污染因子</w:t>
            </w:r>
          </w:p>
          <w:p w14:paraId="0658A446">
            <w:pPr>
              <w:pStyle w:val="83"/>
              <w:keepNext w:val="0"/>
              <w:keepLines w:val="0"/>
              <w:pageBreakBefore w:val="0"/>
              <w:widowControl/>
              <w:kinsoku/>
              <w:wordWrap/>
              <w:overflowPunct/>
              <w:topLinePunct w:val="0"/>
              <w:autoSpaceDE/>
              <w:autoSpaceDN/>
              <w:bidi w:val="0"/>
              <w:adjustRightInd w:val="0"/>
              <w:snapToGrid w:val="0"/>
              <w:spacing w:before="157" w:beforeLines="50"/>
              <w:ind w:firstLine="48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略</w:t>
            </w:r>
          </w:p>
          <w:p w14:paraId="58BCC289">
            <w:pPr>
              <w:pStyle w:val="83"/>
              <w:keepNext w:val="0"/>
              <w:keepLines w:val="0"/>
              <w:pageBreakBefore w:val="0"/>
              <w:widowControl/>
              <w:kinsoku/>
              <w:wordWrap/>
              <w:overflowPunct/>
              <w:topLinePunct w:val="0"/>
              <w:autoSpaceDE/>
              <w:autoSpaceDN/>
              <w:bidi w:val="0"/>
              <w:adjustRightInd w:val="0"/>
              <w:snapToGrid w:val="0"/>
              <w:spacing w:before="157" w:beforeLines="50"/>
              <w:ind w:firstLine="480"/>
              <w:textAlignment w:val="auto"/>
              <w:rPr>
                <w:rFonts w:hint="default" w:ascii="Times New Roman" w:hAnsi="Times New Roman" w:eastAsia="宋体" w:cs="Times New Roman"/>
                <w:b w:val="0"/>
                <w:bCs/>
                <w:color w:val="000000" w:themeColor="text1"/>
                <w:sz w:val="24"/>
                <w:szCs w:val="36"/>
                <w14:textFill>
                  <w14:solidFill>
                    <w14:schemeClr w14:val="tx1"/>
                  </w14:solidFill>
                </w14:textFill>
              </w:rPr>
            </w:pPr>
            <w:r>
              <w:rPr>
                <w:rFonts w:hint="default" w:ascii="Times New Roman" w:hAnsi="Times New Roman" w:cs="Times New Roman"/>
                <w:b w:val="0"/>
                <w:bCs/>
                <w:color w:val="000000" w:themeColor="text1"/>
                <w:sz w:val="24"/>
                <w:szCs w:val="36"/>
                <w14:textFill>
                  <w14:solidFill>
                    <w14:schemeClr w14:val="tx1"/>
                  </w14:solidFill>
                </w14:textFill>
              </w:rPr>
              <w:t>由表3.1-</w:t>
            </w:r>
            <w:r>
              <w:rPr>
                <w:rFonts w:hint="default" w:ascii="Times New Roman" w:hAnsi="Times New Roman" w:cs="Times New Roman"/>
                <w:b w:val="0"/>
                <w:bCs/>
                <w:color w:val="000000" w:themeColor="text1"/>
                <w:sz w:val="24"/>
                <w:szCs w:val="36"/>
                <w:lang w:val="en-US" w:eastAsia="zh-CN"/>
                <w14:textFill>
                  <w14:solidFill>
                    <w14:schemeClr w14:val="tx1"/>
                  </w14:solidFill>
                </w14:textFill>
              </w:rPr>
              <w:t>3</w:t>
            </w:r>
            <w:r>
              <w:rPr>
                <w:rFonts w:hint="default" w:ascii="Times New Roman" w:hAnsi="Times New Roman" w:cs="Times New Roman"/>
                <w:b w:val="0"/>
                <w:bCs/>
                <w:color w:val="000000" w:themeColor="text1"/>
                <w:sz w:val="24"/>
                <w:szCs w:val="36"/>
                <w14:textFill>
                  <w14:solidFill>
                    <w14:schemeClr w14:val="tx1"/>
                  </w14:solidFill>
                </w14:textFill>
              </w:rPr>
              <w:t>可知，大气环境中</w:t>
            </w:r>
            <w:r>
              <w:rPr>
                <w:rFonts w:hint="default" w:ascii="Times New Roman" w:hAnsi="Times New Roman" w:cs="Times New Roman"/>
                <w:b w:val="0"/>
                <w:bCs/>
                <w:color w:val="000000" w:themeColor="text1"/>
                <w:sz w:val="24"/>
                <w:szCs w:val="28"/>
                <w14:textFill>
                  <w14:solidFill>
                    <w14:schemeClr w14:val="tx1"/>
                  </w14:solidFill>
                </w14:textFill>
              </w:rPr>
              <w:t>TSP</w:t>
            </w:r>
            <w:r>
              <w:rPr>
                <w:rFonts w:hint="default" w:ascii="Times New Roman" w:hAnsi="Times New Roman" w:cs="Times New Roman"/>
                <w:b w:val="0"/>
                <w:bCs/>
                <w:color w:val="000000" w:themeColor="text1"/>
                <w:sz w:val="24"/>
                <w:szCs w:val="36"/>
                <w14:textFill>
                  <w14:solidFill>
                    <w14:schemeClr w14:val="tx1"/>
                  </w14:solidFill>
                </w14:textFill>
              </w:rPr>
              <w:t>的现状监测数据</w:t>
            </w:r>
            <w:r>
              <w:rPr>
                <w:rFonts w:hint="default" w:ascii="Times New Roman" w:hAnsi="Times New Roman" w:eastAsia="宋体" w:cs="Times New Roman"/>
                <w:b w:val="0"/>
                <w:bCs/>
                <w:color w:val="000000" w:themeColor="text1"/>
                <w:sz w:val="24"/>
                <w:szCs w:val="36"/>
                <w14:textFill>
                  <w14:solidFill>
                    <w14:schemeClr w14:val="tx1"/>
                  </w14:solidFill>
                </w14:textFill>
              </w:rPr>
              <w:t>达标。</w:t>
            </w:r>
          </w:p>
          <w:p w14:paraId="15A6AFBA">
            <w:pPr>
              <w:pStyle w:val="83"/>
              <w:adjustRightInd w:val="0"/>
              <w:snapToGrid w:val="0"/>
              <w:ind w:firstLine="48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(2)引用资料可行性分析</w:t>
            </w:r>
          </w:p>
          <w:p w14:paraId="4498B857">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color w:val="000000" w:themeColor="text1"/>
                <w:sz w:val="24"/>
                <w:szCs w:val="22"/>
                <w14:textFill>
                  <w14:solidFill>
                    <w14:schemeClr w14:val="tx1"/>
                  </w14:solidFill>
                </w14:textFill>
              </w:rPr>
            </w:pPr>
            <w:r>
              <w:rPr>
                <w:rFonts w:hint="default" w:ascii="Times New Roman" w:hAnsi="Times New Roman" w:cs="Times New Roman"/>
                <w:color w:val="000000" w:themeColor="text1"/>
                <w:sz w:val="24"/>
                <w:szCs w:val="22"/>
                <w14:textFill>
                  <w14:solidFill>
                    <w14:schemeClr w14:val="tx1"/>
                  </w14:solidFill>
                </w14:textFill>
              </w:rPr>
              <w:t>根据《建设项目环境影响报告表编制技术指南(污染影响类)(试行)》(环办环评〔2020〕33号)的要求：“大气环境区域环境质量现状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w:t>
            </w:r>
          </w:p>
          <w:p w14:paraId="032585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2"/>
                <w:lang w:eastAsia="zh-CN"/>
                <w14:textFill>
                  <w14:solidFill>
                    <w14:schemeClr w14:val="tx1"/>
                  </w14:solidFill>
                </w14:textFill>
              </w:rPr>
            </w:pPr>
            <w:r>
              <w:rPr>
                <w:rFonts w:hint="default" w:ascii="Times New Roman" w:hAnsi="Times New Roman" w:eastAsia="宋体" w:cs="Times New Roman"/>
                <w:color w:val="000000" w:themeColor="text1"/>
                <w:sz w:val="24"/>
                <w:szCs w:val="22"/>
                <w:lang w:eastAsia="zh-CN"/>
                <w14:textFill>
                  <w14:solidFill>
                    <w14:schemeClr w14:val="tx1"/>
                  </w14:solidFill>
                </w14:textFill>
              </w:rPr>
              <w:t>本评价常规污染因子选取</w:t>
            </w:r>
            <w:r>
              <w:rPr>
                <w:rFonts w:hint="default" w:ascii="Times New Roman" w:hAnsi="Times New Roman" w:eastAsia="宋体" w:cs="Times New Roman"/>
                <w:color w:val="000000" w:themeColor="text1"/>
                <w:sz w:val="24"/>
                <w:szCs w:val="24"/>
                <w14:textFill>
                  <w14:solidFill>
                    <w14:schemeClr w14:val="tx1"/>
                  </w14:solidFill>
                </w14:textFill>
              </w:rPr>
              <w:t>福清市人民政府</w:t>
            </w:r>
            <w:r>
              <w:rPr>
                <w:rFonts w:hint="default" w:ascii="Times New Roman" w:hAnsi="Times New Roman" w:eastAsia="宋体" w:cs="Times New Roman"/>
                <w:color w:val="000000" w:themeColor="text1"/>
                <w:sz w:val="24"/>
                <w:szCs w:val="22"/>
                <w:lang w:eastAsia="zh-CN"/>
                <w14:textFill>
                  <w14:solidFill>
                    <w14:schemeClr w14:val="tx1"/>
                  </w14:solidFill>
                </w14:textFill>
              </w:rPr>
              <w:t>发布的环境空气质量现状信息，</w:t>
            </w:r>
            <w:r>
              <w:rPr>
                <w:rFonts w:hint="default" w:ascii="Times New Roman" w:hAnsi="Times New Roman" w:eastAsia="宋体" w:cs="Times New Roman"/>
                <w:color w:val="000000" w:themeColor="text1"/>
                <w:sz w:val="24"/>
                <w:szCs w:val="22"/>
                <w:lang w:val="en-US" w:eastAsia="zh-CN"/>
                <w14:textFill>
                  <w14:solidFill>
                    <w14:schemeClr w14:val="tx1"/>
                  </w14:solidFill>
                </w14:textFill>
              </w:rPr>
              <w:t>颗粒物</w:t>
            </w:r>
            <w:r>
              <w:rPr>
                <w:rFonts w:hint="default" w:ascii="Times New Roman" w:hAnsi="Times New Roman" w:eastAsia="宋体" w:cs="Times New Roman"/>
                <w:color w:val="000000" w:themeColor="text1"/>
                <w:sz w:val="24"/>
                <w:szCs w:val="24"/>
                <w:lang w:eastAsia="zh-CN"/>
                <w14:textFill>
                  <w14:solidFill>
                    <w14:schemeClr w14:val="tx1"/>
                  </w14:solidFill>
                </w14:textFill>
              </w:rPr>
              <w:t>引用《福建鸿生高科环保科技有限公司商品混凝土及预拌水泥稳定粒料生产线更新扩建项目》于2023年6月对大气环境中TSP的现状监测数据（引用监测项目位</w:t>
            </w:r>
            <w:r>
              <w:rPr>
                <w:rFonts w:hint="default" w:ascii="Times New Roman" w:hAnsi="Times New Roman" w:eastAsia="宋体" w:cs="Times New Roman"/>
                <w:color w:val="auto"/>
                <w:sz w:val="24"/>
                <w:szCs w:val="24"/>
                <w:lang w:eastAsia="zh-CN"/>
              </w:rPr>
              <w:t>于本项目东侧</w:t>
            </w:r>
            <w:r>
              <w:rPr>
                <w:rFonts w:hint="default" w:ascii="Times New Roman" w:hAnsi="Times New Roman" w:eastAsia="宋体" w:cs="Times New Roman"/>
                <w:color w:val="auto"/>
                <w:sz w:val="24"/>
                <w:szCs w:val="24"/>
                <w:lang w:val="en-US" w:eastAsia="zh-CN"/>
              </w:rPr>
              <w:t>4</w:t>
            </w:r>
            <w:r>
              <w:rPr>
                <w:rFonts w:hint="default" w:ascii="Times New Roman" w:hAnsi="Times New Roman" w:cs="Times New Roman"/>
                <w:color w:val="auto"/>
                <w:sz w:val="24"/>
                <w:szCs w:val="24"/>
                <w:lang w:val="en-US" w:eastAsia="zh-CN"/>
              </w:rPr>
              <w:t>804</w:t>
            </w:r>
            <w:r>
              <w:rPr>
                <w:rFonts w:hint="default" w:ascii="Times New Roman" w:hAnsi="Times New Roman" w:eastAsia="宋体" w:cs="Times New Roman"/>
                <w:color w:val="auto"/>
                <w:sz w:val="24"/>
                <w:szCs w:val="24"/>
                <w:lang w:val="en-US" w:eastAsia="zh-CN"/>
              </w:rPr>
              <w:t>m左右</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2"/>
                <w:lang w:val="en-US" w:eastAsia="zh-CN"/>
                <w14:textFill>
                  <w14:solidFill>
                    <w14:schemeClr w14:val="tx1"/>
                  </w14:solidFill>
                </w14:textFill>
              </w:rPr>
              <w:t>属于近期(近三年内)的检测数据，</w:t>
            </w:r>
            <w:r>
              <w:rPr>
                <w:rFonts w:hint="default" w:ascii="Times New Roman" w:hAnsi="Times New Roman" w:cs="Times New Roman"/>
                <w:color w:val="000000" w:themeColor="text1"/>
                <w:sz w:val="24"/>
                <w:szCs w:val="22"/>
                <w14:textFill>
                  <w14:solidFill>
                    <w14:schemeClr w14:val="tx1"/>
                  </w14:solidFill>
                </w14:textFill>
              </w:rPr>
              <w:t>监测数据为本项目周边5千米范围内近3年的现有监测数据，符合《建设项目环境影响报告表编制技术指南(污染影响类)(试行)》(环办环评〔2020〕33号)的要求</w:t>
            </w:r>
            <w:r>
              <w:rPr>
                <w:rFonts w:hint="default" w:ascii="Times New Roman" w:hAnsi="Times New Roman" w:cs="Times New Roman"/>
                <w:color w:val="000000" w:themeColor="text1"/>
                <w:sz w:val="24"/>
                <w:szCs w:val="22"/>
                <w:lang w:eastAsia="zh-CN"/>
                <w14:textFill>
                  <w14:solidFill>
                    <w14:schemeClr w14:val="tx1"/>
                  </w14:solidFill>
                </w14:textFill>
              </w:rPr>
              <w:t>。</w:t>
            </w:r>
          </w:p>
          <w:p w14:paraId="1EB58B4E">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textAlignment w:val="auto"/>
              <w:rPr>
                <w:rFonts w:hint="default" w:ascii="Times New Roman" w:hAnsi="Times New Roman" w:eastAsia="宋体" w:cs="Times New Roman"/>
                <w:b/>
                <w:color w:val="000000" w:themeColor="text1"/>
                <w:sz w:val="28"/>
                <w:szCs w:val="28"/>
                <w14:textFill>
                  <w14:solidFill>
                    <w14:schemeClr w14:val="tx1"/>
                  </w14:solidFill>
                </w14:textFill>
              </w:rPr>
            </w:pPr>
            <w:r>
              <w:rPr>
                <w:rFonts w:hint="default" w:ascii="Times New Roman" w:hAnsi="Times New Roman" w:eastAsia="宋体" w:cs="Times New Roman"/>
                <w:b/>
                <w:color w:val="000000" w:themeColor="text1"/>
                <w:sz w:val="28"/>
                <w:szCs w:val="28"/>
                <w14:textFill>
                  <w14:solidFill>
                    <w14:schemeClr w14:val="tx1"/>
                  </w14:solidFill>
                </w14:textFill>
              </w:rPr>
              <w:t>3.2地表水环境质量现状</w:t>
            </w:r>
          </w:p>
          <w:p w14:paraId="596B93AA">
            <w:pPr>
              <w:adjustRightInd w:val="0"/>
              <w:snapToGrid w:val="0"/>
              <w:spacing w:line="360" w:lineRule="auto"/>
              <w:rPr>
                <w:rFonts w:hint="default" w:ascii="Times New Roman" w:hAnsi="Times New Roman" w:eastAsia="宋体" w:cs="Times New Roman"/>
                <w:b/>
                <w:bCs/>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kern w:val="0"/>
                <w:sz w:val="24"/>
                <w14:textFill>
                  <w14:solidFill>
                    <w14:schemeClr w14:val="tx1"/>
                  </w14:solidFill>
                </w14:textFill>
              </w:rPr>
              <w:t>3.2.1地表水功能区划</w:t>
            </w:r>
          </w:p>
          <w:p w14:paraId="3F0BD7B7">
            <w:pPr>
              <w:pStyle w:val="94"/>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⑴水环境</w:t>
            </w:r>
          </w:p>
          <w:p w14:paraId="7CC6693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项目所在区域涉及的水体为</w:t>
            </w:r>
            <w:r>
              <w:rPr>
                <w:rFonts w:hint="default" w:ascii="Times New Roman" w:hAnsi="Times New Roman" w:eastAsia="宋体" w:cs="Times New Roman"/>
                <w:color w:val="000000" w:themeColor="text1"/>
                <w:sz w:val="24"/>
                <w:szCs w:val="24"/>
                <w:lang w:eastAsia="zh-CN"/>
                <w14:textFill>
                  <w14:solidFill>
                    <w14:schemeClr w14:val="tx1"/>
                  </w14:solidFill>
                </w14:textFill>
              </w:rPr>
              <w:t>蓝兴河及机河</w:t>
            </w:r>
            <w:r>
              <w:rPr>
                <w:rFonts w:hint="default" w:ascii="Times New Roman" w:hAnsi="Times New Roman" w:eastAsia="宋体" w:cs="Times New Roman"/>
                <w:color w:val="000000" w:themeColor="text1"/>
                <w:sz w:val="24"/>
                <w:szCs w:val="24"/>
                <w14:textFill>
                  <w14:solidFill>
                    <w14:schemeClr w14:val="tx1"/>
                  </w14:solidFill>
                </w14:textFill>
              </w:rPr>
              <w:t>，根据《闽台</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福州</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蓝色经济产业园总体规划修编</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2017</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2035年</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环境影响报告书》，</w:t>
            </w:r>
            <w:r>
              <w:rPr>
                <w:rFonts w:hint="default" w:ascii="Times New Roman" w:hAnsi="Times New Roman" w:eastAsia="宋体" w:cs="Times New Roman"/>
                <w:color w:val="000000" w:themeColor="text1"/>
                <w:sz w:val="24"/>
                <w:szCs w:val="24"/>
                <w:lang w:eastAsia="zh-CN"/>
                <w14:textFill>
                  <w14:solidFill>
                    <w14:schemeClr w14:val="tx1"/>
                  </w14:solidFill>
                </w14:textFill>
              </w:rPr>
              <w:t>蓝兴河、机河</w:t>
            </w:r>
            <w:r>
              <w:rPr>
                <w:rFonts w:hint="default" w:ascii="Times New Roman" w:hAnsi="Times New Roman" w:eastAsia="宋体" w:cs="Times New Roman"/>
                <w:color w:val="000000" w:themeColor="text1"/>
                <w:sz w:val="24"/>
                <w:szCs w:val="24"/>
                <w14:textFill>
                  <w14:solidFill>
                    <w14:schemeClr w14:val="tx1"/>
                  </w14:solidFill>
                </w14:textFill>
              </w:rPr>
              <w:t>及其干流地表水功能区类别为Ⅴ类，执行《地表水环境质量标准》</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GB3838-2002</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中的Ⅴ类水质标准，详见表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3.2</w:t>
            </w:r>
            <w:r>
              <w:rPr>
                <w:rFonts w:hint="default" w:ascii="Times New Roman" w:hAnsi="Times New Roman" w:eastAsia="宋体" w:cs="Times New Roman"/>
                <w:color w:val="000000" w:themeColor="text1"/>
                <w:sz w:val="24"/>
                <w:szCs w:val="24"/>
                <w14:textFill>
                  <w14:solidFill>
                    <w14:schemeClr w14:val="tx1"/>
                  </w14:solidFill>
                </w14:textFill>
              </w:rPr>
              <w:t>-1。</w:t>
            </w:r>
          </w:p>
          <w:p w14:paraId="25CB7504">
            <w:pPr>
              <w:spacing w:before="120" w:beforeLines="50"/>
              <w:jc w:val="both"/>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黑体" w:cs="Times New Roman"/>
                <w:color w:val="000000" w:themeColor="text1"/>
                <w:sz w:val="24"/>
                <w:szCs w:val="24"/>
                <w14:textFill>
                  <w14:solidFill>
                    <w14:schemeClr w14:val="tx1"/>
                  </w14:solidFill>
                </w14:textFill>
              </w:rPr>
              <w:t>表3.</w:t>
            </w:r>
            <w:r>
              <w:rPr>
                <w:rFonts w:hint="default" w:ascii="Times New Roman" w:hAnsi="Times New Roman" w:eastAsia="黑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黑体" w:cs="Times New Roman"/>
                <w:color w:val="000000" w:themeColor="text1"/>
                <w:sz w:val="24"/>
                <w:szCs w:val="24"/>
                <w14:textFill>
                  <w14:solidFill>
                    <w14:schemeClr w14:val="tx1"/>
                  </w14:solidFill>
                </w14:textFill>
              </w:rPr>
              <w:t>-1《地表水环境质量标准》</w:t>
            </w:r>
            <w:r>
              <w:rPr>
                <w:rFonts w:hint="default" w:ascii="Times New Roman" w:hAnsi="Times New Roman" w:eastAsia="黑体" w:cs="Times New Roman"/>
                <w:color w:val="000000" w:themeColor="text1"/>
                <w:sz w:val="24"/>
                <w:szCs w:val="24"/>
                <w:lang w:eastAsia="zh-CN"/>
                <w14:textFill>
                  <w14:solidFill>
                    <w14:schemeClr w14:val="tx1"/>
                  </w14:solidFill>
                </w14:textFill>
              </w:rPr>
              <w:t>(</w:t>
            </w:r>
            <w:r>
              <w:rPr>
                <w:rFonts w:hint="default" w:ascii="Times New Roman" w:hAnsi="Times New Roman" w:eastAsia="黑体" w:cs="Times New Roman"/>
                <w:color w:val="000000" w:themeColor="text1"/>
                <w:sz w:val="24"/>
                <w:szCs w:val="24"/>
                <w14:textFill>
                  <w14:solidFill>
                    <w14:schemeClr w14:val="tx1"/>
                  </w14:solidFill>
                </w14:textFill>
              </w:rPr>
              <w:t>GB3838-2002)表1</w:t>
            </w:r>
            <w:r>
              <w:rPr>
                <w:rFonts w:hint="default" w:ascii="Times New Roman" w:hAnsi="Times New Roman" w:eastAsia="黑体"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24"/>
                <w:szCs w:val="24"/>
                <w14:textFill>
                  <w14:solidFill>
                    <w14:schemeClr w14:val="tx1"/>
                  </w14:solidFill>
                </w14:textFill>
              </w:rPr>
              <w:t>单位：mg/L</w:t>
            </w: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黑体" w:cs="Times New Roman"/>
                <w:b w:val="0"/>
                <w:bCs w:val="0"/>
                <w:color w:val="000000" w:themeColor="text1"/>
                <w:sz w:val="24"/>
                <w:szCs w:val="24"/>
                <w14:textFill>
                  <w14:solidFill>
                    <w14:schemeClr w14:val="tx1"/>
                  </w14:solidFill>
                </w14:textFill>
              </w:rPr>
              <w:t>pH除外)</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3600"/>
              <w:gridCol w:w="1389"/>
              <w:gridCol w:w="1094"/>
              <w:gridCol w:w="1094"/>
              <w:gridCol w:w="1098"/>
            </w:tblGrid>
            <w:tr w14:paraId="09EDBA1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2175" w:type="pct"/>
                  <w:shd w:val="clear" w:color="auto" w:fill="auto"/>
                  <w:noWrap w:val="0"/>
                  <w:vAlign w:val="center"/>
                </w:tcPr>
                <w:p w14:paraId="3E2887A0">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项目</w:t>
                  </w:r>
                </w:p>
              </w:tc>
              <w:tc>
                <w:tcPr>
                  <w:tcW w:w="839" w:type="pct"/>
                  <w:shd w:val="clear" w:color="auto" w:fill="auto"/>
                  <w:noWrap w:val="0"/>
                  <w:vAlign w:val="center"/>
                </w:tcPr>
                <w:p w14:paraId="76F49C93">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Ⅱ类</w:t>
                  </w:r>
                </w:p>
              </w:tc>
              <w:tc>
                <w:tcPr>
                  <w:tcW w:w="661" w:type="pct"/>
                  <w:shd w:val="clear" w:color="auto" w:fill="auto"/>
                  <w:noWrap w:val="0"/>
                  <w:vAlign w:val="center"/>
                </w:tcPr>
                <w:p w14:paraId="6CADE70F">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Ⅲ类</w:t>
                  </w:r>
                </w:p>
              </w:tc>
              <w:tc>
                <w:tcPr>
                  <w:tcW w:w="661" w:type="pct"/>
                  <w:shd w:val="clear" w:color="auto" w:fill="auto"/>
                  <w:noWrap w:val="0"/>
                  <w:vAlign w:val="center"/>
                </w:tcPr>
                <w:p w14:paraId="0EBBBB08">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Ⅳ类</w:t>
                  </w:r>
                </w:p>
              </w:tc>
              <w:tc>
                <w:tcPr>
                  <w:tcW w:w="661" w:type="pct"/>
                  <w:shd w:val="clear" w:color="auto" w:fill="BEBEBE"/>
                  <w:noWrap w:val="0"/>
                  <w:vAlign w:val="center"/>
                </w:tcPr>
                <w:p w14:paraId="55FAC5CC">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Ⅴ类</w:t>
                  </w:r>
                </w:p>
              </w:tc>
            </w:tr>
            <w:tr w14:paraId="53C22E7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2175" w:type="pct"/>
                  <w:shd w:val="clear" w:color="auto" w:fill="auto"/>
                  <w:noWrap w:val="0"/>
                  <w:vAlign w:val="center"/>
                </w:tcPr>
                <w:p w14:paraId="426F94AC">
                  <w:pPr>
                    <w:pStyle w:val="89"/>
                    <w:keepNext w:val="0"/>
                    <w:keepLines w:val="0"/>
                    <w:pageBreakBefore w:val="0"/>
                    <w:widowControl w:val="0"/>
                    <w:kinsoku/>
                    <w:wordWrap/>
                    <w:overflowPunct/>
                    <w:topLinePunct w:val="0"/>
                    <w:autoSpaceDE/>
                    <w:autoSpaceDN/>
                    <w:bidi w:val="0"/>
                    <w:adjustRightInd/>
                    <w:snapToGrid/>
                    <w:spacing w:line="340" w:lineRule="atLeast"/>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snapToGrid w:val="0"/>
                      <w:color w:val="000000" w:themeColor="text1"/>
                      <w:kern w:val="18"/>
                      <w:szCs w:val="21"/>
                      <w14:textFill>
                        <w14:solidFill>
                          <w14:schemeClr w14:val="tx1"/>
                        </w14:solidFill>
                      </w14:textFill>
                    </w:rPr>
                    <w:t>pH</w:t>
                  </w:r>
                  <w:r>
                    <w:rPr>
                      <w:rFonts w:hint="default" w:ascii="Times New Roman" w:hAnsi="Times New Roman" w:eastAsia="宋体" w:cs="Times New Roman"/>
                      <w:snapToGrid w:val="0"/>
                      <w:color w:val="000000" w:themeColor="text1"/>
                      <w:kern w:val="18"/>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kern w:val="18"/>
                      <w:szCs w:val="21"/>
                      <w14:textFill>
                        <w14:solidFill>
                          <w14:schemeClr w14:val="tx1"/>
                        </w14:solidFill>
                      </w14:textFill>
                    </w:rPr>
                    <w:t>无量纲)</w:t>
                  </w:r>
                </w:p>
              </w:tc>
              <w:tc>
                <w:tcPr>
                  <w:tcW w:w="2824" w:type="pct"/>
                  <w:gridSpan w:val="4"/>
                  <w:shd w:val="clear" w:color="auto" w:fill="BEBEBE"/>
                  <w:noWrap w:val="0"/>
                  <w:vAlign w:val="center"/>
                </w:tcPr>
                <w:p w14:paraId="43102088">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6～9</w:t>
                  </w:r>
                </w:p>
              </w:tc>
            </w:tr>
            <w:tr w14:paraId="3F867C1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2175" w:type="pct"/>
                  <w:shd w:val="clear" w:color="auto" w:fill="auto"/>
                  <w:noWrap w:val="0"/>
                  <w:vAlign w:val="center"/>
                </w:tcPr>
                <w:p w14:paraId="67548D81">
                  <w:pPr>
                    <w:pStyle w:val="89"/>
                    <w:keepNext w:val="0"/>
                    <w:keepLines w:val="0"/>
                    <w:pageBreakBefore w:val="0"/>
                    <w:widowControl w:val="0"/>
                    <w:kinsoku/>
                    <w:wordWrap/>
                    <w:overflowPunct/>
                    <w:topLinePunct w:val="0"/>
                    <w:autoSpaceDE/>
                    <w:autoSpaceDN/>
                    <w:bidi w:val="0"/>
                    <w:adjustRightInd/>
                    <w:snapToGrid/>
                    <w:spacing w:line="340" w:lineRule="atLeast"/>
                    <w:jc w:val="both"/>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snapToGrid w:val="0"/>
                      <w:color w:val="000000" w:themeColor="text1"/>
                      <w:kern w:val="18"/>
                      <w:szCs w:val="21"/>
                      <w14:textFill>
                        <w14:solidFill>
                          <w14:schemeClr w14:val="tx1"/>
                        </w14:solidFill>
                      </w14:textFill>
                    </w:rPr>
                    <w:t>溶解氧</w:t>
                  </w:r>
                  <w:r>
                    <w:rPr>
                      <w:rFonts w:hint="default" w:ascii="Times New Roman" w:hAnsi="Times New Roman" w:eastAsia="宋体" w:cs="Times New Roman"/>
                      <w:snapToGrid w:val="0"/>
                      <w:color w:val="000000" w:themeColor="text1"/>
                      <w:kern w:val="18"/>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kern w:val="18"/>
                      <w:szCs w:val="21"/>
                      <w14:textFill>
                        <w14:solidFill>
                          <w14:schemeClr w14:val="tx1"/>
                        </w14:solidFill>
                      </w14:textFill>
                    </w:rPr>
                    <w:t xml:space="preserve">DO)        </w:t>
                  </w:r>
                  <w:r>
                    <w:rPr>
                      <w:rFonts w:hint="default" w:ascii="Times New Roman" w:hAnsi="Times New Roman" w:eastAsia="宋体" w:cs="Times New Roman"/>
                      <w:snapToGrid w:val="0"/>
                      <w:color w:val="000000" w:themeColor="text1"/>
                      <w:kern w:val="18"/>
                      <w:szCs w:val="21"/>
                      <w:lang w:val="en-US" w:eastAsia="zh-CN"/>
                      <w14:textFill>
                        <w14:solidFill>
                          <w14:schemeClr w14:val="tx1"/>
                        </w14:solidFill>
                      </w14:textFill>
                    </w:rPr>
                    <w:t xml:space="preserve">   </w:t>
                  </w:r>
                  <w:r>
                    <w:rPr>
                      <w:rFonts w:hint="default" w:ascii="Times New Roman" w:hAnsi="Times New Roman" w:eastAsia="宋体" w:cs="Times New Roman"/>
                      <w:snapToGrid w:val="0"/>
                      <w:color w:val="000000" w:themeColor="text1"/>
                      <w:kern w:val="18"/>
                      <w:szCs w:val="21"/>
                      <w14:textFill>
                        <w14:solidFill>
                          <w14:schemeClr w14:val="tx1"/>
                        </w14:solidFill>
                      </w14:textFill>
                    </w:rPr>
                    <w:t xml:space="preserve">  </w:t>
                  </w:r>
                  <w:r>
                    <w:rPr>
                      <w:rFonts w:hint="default" w:ascii="Times New Roman" w:hAnsi="Times New Roman" w:eastAsia="宋体" w:cs="Times New Roman"/>
                      <w:snapToGrid w:val="0"/>
                      <w:color w:val="000000" w:themeColor="text1"/>
                      <w:kern w:val="18"/>
                      <w:szCs w:val="21"/>
                      <w:lang w:val="en-US" w:eastAsia="zh-CN"/>
                      <w14:textFill>
                        <w14:solidFill>
                          <w14:schemeClr w14:val="tx1"/>
                        </w14:solidFill>
                      </w14:textFill>
                    </w:rPr>
                    <w:t xml:space="preserve">   </w:t>
                  </w:r>
                  <w:r>
                    <w:rPr>
                      <w:rFonts w:hint="default" w:ascii="Times New Roman" w:hAnsi="Times New Roman" w:eastAsia="宋体" w:cs="Times New Roman"/>
                      <w:snapToGrid w:val="0"/>
                      <w:color w:val="000000" w:themeColor="text1"/>
                      <w:kern w:val="18"/>
                      <w:szCs w:val="21"/>
                      <w14:textFill>
                        <w14:solidFill>
                          <w14:schemeClr w14:val="tx1"/>
                        </w14:solidFill>
                      </w14:textFill>
                    </w:rPr>
                    <w:t xml:space="preserve">  </w:t>
                  </w:r>
                  <w:r>
                    <w:rPr>
                      <w:rFonts w:hint="default" w:ascii="Times New Roman" w:hAnsi="Times New Roman" w:eastAsia="宋体" w:cs="Times New Roman"/>
                      <w:snapToGrid w:val="0"/>
                      <w:color w:val="000000" w:themeColor="text1"/>
                      <w:kern w:val="18"/>
                      <w:szCs w:val="21"/>
                      <w:lang w:val="en-US" w:eastAsia="zh-CN"/>
                      <w14:textFill>
                        <w14:solidFill>
                          <w14:schemeClr w14:val="tx1"/>
                        </w14:solidFill>
                      </w14:textFill>
                    </w:rPr>
                    <w:t xml:space="preserve"> </w:t>
                  </w:r>
                  <w:r>
                    <w:rPr>
                      <w:rFonts w:hint="default" w:ascii="Times New Roman" w:hAnsi="Times New Roman" w:eastAsia="宋体" w:cs="Times New Roman"/>
                      <w:snapToGrid w:val="0"/>
                      <w:color w:val="000000" w:themeColor="text1"/>
                      <w:kern w:val="18"/>
                      <w:szCs w:val="21"/>
                      <w14:textFill>
                        <w14:solidFill>
                          <w14:schemeClr w14:val="tx1"/>
                        </w14:solidFill>
                      </w14:textFill>
                    </w:rPr>
                    <w:t xml:space="preserve">  ≥</w:t>
                  </w:r>
                </w:p>
              </w:tc>
              <w:tc>
                <w:tcPr>
                  <w:tcW w:w="839" w:type="pct"/>
                  <w:shd w:val="clear" w:color="auto" w:fill="auto"/>
                  <w:noWrap w:val="0"/>
                  <w:vAlign w:val="center"/>
                </w:tcPr>
                <w:p w14:paraId="2525182E">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6</w:t>
                  </w:r>
                </w:p>
              </w:tc>
              <w:tc>
                <w:tcPr>
                  <w:tcW w:w="661" w:type="pct"/>
                  <w:shd w:val="clear" w:color="auto" w:fill="auto"/>
                  <w:noWrap w:val="0"/>
                  <w:vAlign w:val="center"/>
                </w:tcPr>
                <w:p w14:paraId="4F7B06B7">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w:t>
                  </w:r>
                </w:p>
              </w:tc>
              <w:tc>
                <w:tcPr>
                  <w:tcW w:w="661" w:type="pct"/>
                  <w:shd w:val="clear" w:color="auto" w:fill="auto"/>
                  <w:noWrap w:val="0"/>
                  <w:vAlign w:val="center"/>
                </w:tcPr>
                <w:p w14:paraId="7E87DCD4">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w:t>
                  </w:r>
                </w:p>
              </w:tc>
              <w:tc>
                <w:tcPr>
                  <w:tcW w:w="661" w:type="pct"/>
                  <w:shd w:val="clear" w:color="auto" w:fill="BEBEBE"/>
                  <w:noWrap w:val="0"/>
                  <w:vAlign w:val="center"/>
                </w:tcPr>
                <w:p w14:paraId="62193184">
                  <w:pPr>
                    <w:pStyle w:val="89"/>
                    <w:keepNext w:val="0"/>
                    <w:keepLines w:val="0"/>
                    <w:pageBreakBefore w:val="0"/>
                    <w:widowControl w:val="0"/>
                    <w:kinsoku/>
                    <w:wordWrap/>
                    <w:overflowPunct/>
                    <w:topLinePunct w:val="0"/>
                    <w:autoSpaceDE/>
                    <w:autoSpaceDN/>
                    <w:bidi w:val="0"/>
                    <w:adjustRightInd/>
                    <w:snapToGrid/>
                    <w:spacing w:line="340" w:lineRule="atLeast"/>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snapToGrid w:val="0"/>
                      <w:color w:val="000000" w:themeColor="text1"/>
                      <w:kern w:val="18"/>
                      <w:szCs w:val="21"/>
                      <w14:textFill>
                        <w14:solidFill>
                          <w14:schemeClr w14:val="tx1"/>
                        </w14:solidFill>
                      </w14:textFill>
                    </w:rPr>
                    <w:t>2</w:t>
                  </w:r>
                </w:p>
              </w:tc>
            </w:tr>
            <w:tr w14:paraId="5F04A14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2175" w:type="pct"/>
                  <w:shd w:val="clear" w:color="auto" w:fill="auto"/>
                  <w:noWrap w:val="0"/>
                  <w:vAlign w:val="center"/>
                </w:tcPr>
                <w:p w14:paraId="28F264B4">
                  <w:pPr>
                    <w:pStyle w:val="89"/>
                    <w:keepNext w:val="0"/>
                    <w:keepLines w:val="0"/>
                    <w:pageBreakBefore w:val="0"/>
                    <w:widowControl w:val="0"/>
                    <w:kinsoku/>
                    <w:wordWrap/>
                    <w:overflowPunct/>
                    <w:topLinePunct w:val="0"/>
                    <w:autoSpaceDE/>
                    <w:autoSpaceDN/>
                    <w:bidi w:val="0"/>
                    <w:adjustRightInd/>
                    <w:snapToGrid/>
                    <w:spacing w:line="340" w:lineRule="atLeast"/>
                    <w:jc w:val="both"/>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snapToGrid w:val="0"/>
                      <w:color w:val="000000" w:themeColor="text1"/>
                      <w:kern w:val="18"/>
                      <w:szCs w:val="21"/>
                      <w14:textFill>
                        <w14:solidFill>
                          <w14:schemeClr w14:val="tx1"/>
                        </w14:solidFill>
                      </w14:textFill>
                    </w:rPr>
                    <w:t xml:space="preserve">高锰酸盐指数      </w:t>
                  </w:r>
                  <w:r>
                    <w:rPr>
                      <w:rFonts w:hint="default" w:ascii="Times New Roman" w:hAnsi="Times New Roman" w:eastAsia="宋体" w:cs="Times New Roman"/>
                      <w:snapToGrid w:val="0"/>
                      <w:color w:val="000000" w:themeColor="text1"/>
                      <w:kern w:val="18"/>
                      <w:szCs w:val="21"/>
                      <w:lang w:val="en-US" w:eastAsia="zh-CN"/>
                      <w14:textFill>
                        <w14:solidFill>
                          <w14:schemeClr w14:val="tx1"/>
                        </w14:solidFill>
                      </w14:textFill>
                    </w:rPr>
                    <w:t xml:space="preserve">      </w:t>
                  </w:r>
                  <w:r>
                    <w:rPr>
                      <w:rFonts w:hint="default" w:ascii="Times New Roman" w:hAnsi="Times New Roman" w:eastAsia="宋体" w:cs="Times New Roman"/>
                      <w:snapToGrid w:val="0"/>
                      <w:color w:val="000000" w:themeColor="text1"/>
                      <w:kern w:val="18"/>
                      <w:szCs w:val="21"/>
                      <w14:textFill>
                        <w14:solidFill>
                          <w14:schemeClr w14:val="tx1"/>
                        </w14:solidFill>
                      </w14:textFill>
                    </w:rPr>
                    <w:t xml:space="preserve">       ≤</w:t>
                  </w:r>
                </w:p>
              </w:tc>
              <w:tc>
                <w:tcPr>
                  <w:tcW w:w="839" w:type="pct"/>
                  <w:shd w:val="clear" w:color="auto" w:fill="auto"/>
                  <w:noWrap w:val="0"/>
                  <w:vAlign w:val="center"/>
                </w:tcPr>
                <w:p w14:paraId="6CBFDFBB">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w:t>
                  </w:r>
                </w:p>
              </w:tc>
              <w:tc>
                <w:tcPr>
                  <w:tcW w:w="661" w:type="pct"/>
                  <w:shd w:val="clear" w:color="auto" w:fill="auto"/>
                  <w:noWrap w:val="0"/>
                  <w:vAlign w:val="center"/>
                </w:tcPr>
                <w:p w14:paraId="1147CC92">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w:t>
                  </w:r>
                </w:p>
              </w:tc>
              <w:tc>
                <w:tcPr>
                  <w:tcW w:w="661" w:type="pct"/>
                  <w:shd w:val="clear" w:color="auto" w:fill="auto"/>
                  <w:noWrap w:val="0"/>
                  <w:vAlign w:val="center"/>
                </w:tcPr>
                <w:p w14:paraId="08310625">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w:t>
                  </w:r>
                </w:p>
              </w:tc>
              <w:tc>
                <w:tcPr>
                  <w:tcW w:w="661" w:type="pct"/>
                  <w:shd w:val="clear" w:color="auto" w:fill="BEBEBE"/>
                  <w:noWrap w:val="0"/>
                  <w:vAlign w:val="center"/>
                </w:tcPr>
                <w:p w14:paraId="7D03BE60">
                  <w:pPr>
                    <w:pStyle w:val="89"/>
                    <w:keepNext w:val="0"/>
                    <w:keepLines w:val="0"/>
                    <w:pageBreakBefore w:val="0"/>
                    <w:widowControl w:val="0"/>
                    <w:kinsoku/>
                    <w:wordWrap/>
                    <w:overflowPunct/>
                    <w:topLinePunct w:val="0"/>
                    <w:autoSpaceDE/>
                    <w:autoSpaceDN/>
                    <w:bidi w:val="0"/>
                    <w:adjustRightInd/>
                    <w:snapToGrid/>
                    <w:spacing w:line="340" w:lineRule="atLeast"/>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snapToGrid w:val="0"/>
                      <w:color w:val="000000" w:themeColor="text1"/>
                      <w:kern w:val="18"/>
                      <w:szCs w:val="21"/>
                      <w14:textFill>
                        <w14:solidFill>
                          <w14:schemeClr w14:val="tx1"/>
                        </w14:solidFill>
                      </w14:textFill>
                    </w:rPr>
                    <w:t>15</w:t>
                  </w:r>
                </w:p>
              </w:tc>
            </w:tr>
            <w:tr w14:paraId="7CC0AD8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2175" w:type="pct"/>
                  <w:shd w:val="clear" w:color="auto" w:fill="auto"/>
                  <w:noWrap w:val="0"/>
                  <w:vAlign w:val="center"/>
                </w:tcPr>
                <w:p w14:paraId="78695C91">
                  <w:pPr>
                    <w:keepNext w:val="0"/>
                    <w:keepLines w:val="0"/>
                    <w:pageBreakBefore w:val="0"/>
                    <w:widowControl w:val="0"/>
                    <w:kinsoku/>
                    <w:wordWrap/>
                    <w:overflowPunct/>
                    <w:topLinePunct w:val="0"/>
                    <w:autoSpaceDE/>
                    <w:autoSpaceDN/>
                    <w:bidi w:val="0"/>
                    <w:adjustRightInd/>
                    <w:snapToGrid/>
                    <w:spacing w:line="340" w:lineRule="atLeast"/>
                    <w:jc w:val="both"/>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五日生化需氧量</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BOD</w:t>
                  </w:r>
                  <w:r>
                    <w:rPr>
                      <w:rFonts w:hint="default" w:ascii="Times New Roman" w:hAnsi="Times New Roman" w:eastAsia="宋体" w:cs="Times New Roman"/>
                      <w:color w:val="000000" w:themeColor="text1"/>
                      <w:szCs w:val="21"/>
                      <w:vertAlign w:val="subscript"/>
                      <w14:textFill>
                        <w14:solidFill>
                          <w14:schemeClr w14:val="tx1"/>
                        </w14:solidFill>
                      </w14:textFill>
                    </w:rPr>
                    <w:t>5</w:t>
                  </w:r>
                  <w:r>
                    <w:rPr>
                      <w:rFonts w:hint="default" w:ascii="Times New Roman" w:hAnsi="Times New Roman" w:eastAsia="宋体" w:cs="Times New Roman"/>
                      <w:color w:val="000000" w:themeColor="text1"/>
                      <w:szCs w:val="21"/>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Cs w:val="21"/>
                      <w14:textFill>
                        <w14:solidFill>
                          <w14:schemeClr w14:val="tx1"/>
                        </w14:solidFill>
                      </w14:textFill>
                    </w:rPr>
                    <w:t xml:space="preserve">      </w:t>
                  </w: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宋体" w:cs="Times New Roman"/>
                      <w:snapToGrid w:val="0"/>
                      <w:color w:val="000000" w:themeColor="text1"/>
                      <w:kern w:val="18"/>
                      <w:szCs w:val="21"/>
                      <w14:textFill>
                        <w14:solidFill>
                          <w14:schemeClr w14:val="tx1"/>
                        </w14:solidFill>
                      </w14:textFill>
                    </w:rPr>
                    <w:t>≤</w:t>
                  </w:r>
                </w:p>
              </w:tc>
              <w:tc>
                <w:tcPr>
                  <w:tcW w:w="839" w:type="pct"/>
                  <w:shd w:val="clear" w:color="auto" w:fill="auto"/>
                  <w:noWrap w:val="0"/>
                  <w:vAlign w:val="center"/>
                </w:tcPr>
                <w:p w14:paraId="21E54AF7">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w:t>
                  </w:r>
                </w:p>
              </w:tc>
              <w:tc>
                <w:tcPr>
                  <w:tcW w:w="661" w:type="pct"/>
                  <w:shd w:val="clear" w:color="auto" w:fill="auto"/>
                  <w:noWrap w:val="0"/>
                  <w:vAlign w:val="center"/>
                </w:tcPr>
                <w:p w14:paraId="5D034285">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w:t>
                  </w:r>
                </w:p>
              </w:tc>
              <w:tc>
                <w:tcPr>
                  <w:tcW w:w="661" w:type="pct"/>
                  <w:shd w:val="clear" w:color="auto" w:fill="auto"/>
                  <w:noWrap w:val="0"/>
                  <w:vAlign w:val="center"/>
                </w:tcPr>
                <w:p w14:paraId="164DFC7D">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w:t>
                  </w:r>
                </w:p>
              </w:tc>
              <w:tc>
                <w:tcPr>
                  <w:tcW w:w="661" w:type="pct"/>
                  <w:shd w:val="clear" w:color="auto" w:fill="BEBEBE"/>
                  <w:noWrap w:val="0"/>
                  <w:vAlign w:val="center"/>
                </w:tcPr>
                <w:p w14:paraId="425F96CE">
                  <w:pPr>
                    <w:pStyle w:val="89"/>
                    <w:keepNext w:val="0"/>
                    <w:keepLines w:val="0"/>
                    <w:pageBreakBefore w:val="0"/>
                    <w:widowControl w:val="0"/>
                    <w:kinsoku/>
                    <w:wordWrap/>
                    <w:overflowPunct/>
                    <w:topLinePunct w:val="0"/>
                    <w:autoSpaceDE/>
                    <w:autoSpaceDN/>
                    <w:bidi w:val="0"/>
                    <w:adjustRightInd/>
                    <w:snapToGrid/>
                    <w:spacing w:line="340" w:lineRule="atLeast"/>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snapToGrid w:val="0"/>
                      <w:color w:val="000000" w:themeColor="text1"/>
                      <w:kern w:val="18"/>
                      <w:szCs w:val="21"/>
                      <w14:textFill>
                        <w14:solidFill>
                          <w14:schemeClr w14:val="tx1"/>
                        </w14:solidFill>
                      </w14:textFill>
                    </w:rPr>
                    <w:t>10</w:t>
                  </w:r>
                </w:p>
              </w:tc>
            </w:tr>
            <w:tr w14:paraId="1729FB5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2175" w:type="pct"/>
                  <w:shd w:val="clear" w:color="auto" w:fill="auto"/>
                  <w:noWrap w:val="0"/>
                  <w:vAlign w:val="center"/>
                </w:tcPr>
                <w:p w14:paraId="3ABA3E81">
                  <w:pPr>
                    <w:keepNext w:val="0"/>
                    <w:keepLines w:val="0"/>
                    <w:pageBreakBefore w:val="0"/>
                    <w:widowControl w:val="0"/>
                    <w:kinsoku/>
                    <w:wordWrap/>
                    <w:overflowPunct/>
                    <w:topLinePunct w:val="0"/>
                    <w:autoSpaceDE/>
                    <w:autoSpaceDN/>
                    <w:bidi w:val="0"/>
                    <w:adjustRightInd/>
                    <w:snapToGrid/>
                    <w:spacing w:line="340" w:lineRule="atLeast"/>
                    <w:jc w:val="both"/>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化学需氧量</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COD)</w:t>
                  </w: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Cs w:val="21"/>
                      <w14:textFill>
                        <w14:solidFill>
                          <w14:schemeClr w14:val="tx1"/>
                        </w14:solidFill>
                      </w14:textFill>
                    </w:rPr>
                    <w:t xml:space="preserve">  </w:t>
                  </w: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Cs w:val="21"/>
                      <w14:textFill>
                        <w14:solidFill>
                          <w14:schemeClr w14:val="tx1"/>
                        </w14:solidFill>
                      </w14:textFill>
                    </w:rPr>
                    <w:t xml:space="preserve">         </w:t>
                  </w:r>
                  <w:r>
                    <w:rPr>
                      <w:rFonts w:hint="default" w:ascii="Times New Roman" w:hAnsi="Times New Roman" w:eastAsia="宋体" w:cs="Times New Roman"/>
                      <w:snapToGrid w:val="0"/>
                      <w:color w:val="000000" w:themeColor="text1"/>
                      <w:kern w:val="18"/>
                      <w:szCs w:val="21"/>
                      <w14:textFill>
                        <w14:solidFill>
                          <w14:schemeClr w14:val="tx1"/>
                        </w14:solidFill>
                      </w14:textFill>
                    </w:rPr>
                    <w:t>≤</w:t>
                  </w:r>
                </w:p>
              </w:tc>
              <w:tc>
                <w:tcPr>
                  <w:tcW w:w="839" w:type="pct"/>
                  <w:shd w:val="clear" w:color="auto" w:fill="auto"/>
                  <w:noWrap w:val="0"/>
                  <w:vAlign w:val="center"/>
                </w:tcPr>
                <w:p w14:paraId="3C991CB5">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15</w:t>
                  </w:r>
                </w:p>
              </w:tc>
              <w:tc>
                <w:tcPr>
                  <w:tcW w:w="661" w:type="pct"/>
                  <w:shd w:val="clear" w:color="auto" w:fill="auto"/>
                  <w:noWrap w:val="0"/>
                  <w:vAlign w:val="center"/>
                </w:tcPr>
                <w:p w14:paraId="7A205E09">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20</w:t>
                  </w:r>
                </w:p>
              </w:tc>
              <w:tc>
                <w:tcPr>
                  <w:tcW w:w="661" w:type="pct"/>
                  <w:shd w:val="clear" w:color="auto" w:fill="auto"/>
                  <w:noWrap w:val="0"/>
                  <w:vAlign w:val="center"/>
                </w:tcPr>
                <w:p w14:paraId="788F8A63">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30</w:t>
                  </w:r>
                </w:p>
              </w:tc>
              <w:tc>
                <w:tcPr>
                  <w:tcW w:w="661" w:type="pct"/>
                  <w:shd w:val="clear" w:color="auto" w:fill="BEBEBE"/>
                  <w:noWrap w:val="0"/>
                  <w:vAlign w:val="center"/>
                </w:tcPr>
                <w:p w14:paraId="2B8DB2FF">
                  <w:pPr>
                    <w:pStyle w:val="89"/>
                    <w:keepNext w:val="0"/>
                    <w:keepLines w:val="0"/>
                    <w:pageBreakBefore w:val="0"/>
                    <w:widowControl w:val="0"/>
                    <w:kinsoku/>
                    <w:wordWrap/>
                    <w:overflowPunct/>
                    <w:topLinePunct w:val="0"/>
                    <w:autoSpaceDE/>
                    <w:autoSpaceDN/>
                    <w:bidi w:val="0"/>
                    <w:adjustRightInd/>
                    <w:snapToGrid/>
                    <w:spacing w:line="340" w:lineRule="atLeast"/>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snapToGrid w:val="0"/>
                      <w:color w:val="000000" w:themeColor="text1"/>
                      <w:kern w:val="18"/>
                      <w:szCs w:val="21"/>
                      <w14:textFill>
                        <w14:solidFill>
                          <w14:schemeClr w14:val="tx1"/>
                        </w14:solidFill>
                      </w14:textFill>
                    </w:rPr>
                    <w:t>40</w:t>
                  </w:r>
                </w:p>
              </w:tc>
            </w:tr>
            <w:tr w14:paraId="1905CC0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2175" w:type="pct"/>
                  <w:shd w:val="clear" w:color="auto" w:fill="auto"/>
                  <w:noWrap w:val="0"/>
                  <w:vAlign w:val="center"/>
                </w:tcPr>
                <w:p w14:paraId="718413FE">
                  <w:pPr>
                    <w:pStyle w:val="89"/>
                    <w:keepNext w:val="0"/>
                    <w:keepLines w:val="0"/>
                    <w:pageBreakBefore w:val="0"/>
                    <w:widowControl w:val="0"/>
                    <w:kinsoku/>
                    <w:wordWrap/>
                    <w:overflowPunct/>
                    <w:topLinePunct w:val="0"/>
                    <w:autoSpaceDE/>
                    <w:autoSpaceDN/>
                    <w:bidi w:val="0"/>
                    <w:adjustRightInd/>
                    <w:snapToGrid/>
                    <w:spacing w:line="340" w:lineRule="atLeast"/>
                    <w:jc w:val="both"/>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snapToGrid w:val="0"/>
                      <w:color w:val="000000" w:themeColor="text1"/>
                      <w:kern w:val="18"/>
                      <w:szCs w:val="21"/>
                      <w14:textFill>
                        <w14:solidFill>
                          <w14:schemeClr w14:val="tx1"/>
                        </w14:solidFill>
                      </w14:textFill>
                    </w:rPr>
                    <w:t>氨氮</w:t>
                  </w:r>
                  <w:r>
                    <w:rPr>
                      <w:rFonts w:hint="default" w:ascii="Times New Roman" w:hAnsi="Times New Roman" w:eastAsia="宋体" w:cs="Times New Roman"/>
                      <w:snapToGrid w:val="0"/>
                      <w:color w:val="000000" w:themeColor="text1"/>
                      <w:kern w:val="18"/>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kern w:val="18"/>
                      <w:szCs w:val="21"/>
                      <w14:textFill>
                        <w14:solidFill>
                          <w14:schemeClr w14:val="tx1"/>
                        </w14:solidFill>
                      </w14:textFill>
                    </w:rPr>
                    <w:t>NH</w:t>
                  </w:r>
                  <w:r>
                    <w:rPr>
                      <w:rFonts w:hint="default" w:ascii="Times New Roman" w:hAnsi="Times New Roman" w:eastAsia="宋体" w:cs="Times New Roman"/>
                      <w:snapToGrid w:val="0"/>
                      <w:color w:val="000000" w:themeColor="text1"/>
                      <w:kern w:val="18"/>
                      <w:szCs w:val="21"/>
                      <w:vertAlign w:val="subscript"/>
                      <w14:textFill>
                        <w14:solidFill>
                          <w14:schemeClr w14:val="tx1"/>
                        </w14:solidFill>
                      </w14:textFill>
                    </w:rPr>
                    <w:t>3</w:t>
                  </w:r>
                  <w:r>
                    <w:rPr>
                      <w:rFonts w:hint="default" w:ascii="Times New Roman" w:hAnsi="Times New Roman" w:eastAsia="宋体" w:cs="Times New Roman"/>
                      <w:snapToGrid w:val="0"/>
                      <w:color w:val="000000" w:themeColor="text1"/>
                      <w:kern w:val="18"/>
                      <w:szCs w:val="21"/>
                      <w14:textFill>
                        <w14:solidFill>
                          <w14:schemeClr w14:val="tx1"/>
                        </w14:solidFill>
                      </w14:textFill>
                    </w:rPr>
                    <w:t>-N)</w:t>
                  </w:r>
                  <w:r>
                    <w:rPr>
                      <w:rFonts w:hint="default" w:ascii="Times New Roman" w:hAnsi="Times New Roman" w:eastAsia="宋体" w:cs="Times New Roman"/>
                      <w:color w:val="000000" w:themeColor="text1"/>
                      <w:szCs w:val="21"/>
                      <w14:textFill>
                        <w14:solidFill>
                          <w14:schemeClr w14:val="tx1"/>
                        </w14:solidFill>
                      </w14:textFill>
                    </w:rPr>
                    <w:t xml:space="preserve">    </w:t>
                  </w: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Cs w:val="21"/>
                      <w14:textFill>
                        <w14:solidFill>
                          <w14:schemeClr w14:val="tx1"/>
                        </w14:solidFill>
                      </w14:textFill>
                    </w:rPr>
                    <w:t xml:space="preserve">  </w:t>
                  </w: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Cs w:val="21"/>
                      <w14:textFill>
                        <w14:solidFill>
                          <w14:schemeClr w14:val="tx1"/>
                        </w14:solidFill>
                      </w14:textFill>
                    </w:rPr>
                    <w:t xml:space="preserve">       </w:t>
                  </w: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Cs w:val="21"/>
                      <w14:textFill>
                        <w14:solidFill>
                          <w14:schemeClr w14:val="tx1"/>
                        </w14:solidFill>
                      </w14:textFill>
                    </w:rPr>
                    <w:t xml:space="preserve">  </w:t>
                  </w:r>
                  <w:r>
                    <w:rPr>
                      <w:rFonts w:hint="default" w:ascii="Times New Roman" w:hAnsi="Times New Roman" w:eastAsia="宋体" w:cs="Times New Roman"/>
                      <w:snapToGrid w:val="0"/>
                      <w:color w:val="000000" w:themeColor="text1"/>
                      <w:kern w:val="18"/>
                      <w:szCs w:val="21"/>
                      <w14:textFill>
                        <w14:solidFill>
                          <w14:schemeClr w14:val="tx1"/>
                        </w14:solidFill>
                      </w14:textFill>
                    </w:rPr>
                    <w:t>≤</w:t>
                  </w:r>
                </w:p>
              </w:tc>
              <w:tc>
                <w:tcPr>
                  <w:tcW w:w="839" w:type="pct"/>
                  <w:shd w:val="clear" w:color="auto" w:fill="auto"/>
                  <w:noWrap w:val="0"/>
                  <w:vAlign w:val="center"/>
                </w:tcPr>
                <w:p w14:paraId="70F2CAFC">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0.5</w:t>
                  </w:r>
                </w:p>
              </w:tc>
              <w:tc>
                <w:tcPr>
                  <w:tcW w:w="661" w:type="pct"/>
                  <w:shd w:val="clear" w:color="auto" w:fill="auto"/>
                  <w:noWrap w:val="0"/>
                  <w:vAlign w:val="center"/>
                </w:tcPr>
                <w:p w14:paraId="241C7EEB">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w:t>
                  </w:r>
                </w:p>
              </w:tc>
              <w:tc>
                <w:tcPr>
                  <w:tcW w:w="661" w:type="pct"/>
                  <w:shd w:val="clear" w:color="auto" w:fill="auto"/>
                  <w:noWrap w:val="0"/>
                  <w:vAlign w:val="center"/>
                </w:tcPr>
                <w:p w14:paraId="1FB6DD25">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1.5</w:t>
                  </w:r>
                </w:p>
              </w:tc>
              <w:tc>
                <w:tcPr>
                  <w:tcW w:w="661" w:type="pct"/>
                  <w:shd w:val="clear" w:color="auto" w:fill="BEBEBE"/>
                  <w:noWrap w:val="0"/>
                  <w:vAlign w:val="center"/>
                </w:tcPr>
                <w:p w14:paraId="460031D0">
                  <w:pPr>
                    <w:pStyle w:val="89"/>
                    <w:keepNext w:val="0"/>
                    <w:keepLines w:val="0"/>
                    <w:pageBreakBefore w:val="0"/>
                    <w:widowControl w:val="0"/>
                    <w:kinsoku/>
                    <w:wordWrap/>
                    <w:overflowPunct/>
                    <w:topLinePunct w:val="0"/>
                    <w:autoSpaceDE/>
                    <w:autoSpaceDN/>
                    <w:bidi w:val="0"/>
                    <w:adjustRightInd/>
                    <w:snapToGrid/>
                    <w:spacing w:line="340" w:lineRule="atLeast"/>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snapToGrid w:val="0"/>
                      <w:color w:val="000000" w:themeColor="text1"/>
                      <w:kern w:val="18"/>
                      <w:szCs w:val="21"/>
                      <w14:textFill>
                        <w14:solidFill>
                          <w14:schemeClr w14:val="tx1"/>
                        </w14:solidFill>
                      </w14:textFill>
                    </w:rPr>
                    <w:t>2.0</w:t>
                  </w:r>
                </w:p>
              </w:tc>
            </w:tr>
            <w:tr w14:paraId="5385FB0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2175" w:type="pct"/>
                  <w:shd w:val="clear" w:color="auto" w:fill="auto"/>
                  <w:noWrap w:val="0"/>
                  <w:vAlign w:val="center"/>
                </w:tcPr>
                <w:p w14:paraId="37429125">
                  <w:pPr>
                    <w:pStyle w:val="89"/>
                    <w:keepNext w:val="0"/>
                    <w:keepLines w:val="0"/>
                    <w:pageBreakBefore w:val="0"/>
                    <w:widowControl w:val="0"/>
                    <w:kinsoku/>
                    <w:wordWrap/>
                    <w:overflowPunct/>
                    <w:topLinePunct w:val="0"/>
                    <w:autoSpaceDE/>
                    <w:autoSpaceDN/>
                    <w:bidi w:val="0"/>
                    <w:adjustRightInd/>
                    <w:snapToGrid/>
                    <w:spacing w:line="340" w:lineRule="atLeast"/>
                    <w:jc w:val="both"/>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snapToGrid w:val="0"/>
                      <w:color w:val="000000" w:themeColor="text1"/>
                      <w:kern w:val="18"/>
                      <w:szCs w:val="21"/>
                      <w14:textFill>
                        <w14:solidFill>
                          <w14:schemeClr w14:val="tx1"/>
                        </w14:solidFill>
                      </w14:textFill>
                    </w:rPr>
                    <w:t>总磷</w:t>
                  </w:r>
                  <w:r>
                    <w:rPr>
                      <w:rFonts w:hint="default" w:ascii="Times New Roman" w:hAnsi="Times New Roman" w:eastAsia="宋体" w:cs="Times New Roman"/>
                      <w:snapToGrid w:val="0"/>
                      <w:color w:val="000000" w:themeColor="text1"/>
                      <w:kern w:val="18"/>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kern w:val="18"/>
                      <w:szCs w:val="21"/>
                      <w14:textFill>
                        <w14:solidFill>
                          <w14:schemeClr w14:val="tx1"/>
                        </w14:solidFill>
                      </w14:textFill>
                    </w:rPr>
                    <w:t>TP)</w:t>
                  </w:r>
                  <w:r>
                    <w:rPr>
                      <w:rFonts w:hint="default" w:ascii="Times New Roman" w:hAnsi="Times New Roman" w:eastAsia="宋体" w:cs="Times New Roman"/>
                      <w:color w:val="000000" w:themeColor="text1"/>
                      <w:szCs w:val="21"/>
                      <w14:textFill>
                        <w14:solidFill>
                          <w14:schemeClr w14:val="tx1"/>
                        </w14:solidFill>
                      </w14:textFill>
                    </w:rPr>
                    <w:t xml:space="preserve">         </w:t>
                  </w: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Cs w:val="21"/>
                      <w14:textFill>
                        <w14:solidFill>
                          <w14:schemeClr w14:val="tx1"/>
                        </w14:solidFill>
                      </w14:textFill>
                    </w:rPr>
                    <w:t xml:space="preserve">       </w:t>
                  </w:r>
                  <w:r>
                    <w:rPr>
                      <w:rFonts w:hint="default" w:ascii="Times New Roman" w:hAnsi="Times New Roman" w:eastAsia="宋体" w:cs="Times New Roman"/>
                      <w:snapToGrid w:val="0"/>
                      <w:color w:val="000000" w:themeColor="text1"/>
                      <w:kern w:val="18"/>
                      <w:szCs w:val="21"/>
                      <w14:textFill>
                        <w14:solidFill>
                          <w14:schemeClr w14:val="tx1"/>
                        </w14:solidFill>
                      </w14:textFill>
                    </w:rPr>
                    <w:t>≤</w:t>
                  </w:r>
                </w:p>
              </w:tc>
              <w:tc>
                <w:tcPr>
                  <w:tcW w:w="839" w:type="pct"/>
                  <w:shd w:val="clear" w:color="auto" w:fill="auto"/>
                  <w:noWrap w:val="0"/>
                  <w:vAlign w:val="center"/>
                </w:tcPr>
                <w:p w14:paraId="120A99A9">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0.1</w:t>
                  </w:r>
                </w:p>
              </w:tc>
              <w:tc>
                <w:tcPr>
                  <w:tcW w:w="661" w:type="pct"/>
                  <w:shd w:val="clear" w:color="auto" w:fill="auto"/>
                  <w:noWrap w:val="0"/>
                  <w:vAlign w:val="center"/>
                </w:tcPr>
                <w:p w14:paraId="4DD925D4">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snapToGrid w:val="0"/>
                      <w:color w:val="000000" w:themeColor="text1"/>
                      <w:kern w:val="18"/>
                      <w:szCs w:val="21"/>
                      <w14:textFill>
                        <w14:solidFill>
                          <w14:schemeClr w14:val="tx1"/>
                        </w14:solidFill>
                      </w14:textFill>
                    </w:rPr>
                    <w:t>0.2</w:t>
                  </w:r>
                </w:p>
              </w:tc>
              <w:tc>
                <w:tcPr>
                  <w:tcW w:w="661" w:type="pct"/>
                  <w:shd w:val="clear" w:color="auto" w:fill="auto"/>
                  <w:noWrap w:val="0"/>
                  <w:vAlign w:val="center"/>
                </w:tcPr>
                <w:p w14:paraId="34B81FD1">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0.3</w:t>
                  </w:r>
                </w:p>
              </w:tc>
              <w:tc>
                <w:tcPr>
                  <w:tcW w:w="661" w:type="pct"/>
                  <w:shd w:val="clear" w:color="auto" w:fill="BEBEBE"/>
                  <w:noWrap w:val="0"/>
                  <w:vAlign w:val="center"/>
                </w:tcPr>
                <w:p w14:paraId="369018A0">
                  <w:pPr>
                    <w:pStyle w:val="89"/>
                    <w:keepNext w:val="0"/>
                    <w:keepLines w:val="0"/>
                    <w:pageBreakBefore w:val="0"/>
                    <w:widowControl w:val="0"/>
                    <w:kinsoku/>
                    <w:wordWrap/>
                    <w:overflowPunct/>
                    <w:topLinePunct w:val="0"/>
                    <w:autoSpaceDE/>
                    <w:autoSpaceDN/>
                    <w:bidi w:val="0"/>
                    <w:adjustRightInd/>
                    <w:snapToGrid/>
                    <w:spacing w:line="340" w:lineRule="atLeast"/>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snapToGrid w:val="0"/>
                      <w:color w:val="000000" w:themeColor="text1"/>
                      <w:kern w:val="18"/>
                      <w:szCs w:val="21"/>
                      <w14:textFill>
                        <w14:solidFill>
                          <w14:schemeClr w14:val="tx1"/>
                        </w14:solidFill>
                      </w14:textFill>
                    </w:rPr>
                    <w:t>0.4</w:t>
                  </w:r>
                </w:p>
              </w:tc>
            </w:tr>
            <w:tr w14:paraId="4479265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cantSplit/>
                <w:trHeight w:val="397" w:hRule="atLeast"/>
                <w:jc w:val="center"/>
              </w:trPr>
              <w:tc>
                <w:tcPr>
                  <w:tcW w:w="2175" w:type="pct"/>
                  <w:shd w:val="clear" w:color="auto" w:fill="auto"/>
                  <w:noWrap w:val="0"/>
                  <w:vAlign w:val="center"/>
                </w:tcPr>
                <w:p w14:paraId="37062CFD">
                  <w:pPr>
                    <w:pStyle w:val="89"/>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default" w:ascii="Times New Roman" w:hAnsi="Times New Roman" w:eastAsia="宋体" w:cs="Times New Roman"/>
                      <w:snapToGrid w:val="0"/>
                      <w:color w:val="000000" w:themeColor="text1"/>
                      <w:kern w:val="18"/>
                      <w:szCs w:val="21"/>
                      <w:lang w:eastAsia="zh-CN"/>
                      <w14:textFill>
                        <w14:solidFill>
                          <w14:schemeClr w14:val="tx1"/>
                        </w14:solidFill>
                      </w14:textFill>
                    </w:rPr>
                  </w:pPr>
                  <w:r>
                    <w:rPr>
                      <w:rFonts w:hint="default" w:ascii="Times New Roman" w:hAnsi="Times New Roman" w:eastAsia="宋体" w:cs="Times New Roman"/>
                      <w:snapToGrid w:val="0"/>
                      <w:color w:val="000000" w:themeColor="text1"/>
                      <w:kern w:val="18"/>
                      <w:szCs w:val="21"/>
                      <w:lang w:eastAsia="zh-CN"/>
                      <w14:textFill>
                        <w14:solidFill>
                          <w14:schemeClr w14:val="tx1"/>
                        </w14:solidFill>
                      </w14:textFill>
                    </w:rPr>
                    <w:t>石油类</w:t>
                  </w:r>
                  <w:r>
                    <w:rPr>
                      <w:rFonts w:hint="default" w:ascii="Times New Roman" w:hAnsi="Times New Roman" w:eastAsia="宋体" w:cs="Times New Roman"/>
                      <w:color w:val="000000" w:themeColor="text1"/>
                      <w:szCs w:val="21"/>
                      <w14:textFill>
                        <w14:solidFill>
                          <w14:schemeClr w14:val="tx1"/>
                        </w14:solidFill>
                      </w14:textFill>
                    </w:rPr>
                    <w:t xml:space="preserve">      </w:t>
                  </w: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Cs w:val="21"/>
                      <w14:textFill>
                        <w14:solidFill>
                          <w14:schemeClr w14:val="tx1"/>
                        </w14:solidFill>
                      </w14:textFill>
                    </w:rPr>
                    <w:t xml:space="preserve">       </w:t>
                  </w: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Cs w:val="21"/>
                      <w14:textFill>
                        <w14:solidFill>
                          <w14:schemeClr w14:val="tx1"/>
                        </w14:solidFill>
                      </w14:textFill>
                    </w:rPr>
                    <w:t xml:space="preserve"> </w:t>
                  </w: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Cs w:val="21"/>
                      <w14:textFill>
                        <w14:solidFill>
                          <w14:schemeClr w14:val="tx1"/>
                        </w14:solidFill>
                      </w14:textFill>
                    </w:rPr>
                    <w:t xml:space="preserve">  </w:t>
                  </w:r>
                  <w:r>
                    <w:rPr>
                      <w:rFonts w:hint="default" w:ascii="Times New Roman" w:hAnsi="Times New Roman" w:eastAsia="宋体" w:cs="Times New Roman"/>
                      <w:snapToGrid w:val="0"/>
                      <w:color w:val="000000" w:themeColor="text1"/>
                      <w:kern w:val="18"/>
                      <w:szCs w:val="21"/>
                      <w14:textFill>
                        <w14:solidFill>
                          <w14:schemeClr w14:val="tx1"/>
                        </w14:solidFill>
                      </w14:textFill>
                    </w:rPr>
                    <w:t>≤</w:t>
                  </w:r>
                </w:p>
              </w:tc>
              <w:tc>
                <w:tcPr>
                  <w:tcW w:w="839" w:type="pct"/>
                  <w:shd w:val="clear" w:color="auto" w:fill="auto"/>
                  <w:noWrap w:val="0"/>
                  <w:vAlign w:val="center"/>
                </w:tcPr>
                <w:p w14:paraId="3857FB9E">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0.05</w:t>
                  </w:r>
                </w:p>
              </w:tc>
              <w:tc>
                <w:tcPr>
                  <w:tcW w:w="661" w:type="pct"/>
                  <w:shd w:val="clear" w:color="auto" w:fill="auto"/>
                  <w:noWrap w:val="0"/>
                  <w:vAlign w:val="center"/>
                </w:tcPr>
                <w:p w14:paraId="621624C1">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snapToGrid w:val="0"/>
                      <w:color w:val="000000" w:themeColor="text1"/>
                      <w:kern w:val="18"/>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18"/>
                      <w:szCs w:val="21"/>
                      <w:lang w:val="en-US" w:eastAsia="zh-CN"/>
                      <w14:textFill>
                        <w14:solidFill>
                          <w14:schemeClr w14:val="tx1"/>
                        </w14:solidFill>
                      </w14:textFill>
                    </w:rPr>
                    <w:t>0.05</w:t>
                  </w:r>
                </w:p>
              </w:tc>
              <w:tc>
                <w:tcPr>
                  <w:tcW w:w="661" w:type="pct"/>
                  <w:shd w:val="clear" w:color="auto" w:fill="auto"/>
                  <w:noWrap w:val="0"/>
                  <w:vAlign w:val="center"/>
                </w:tcPr>
                <w:p w14:paraId="19CBBA53">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0.5</w:t>
                  </w:r>
                </w:p>
              </w:tc>
              <w:tc>
                <w:tcPr>
                  <w:tcW w:w="661" w:type="pct"/>
                  <w:shd w:val="clear" w:color="auto" w:fill="BEBEBE"/>
                  <w:noWrap w:val="0"/>
                  <w:vAlign w:val="center"/>
                </w:tcPr>
                <w:p w14:paraId="183CB536">
                  <w:pPr>
                    <w:pStyle w:val="89"/>
                    <w:keepNext w:val="0"/>
                    <w:keepLines w:val="0"/>
                    <w:pageBreakBefore w:val="0"/>
                    <w:widowControl w:val="0"/>
                    <w:kinsoku/>
                    <w:wordWrap/>
                    <w:overflowPunct/>
                    <w:topLinePunct w:val="0"/>
                    <w:autoSpaceDE/>
                    <w:autoSpaceDN/>
                    <w:bidi w:val="0"/>
                    <w:adjustRightInd/>
                    <w:snapToGrid/>
                    <w:spacing w:line="340" w:lineRule="atLeast"/>
                    <w:textAlignment w:val="auto"/>
                    <w:rPr>
                      <w:rFonts w:hint="default" w:ascii="Times New Roman" w:hAnsi="Times New Roman" w:eastAsia="宋体" w:cs="Times New Roman"/>
                      <w:snapToGrid w:val="0"/>
                      <w:color w:val="000000" w:themeColor="text1"/>
                      <w:kern w:val="18"/>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18"/>
                      <w:szCs w:val="21"/>
                      <w:lang w:val="en-US" w:eastAsia="zh-CN"/>
                      <w14:textFill>
                        <w14:solidFill>
                          <w14:schemeClr w14:val="tx1"/>
                        </w14:solidFill>
                      </w14:textFill>
                    </w:rPr>
                    <w:t>1.0</w:t>
                  </w:r>
                </w:p>
              </w:tc>
            </w:tr>
          </w:tbl>
          <w:p w14:paraId="6459E389">
            <w:pPr>
              <w:keepNext w:val="0"/>
              <w:keepLines w:val="0"/>
              <w:pageBreakBefore w:val="0"/>
              <w:widowControl w:val="0"/>
              <w:kinsoku/>
              <w:wordWrap/>
              <w:overflowPunct/>
              <w:topLinePunct w:val="0"/>
              <w:autoSpaceDE/>
              <w:autoSpaceDN/>
              <w:bidi w:val="0"/>
              <w:adjustRightInd/>
              <w:snapToGrid/>
              <w:spacing w:before="191" w:beforeLines="50" w:line="360" w:lineRule="auto"/>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②海域</w:t>
            </w:r>
          </w:p>
          <w:p w14:paraId="0BAD3BC8">
            <w:pPr>
              <w:pStyle w:val="94"/>
              <w:spacing w:before="0" w:beforeLines="0"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项目周边的海域为兴化湾，根据《福建省近岸海域环境功能区划</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修编</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2011~2020</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，海域功能区划图见</w:t>
            </w:r>
            <w:r>
              <w:rPr>
                <w:rFonts w:hint="default" w:ascii="Times New Roman" w:hAnsi="Times New Roman" w:eastAsia="宋体" w:cs="Times New Roman"/>
                <w:color w:val="000000" w:themeColor="text1"/>
                <w:sz w:val="24"/>
                <w:lang w:eastAsia="zh-CN"/>
                <w14:textFill>
                  <w14:solidFill>
                    <w14:schemeClr w14:val="tx1"/>
                  </w14:solidFill>
                </w14:textFill>
              </w:rPr>
              <w:t>附图</w:t>
            </w:r>
            <w:r>
              <w:rPr>
                <w:rFonts w:hint="default" w:ascii="Times New Roman" w:hAnsi="Times New Roman" w:eastAsia="宋体"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color w:val="000000" w:themeColor="text1"/>
                <w:sz w:val="24"/>
                <w14:textFill>
                  <w14:solidFill>
                    <w14:schemeClr w14:val="tx1"/>
                  </w14:solidFill>
                </w14:textFill>
              </w:rPr>
              <w:t>。兴化湾前薛三类区定位为第三类环境功能区，主导功能为一般工业用水，水质执行《海水水质标准》</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GB3097-1997</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第三类海水水质标准；兴化湾江阴</w:t>
            </w:r>
            <w:r>
              <w:rPr>
                <w:rFonts w:hint="default" w:ascii="Times New Roman" w:hAnsi="Times New Roman" w:eastAsia="宋体" w:cs="Times New Roman"/>
                <w:color w:val="000000" w:themeColor="text1"/>
                <w:sz w:val="24"/>
                <w:lang w:eastAsia="zh-CN"/>
                <w14:textFill>
                  <w14:solidFill>
                    <w14:schemeClr w14:val="tx1"/>
                  </w14:solidFill>
                </w14:textFill>
              </w:rPr>
              <w:t>半岛</w:t>
            </w:r>
            <w:r>
              <w:rPr>
                <w:rFonts w:hint="default" w:ascii="Times New Roman" w:hAnsi="Times New Roman" w:eastAsia="宋体" w:cs="Times New Roman"/>
                <w:color w:val="000000" w:themeColor="text1"/>
                <w:sz w:val="24"/>
                <w14:textFill>
                  <w14:solidFill>
                    <w14:schemeClr w14:val="tx1"/>
                  </w14:solidFill>
                </w14:textFill>
              </w:rPr>
              <w:t>西部海域二类区主导功能为养殖，水质执行《海水水质标准》</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GB3097-1997</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第二类海水水质标准。主要指标见</w:t>
            </w:r>
            <w:r>
              <w:rPr>
                <w:rFonts w:hint="default" w:ascii="Times New Roman" w:hAnsi="Times New Roman" w:eastAsia="宋体" w:cs="Times New Roman"/>
                <w:color w:val="000000" w:themeColor="text1"/>
                <w:sz w:val="24"/>
                <w:lang w:eastAsia="zh-CN"/>
                <w14:textFill>
                  <w14:solidFill>
                    <w14:schemeClr w14:val="tx1"/>
                  </w14:solidFill>
                </w14:textFill>
              </w:rPr>
              <w:t>表</w:t>
            </w:r>
            <w:r>
              <w:rPr>
                <w:rFonts w:hint="default" w:ascii="Times New Roman" w:hAnsi="Times New Roman" w:eastAsia="宋体" w:cs="Times New Roman"/>
                <w:color w:val="000000" w:themeColor="text1"/>
                <w:sz w:val="24"/>
                <w:lang w:val="en-US" w:eastAsia="zh-CN"/>
                <w14:textFill>
                  <w14:solidFill>
                    <w14:schemeClr w14:val="tx1"/>
                  </w14:solidFill>
                </w14:textFill>
              </w:rPr>
              <w:t>3.2-2</w:t>
            </w:r>
            <w:r>
              <w:rPr>
                <w:rFonts w:hint="default" w:ascii="Times New Roman" w:hAnsi="Times New Roman" w:eastAsia="宋体" w:cs="Times New Roman"/>
                <w:color w:val="000000" w:themeColor="text1"/>
                <w:sz w:val="24"/>
                <w14:textFill>
                  <w14:solidFill>
                    <w14:schemeClr w14:val="tx1"/>
                  </w14:solidFill>
                </w14:textFill>
              </w:rPr>
              <w:t>。</w:t>
            </w:r>
          </w:p>
          <w:p w14:paraId="496FFB44">
            <w:pPr>
              <w:pStyle w:val="11"/>
              <w:keepNext w:val="0"/>
              <w:keepLines w:val="0"/>
              <w:pageBreakBefore w:val="0"/>
              <w:widowControl w:val="0"/>
              <w:kinsoku/>
              <w:wordWrap/>
              <w:overflowPunct/>
              <w:topLinePunct w:val="0"/>
              <w:autoSpaceDE/>
              <w:autoSpaceDN/>
              <w:bidi w:val="0"/>
              <w:adjustRightInd/>
              <w:snapToGrid/>
              <w:spacing w:before="191" w:beforeLines="50" w:after="0" w:line="240" w:lineRule="auto"/>
              <w:ind w:firstLine="0" w:firstLineChars="0"/>
              <w:jc w:val="center"/>
              <w:textAlignment w:val="auto"/>
              <w:rPr>
                <w:rFonts w:hint="default" w:ascii="Times New Roman" w:hAnsi="Times New Roman" w:eastAsia="黑体" w:cs="Times New Roman"/>
                <w:b w:val="0"/>
                <w:bCs w:val="0"/>
                <w:color w:val="000000" w:themeColor="text1"/>
                <w:sz w:val="24"/>
                <w:szCs w:val="24"/>
                <w14:textFill>
                  <w14:solidFill>
                    <w14:schemeClr w14:val="tx1"/>
                  </w14:solidFill>
                </w14:textFill>
              </w:rPr>
            </w:pPr>
            <w:r>
              <w:rPr>
                <w:rFonts w:hint="default" w:ascii="Times New Roman" w:hAnsi="Times New Roman" w:eastAsia="黑体" w:cs="Times New Roman"/>
                <w:b w:val="0"/>
                <w:bCs w:val="0"/>
                <w:color w:val="000000" w:themeColor="text1"/>
                <w:sz w:val="24"/>
                <w:szCs w:val="24"/>
                <w14:textFill>
                  <w14:solidFill>
                    <w14:schemeClr w14:val="tx1"/>
                  </w14:solidFill>
                </w14:textFill>
              </w:rPr>
              <w:t>表</w:t>
            </w: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3.2-2</w:t>
            </w:r>
            <w:r>
              <w:rPr>
                <w:rFonts w:hint="default" w:ascii="Times New Roman" w:hAnsi="Times New Roman" w:eastAsia="黑体" w:cs="Times New Roman"/>
                <w:b w:val="0"/>
                <w:bCs w:val="0"/>
                <w:color w:val="000000" w:themeColor="text1"/>
                <w:sz w:val="24"/>
                <w:szCs w:val="24"/>
                <w14:textFill>
                  <w14:solidFill>
                    <w14:schemeClr w14:val="tx1"/>
                  </w14:solidFill>
                </w14:textFill>
              </w:rPr>
              <w:t xml:space="preserve"> 《海水水质标准》</w:t>
            </w:r>
            <w:r>
              <w:rPr>
                <w:rFonts w:hint="default" w:ascii="Times New Roman" w:hAnsi="Times New Roman" w:eastAsia="黑体"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黑体" w:cs="Times New Roman"/>
                <w:b w:val="0"/>
                <w:bCs w:val="0"/>
                <w:color w:val="000000" w:themeColor="text1"/>
                <w:sz w:val="24"/>
                <w:szCs w:val="24"/>
                <w14:textFill>
                  <w14:solidFill>
                    <w14:schemeClr w14:val="tx1"/>
                  </w14:solidFill>
                </w14:textFill>
              </w:rPr>
              <w:t>GB3097-1997</w:t>
            </w:r>
            <w:r>
              <w:rPr>
                <w:rFonts w:hint="default" w:ascii="Times New Roman" w:hAnsi="Times New Roman" w:eastAsia="黑体"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黑体" w:cs="Times New Roman"/>
                <w:b w:val="0"/>
                <w:bCs w:val="0"/>
                <w:color w:val="000000" w:themeColor="text1"/>
                <w:sz w:val="24"/>
                <w:szCs w:val="24"/>
                <w14:textFill>
                  <w14:solidFill>
                    <w14:schemeClr w14:val="tx1"/>
                  </w14:solidFill>
                </w14:textFill>
              </w:rPr>
              <w:t>表1</w:t>
            </w:r>
            <w:r>
              <w:rPr>
                <w:rFonts w:hint="default" w:ascii="Times New Roman" w:hAnsi="Times New Roman" w:eastAsia="黑体"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黑体" w:cs="Times New Roman"/>
                <w:b w:val="0"/>
                <w:bCs w:val="0"/>
                <w:color w:val="000000" w:themeColor="text1"/>
                <w:sz w:val="24"/>
                <w:szCs w:val="24"/>
                <w14:textFill>
                  <w14:solidFill>
                    <w14:schemeClr w14:val="tx1"/>
                  </w14:solidFill>
                </w14:textFill>
              </w:rPr>
              <w:t xml:space="preserve">摘录) </w:t>
            </w: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24"/>
                <w:szCs w:val="24"/>
                <w:lang w:eastAsia="zh-CN"/>
                <w14:textFill>
                  <w14:solidFill>
                    <w14:schemeClr w14:val="tx1"/>
                  </w14:solidFill>
                </w14:textFill>
              </w:rPr>
              <w:t>单位：</w:t>
            </w:r>
            <w:r>
              <w:rPr>
                <w:rFonts w:hint="default" w:ascii="Times New Roman" w:hAnsi="Times New Roman" w:eastAsia="黑体" w:cs="Times New Roman"/>
                <w:b w:val="0"/>
                <w:bCs w:val="0"/>
                <w:color w:val="000000" w:themeColor="text1"/>
                <w:sz w:val="24"/>
                <w:szCs w:val="24"/>
                <w14:textFill>
                  <w14:solidFill>
                    <w14:schemeClr w14:val="tx1"/>
                  </w14:solidFill>
                </w14:textFill>
              </w:rPr>
              <w:t>mg/L</w:t>
            </w: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黑体" w:cs="Times New Roman"/>
                <w:b w:val="0"/>
                <w:bCs w:val="0"/>
                <w:color w:val="000000" w:themeColor="text1"/>
                <w:sz w:val="24"/>
                <w:szCs w:val="24"/>
                <w14:textFill>
                  <w14:solidFill>
                    <w14:schemeClr w14:val="tx1"/>
                  </w14:solidFill>
                </w14:textFill>
              </w:rPr>
              <w:t>pH除外)</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149"/>
              <w:gridCol w:w="2107"/>
              <w:gridCol w:w="2377"/>
              <w:gridCol w:w="2647"/>
            </w:tblGrid>
            <w:tr w14:paraId="5DA6FA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4" w:type="pct"/>
                  <w:noWrap w:val="0"/>
                  <w:vAlign w:val="center"/>
                </w:tcPr>
                <w:p w14:paraId="3EEE493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序号</w:t>
                  </w:r>
                </w:p>
              </w:tc>
              <w:tc>
                <w:tcPr>
                  <w:tcW w:w="1272" w:type="pct"/>
                  <w:noWrap w:val="0"/>
                  <w:vAlign w:val="center"/>
                </w:tcPr>
                <w:p w14:paraId="33FEFDB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  目</w:t>
                  </w:r>
                </w:p>
              </w:tc>
              <w:tc>
                <w:tcPr>
                  <w:tcW w:w="1435" w:type="pct"/>
                  <w:noWrap w:val="0"/>
                  <w:vAlign w:val="center"/>
                </w:tcPr>
                <w:p w14:paraId="194268D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第二类标准</w:t>
                  </w:r>
                </w:p>
              </w:tc>
              <w:tc>
                <w:tcPr>
                  <w:tcW w:w="1598" w:type="pct"/>
                  <w:noWrap w:val="0"/>
                  <w:vAlign w:val="center"/>
                </w:tcPr>
                <w:p w14:paraId="3EF0CEB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第三类标准</w:t>
                  </w:r>
                </w:p>
              </w:tc>
            </w:tr>
            <w:tr w14:paraId="4A7E16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4" w:type="pct"/>
                  <w:noWrap w:val="0"/>
                  <w:vAlign w:val="center"/>
                </w:tcPr>
                <w:p w14:paraId="1F5C8B6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272" w:type="pct"/>
                  <w:noWrap w:val="0"/>
                  <w:vAlign w:val="center"/>
                </w:tcPr>
                <w:p w14:paraId="7D87A0A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pH值</w:t>
                  </w:r>
                </w:p>
              </w:tc>
              <w:tc>
                <w:tcPr>
                  <w:tcW w:w="1435" w:type="pct"/>
                  <w:noWrap w:val="0"/>
                  <w:vAlign w:val="center"/>
                </w:tcPr>
                <w:p w14:paraId="574D82C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7.5~8.5</w:t>
                  </w:r>
                </w:p>
              </w:tc>
              <w:tc>
                <w:tcPr>
                  <w:tcW w:w="1598" w:type="pct"/>
                  <w:noWrap w:val="0"/>
                  <w:vAlign w:val="center"/>
                </w:tcPr>
                <w:p w14:paraId="43DB6B6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6.8~8.8</w:t>
                  </w:r>
                </w:p>
              </w:tc>
            </w:tr>
            <w:tr w14:paraId="2654E4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4" w:type="pct"/>
                  <w:noWrap w:val="0"/>
                  <w:vAlign w:val="center"/>
                </w:tcPr>
                <w:p w14:paraId="1DA8F8E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1272" w:type="pct"/>
                  <w:noWrap w:val="0"/>
                  <w:vAlign w:val="center"/>
                </w:tcPr>
                <w:p w14:paraId="345C296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COD≤</w:t>
                  </w:r>
                </w:p>
              </w:tc>
              <w:tc>
                <w:tcPr>
                  <w:tcW w:w="1435" w:type="pct"/>
                  <w:noWrap w:val="0"/>
                  <w:vAlign w:val="center"/>
                </w:tcPr>
                <w:p w14:paraId="70196A0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1598" w:type="pct"/>
                  <w:noWrap w:val="0"/>
                  <w:vAlign w:val="center"/>
                </w:tcPr>
                <w:p w14:paraId="2DC3463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r>
            <w:tr w14:paraId="3570D2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4" w:type="pct"/>
                  <w:noWrap w:val="0"/>
                  <w:vAlign w:val="center"/>
                </w:tcPr>
                <w:p w14:paraId="37012FF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1272" w:type="pct"/>
                  <w:noWrap w:val="0"/>
                  <w:vAlign w:val="center"/>
                </w:tcPr>
                <w:p w14:paraId="34AC5FA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DO≥</w:t>
                  </w:r>
                </w:p>
              </w:tc>
              <w:tc>
                <w:tcPr>
                  <w:tcW w:w="1435" w:type="pct"/>
                  <w:noWrap w:val="0"/>
                  <w:vAlign w:val="center"/>
                </w:tcPr>
                <w:p w14:paraId="470105C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1598" w:type="pct"/>
                  <w:noWrap w:val="0"/>
                  <w:vAlign w:val="center"/>
                </w:tcPr>
                <w:p w14:paraId="749FE74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r>
            <w:tr w14:paraId="7E9F89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4" w:type="pct"/>
                  <w:noWrap w:val="0"/>
                  <w:vAlign w:val="center"/>
                </w:tcPr>
                <w:p w14:paraId="6D76FF6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1272" w:type="pct"/>
                  <w:noWrap w:val="0"/>
                  <w:vAlign w:val="center"/>
                </w:tcPr>
                <w:p w14:paraId="5005169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BOD</w:t>
                  </w:r>
                  <w:r>
                    <w:rPr>
                      <w:rFonts w:hint="default" w:ascii="Times New Roman" w:hAnsi="Times New Roman" w:eastAsia="宋体" w:cs="Times New Roman"/>
                      <w:color w:val="000000" w:themeColor="text1"/>
                      <w:sz w:val="21"/>
                      <w:szCs w:val="21"/>
                      <w:vertAlign w:val="subscript"/>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435" w:type="pct"/>
                  <w:noWrap w:val="0"/>
                  <w:vAlign w:val="center"/>
                </w:tcPr>
                <w:p w14:paraId="1485D85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1598" w:type="pct"/>
                  <w:noWrap w:val="0"/>
                  <w:vAlign w:val="center"/>
                </w:tcPr>
                <w:p w14:paraId="62E600A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r>
            <w:tr w14:paraId="2DD728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4" w:type="pct"/>
                  <w:noWrap w:val="0"/>
                  <w:vAlign w:val="center"/>
                </w:tcPr>
                <w:p w14:paraId="4B1D531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1272" w:type="pct"/>
                  <w:noWrap w:val="0"/>
                  <w:vAlign w:val="center"/>
                </w:tcPr>
                <w:p w14:paraId="23D831C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悬浮物</w:t>
                  </w:r>
                </w:p>
              </w:tc>
              <w:tc>
                <w:tcPr>
                  <w:tcW w:w="1435" w:type="pct"/>
                  <w:noWrap w:val="0"/>
                  <w:vAlign w:val="center"/>
                </w:tcPr>
                <w:p w14:paraId="1CF0B51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人为增加量≤10</w:t>
                  </w:r>
                </w:p>
              </w:tc>
              <w:tc>
                <w:tcPr>
                  <w:tcW w:w="1598" w:type="pct"/>
                  <w:noWrap w:val="0"/>
                  <w:vAlign w:val="center"/>
                </w:tcPr>
                <w:p w14:paraId="29F6BD4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人为增加量≤100</w:t>
                  </w:r>
                </w:p>
              </w:tc>
            </w:tr>
            <w:tr w14:paraId="1501D8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4" w:type="pct"/>
                  <w:noWrap w:val="0"/>
                  <w:vAlign w:val="center"/>
                </w:tcPr>
                <w:p w14:paraId="136C9D8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1272" w:type="pct"/>
                  <w:noWrap w:val="0"/>
                  <w:vAlign w:val="center"/>
                </w:tcPr>
                <w:p w14:paraId="2C27592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无机氮≤</w:t>
                  </w:r>
                </w:p>
              </w:tc>
              <w:tc>
                <w:tcPr>
                  <w:tcW w:w="1435" w:type="pct"/>
                  <w:noWrap w:val="0"/>
                  <w:vAlign w:val="center"/>
                </w:tcPr>
                <w:p w14:paraId="2737BAE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0.30</w:t>
                  </w:r>
                </w:p>
              </w:tc>
              <w:tc>
                <w:tcPr>
                  <w:tcW w:w="1598" w:type="pct"/>
                  <w:noWrap w:val="0"/>
                  <w:vAlign w:val="center"/>
                </w:tcPr>
                <w:p w14:paraId="345711F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0.40</w:t>
                  </w:r>
                </w:p>
              </w:tc>
            </w:tr>
            <w:tr w14:paraId="611237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4" w:type="pct"/>
                  <w:noWrap w:val="0"/>
                  <w:vAlign w:val="center"/>
                </w:tcPr>
                <w:p w14:paraId="49E3A48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1272" w:type="pct"/>
                  <w:noWrap w:val="0"/>
                  <w:vAlign w:val="center"/>
                </w:tcPr>
                <w:p w14:paraId="32CBF8A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活性磷酸盐≤</w:t>
                  </w:r>
                </w:p>
              </w:tc>
              <w:tc>
                <w:tcPr>
                  <w:tcW w:w="3033" w:type="pct"/>
                  <w:gridSpan w:val="2"/>
                  <w:noWrap w:val="0"/>
                  <w:vAlign w:val="center"/>
                </w:tcPr>
                <w:p w14:paraId="71F2FE9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0.030</w:t>
                  </w:r>
                </w:p>
              </w:tc>
            </w:tr>
            <w:tr w14:paraId="23F8FA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4" w:type="pct"/>
                  <w:noWrap w:val="0"/>
                  <w:vAlign w:val="center"/>
                </w:tcPr>
                <w:p w14:paraId="0E3A0D2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1272" w:type="pct"/>
                  <w:noWrap w:val="0"/>
                  <w:vAlign w:val="center"/>
                </w:tcPr>
                <w:p w14:paraId="21E610D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石油类≤</w:t>
                  </w:r>
                </w:p>
              </w:tc>
              <w:tc>
                <w:tcPr>
                  <w:tcW w:w="1435" w:type="pct"/>
                  <w:noWrap w:val="0"/>
                  <w:vAlign w:val="center"/>
                </w:tcPr>
                <w:p w14:paraId="380CCBB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0.05</w:t>
                  </w:r>
                </w:p>
              </w:tc>
              <w:tc>
                <w:tcPr>
                  <w:tcW w:w="1598" w:type="pct"/>
                  <w:noWrap w:val="0"/>
                  <w:vAlign w:val="center"/>
                </w:tcPr>
                <w:p w14:paraId="029E976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0.30</w:t>
                  </w:r>
                </w:p>
              </w:tc>
            </w:tr>
            <w:tr w14:paraId="10647A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4" w:type="pct"/>
                  <w:noWrap w:val="0"/>
                  <w:vAlign w:val="center"/>
                </w:tcPr>
                <w:p w14:paraId="340DB6C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1272" w:type="pct"/>
                  <w:noWrap w:val="0"/>
                  <w:vAlign w:val="center"/>
                </w:tcPr>
                <w:p w14:paraId="08F7708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氨≤</w:t>
                  </w:r>
                </w:p>
              </w:tc>
              <w:tc>
                <w:tcPr>
                  <w:tcW w:w="3033" w:type="pct"/>
                  <w:gridSpan w:val="2"/>
                  <w:noWrap w:val="0"/>
                  <w:vAlign w:val="center"/>
                </w:tcPr>
                <w:p w14:paraId="7D16567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0.020</w:t>
                  </w:r>
                </w:p>
              </w:tc>
            </w:tr>
            <w:tr w14:paraId="24636D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4" w:type="pct"/>
                  <w:noWrap w:val="0"/>
                  <w:vAlign w:val="center"/>
                </w:tcPr>
                <w:p w14:paraId="1DCE929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1272" w:type="pct"/>
                  <w:noWrap w:val="0"/>
                  <w:vAlign w:val="center"/>
                </w:tcPr>
                <w:p w14:paraId="0B60917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总铬≤</w:t>
                  </w:r>
                </w:p>
              </w:tc>
              <w:tc>
                <w:tcPr>
                  <w:tcW w:w="1435" w:type="pct"/>
                  <w:noWrap w:val="0"/>
                  <w:vAlign w:val="center"/>
                </w:tcPr>
                <w:p w14:paraId="395D318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0.10</w:t>
                  </w:r>
                </w:p>
              </w:tc>
              <w:tc>
                <w:tcPr>
                  <w:tcW w:w="1598" w:type="pct"/>
                  <w:noWrap w:val="0"/>
                  <w:vAlign w:val="center"/>
                </w:tcPr>
                <w:p w14:paraId="3B68223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0.20</w:t>
                  </w:r>
                </w:p>
              </w:tc>
            </w:tr>
          </w:tbl>
          <w:p w14:paraId="3C6A77E7">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b/>
                <w:bCs/>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kern w:val="0"/>
                <w:sz w:val="24"/>
                <w14:textFill>
                  <w14:solidFill>
                    <w14:schemeClr w14:val="tx1"/>
                  </w14:solidFill>
                </w14:textFill>
              </w:rPr>
              <w:t>3.2.</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 xml:space="preserve">2 </w:t>
            </w:r>
            <w:r>
              <w:rPr>
                <w:rFonts w:hint="default" w:ascii="Times New Roman" w:hAnsi="Times New Roman" w:eastAsia="宋体" w:cs="Times New Roman"/>
                <w:b/>
                <w:bCs/>
                <w:color w:val="000000" w:themeColor="text1"/>
                <w:kern w:val="0"/>
                <w:sz w:val="24"/>
                <w14:textFill>
                  <w14:solidFill>
                    <w14:schemeClr w14:val="tx1"/>
                  </w14:solidFill>
                </w14:textFill>
              </w:rPr>
              <w:t>地表水环境质量现状</w:t>
            </w:r>
          </w:p>
          <w:p w14:paraId="39043A20">
            <w:pPr>
              <w:pStyle w:val="48"/>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firstLineChars="200"/>
              <w:textAlignment w:val="baseline"/>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(1)地表水水质现状调查</w:t>
            </w:r>
          </w:p>
          <w:p w14:paraId="40FBCDC4">
            <w:pPr>
              <w:pStyle w:val="48"/>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firstLineChars="200"/>
              <w:textAlignment w:val="baseline"/>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根据福建省生态环境厅网站发布的2025年夏季福建省近岸海域235个国省控监测数据(https://sthjt.fujian.gov.cn/zwgk/sjfb/hjsj/jahysz_1/202510/t20251010_7019</w:t>
            </w:r>
          </w:p>
          <w:p w14:paraId="7368911E">
            <w:pPr>
              <w:pStyle w:val="48"/>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0" w:firstLineChars="0"/>
              <w:textAlignment w:val="baseline"/>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217.htm，见附图10)，项目南侧兴化湾FJD01024国控点位水质达二类标准。</w:t>
            </w:r>
          </w:p>
          <w:p w14:paraId="21B88CCE">
            <w:pPr>
              <w:pStyle w:val="48"/>
              <w:keepNext w:val="0"/>
              <w:keepLines w:val="0"/>
              <w:pageBreakBefore w:val="0"/>
              <w:widowControl w:val="0"/>
              <w:kinsoku/>
              <w:wordWrap/>
              <w:overflowPunct/>
              <w:topLinePunct w:val="0"/>
              <w:autoSpaceDE w:val="0"/>
              <w:autoSpaceDN w:val="0"/>
              <w:bidi w:val="0"/>
              <w:adjustRightInd w:val="0"/>
              <w:snapToGrid/>
              <w:spacing w:after="0" w:line="360" w:lineRule="auto"/>
              <w:ind w:left="0" w:leftChars="0" w:firstLine="480" w:firstLineChars="200"/>
              <w:textAlignment w:val="baseline"/>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2)引用资料的有效性分析</w:t>
            </w:r>
          </w:p>
          <w:p w14:paraId="020ADF68">
            <w:pPr>
              <w:pStyle w:val="94"/>
              <w:keepNext w:val="0"/>
              <w:keepLines w:val="0"/>
              <w:pageBreakBefore w:val="0"/>
              <w:widowControl w:val="0"/>
              <w:kinsoku/>
              <w:wordWrap/>
              <w:overflowPunct/>
              <w:topLinePunct w:val="0"/>
              <w:bidi w:val="0"/>
              <w:snapToGrid/>
              <w:spacing w:line="360" w:lineRule="auto"/>
              <w:ind w:left="0" w:leftChars="0" w:firstLine="480" w:firstLineChars="200"/>
              <w:rPr>
                <w:rFonts w:hint="default" w:ascii="Times New Roman" w:hAnsi="Times New Roman" w:eastAsia="宋体" w:cs="Times New Roman"/>
                <w:color w:val="000000" w:themeColor="text1"/>
                <w:sz w:val="24"/>
                <w:highlight w:val="yellow"/>
                <w14:textFill>
                  <w14:solidFill>
                    <w14:schemeClr w14:val="tx1"/>
                  </w14:solidFill>
                </w14:textFill>
              </w:rPr>
            </w:pPr>
            <w:r>
              <w:rPr>
                <w:rFonts w:hint="default" w:ascii="Times New Roman" w:hAnsi="Times New Roman" w:eastAsia="宋体" w:cs="Times New Roman"/>
                <w:color w:val="000000" w:themeColor="text1"/>
                <w:sz w:val="24"/>
                <w:szCs w:val="22"/>
                <w:lang w:eastAsia="zh-CN"/>
                <w14:textFill>
                  <w14:solidFill>
                    <w14:schemeClr w14:val="tx1"/>
                  </w14:solidFill>
                </w14:textFill>
              </w:rPr>
              <w:t>根据《建设项目环境影响报告表编制技术指南(污染影响类)(试行)》(环办环评〔2020〕33号)的要求：“地表水环境区域环境质量现状引用与建设项目距离近的有效数据，包括近3年的规划环境影响评价的监测数据，所在流域控制单元内国家、地方控制断面</w:t>
            </w:r>
            <w:r>
              <w:rPr>
                <w:rFonts w:hint="default" w:ascii="Times New Roman" w:hAnsi="Times New Roman" w:eastAsia="宋体" w:cs="Times New Roman"/>
                <w:color w:val="000000" w:themeColor="text1"/>
                <w:sz w:val="24"/>
                <w:szCs w:val="22"/>
                <w:highlight w:val="none"/>
                <w:lang w:eastAsia="zh-CN"/>
                <w14:textFill>
                  <w14:solidFill>
                    <w14:schemeClr w14:val="tx1"/>
                  </w14:solidFill>
                </w14:textFill>
              </w:rPr>
              <w:t>监测数据，生态环境主管部门发布的水环境质量数据或地表水达标情况的结论”</w:t>
            </w:r>
            <w:r>
              <w:rPr>
                <w:rFonts w:hint="default" w:ascii="Times New Roman" w:hAnsi="Times New Roman" w:eastAsia="宋体" w:cs="Times New Roman"/>
                <w:color w:val="000000" w:themeColor="text1"/>
                <w:sz w:val="24"/>
                <w:highlight w:val="none"/>
                <w14:textFill>
                  <w14:solidFill>
                    <w14:schemeClr w14:val="tx1"/>
                  </w14:solidFill>
                </w14:textFill>
              </w:rPr>
              <w:t>本</w:t>
            </w:r>
            <w:r>
              <w:rPr>
                <w:rFonts w:hint="default" w:ascii="Times New Roman" w:hAnsi="Times New Roman" w:cs="Times New Roman"/>
                <w:color w:val="000000" w:themeColor="text1"/>
                <w:sz w:val="24"/>
                <w:highlight w:val="none"/>
                <w:lang w:eastAsia="zh-CN"/>
                <w14:textFill>
                  <w14:solidFill>
                    <w14:schemeClr w14:val="tx1"/>
                  </w14:solidFill>
                </w14:textFill>
              </w:rPr>
              <w:t>次</w:t>
            </w:r>
            <w:r>
              <w:rPr>
                <w:rFonts w:hint="default" w:ascii="Times New Roman" w:hAnsi="Times New Roman" w:eastAsia="宋体" w:cs="Times New Roman"/>
                <w:color w:val="000000" w:themeColor="text1"/>
                <w:sz w:val="24"/>
                <w:highlight w:val="none"/>
                <w14:textFill>
                  <w14:solidFill>
                    <w14:schemeClr w14:val="tx1"/>
                  </w14:solidFill>
                </w14:textFill>
              </w:rPr>
              <w:t>评价选取福建省生态环境厅网站发布海水水质</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监测</w:t>
            </w:r>
            <w:r>
              <w:rPr>
                <w:rFonts w:hint="default" w:ascii="Times New Roman" w:hAnsi="Times New Roman" w:eastAsia="宋体" w:cs="Times New Roman"/>
                <w:color w:val="000000" w:themeColor="text1"/>
                <w:sz w:val="24"/>
                <w:highlight w:val="none"/>
                <w14:textFill>
                  <w14:solidFill>
                    <w14:schemeClr w14:val="tx1"/>
                  </w14:solidFill>
                </w14:textFill>
              </w:rPr>
              <w:t>信息，符合《建设项目环境影响报告表编制技术指南(污染影响类)(试行)》(环办环评〔2020〕33号)的要求。</w:t>
            </w:r>
          </w:p>
          <w:p w14:paraId="30252238">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textAlignment w:val="auto"/>
              <w:rPr>
                <w:rFonts w:hint="default" w:ascii="Times New Roman" w:hAnsi="Times New Roman" w:eastAsia="宋体" w:cs="Times New Roman"/>
                <w:b/>
                <w:color w:val="000000" w:themeColor="text1"/>
                <w:sz w:val="28"/>
                <w:szCs w:val="28"/>
                <w14:textFill>
                  <w14:solidFill>
                    <w14:schemeClr w14:val="tx1"/>
                  </w14:solidFill>
                </w14:textFill>
              </w:rPr>
            </w:pPr>
            <w:r>
              <w:rPr>
                <w:rFonts w:hint="default" w:ascii="Times New Roman" w:hAnsi="Times New Roman" w:eastAsia="宋体" w:cs="Times New Roman"/>
                <w:b/>
                <w:color w:val="000000" w:themeColor="text1"/>
                <w:sz w:val="28"/>
                <w:szCs w:val="28"/>
                <w14:textFill>
                  <w14:solidFill>
                    <w14:schemeClr w14:val="tx1"/>
                  </w14:solidFill>
                </w14:textFill>
              </w:rPr>
              <w:t>3.3声环境质量现状</w:t>
            </w:r>
          </w:p>
          <w:p w14:paraId="23E2A7C1">
            <w:pPr>
              <w:adjustRightInd w:val="0"/>
              <w:snapToGrid w:val="0"/>
              <w:spacing w:line="360" w:lineRule="auto"/>
              <w:rPr>
                <w:rFonts w:hint="default" w:ascii="Times New Roman" w:hAnsi="Times New Roman" w:eastAsia="宋体" w:cs="Times New Roman"/>
                <w:b/>
                <w:bCs/>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kern w:val="0"/>
                <w:sz w:val="24"/>
                <w14:textFill>
                  <w14:solidFill>
                    <w14:schemeClr w14:val="tx1"/>
                  </w14:solidFill>
                </w14:textFill>
              </w:rPr>
              <w:t>3.3.1声环境功能区</w:t>
            </w:r>
          </w:p>
          <w:p w14:paraId="78253D48">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根据《闽台</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福州</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蓝色经济产业园总体规划环境影响报告书》的声环境功能区划，</w:t>
            </w:r>
            <w:r>
              <w:rPr>
                <w:rFonts w:hint="default" w:ascii="Times New Roman" w:hAnsi="Times New Roman" w:eastAsia="宋体" w:cs="Times New Roman"/>
                <w:color w:val="000000" w:themeColor="text1"/>
                <w:sz w:val="24"/>
                <w:lang w:val="en-US" w:eastAsia="zh-CN"/>
                <w14:textFill>
                  <w14:solidFill>
                    <w14:schemeClr w14:val="tx1"/>
                  </w14:solidFill>
                </w14:textFill>
              </w:rPr>
              <w:t>项目</w:t>
            </w:r>
            <w:r>
              <w:rPr>
                <w:rFonts w:hint="default" w:ascii="Times New Roman" w:hAnsi="Times New Roman" w:eastAsia="宋体" w:cs="Times New Roman"/>
                <w:color w:val="000000" w:themeColor="text1"/>
                <w:sz w:val="24"/>
                <w14:textFill>
                  <w14:solidFill>
                    <w14:schemeClr w14:val="tx1"/>
                  </w14:solidFill>
                </w14:textFill>
              </w:rPr>
              <w:t>所在区域噪声执行《声环境质量标准》</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GB3096-2008</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3类区标准，详见表3.</w:t>
            </w:r>
            <w:r>
              <w:rPr>
                <w:rFonts w:hint="default" w:ascii="Times New Roman" w:hAnsi="Times New Roman" w:eastAsia="宋体" w:cs="Times New Roman"/>
                <w:color w:val="000000" w:themeColor="text1"/>
                <w:sz w:val="24"/>
                <w:lang w:val="en-US" w:eastAsia="zh-CN"/>
                <w14:textFill>
                  <w14:solidFill>
                    <w14:schemeClr w14:val="tx1"/>
                  </w14:solidFill>
                </w14:textFill>
              </w:rPr>
              <w:t>3-1</w:t>
            </w:r>
            <w:r>
              <w:rPr>
                <w:rFonts w:hint="default" w:ascii="Times New Roman" w:hAnsi="Times New Roman" w:eastAsia="宋体" w:cs="Times New Roman"/>
                <w:color w:val="000000" w:themeColor="text1"/>
                <w:sz w:val="24"/>
                <w14:textFill>
                  <w14:solidFill>
                    <w14:schemeClr w14:val="tx1"/>
                  </w14:solidFill>
                </w14:textFill>
              </w:rPr>
              <w:t>。</w:t>
            </w:r>
          </w:p>
          <w:p w14:paraId="2B81BA4C">
            <w:pPr>
              <w:adjustRightInd w:val="0"/>
              <w:snapToGrid w:val="0"/>
              <w:spacing w:before="120" w:beforeLines="5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黑体" w:cs="Times New Roman"/>
                <w:color w:val="000000" w:themeColor="text1"/>
                <w:sz w:val="24"/>
                <w14:textFill>
                  <w14:solidFill>
                    <w14:schemeClr w14:val="tx1"/>
                  </w14:solidFill>
                </w14:textFill>
              </w:rPr>
              <w:t>表3.</w:t>
            </w:r>
            <w:r>
              <w:rPr>
                <w:rFonts w:hint="default" w:ascii="Times New Roman" w:hAnsi="Times New Roman" w:eastAsia="黑体" w:cs="Times New Roman"/>
                <w:color w:val="000000" w:themeColor="text1"/>
                <w:sz w:val="24"/>
                <w:lang w:val="en-US" w:eastAsia="zh-CN"/>
                <w14:textFill>
                  <w14:solidFill>
                    <w14:schemeClr w14:val="tx1"/>
                  </w14:solidFill>
                </w14:textFill>
              </w:rPr>
              <w:t>3-1</w:t>
            </w:r>
            <w:r>
              <w:rPr>
                <w:rFonts w:hint="default" w:ascii="Times New Roman" w:hAnsi="Times New Roman" w:eastAsia="黑体" w:cs="Times New Roman"/>
                <w:color w:val="000000" w:themeColor="text1"/>
                <w:sz w:val="24"/>
                <w14:textFill>
                  <w14:solidFill>
                    <w14:schemeClr w14:val="tx1"/>
                  </w14:solidFill>
                </w14:textFill>
              </w:rPr>
              <w:t xml:space="preserve">  《声环境质量</w:t>
            </w:r>
            <w:r>
              <w:rPr>
                <w:rFonts w:hint="default" w:ascii="Times New Roman" w:hAnsi="Times New Roman" w:eastAsia="黑体" w:cs="Times New Roman"/>
                <w:color w:val="000000" w:themeColor="text1"/>
                <w:sz w:val="24"/>
                <w14:textFill>
                  <w14:solidFill>
                    <w14:schemeClr w14:val="tx1"/>
                  </w14:solidFill>
                </w14:textFill>
              </w:rPr>
              <w:tab/>
            </w:r>
            <w:r>
              <w:rPr>
                <w:rFonts w:hint="default" w:ascii="Times New Roman" w:hAnsi="Times New Roman" w:eastAsia="黑体" w:cs="Times New Roman"/>
                <w:color w:val="000000" w:themeColor="text1"/>
                <w:sz w:val="24"/>
                <w14:textFill>
                  <w14:solidFill>
                    <w14:schemeClr w14:val="tx1"/>
                  </w14:solidFill>
                </w14:textFill>
              </w:rPr>
              <w:t>标准》(GB3096-2008)(摘录)</w:t>
            </w:r>
          </w:p>
          <w:tbl>
            <w:tblPr>
              <w:tblStyle w:val="29"/>
              <w:tblW w:w="811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4575"/>
              <w:gridCol w:w="1178"/>
              <w:gridCol w:w="1179"/>
            </w:tblGrid>
            <w:tr w14:paraId="3B18AD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5" w:type="dxa"/>
                  <w:tcBorders>
                    <w:tl2br w:val="nil"/>
                    <w:tr2bl w:val="nil"/>
                  </w:tcBorders>
                  <w:noWrap w:val="0"/>
                  <w:vAlign w:val="center"/>
                </w:tcPr>
                <w:p w14:paraId="3146D323">
                  <w:pPr>
                    <w:keepNext/>
                    <w:keepLines w:val="0"/>
                    <w:pageBreakBefore w:val="0"/>
                    <w:widowControl w:val="0"/>
                    <w:kinsoku/>
                    <w:wordWrap/>
                    <w:overflowPunct w:val="0"/>
                    <w:topLinePunct w:val="0"/>
                    <w:autoSpaceDE/>
                    <w:autoSpaceDN/>
                    <w:bidi w:val="0"/>
                    <w:adjustRightInd/>
                    <w:snapToGrid w:val="0"/>
                    <w:spacing w:before="0" w:after="0" w:line="340" w:lineRule="exact"/>
                    <w:ind w:left="431" w:hanging="431"/>
                    <w:jc w:val="center"/>
                    <w:textAlignment w:val="auto"/>
                    <w:outlineLvl w:val="9"/>
                    <w:rPr>
                      <w:rFonts w:hint="default" w:ascii="Times New Roman" w:hAnsi="Times New Roman" w:eastAsia="宋体" w:cs="Times New Roman"/>
                      <w:color w:val="000000" w:themeColor="text1"/>
                      <w:sz w:val="24"/>
                      <w:vertAlign w:val="baseli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标准类别</w:t>
                  </w:r>
                </w:p>
              </w:tc>
              <w:tc>
                <w:tcPr>
                  <w:tcW w:w="4575" w:type="dxa"/>
                  <w:tcBorders>
                    <w:tl2br w:val="nil"/>
                    <w:tr2bl w:val="nil"/>
                  </w:tcBorders>
                  <w:noWrap w:val="0"/>
                  <w:vAlign w:val="center"/>
                </w:tcPr>
                <w:p w14:paraId="072E9080">
                  <w:pPr>
                    <w:keepNext/>
                    <w:keepLines w:val="0"/>
                    <w:pageBreakBefore w:val="0"/>
                    <w:widowControl w:val="0"/>
                    <w:kinsoku/>
                    <w:wordWrap/>
                    <w:overflowPunct w:val="0"/>
                    <w:topLinePunct w:val="0"/>
                    <w:autoSpaceDE/>
                    <w:autoSpaceDN/>
                    <w:bidi w:val="0"/>
                    <w:adjustRightInd/>
                    <w:snapToGrid w:val="0"/>
                    <w:spacing w:before="0" w:after="0" w:line="340" w:lineRule="exact"/>
                    <w:ind w:left="431" w:hanging="431"/>
                    <w:jc w:val="center"/>
                    <w:textAlignment w:val="auto"/>
                    <w:outlineLvl w:val="9"/>
                    <w:rPr>
                      <w:rFonts w:hint="default" w:ascii="Times New Roman" w:hAnsi="Times New Roman" w:eastAsia="宋体" w:cs="Times New Roman"/>
                      <w:color w:val="000000" w:themeColor="text1"/>
                      <w:sz w:val="24"/>
                      <w:vertAlign w:val="baseli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适用区域</w:t>
                  </w:r>
                </w:p>
              </w:tc>
              <w:tc>
                <w:tcPr>
                  <w:tcW w:w="2357" w:type="dxa"/>
                  <w:gridSpan w:val="2"/>
                  <w:tcBorders>
                    <w:tl2br w:val="nil"/>
                    <w:tr2bl w:val="nil"/>
                  </w:tcBorders>
                  <w:noWrap w:val="0"/>
                  <w:vAlign w:val="center"/>
                </w:tcPr>
                <w:p w14:paraId="12E34220">
                  <w:pPr>
                    <w:keepNext/>
                    <w:keepLines w:val="0"/>
                    <w:pageBreakBefore w:val="0"/>
                    <w:widowControl w:val="0"/>
                    <w:kinsoku/>
                    <w:wordWrap/>
                    <w:overflowPunct w:val="0"/>
                    <w:topLinePunct w:val="0"/>
                    <w:autoSpaceDE/>
                    <w:autoSpaceDN/>
                    <w:bidi w:val="0"/>
                    <w:adjustRightInd/>
                    <w:snapToGrid w:val="0"/>
                    <w:spacing w:before="0" w:after="0" w:line="340" w:lineRule="exact"/>
                    <w:ind w:left="431" w:hanging="431"/>
                    <w:jc w:val="center"/>
                    <w:textAlignment w:val="auto"/>
                    <w:outlineLvl w:val="9"/>
                    <w:rPr>
                      <w:rFonts w:hint="default" w:ascii="Times New Roman" w:hAnsi="Times New Roman" w:eastAsia="宋体" w:cs="Times New Roman"/>
                      <w:color w:val="000000" w:themeColor="text1"/>
                      <w:sz w:val="24"/>
                      <w:vertAlign w:val="baseli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等效声级Leq(dB(A))</w:t>
                  </w:r>
                </w:p>
              </w:tc>
            </w:tr>
            <w:tr w14:paraId="377EE2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1185" w:type="dxa"/>
                  <w:vMerge w:val="restart"/>
                  <w:tcBorders>
                    <w:tl2br w:val="nil"/>
                    <w:tr2bl w:val="nil"/>
                  </w:tcBorders>
                  <w:noWrap w:val="0"/>
                  <w:vAlign w:val="center"/>
                </w:tcPr>
                <w:p w14:paraId="330939B4">
                  <w:pPr>
                    <w:keepNext/>
                    <w:keepLines w:val="0"/>
                    <w:pageBreakBefore w:val="0"/>
                    <w:widowControl w:val="0"/>
                    <w:kinsoku/>
                    <w:wordWrap/>
                    <w:overflowPunct w:val="0"/>
                    <w:topLinePunct w:val="0"/>
                    <w:autoSpaceDE/>
                    <w:autoSpaceDN/>
                    <w:bidi w:val="0"/>
                    <w:adjustRightInd/>
                    <w:snapToGrid w:val="0"/>
                    <w:spacing w:before="0" w:after="0" w:line="340" w:lineRule="exact"/>
                    <w:ind w:left="431" w:hanging="431"/>
                    <w:jc w:val="center"/>
                    <w:textAlignment w:val="auto"/>
                    <w:outlineLvl w:val="9"/>
                    <w:rPr>
                      <w:rFonts w:hint="default" w:ascii="Times New Roman" w:hAnsi="Times New Roman" w:eastAsia="宋体" w:cs="Times New Roman"/>
                      <w:color w:val="000000" w:themeColor="text1"/>
                      <w:sz w:val="24"/>
                      <w:vertAlign w:val="baseli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575" w:type="dxa"/>
                  <w:vMerge w:val="restart"/>
                  <w:tcBorders>
                    <w:tl2br w:val="nil"/>
                    <w:tr2bl w:val="nil"/>
                  </w:tcBorders>
                  <w:noWrap w:val="0"/>
                  <w:vAlign w:val="center"/>
                </w:tcPr>
                <w:p w14:paraId="3303C484">
                  <w:pPr>
                    <w:keepNext/>
                    <w:keepLines w:val="0"/>
                    <w:pageBreakBefore w:val="0"/>
                    <w:widowControl w:val="0"/>
                    <w:kinsoku/>
                    <w:wordWrap/>
                    <w:overflowPunct w:val="0"/>
                    <w:topLinePunct w:val="0"/>
                    <w:autoSpaceDE/>
                    <w:autoSpaceDN/>
                    <w:bidi w:val="0"/>
                    <w:adjustRightInd/>
                    <w:snapToGrid w:val="0"/>
                    <w:spacing w:before="0" w:after="0" w:line="340" w:lineRule="exact"/>
                    <w:ind w:left="431" w:hanging="431"/>
                    <w:jc w:val="center"/>
                    <w:textAlignment w:val="auto"/>
                    <w:outlineLvl w:val="9"/>
                    <w:rPr>
                      <w:rFonts w:hint="default" w:ascii="Times New Roman" w:hAnsi="Times New Roman" w:eastAsia="宋体" w:cs="Times New Roman"/>
                      <w:color w:val="000000" w:themeColor="text1"/>
                      <w:sz w:val="24"/>
                      <w:vertAlign w:val="baseli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工业生产、仓储物流为主要功能，需要防止工业噪声对周围环境产生严重影响的区域</w:t>
                  </w:r>
                </w:p>
              </w:tc>
              <w:tc>
                <w:tcPr>
                  <w:tcW w:w="1178" w:type="dxa"/>
                  <w:tcBorders>
                    <w:tl2br w:val="nil"/>
                    <w:tr2bl w:val="nil"/>
                  </w:tcBorders>
                  <w:noWrap w:val="0"/>
                  <w:vAlign w:val="center"/>
                </w:tcPr>
                <w:p w14:paraId="1FE68CB4">
                  <w:pPr>
                    <w:pStyle w:val="90"/>
                    <w:keepNext w:val="0"/>
                    <w:keepLines w:val="0"/>
                    <w:pageBreakBefore w:val="0"/>
                    <w:widowControl w:val="0"/>
                    <w:kinsoku/>
                    <w:wordWrap/>
                    <w:overflowPunct/>
                    <w:topLinePunct w:val="0"/>
                    <w:autoSpaceDE w:val="0"/>
                    <w:autoSpaceDN w:val="0"/>
                    <w:bidi w:val="0"/>
                    <w:adjustRightInd/>
                    <w:snapToGrid/>
                    <w:spacing w:line="340" w:lineRule="exact"/>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bidi="he-IL"/>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昼间</w:t>
                  </w:r>
                </w:p>
              </w:tc>
              <w:tc>
                <w:tcPr>
                  <w:tcW w:w="1179" w:type="dxa"/>
                  <w:tcBorders>
                    <w:tl2br w:val="nil"/>
                    <w:tr2bl w:val="nil"/>
                  </w:tcBorders>
                  <w:noWrap w:val="0"/>
                  <w:vAlign w:val="center"/>
                </w:tcPr>
                <w:p w14:paraId="753B5663">
                  <w:pPr>
                    <w:pStyle w:val="90"/>
                    <w:keepNext w:val="0"/>
                    <w:keepLines w:val="0"/>
                    <w:pageBreakBefore w:val="0"/>
                    <w:widowControl w:val="0"/>
                    <w:kinsoku/>
                    <w:wordWrap/>
                    <w:overflowPunct/>
                    <w:topLinePunct w:val="0"/>
                    <w:autoSpaceDE w:val="0"/>
                    <w:autoSpaceDN w:val="0"/>
                    <w:bidi w:val="0"/>
                    <w:adjustRightInd/>
                    <w:snapToGrid/>
                    <w:spacing w:line="340" w:lineRule="exact"/>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bidi="he-IL"/>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夜间</w:t>
                  </w:r>
                </w:p>
              </w:tc>
            </w:tr>
            <w:tr w14:paraId="4D617D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5" w:type="dxa"/>
                  <w:vMerge w:val="continue"/>
                  <w:tcBorders>
                    <w:tl2br w:val="nil"/>
                    <w:tr2bl w:val="nil"/>
                  </w:tcBorders>
                  <w:noWrap w:val="0"/>
                  <w:vAlign w:val="center"/>
                </w:tcPr>
                <w:p w14:paraId="1A3943B0">
                  <w:pPr>
                    <w:keepNext/>
                    <w:keepLines w:val="0"/>
                    <w:pageBreakBefore w:val="0"/>
                    <w:widowControl w:val="0"/>
                    <w:kinsoku/>
                    <w:wordWrap/>
                    <w:overflowPunct w:val="0"/>
                    <w:topLinePunct w:val="0"/>
                    <w:autoSpaceDE/>
                    <w:autoSpaceDN/>
                    <w:bidi w:val="0"/>
                    <w:adjustRightInd/>
                    <w:snapToGrid w:val="0"/>
                    <w:spacing w:before="0" w:after="0" w:line="340" w:lineRule="exact"/>
                    <w:ind w:left="431" w:hanging="431"/>
                    <w:jc w:val="center"/>
                    <w:textAlignment w:val="auto"/>
                    <w:outlineLvl w:val="9"/>
                    <w:rPr>
                      <w:rFonts w:hint="default" w:ascii="Times New Roman" w:hAnsi="Times New Roman" w:eastAsia="宋体" w:cs="Times New Roman"/>
                      <w:color w:val="000000" w:themeColor="text1"/>
                      <w:sz w:val="24"/>
                      <w:vertAlign w:val="baseline"/>
                      <w14:textFill>
                        <w14:solidFill>
                          <w14:schemeClr w14:val="tx1"/>
                        </w14:solidFill>
                      </w14:textFill>
                    </w:rPr>
                  </w:pPr>
                </w:p>
              </w:tc>
              <w:tc>
                <w:tcPr>
                  <w:tcW w:w="4575" w:type="dxa"/>
                  <w:vMerge w:val="continue"/>
                  <w:tcBorders>
                    <w:tl2br w:val="nil"/>
                    <w:tr2bl w:val="nil"/>
                  </w:tcBorders>
                  <w:noWrap w:val="0"/>
                  <w:vAlign w:val="center"/>
                </w:tcPr>
                <w:p w14:paraId="5B536F1B">
                  <w:pPr>
                    <w:keepNext/>
                    <w:keepLines w:val="0"/>
                    <w:pageBreakBefore w:val="0"/>
                    <w:widowControl w:val="0"/>
                    <w:kinsoku/>
                    <w:wordWrap/>
                    <w:overflowPunct w:val="0"/>
                    <w:topLinePunct w:val="0"/>
                    <w:autoSpaceDE/>
                    <w:autoSpaceDN/>
                    <w:bidi w:val="0"/>
                    <w:adjustRightInd/>
                    <w:snapToGrid w:val="0"/>
                    <w:spacing w:before="0" w:after="0" w:line="340" w:lineRule="exact"/>
                    <w:ind w:left="431" w:hanging="431"/>
                    <w:jc w:val="center"/>
                    <w:textAlignment w:val="auto"/>
                    <w:outlineLvl w:val="9"/>
                    <w:rPr>
                      <w:rFonts w:hint="default" w:ascii="Times New Roman" w:hAnsi="Times New Roman" w:eastAsia="宋体" w:cs="Times New Roman"/>
                      <w:color w:val="000000" w:themeColor="text1"/>
                      <w:sz w:val="24"/>
                      <w:vertAlign w:val="baseline"/>
                      <w14:textFill>
                        <w14:solidFill>
                          <w14:schemeClr w14:val="tx1"/>
                        </w14:solidFill>
                      </w14:textFill>
                    </w:rPr>
                  </w:pPr>
                </w:p>
              </w:tc>
              <w:tc>
                <w:tcPr>
                  <w:tcW w:w="1178" w:type="dxa"/>
                  <w:tcBorders>
                    <w:tl2br w:val="nil"/>
                    <w:tr2bl w:val="nil"/>
                  </w:tcBorders>
                  <w:noWrap w:val="0"/>
                  <w:vAlign w:val="center"/>
                </w:tcPr>
                <w:p w14:paraId="3FA20064">
                  <w:pPr>
                    <w:pStyle w:val="90"/>
                    <w:keepNext w:val="0"/>
                    <w:keepLines w:val="0"/>
                    <w:pageBreakBefore w:val="0"/>
                    <w:widowControl w:val="0"/>
                    <w:kinsoku/>
                    <w:wordWrap/>
                    <w:overflowPunct/>
                    <w:topLinePunct w:val="0"/>
                    <w:autoSpaceDE w:val="0"/>
                    <w:autoSpaceDN w:val="0"/>
                    <w:bidi w:val="0"/>
                    <w:adjustRightInd/>
                    <w:snapToGrid/>
                    <w:spacing w:line="340" w:lineRule="exact"/>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bidi="he-IL"/>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≤65</w:t>
                  </w:r>
                </w:p>
              </w:tc>
              <w:tc>
                <w:tcPr>
                  <w:tcW w:w="1179" w:type="dxa"/>
                  <w:tcBorders>
                    <w:tl2br w:val="nil"/>
                    <w:tr2bl w:val="nil"/>
                  </w:tcBorders>
                  <w:noWrap w:val="0"/>
                  <w:vAlign w:val="center"/>
                </w:tcPr>
                <w:p w14:paraId="61762E31">
                  <w:pPr>
                    <w:pStyle w:val="90"/>
                    <w:keepNext w:val="0"/>
                    <w:keepLines w:val="0"/>
                    <w:pageBreakBefore w:val="0"/>
                    <w:widowControl w:val="0"/>
                    <w:kinsoku/>
                    <w:wordWrap/>
                    <w:overflowPunct/>
                    <w:topLinePunct w:val="0"/>
                    <w:autoSpaceDE w:val="0"/>
                    <w:autoSpaceDN w:val="0"/>
                    <w:bidi w:val="0"/>
                    <w:adjustRightInd/>
                    <w:snapToGrid/>
                    <w:spacing w:line="340" w:lineRule="exact"/>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bidi="he-IL"/>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≤55</w:t>
                  </w:r>
                </w:p>
              </w:tc>
            </w:tr>
          </w:tbl>
          <w:p w14:paraId="3C20369B">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b/>
                <w:bCs/>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kern w:val="0"/>
                <w:sz w:val="24"/>
                <w14:textFill>
                  <w14:solidFill>
                    <w14:schemeClr w14:val="tx1"/>
                  </w14:solidFill>
                </w14:textFill>
              </w:rPr>
              <w:t>3.3.2声环境质量现状</w:t>
            </w:r>
          </w:p>
          <w:p w14:paraId="79F71105">
            <w:pPr>
              <w:pStyle w:val="125"/>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建设项目环境影响报告表编制技术指南(污染影响类)(试行)》(环办环评〔2020〕33号)中要求：“厂界外周边50米范围内存在声环境保护目标的建设项目，应监测保护目标声环境质量现状并评价达标情况。各点位应监测昼夜间噪声，监测时间不少于1天，项目夜间不生产则仅监测昼间噪声”。</w:t>
            </w:r>
          </w:p>
          <w:p w14:paraId="170AF647">
            <w:pPr>
              <w:pStyle w:val="48"/>
              <w:keepNext w:val="0"/>
              <w:keepLines w:val="0"/>
              <w:pageBreakBefore w:val="0"/>
              <w:widowControl w:val="0"/>
              <w:kinsoku/>
              <w:wordWrap/>
              <w:overflowPunct/>
              <w:topLinePunct w:val="0"/>
              <w:autoSpaceDE w:val="0"/>
              <w:autoSpaceDN w:val="0"/>
              <w:bidi w:val="0"/>
              <w:adjustRightInd w:val="0"/>
              <w:snapToGrid/>
              <w:spacing w:after="0" w:line="360" w:lineRule="auto"/>
              <w:ind w:left="0" w:leftChars="0" w:firstLine="480" w:firstLineChars="200"/>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本项目周边50m范围内无声环境保护目标，因此本项目无需提供声环境质量现状监测数据。</w:t>
            </w:r>
          </w:p>
          <w:p w14:paraId="79FBE6EE">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textAlignment w:val="auto"/>
              <w:rPr>
                <w:rFonts w:hint="default" w:ascii="Times New Roman" w:hAnsi="Times New Roman" w:eastAsia="宋体" w:cs="Times New Roman"/>
                <w:b/>
                <w:bCs w:val="0"/>
                <w:color w:val="000000" w:themeColor="text1"/>
                <w:sz w:val="28"/>
                <w:szCs w:val="28"/>
                <w14:textFill>
                  <w14:solidFill>
                    <w14:schemeClr w14:val="tx1"/>
                  </w14:solidFill>
                </w14:textFill>
              </w:rPr>
            </w:pPr>
            <w:r>
              <w:rPr>
                <w:rFonts w:hint="default" w:ascii="Times New Roman" w:hAnsi="Times New Roman" w:eastAsia="宋体" w:cs="Times New Roman"/>
                <w:b/>
                <w:bCs w:val="0"/>
                <w:color w:val="000000" w:themeColor="text1"/>
                <w:sz w:val="28"/>
                <w:szCs w:val="28"/>
                <w14:textFill>
                  <w14:solidFill>
                    <w14:schemeClr w14:val="tx1"/>
                  </w14:solidFill>
                </w14:textFill>
              </w:rPr>
              <w:t>3.</w:t>
            </w:r>
            <w:r>
              <w:rPr>
                <w:rFonts w:hint="default" w:ascii="Times New Roman" w:hAnsi="Times New Roman" w:eastAsia="宋体" w:cs="Times New Roman"/>
                <w:b/>
                <w:bCs w:val="0"/>
                <w:color w:val="000000" w:themeColor="text1"/>
                <w:sz w:val="28"/>
                <w:szCs w:val="28"/>
                <w:lang w:val="en-US" w:eastAsia="zh-CN"/>
                <w14:textFill>
                  <w14:solidFill>
                    <w14:schemeClr w14:val="tx1"/>
                  </w14:solidFill>
                </w14:textFill>
              </w:rPr>
              <w:t>4</w:t>
            </w:r>
            <w:r>
              <w:rPr>
                <w:rFonts w:hint="default" w:ascii="Times New Roman" w:hAnsi="Times New Roman" w:eastAsia="宋体" w:cs="Times New Roman"/>
                <w:b/>
                <w:bCs w:val="0"/>
                <w:color w:val="000000" w:themeColor="text1"/>
                <w:sz w:val="28"/>
                <w:szCs w:val="28"/>
                <w14:textFill>
                  <w14:solidFill>
                    <w14:schemeClr w14:val="tx1"/>
                  </w14:solidFill>
                </w14:textFill>
              </w:rPr>
              <w:t xml:space="preserve"> 生态环境现状调查</w:t>
            </w:r>
          </w:p>
          <w:p w14:paraId="357EC462">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outlineLvl w:val="9"/>
              <w:rPr>
                <w:rFonts w:hint="default" w:ascii="Times New Roman" w:hAnsi="Times New Roman" w:eastAsia="宋体" w:cs="Times New Roman"/>
                <w:color w:val="000000" w:themeColor="text1"/>
                <w:sz w:val="24"/>
                <w:szCs w:val="22"/>
                <w:highlight w:val="none"/>
                <w:lang w:val="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根据现场勘查，</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目前厂房已经建设完成，</w:t>
            </w:r>
            <w:r>
              <w:rPr>
                <w:rFonts w:hint="default" w:ascii="Times New Roman" w:hAnsi="Times New Roman" w:eastAsia="宋体" w:cs="Times New Roman"/>
                <w:color w:val="000000" w:themeColor="text1"/>
                <w:sz w:val="24"/>
                <w:lang w:val="zh-CN"/>
                <w14:textFill>
                  <w14:solidFill>
                    <w14:schemeClr w14:val="tx1"/>
                  </w14:solidFill>
                </w14:textFill>
              </w:rPr>
              <w:t>项目用地</w:t>
            </w:r>
            <w:r>
              <w:rPr>
                <w:rFonts w:hint="default" w:ascii="Times New Roman" w:hAnsi="Times New Roman" w:eastAsia="宋体" w:cs="Times New Roman"/>
                <w:color w:val="000000" w:themeColor="text1"/>
                <w:sz w:val="24"/>
                <w:szCs w:val="22"/>
                <w:lang w:val="zh-CN"/>
                <w14:textFill>
                  <w14:solidFill>
                    <w14:schemeClr w14:val="tx1"/>
                  </w14:solidFill>
                </w14:textFill>
              </w:rPr>
              <w:t>周边为城市道路、其他企业及居住用地</w:t>
            </w:r>
            <w:r>
              <w:rPr>
                <w:rFonts w:hint="default" w:ascii="Times New Roman" w:hAnsi="Times New Roman" w:eastAsia="宋体" w:cs="Times New Roman"/>
                <w:color w:val="000000" w:themeColor="text1"/>
                <w:sz w:val="24"/>
                <w:szCs w:val="22"/>
                <w:lang w:val="zh-CN" w:eastAsia="zh-CN"/>
                <w14:textFill>
                  <w14:solidFill>
                    <w14:schemeClr w14:val="tx1"/>
                  </w14:solidFill>
                </w14:textFill>
              </w:rPr>
              <w:t>等，</w:t>
            </w:r>
            <w:r>
              <w:rPr>
                <w:rFonts w:hint="default" w:ascii="Times New Roman" w:hAnsi="Times New Roman" w:eastAsia="宋体" w:cs="Times New Roman"/>
                <w:color w:val="000000" w:themeColor="text1"/>
                <w:sz w:val="24"/>
                <w:szCs w:val="22"/>
                <w:lang w:val="zh-CN"/>
                <w14:textFill>
                  <w14:solidFill>
                    <w14:schemeClr w14:val="tx1"/>
                  </w14:solidFill>
                </w14:textFill>
              </w:rPr>
              <w:t>项目评价区域主要植被为草坪、行道树等景观树种</w:t>
            </w:r>
            <w:r>
              <w:rPr>
                <w:rFonts w:hint="default" w:ascii="Times New Roman" w:hAnsi="Times New Roman" w:eastAsia="宋体" w:cs="Times New Roman"/>
                <w:color w:val="000000" w:themeColor="text1"/>
                <w:sz w:val="24"/>
                <w:szCs w:val="22"/>
                <w:lang w:val="zh-CN" w:eastAsia="zh-CN"/>
                <w14:textFill>
                  <w14:solidFill>
                    <w14:schemeClr w14:val="tx1"/>
                  </w14:solidFill>
                </w14:textFill>
              </w:rPr>
              <w:t>，</w:t>
            </w:r>
            <w:r>
              <w:rPr>
                <w:rFonts w:hint="default" w:ascii="Times New Roman" w:hAnsi="Times New Roman" w:eastAsia="宋体" w:cs="Times New Roman"/>
                <w:color w:val="000000" w:themeColor="text1"/>
                <w:sz w:val="24"/>
                <w:szCs w:val="22"/>
                <w:lang w:val="zh-CN"/>
                <w14:textFill>
                  <w14:solidFill>
                    <w14:schemeClr w14:val="tx1"/>
                  </w14:solidFill>
                </w14:textFill>
              </w:rPr>
              <w:t>主要动物为常见的蛙类、鸟类和昆虫类等，评价区域内无珍稀濒危物种、自然保护区、风景名胜区等生态敏感目标。调查区域也未发现国家重点保护的野生动植物等</w:t>
            </w:r>
            <w:r>
              <w:rPr>
                <w:rFonts w:hint="default" w:ascii="Times New Roman" w:hAnsi="Times New Roman" w:eastAsia="宋体" w:cs="Times New Roman"/>
                <w:color w:val="000000" w:themeColor="text1"/>
                <w:sz w:val="24"/>
                <w:szCs w:val="22"/>
                <w:lang w:val="zh-CN" w:eastAsia="zh-CN"/>
                <w14:textFill>
                  <w14:solidFill>
                    <w14:schemeClr w14:val="tx1"/>
                  </w14:solidFill>
                </w14:textFill>
              </w:rPr>
              <w:t>，因此，</w:t>
            </w:r>
            <w:r>
              <w:rPr>
                <w:rFonts w:hint="default" w:ascii="Times New Roman" w:hAnsi="Times New Roman" w:eastAsia="宋体" w:cs="Times New Roman"/>
                <w:color w:val="000000" w:themeColor="text1"/>
                <w:sz w:val="24"/>
                <w:szCs w:val="22"/>
                <w:lang w:val="zh-CN"/>
                <w14:textFill>
                  <w14:solidFill>
                    <w14:schemeClr w14:val="tx1"/>
                  </w14:solidFill>
                </w14:textFill>
              </w:rPr>
              <w:t>本环</w:t>
            </w:r>
            <w:r>
              <w:rPr>
                <w:rFonts w:hint="default" w:ascii="Times New Roman" w:hAnsi="Times New Roman" w:eastAsia="宋体" w:cs="Times New Roman"/>
                <w:color w:val="000000" w:themeColor="text1"/>
                <w:sz w:val="24"/>
                <w:szCs w:val="22"/>
                <w:highlight w:val="none"/>
                <w:lang w:val="zh-CN"/>
                <w14:textFill>
                  <w14:solidFill>
                    <w14:schemeClr w14:val="tx1"/>
                  </w14:solidFill>
                </w14:textFill>
              </w:rPr>
              <w:t>评</w:t>
            </w:r>
            <w:r>
              <w:rPr>
                <w:rFonts w:hint="default" w:ascii="Times New Roman" w:hAnsi="Times New Roman" w:eastAsia="宋体" w:cs="Times New Roman"/>
                <w:color w:val="000000" w:themeColor="text1"/>
                <w:sz w:val="24"/>
                <w:szCs w:val="22"/>
                <w:highlight w:val="none"/>
                <w:lang w:val="zh-CN" w:eastAsia="zh-CN"/>
                <w14:textFill>
                  <w14:solidFill>
                    <w14:schemeClr w14:val="tx1"/>
                  </w14:solidFill>
                </w14:textFill>
              </w:rPr>
              <w:t>不对</w:t>
            </w:r>
            <w:r>
              <w:rPr>
                <w:rFonts w:hint="default" w:ascii="Times New Roman" w:hAnsi="Times New Roman" w:eastAsia="宋体" w:cs="Times New Roman"/>
                <w:color w:val="000000" w:themeColor="text1"/>
                <w:sz w:val="24"/>
                <w:szCs w:val="22"/>
                <w:highlight w:val="none"/>
                <w:lang w:val="zh-CN"/>
                <w14:textFill>
                  <w14:solidFill>
                    <w14:schemeClr w14:val="tx1"/>
                  </w14:solidFill>
                </w14:textFill>
              </w:rPr>
              <w:t>生态环境现状进行评价</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p>
          <w:p w14:paraId="2007BDCE">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textAlignment w:val="auto"/>
              <w:rPr>
                <w:rFonts w:hint="default" w:ascii="Times New Roman" w:hAnsi="Times New Roman" w:eastAsia="宋体" w:cs="Times New Roman"/>
                <w:b/>
                <w:bCs w:val="0"/>
                <w:color w:val="000000" w:themeColor="text1"/>
                <w:sz w:val="28"/>
                <w:szCs w:val="28"/>
                <w14:textFill>
                  <w14:solidFill>
                    <w14:schemeClr w14:val="tx1"/>
                  </w14:solidFill>
                </w14:textFill>
              </w:rPr>
            </w:pPr>
            <w:r>
              <w:rPr>
                <w:rFonts w:hint="default" w:ascii="Times New Roman" w:hAnsi="Times New Roman" w:eastAsia="宋体" w:cs="Times New Roman"/>
                <w:b/>
                <w:bCs w:val="0"/>
                <w:color w:val="000000" w:themeColor="text1"/>
                <w:sz w:val="28"/>
                <w:szCs w:val="28"/>
                <w14:textFill>
                  <w14:solidFill>
                    <w14:schemeClr w14:val="tx1"/>
                  </w14:solidFill>
                </w14:textFill>
              </w:rPr>
              <w:t>3.5</w:t>
            </w:r>
            <w:r>
              <w:rPr>
                <w:rFonts w:hint="default" w:ascii="Times New Roman" w:hAnsi="Times New Roman" w:eastAsia="宋体" w:cs="Times New Roman"/>
                <w:b/>
                <w:bCs w:val="0"/>
                <w:color w:val="000000" w:themeColor="text1"/>
                <w:sz w:val="28"/>
                <w:szCs w:val="28"/>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z w:val="28"/>
                <w:szCs w:val="28"/>
                <w14:textFill>
                  <w14:solidFill>
                    <w14:schemeClr w14:val="tx1"/>
                  </w14:solidFill>
                </w14:textFill>
              </w:rPr>
              <w:t>地下水</w:t>
            </w:r>
            <w:r>
              <w:rPr>
                <w:rFonts w:hint="default" w:ascii="Times New Roman" w:hAnsi="Times New Roman" w:eastAsia="宋体" w:cs="Times New Roman"/>
                <w:b/>
                <w:bCs w:val="0"/>
                <w:color w:val="000000" w:themeColor="text1"/>
                <w:sz w:val="28"/>
                <w:szCs w:val="28"/>
                <w:lang w:eastAsia="zh-CN"/>
                <w14:textFill>
                  <w14:solidFill>
                    <w14:schemeClr w14:val="tx1"/>
                  </w14:solidFill>
                </w14:textFill>
              </w:rPr>
              <w:t>、土壤</w:t>
            </w:r>
            <w:r>
              <w:rPr>
                <w:rFonts w:hint="default" w:ascii="Times New Roman" w:hAnsi="Times New Roman" w:eastAsia="宋体" w:cs="Times New Roman"/>
                <w:b/>
                <w:bCs w:val="0"/>
                <w:color w:val="000000" w:themeColor="text1"/>
                <w:sz w:val="28"/>
                <w:szCs w:val="28"/>
                <w14:textFill>
                  <w14:solidFill>
                    <w14:schemeClr w14:val="tx1"/>
                  </w14:solidFill>
                </w14:textFill>
              </w:rPr>
              <w:t>环境质量现状</w:t>
            </w:r>
          </w:p>
          <w:p w14:paraId="2924D6F5">
            <w:pPr>
              <w:adjustRightInd w:val="0"/>
              <w:snapToGrid w:val="0"/>
              <w:spacing w:line="360" w:lineRule="auto"/>
              <w:ind w:firstLine="480" w:firstLineChars="200"/>
              <w:rPr>
                <w:rFonts w:hint="default" w:ascii="Times New Roman" w:hAnsi="Times New Roman" w:eastAsia="宋体" w:cs="Times New Roman"/>
                <w:color w:val="000000" w:themeColor="text1"/>
                <w:kern w:val="0"/>
                <w:sz w:val="24"/>
                <w:lang w:eastAsia="zh-CN"/>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根据《建设项目环境影响报告表编制技术指南</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污染影响类</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试行</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环办环评〔2020〕33号</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eastAsia="zh-CN"/>
                <w14:textFill>
                  <w14:solidFill>
                    <w14:schemeClr w14:val="tx1"/>
                  </w14:solidFill>
                </w14:textFill>
              </w:rPr>
              <w:t>规定，“原则上不开展环境质量现状调查。建设项目存在土壤、地下水环境污染途径的，应结合污染源、保护目标分布情况开展现状调查以留作背景值。</w:t>
            </w:r>
          </w:p>
          <w:p w14:paraId="13E80723">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项目位于闽台（福州）蓝色经济产业园（租赁</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福州锦佳商贸有限公司B37栋厂房（二期）</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根据现场勘查，</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周边以工业企业为主</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项目周边地下水、土壤环境相对不敏感，采取有效的防渗措施后，项目对地下水、土壤环境影响很小，基本不存在</w:t>
            </w:r>
            <w:r>
              <w:rPr>
                <w:rFonts w:hint="default" w:ascii="Times New Roman" w:hAnsi="Times New Roman" w:eastAsia="宋体" w:cs="Times New Roman"/>
                <w:color w:val="000000" w:themeColor="text1"/>
                <w:kern w:val="0"/>
                <w:sz w:val="24"/>
                <w:lang w:eastAsia="zh-CN"/>
                <w14:textFill>
                  <w14:solidFill>
                    <w14:schemeClr w14:val="tx1"/>
                  </w14:solidFill>
                </w14:textFill>
              </w:rPr>
              <w:t>土壤、地下水环境污染途径，因此，</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本评价不对项目地下水、土壤环境质量进行补充监测。</w:t>
            </w:r>
          </w:p>
        </w:tc>
      </w:tr>
      <w:tr w14:paraId="321A3A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65" w:type="dxa"/>
            <w:noWrap w:val="0"/>
            <w:vAlign w:val="center"/>
          </w:tcPr>
          <w:p w14:paraId="2A3DFB29">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环境</w:t>
            </w:r>
          </w:p>
          <w:p w14:paraId="366877FF">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保护</w:t>
            </w:r>
          </w:p>
          <w:p w14:paraId="395377D5">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目标</w:t>
            </w:r>
          </w:p>
        </w:tc>
        <w:tc>
          <w:tcPr>
            <w:tcW w:w="8496" w:type="dxa"/>
            <w:noWrap w:val="0"/>
            <w:vAlign w:val="center"/>
          </w:tcPr>
          <w:p w14:paraId="42B3C063">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textAlignment w:val="auto"/>
              <w:rPr>
                <w:rFonts w:hint="default" w:ascii="Times New Roman" w:hAnsi="Times New Roman" w:eastAsia="宋体" w:cs="Times New Roman"/>
                <w:b/>
                <w:bCs w:val="0"/>
                <w:color w:val="000000" w:themeColor="text1"/>
                <w:sz w:val="28"/>
                <w:szCs w:val="28"/>
                <w14:textFill>
                  <w14:solidFill>
                    <w14:schemeClr w14:val="tx1"/>
                  </w14:solidFill>
                </w14:textFill>
              </w:rPr>
            </w:pPr>
            <w:r>
              <w:rPr>
                <w:rFonts w:hint="default" w:ascii="Times New Roman" w:hAnsi="Times New Roman" w:eastAsia="宋体" w:cs="Times New Roman"/>
                <w:b/>
                <w:bCs w:val="0"/>
                <w:color w:val="000000" w:themeColor="text1"/>
                <w:sz w:val="28"/>
                <w:szCs w:val="28"/>
                <w:lang w:val="en-US" w:eastAsia="zh-CN"/>
                <w14:textFill>
                  <w14:solidFill>
                    <w14:schemeClr w14:val="tx1"/>
                  </w14:solidFill>
                </w14:textFill>
              </w:rPr>
              <w:t xml:space="preserve">3.6 </w:t>
            </w:r>
            <w:r>
              <w:rPr>
                <w:rFonts w:hint="default" w:ascii="Times New Roman" w:hAnsi="Times New Roman" w:eastAsia="宋体" w:cs="Times New Roman"/>
                <w:b/>
                <w:bCs w:val="0"/>
                <w:color w:val="000000" w:themeColor="text1"/>
                <w:sz w:val="28"/>
                <w:szCs w:val="28"/>
                <w14:textFill>
                  <w14:solidFill>
                    <w14:schemeClr w14:val="tx1"/>
                  </w14:solidFill>
                </w14:textFill>
              </w:rPr>
              <w:t>环境保护目标</w:t>
            </w:r>
          </w:p>
          <w:p w14:paraId="46962864">
            <w:pPr>
              <w:adjustRightInd w:val="0"/>
              <w:snapToGrid w:val="0"/>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根据《建设项目环境影响报告表编制技术指南</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污染影响类</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试行</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环办环评〔2020〕33号</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要求以及对项目周边环境的调查，本项目</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大气环境(厂界外500m)、地表水环境、声环境(厂界外50m)</w:t>
            </w:r>
            <w:r>
              <w:rPr>
                <w:rFonts w:hint="default" w:ascii="Times New Roman" w:hAnsi="Times New Roman" w:eastAsia="宋体" w:cs="Times New Roman"/>
                <w:color w:val="000000" w:themeColor="text1"/>
                <w:kern w:val="0"/>
                <w:sz w:val="24"/>
                <w14:textFill>
                  <w14:solidFill>
                    <w14:schemeClr w14:val="tx1"/>
                  </w14:solidFill>
                </w14:textFill>
              </w:rPr>
              <w:t>见表3.</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6-1</w:t>
            </w:r>
            <w:r>
              <w:rPr>
                <w:rFonts w:hint="default" w:ascii="Times New Roman" w:hAnsi="Times New Roman" w:eastAsia="宋体" w:cs="Times New Roman"/>
                <w:color w:val="000000" w:themeColor="text1"/>
                <w:kern w:val="0"/>
                <w:sz w:val="24"/>
                <w14:textFill>
                  <w14:solidFill>
                    <w14:schemeClr w14:val="tx1"/>
                  </w14:solidFill>
                </w14:textFill>
              </w:rPr>
              <w:t>和附图</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14:textFill>
                  <w14:solidFill>
                    <w14:schemeClr w14:val="tx1"/>
                  </w14:solidFill>
                </w14:textFill>
              </w:rPr>
              <w:t>。</w:t>
            </w:r>
          </w:p>
          <w:p w14:paraId="2F8EB14C">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rFonts w:hint="default" w:ascii="Times New Roman" w:hAnsi="Times New Roman" w:eastAsia="宋体" w:cs="Times New Roman"/>
                <w:b w:val="0"/>
                <w:bCs w:val="0"/>
                <w:color w:val="auto"/>
                <w:kern w:val="0"/>
                <w:sz w:val="24"/>
              </w:rPr>
            </w:pPr>
            <w:r>
              <w:rPr>
                <w:rFonts w:hint="default" w:ascii="Times New Roman" w:hAnsi="Times New Roman" w:eastAsia="黑体" w:cs="Times New Roman"/>
                <w:b w:val="0"/>
                <w:bCs w:val="0"/>
                <w:color w:val="auto"/>
                <w:kern w:val="0"/>
                <w:sz w:val="24"/>
              </w:rPr>
              <w:t>表</w:t>
            </w:r>
            <w:r>
              <w:rPr>
                <w:rFonts w:hint="default" w:ascii="Times New Roman" w:hAnsi="Times New Roman" w:eastAsia="黑体" w:cs="Times New Roman"/>
                <w:b w:val="0"/>
                <w:bCs w:val="0"/>
                <w:color w:val="auto"/>
                <w:kern w:val="0"/>
                <w:sz w:val="24"/>
                <w:lang w:val="en-US" w:eastAsia="zh-CN"/>
              </w:rPr>
              <w:t xml:space="preserve">3.6-1 </w:t>
            </w:r>
            <w:r>
              <w:rPr>
                <w:rFonts w:hint="default" w:ascii="Times New Roman" w:hAnsi="Times New Roman" w:eastAsia="黑体" w:cs="Times New Roman"/>
                <w:b w:val="0"/>
                <w:bCs w:val="0"/>
                <w:color w:val="auto"/>
                <w:kern w:val="0"/>
                <w:sz w:val="24"/>
              </w:rPr>
              <w:t>环境保护目标一览表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1146"/>
              <w:gridCol w:w="921"/>
              <w:gridCol w:w="1313"/>
              <w:gridCol w:w="1550"/>
              <w:gridCol w:w="2245"/>
            </w:tblGrid>
            <w:tr w14:paraId="57D9DA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pct"/>
                  <w:noWrap w:val="0"/>
                  <w:vAlign w:val="center"/>
                </w:tcPr>
                <w:p w14:paraId="7069772E">
                  <w:pPr>
                    <w:keepNext w:val="0"/>
                    <w:keepLines w:val="0"/>
                    <w:pageBreakBefore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rPr>
                    <w:t>环境要素</w:t>
                  </w:r>
                </w:p>
              </w:tc>
              <w:tc>
                <w:tcPr>
                  <w:tcW w:w="692" w:type="pct"/>
                  <w:noWrap w:val="0"/>
                  <w:vAlign w:val="center"/>
                </w:tcPr>
                <w:p w14:paraId="153EE0D0">
                  <w:pPr>
                    <w:keepNext w:val="0"/>
                    <w:keepLines w:val="0"/>
                    <w:pageBreakBefore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rPr>
                    <w:t>环境保护</w:t>
                  </w:r>
                </w:p>
                <w:p w14:paraId="489BBBA9">
                  <w:pPr>
                    <w:keepNext w:val="0"/>
                    <w:keepLines w:val="0"/>
                    <w:pageBreakBefore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rPr>
                    <w:t>目标名称</w:t>
                  </w:r>
                </w:p>
              </w:tc>
              <w:tc>
                <w:tcPr>
                  <w:tcW w:w="556" w:type="pct"/>
                  <w:noWrap w:val="0"/>
                  <w:vAlign w:val="center"/>
                </w:tcPr>
                <w:p w14:paraId="139D4EAF">
                  <w:pPr>
                    <w:keepNext w:val="0"/>
                    <w:keepLines w:val="0"/>
                    <w:pageBreakBefore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rPr>
                    <w:t>方位</w:t>
                  </w:r>
                </w:p>
              </w:tc>
              <w:tc>
                <w:tcPr>
                  <w:tcW w:w="793" w:type="pct"/>
                  <w:noWrap w:val="0"/>
                  <w:vAlign w:val="center"/>
                </w:tcPr>
                <w:p w14:paraId="23162B23">
                  <w:pPr>
                    <w:keepNext w:val="0"/>
                    <w:keepLines w:val="0"/>
                    <w:pageBreakBefore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rPr>
                    <w:t>距离项目厂界最近距离</w:t>
                  </w:r>
                </w:p>
              </w:tc>
              <w:tc>
                <w:tcPr>
                  <w:tcW w:w="936" w:type="pct"/>
                  <w:noWrap w:val="0"/>
                  <w:vAlign w:val="center"/>
                </w:tcPr>
                <w:p w14:paraId="186AAD94">
                  <w:pPr>
                    <w:keepNext w:val="0"/>
                    <w:keepLines w:val="0"/>
                    <w:pageBreakBefore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rPr>
                    <w:t>环境基本特征</w:t>
                  </w:r>
                </w:p>
              </w:tc>
              <w:tc>
                <w:tcPr>
                  <w:tcW w:w="1355" w:type="pct"/>
                  <w:noWrap w:val="0"/>
                  <w:vAlign w:val="center"/>
                </w:tcPr>
                <w:p w14:paraId="18D55382">
                  <w:pPr>
                    <w:keepNext w:val="0"/>
                    <w:keepLines w:val="0"/>
                    <w:pageBreakBefore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rPr>
                    <w:t>环境保护功能级别</w:t>
                  </w:r>
                </w:p>
              </w:tc>
            </w:tr>
            <w:tr w14:paraId="214BFD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pct"/>
                  <w:vMerge w:val="restart"/>
                  <w:noWrap w:val="0"/>
                  <w:vAlign w:val="center"/>
                </w:tcPr>
                <w:p w14:paraId="42A4237D">
                  <w:pPr>
                    <w:keepNext w:val="0"/>
                    <w:keepLines w:val="0"/>
                    <w:pageBreakBefore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环境空气</w:t>
                  </w:r>
                </w:p>
              </w:tc>
              <w:tc>
                <w:tcPr>
                  <w:tcW w:w="692" w:type="pct"/>
                  <w:noWrap w:val="0"/>
                  <w:vAlign w:val="center"/>
                </w:tcPr>
                <w:p w14:paraId="7D195D7D">
                  <w:pPr>
                    <w:keepNext w:val="0"/>
                    <w:keepLines w:val="0"/>
                    <w:pageBreakBefore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前华村</w:t>
                  </w:r>
                </w:p>
              </w:tc>
              <w:tc>
                <w:tcPr>
                  <w:tcW w:w="556" w:type="pct"/>
                  <w:noWrap w:val="0"/>
                  <w:vAlign w:val="center"/>
                </w:tcPr>
                <w:p w14:paraId="0A751576">
                  <w:pPr>
                    <w:keepNext w:val="0"/>
                    <w:keepLines w:val="0"/>
                    <w:pageBreakBefore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西侧</w:t>
                  </w:r>
                </w:p>
              </w:tc>
              <w:tc>
                <w:tcPr>
                  <w:tcW w:w="793" w:type="pct"/>
                  <w:noWrap w:val="0"/>
                  <w:vAlign w:val="center"/>
                </w:tcPr>
                <w:p w14:paraId="2B12967D">
                  <w:pPr>
                    <w:keepNext w:val="0"/>
                    <w:keepLines w:val="0"/>
                    <w:pageBreakBefore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w:t>
                  </w:r>
                  <w:r>
                    <w:rPr>
                      <w:rFonts w:hint="eastAsia" w:ascii="Times New Roman" w:hAnsi="Times New Roman" w:cs="Times New Roman"/>
                      <w:color w:val="auto"/>
                      <w:szCs w:val="21"/>
                      <w:highlight w:val="none"/>
                      <w:lang w:val="en-US" w:eastAsia="zh-CN"/>
                    </w:rPr>
                    <w:t>94</w:t>
                  </w:r>
                </w:p>
              </w:tc>
              <w:tc>
                <w:tcPr>
                  <w:tcW w:w="936" w:type="pct"/>
                  <w:noWrap w:val="0"/>
                  <w:vAlign w:val="center"/>
                </w:tcPr>
                <w:p w14:paraId="09B87623">
                  <w:pPr>
                    <w:keepNext w:val="0"/>
                    <w:keepLines w:val="0"/>
                    <w:pageBreakBefore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cs="Times New Roman"/>
                      <w:color w:val="auto"/>
                    </w:rPr>
                    <w:t>300户/1050人</w:t>
                  </w:r>
                </w:p>
              </w:tc>
              <w:tc>
                <w:tcPr>
                  <w:tcW w:w="1355" w:type="pct"/>
                  <w:vMerge w:val="restart"/>
                  <w:noWrap w:val="0"/>
                  <w:vAlign w:val="center"/>
                </w:tcPr>
                <w:p w14:paraId="2DC15F86">
                  <w:pPr>
                    <w:keepNext w:val="0"/>
                    <w:keepLines w:val="0"/>
                    <w:pageBreakBefore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cs="Times New Roman"/>
                      <w:color w:val="auto"/>
                      <w:lang w:eastAsia="zh-CN"/>
                    </w:rPr>
                    <w:t>《环境空气质量标准》(GB3095-2012)及其修改单二级标准</w:t>
                  </w:r>
                </w:p>
              </w:tc>
            </w:tr>
            <w:tr w14:paraId="425B72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pct"/>
                  <w:vMerge w:val="continue"/>
                  <w:noWrap w:val="0"/>
                  <w:vAlign w:val="center"/>
                </w:tcPr>
                <w:p w14:paraId="5B6342EA">
                  <w:pPr>
                    <w:keepNext w:val="0"/>
                    <w:keepLines w:val="0"/>
                    <w:pageBreakBefore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szCs w:val="21"/>
                      <w:lang w:val="en-US" w:eastAsia="zh-CN"/>
                    </w:rPr>
                  </w:pPr>
                </w:p>
              </w:tc>
              <w:tc>
                <w:tcPr>
                  <w:tcW w:w="692" w:type="pct"/>
                  <w:noWrap w:val="0"/>
                  <w:vAlign w:val="center"/>
                </w:tcPr>
                <w:p w14:paraId="581C86ED">
                  <w:pPr>
                    <w:keepNext w:val="0"/>
                    <w:keepLines w:val="0"/>
                    <w:pageBreakBefore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江侨新村</w:t>
                  </w:r>
                </w:p>
              </w:tc>
              <w:tc>
                <w:tcPr>
                  <w:tcW w:w="556" w:type="pct"/>
                  <w:noWrap w:val="0"/>
                  <w:vAlign w:val="center"/>
                </w:tcPr>
                <w:p w14:paraId="559600DD">
                  <w:pPr>
                    <w:keepNext w:val="0"/>
                    <w:keepLines w:val="0"/>
                    <w:pageBreakBefore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北测</w:t>
                  </w:r>
                </w:p>
              </w:tc>
              <w:tc>
                <w:tcPr>
                  <w:tcW w:w="793" w:type="pct"/>
                  <w:noWrap w:val="0"/>
                  <w:vAlign w:val="center"/>
                </w:tcPr>
                <w:p w14:paraId="414BDFB2">
                  <w:pPr>
                    <w:keepNext w:val="0"/>
                    <w:keepLines w:val="0"/>
                    <w:pageBreakBefore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723</w:t>
                  </w:r>
                </w:p>
              </w:tc>
              <w:tc>
                <w:tcPr>
                  <w:tcW w:w="936" w:type="pct"/>
                  <w:noWrap w:val="0"/>
                  <w:vAlign w:val="center"/>
                </w:tcPr>
                <w:p w14:paraId="5DA10C41">
                  <w:pPr>
                    <w:keepNext w:val="0"/>
                    <w:keepLines w:val="0"/>
                    <w:pageBreakBefore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40户/140人</w:t>
                  </w:r>
                </w:p>
              </w:tc>
              <w:tc>
                <w:tcPr>
                  <w:tcW w:w="1355" w:type="pct"/>
                  <w:vMerge w:val="continue"/>
                  <w:noWrap w:val="0"/>
                  <w:vAlign w:val="center"/>
                </w:tcPr>
                <w:p w14:paraId="3A6885C5">
                  <w:pPr>
                    <w:keepNext w:val="0"/>
                    <w:keepLines w:val="0"/>
                    <w:pageBreakBefore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szCs w:val="21"/>
                    </w:rPr>
                  </w:pPr>
                </w:p>
              </w:tc>
            </w:tr>
            <w:tr w14:paraId="4A29EF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pct"/>
                  <w:vMerge w:val="restart"/>
                  <w:noWrap w:val="0"/>
                  <w:vAlign w:val="center"/>
                </w:tcPr>
                <w:p w14:paraId="1723FE92">
                  <w:pPr>
                    <w:keepNext w:val="0"/>
                    <w:keepLines w:val="0"/>
                    <w:pageBreakBefore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rPr>
                    <w:t>地表水</w:t>
                  </w:r>
                </w:p>
              </w:tc>
              <w:tc>
                <w:tcPr>
                  <w:tcW w:w="692" w:type="pct"/>
                  <w:noWrap w:val="0"/>
                  <w:vAlign w:val="center"/>
                </w:tcPr>
                <w:p w14:paraId="0371D77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新华河</w:t>
                  </w:r>
                </w:p>
              </w:tc>
              <w:tc>
                <w:tcPr>
                  <w:tcW w:w="556" w:type="pct"/>
                  <w:noWrap w:val="0"/>
                  <w:vAlign w:val="center"/>
                </w:tcPr>
                <w:p w14:paraId="1165E5D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南</w:t>
                  </w:r>
                  <w:r>
                    <w:rPr>
                      <w:rFonts w:hint="default" w:ascii="Times New Roman" w:hAnsi="Times New Roman" w:eastAsia="宋体" w:cs="Times New Roman"/>
                      <w:color w:val="auto"/>
                      <w:sz w:val="21"/>
                      <w:szCs w:val="21"/>
                    </w:rPr>
                    <w:t>侧</w:t>
                  </w:r>
                </w:p>
              </w:tc>
              <w:tc>
                <w:tcPr>
                  <w:tcW w:w="793" w:type="pct"/>
                  <w:noWrap w:val="0"/>
                  <w:vAlign w:val="center"/>
                </w:tcPr>
                <w:p w14:paraId="1B0DE99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约</w:t>
                  </w:r>
                  <w:r>
                    <w:rPr>
                      <w:rFonts w:hint="eastAsia" w:ascii="Times New Roman" w:hAnsi="Times New Roman" w:cs="Times New Roman"/>
                      <w:color w:val="auto"/>
                      <w:sz w:val="21"/>
                      <w:szCs w:val="21"/>
                      <w:highlight w:val="none"/>
                      <w:lang w:val="en-US" w:eastAsia="zh-CN"/>
                    </w:rPr>
                    <w:t>120</w:t>
                  </w:r>
                  <w:r>
                    <w:rPr>
                      <w:rFonts w:hint="default" w:ascii="Times New Roman" w:hAnsi="Times New Roman" w:eastAsia="宋体" w:cs="Times New Roman"/>
                      <w:color w:val="auto"/>
                      <w:sz w:val="21"/>
                      <w:szCs w:val="21"/>
                      <w:highlight w:val="none"/>
                    </w:rPr>
                    <w:t>m</w:t>
                  </w:r>
                </w:p>
              </w:tc>
              <w:tc>
                <w:tcPr>
                  <w:tcW w:w="936" w:type="pct"/>
                  <w:vMerge w:val="restart"/>
                  <w:noWrap w:val="0"/>
                  <w:vAlign w:val="center"/>
                </w:tcPr>
                <w:p w14:paraId="3113B5A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小型河流</w:t>
                  </w:r>
                </w:p>
              </w:tc>
              <w:tc>
                <w:tcPr>
                  <w:tcW w:w="1355" w:type="pct"/>
                  <w:vMerge w:val="restart"/>
                  <w:noWrap w:val="0"/>
                  <w:vAlign w:val="center"/>
                </w:tcPr>
                <w:p w14:paraId="37DF0F8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《地表水环境质量标准》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GB3838-2002)Ⅴ类标准</w:t>
                  </w:r>
                </w:p>
              </w:tc>
            </w:tr>
            <w:tr w14:paraId="6B137F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pct"/>
                  <w:vMerge w:val="continue"/>
                  <w:noWrap w:val="0"/>
                  <w:vAlign w:val="center"/>
                </w:tcPr>
                <w:p w14:paraId="4C7E0469">
                  <w:pPr>
                    <w:keepNext w:val="0"/>
                    <w:keepLines w:val="0"/>
                    <w:pageBreakBefore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rPr>
                  </w:pPr>
                </w:p>
              </w:tc>
              <w:tc>
                <w:tcPr>
                  <w:tcW w:w="692" w:type="pct"/>
                  <w:noWrap w:val="0"/>
                  <w:vAlign w:val="center"/>
                </w:tcPr>
                <w:p w14:paraId="29C3CEF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1"/>
                      <w:szCs w:val="21"/>
                      <w:lang w:eastAsia="zh-CN"/>
                    </w:rPr>
                    <w:t>蓝兴河</w:t>
                  </w:r>
                </w:p>
              </w:tc>
              <w:tc>
                <w:tcPr>
                  <w:tcW w:w="556" w:type="pct"/>
                  <w:noWrap w:val="0"/>
                  <w:vAlign w:val="center"/>
                </w:tcPr>
                <w:p w14:paraId="12B3DF8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1"/>
                      <w:szCs w:val="21"/>
                      <w:lang w:eastAsia="zh-CN"/>
                    </w:rPr>
                    <w:t>东侧</w:t>
                  </w:r>
                </w:p>
              </w:tc>
              <w:tc>
                <w:tcPr>
                  <w:tcW w:w="793" w:type="pct"/>
                  <w:noWrap w:val="0"/>
                  <w:vAlign w:val="center"/>
                </w:tcPr>
                <w:p w14:paraId="0AD6F02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lang w:eastAsia="zh-CN"/>
                    </w:rPr>
                    <w:t>约</w:t>
                  </w:r>
                  <w:r>
                    <w:rPr>
                      <w:rFonts w:hint="eastAsia" w:ascii="Times New Roman" w:hAnsi="Times New Roman" w:cs="Times New Roman"/>
                      <w:color w:val="auto"/>
                      <w:sz w:val="21"/>
                      <w:szCs w:val="21"/>
                      <w:highlight w:val="none"/>
                      <w:lang w:val="en-US" w:eastAsia="zh-CN"/>
                    </w:rPr>
                    <w:t>823</w:t>
                  </w:r>
                  <w:r>
                    <w:rPr>
                      <w:rFonts w:hint="default" w:ascii="Times New Roman" w:hAnsi="Times New Roman" w:eastAsia="宋体" w:cs="Times New Roman"/>
                      <w:color w:val="auto"/>
                      <w:sz w:val="21"/>
                      <w:szCs w:val="21"/>
                      <w:highlight w:val="none"/>
                      <w:lang w:val="en-US" w:eastAsia="zh-CN"/>
                    </w:rPr>
                    <w:t>m</w:t>
                  </w:r>
                </w:p>
              </w:tc>
              <w:tc>
                <w:tcPr>
                  <w:tcW w:w="936" w:type="pct"/>
                  <w:vMerge w:val="continue"/>
                  <w:noWrap w:val="0"/>
                  <w:vAlign w:val="center"/>
                </w:tcPr>
                <w:p w14:paraId="2FD770C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p>
              </w:tc>
              <w:tc>
                <w:tcPr>
                  <w:tcW w:w="1355" w:type="pct"/>
                  <w:vMerge w:val="continue"/>
                  <w:noWrap w:val="0"/>
                  <w:vAlign w:val="center"/>
                </w:tcPr>
                <w:p w14:paraId="40E6117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p>
              </w:tc>
            </w:tr>
            <w:tr w14:paraId="1E9055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pct"/>
                  <w:vMerge w:val="continue"/>
                  <w:noWrap w:val="0"/>
                  <w:vAlign w:val="center"/>
                </w:tcPr>
                <w:p w14:paraId="5CCFFA86">
                  <w:pPr>
                    <w:keepNext w:val="0"/>
                    <w:keepLines w:val="0"/>
                    <w:pageBreakBefore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rPr>
                  </w:pPr>
                </w:p>
              </w:tc>
              <w:tc>
                <w:tcPr>
                  <w:tcW w:w="692" w:type="pct"/>
                  <w:noWrap w:val="0"/>
                  <w:vAlign w:val="center"/>
                </w:tcPr>
                <w:p w14:paraId="4B3B597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1"/>
                      <w:szCs w:val="21"/>
                      <w:lang w:eastAsia="zh-CN"/>
                    </w:rPr>
                    <w:t>兴化湾前薛海域</w:t>
                  </w:r>
                </w:p>
              </w:tc>
              <w:tc>
                <w:tcPr>
                  <w:tcW w:w="556" w:type="pct"/>
                  <w:noWrap w:val="0"/>
                  <w:vAlign w:val="center"/>
                </w:tcPr>
                <w:p w14:paraId="7B3952C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1"/>
                      <w:szCs w:val="21"/>
                      <w:lang w:eastAsia="zh-CN"/>
                    </w:rPr>
                    <w:t>东南侧</w:t>
                  </w:r>
                </w:p>
              </w:tc>
              <w:tc>
                <w:tcPr>
                  <w:tcW w:w="793" w:type="pct"/>
                  <w:noWrap w:val="0"/>
                  <w:vAlign w:val="center"/>
                </w:tcPr>
                <w:p w14:paraId="672D201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eastAsia="zh-CN"/>
                    </w:rPr>
                    <w:t>约</w:t>
                  </w:r>
                  <w:r>
                    <w:rPr>
                      <w:rFonts w:hint="eastAsia" w:ascii="Times New Roman" w:hAnsi="Times New Roman" w:cs="Times New Roman"/>
                      <w:color w:val="auto"/>
                      <w:sz w:val="21"/>
                      <w:szCs w:val="21"/>
                      <w:highlight w:val="none"/>
                      <w:lang w:val="en-US" w:eastAsia="zh-CN"/>
                    </w:rPr>
                    <w:t>1799</w:t>
                  </w:r>
                  <w:r>
                    <w:rPr>
                      <w:rFonts w:hint="default" w:ascii="Times New Roman" w:hAnsi="Times New Roman" w:eastAsia="宋体" w:cs="Times New Roman"/>
                      <w:color w:val="auto"/>
                      <w:sz w:val="21"/>
                      <w:szCs w:val="21"/>
                      <w:highlight w:val="none"/>
                      <w:lang w:val="en-US" w:eastAsia="zh-CN"/>
                    </w:rPr>
                    <w:t>m</w:t>
                  </w:r>
                </w:p>
              </w:tc>
              <w:tc>
                <w:tcPr>
                  <w:tcW w:w="936" w:type="pct"/>
                  <w:noWrap w:val="0"/>
                  <w:vAlign w:val="center"/>
                </w:tcPr>
                <w:p w14:paraId="7004650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一般工业用水</w:t>
                  </w:r>
                </w:p>
              </w:tc>
              <w:tc>
                <w:tcPr>
                  <w:tcW w:w="1355" w:type="pct"/>
                  <w:noWrap w:val="0"/>
                  <w:vAlign w:val="center"/>
                </w:tcPr>
                <w:p w14:paraId="55BFC89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 w:val="21"/>
                      <w:szCs w:val="21"/>
                      <w:lang w:eastAsia="zh-CN"/>
                    </w:rPr>
                    <w:t>《海水水质标准》</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GB3097-1997</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三类</w:t>
                  </w:r>
                </w:p>
              </w:tc>
            </w:tr>
            <w:tr w14:paraId="411AD0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pct"/>
                  <w:vMerge w:val="continue"/>
                  <w:noWrap w:val="0"/>
                  <w:vAlign w:val="center"/>
                </w:tcPr>
                <w:p w14:paraId="17F6E46C">
                  <w:pPr>
                    <w:keepNext w:val="0"/>
                    <w:keepLines w:val="0"/>
                    <w:pageBreakBefore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rPr>
                  </w:pPr>
                </w:p>
              </w:tc>
              <w:tc>
                <w:tcPr>
                  <w:tcW w:w="692" w:type="pct"/>
                  <w:noWrap w:val="0"/>
                  <w:vAlign w:val="center"/>
                </w:tcPr>
                <w:p w14:paraId="0C83F77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1"/>
                      <w:szCs w:val="21"/>
                      <w:lang w:eastAsia="zh-CN"/>
                    </w:rPr>
                    <w:t>兴化湾江阴海域</w:t>
                  </w:r>
                </w:p>
              </w:tc>
              <w:tc>
                <w:tcPr>
                  <w:tcW w:w="556" w:type="pct"/>
                  <w:noWrap w:val="0"/>
                  <w:vAlign w:val="center"/>
                </w:tcPr>
                <w:p w14:paraId="115B5D6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1"/>
                      <w:szCs w:val="21"/>
                      <w:lang w:eastAsia="zh-CN"/>
                    </w:rPr>
                    <w:t>南侧</w:t>
                  </w:r>
                </w:p>
              </w:tc>
              <w:tc>
                <w:tcPr>
                  <w:tcW w:w="793" w:type="pct"/>
                  <w:noWrap w:val="0"/>
                  <w:vAlign w:val="center"/>
                </w:tcPr>
                <w:p w14:paraId="57AE390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eastAsia="zh-CN"/>
                    </w:rPr>
                    <w:t>约</w:t>
                  </w:r>
                  <w:r>
                    <w:rPr>
                      <w:rFonts w:hint="eastAsia" w:ascii="Times New Roman" w:hAnsi="Times New Roman" w:cs="Times New Roman"/>
                      <w:color w:val="auto"/>
                      <w:sz w:val="21"/>
                      <w:szCs w:val="21"/>
                      <w:highlight w:val="none"/>
                      <w:lang w:val="en-US" w:eastAsia="zh-CN"/>
                    </w:rPr>
                    <w:t>1086</w:t>
                  </w:r>
                  <w:r>
                    <w:rPr>
                      <w:rFonts w:hint="default" w:ascii="Times New Roman" w:hAnsi="Times New Roman" w:eastAsia="宋体" w:cs="Times New Roman"/>
                      <w:color w:val="auto"/>
                      <w:sz w:val="21"/>
                      <w:szCs w:val="21"/>
                      <w:highlight w:val="none"/>
                      <w:lang w:val="en-US" w:eastAsia="zh-CN"/>
                    </w:rPr>
                    <w:t>m</w:t>
                  </w:r>
                </w:p>
              </w:tc>
              <w:tc>
                <w:tcPr>
                  <w:tcW w:w="936" w:type="pct"/>
                  <w:noWrap w:val="0"/>
                  <w:vAlign w:val="center"/>
                </w:tcPr>
                <w:p w14:paraId="19D98A5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养殖</w:t>
                  </w:r>
                  <w:r>
                    <w:rPr>
                      <w:rFonts w:hint="default" w:ascii="Times New Roman" w:hAnsi="Times New Roman" w:eastAsia="宋体" w:cs="Times New Roman"/>
                      <w:color w:val="auto"/>
                      <w:sz w:val="21"/>
                      <w:szCs w:val="21"/>
                      <w:lang w:val="en-US" w:eastAsia="zh-CN"/>
                    </w:rPr>
                    <w:t>用水</w:t>
                  </w:r>
                </w:p>
              </w:tc>
              <w:tc>
                <w:tcPr>
                  <w:tcW w:w="1355" w:type="pct"/>
                  <w:noWrap w:val="0"/>
                  <w:vAlign w:val="center"/>
                </w:tcPr>
                <w:p w14:paraId="1DC37EB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 w:val="21"/>
                      <w:szCs w:val="21"/>
                      <w:lang w:eastAsia="zh-CN"/>
                    </w:rPr>
                    <w:t>《海水水质标准》</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GB3097-1997</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二类</w:t>
                  </w:r>
                </w:p>
              </w:tc>
            </w:tr>
            <w:tr w14:paraId="2F38BB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pct"/>
                  <w:noWrap w:val="0"/>
                  <w:vAlign w:val="center"/>
                </w:tcPr>
                <w:p w14:paraId="3AC9B9CD">
                  <w:pPr>
                    <w:keepNext w:val="0"/>
                    <w:keepLines w:val="0"/>
                    <w:pageBreakBefore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声环境</w:t>
                  </w:r>
                </w:p>
              </w:tc>
              <w:tc>
                <w:tcPr>
                  <w:tcW w:w="4333" w:type="pct"/>
                  <w:gridSpan w:val="5"/>
                  <w:noWrap w:val="0"/>
                  <w:vAlign w:val="center"/>
                </w:tcPr>
                <w:p w14:paraId="6B7AFA92">
                  <w:pPr>
                    <w:keepNext w:val="0"/>
                    <w:keepLines w:val="0"/>
                    <w:pageBreakBefore w:val="0"/>
                    <w:kinsoku/>
                    <w:wordWrap/>
                    <w:overflowPunct/>
                    <w:topLinePunct w:val="0"/>
                    <w:autoSpaceDE w:val="0"/>
                    <w:autoSpaceDN/>
                    <w:bidi w:val="0"/>
                    <w:adjustRightInd/>
                    <w:snapToGrid/>
                    <w:spacing w:line="3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1"/>
                      <w:szCs w:val="21"/>
                      <w:highlight w:val="none"/>
                      <w:lang w:eastAsia="zh-CN"/>
                    </w:rPr>
                    <w:t>项目厂界</w:t>
                  </w:r>
                  <w:r>
                    <w:rPr>
                      <w:rFonts w:hint="default" w:ascii="Times New Roman" w:hAnsi="Times New Roman" w:eastAsia="宋体" w:cs="Times New Roman"/>
                      <w:color w:val="auto"/>
                      <w:sz w:val="21"/>
                      <w:szCs w:val="21"/>
                      <w:highlight w:val="none"/>
                      <w:lang w:val="en-US" w:eastAsia="zh-CN"/>
                    </w:rPr>
                    <w:t>50m范围内无声环境保护目标</w:t>
                  </w:r>
                </w:p>
              </w:tc>
            </w:tr>
            <w:tr w14:paraId="5B1EC9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pct"/>
                  <w:noWrap w:val="0"/>
                  <w:vAlign w:val="center"/>
                </w:tcPr>
                <w:p w14:paraId="43715D6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地下水</w:t>
                  </w:r>
                  <w:r>
                    <w:rPr>
                      <w:rFonts w:hint="default" w:ascii="Times New Roman" w:hAnsi="Times New Roman" w:eastAsia="宋体" w:cs="Times New Roman"/>
                      <w:color w:val="auto"/>
                    </w:rPr>
                    <w:t>环境</w:t>
                  </w:r>
                </w:p>
              </w:tc>
              <w:tc>
                <w:tcPr>
                  <w:tcW w:w="4333" w:type="pct"/>
                  <w:gridSpan w:val="5"/>
                  <w:noWrap w:val="0"/>
                  <w:vAlign w:val="center"/>
                </w:tcPr>
                <w:p w14:paraId="374B5842">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项目厂界外500米范围内无地下水集中式饮用水水源和热水、矿泉水、温泉等特殊地下水资源</w:t>
                  </w:r>
                </w:p>
              </w:tc>
            </w:tr>
            <w:tr w14:paraId="6BCDF5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pct"/>
                  <w:noWrap w:val="0"/>
                  <w:vAlign w:val="center"/>
                </w:tcPr>
                <w:p w14:paraId="12A394BC">
                  <w:pPr>
                    <w:pStyle w:val="101"/>
                    <w:ind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rPr>
                    <w:t>生态环境</w:t>
                  </w:r>
                </w:p>
              </w:tc>
              <w:tc>
                <w:tcPr>
                  <w:tcW w:w="4333" w:type="pct"/>
                  <w:gridSpan w:val="5"/>
                  <w:noWrap w:val="0"/>
                  <w:vAlign w:val="center"/>
                </w:tcPr>
                <w:p w14:paraId="5AB61673">
                  <w:pPr>
                    <w:pStyle w:val="101"/>
                    <w:ind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rPr>
                    <w:t>项目不新增用地，无生态环境保护目标</w:t>
                  </w:r>
                </w:p>
              </w:tc>
            </w:tr>
          </w:tbl>
          <w:p w14:paraId="173FD10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kern w:val="0"/>
                <w:szCs w:val="21"/>
                <w14:textFill>
                  <w14:solidFill>
                    <w14:schemeClr w14:val="tx1"/>
                  </w14:solidFill>
                </w14:textFill>
              </w:rPr>
            </w:pPr>
          </w:p>
        </w:tc>
      </w:tr>
      <w:tr w14:paraId="2ADB12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565" w:type="dxa"/>
            <w:noWrap w:val="0"/>
            <w:tcMar>
              <w:left w:w="28" w:type="dxa"/>
              <w:right w:w="28" w:type="dxa"/>
            </w:tcMar>
            <w:vAlign w:val="center"/>
          </w:tcPr>
          <w:p w14:paraId="70C2087E">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污染</w:t>
            </w:r>
          </w:p>
          <w:p w14:paraId="30CC1CBF">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物排</w:t>
            </w:r>
          </w:p>
          <w:p w14:paraId="335AF8C3">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放控</w:t>
            </w:r>
          </w:p>
          <w:p w14:paraId="51E6AC29">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制标</w:t>
            </w:r>
          </w:p>
          <w:p w14:paraId="5A0AA498">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准</w:t>
            </w:r>
          </w:p>
        </w:tc>
        <w:tc>
          <w:tcPr>
            <w:tcW w:w="8496" w:type="dxa"/>
            <w:noWrap w:val="0"/>
            <w:vAlign w:val="center"/>
          </w:tcPr>
          <w:p w14:paraId="5527E850">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textAlignment w:val="auto"/>
              <w:rPr>
                <w:rFonts w:hint="default" w:ascii="Times New Roman" w:hAnsi="Times New Roman" w:eastAsia="宋体" w:cs="Times New Roman"/>
                <w:b/>
                <w:bCs w:val="0"/>
                <w:color w:val="000000" w:themeColor="text1"/>
                <w:sz w:val="28"/>
                <w:szCs w:val="28"/>
                <w:lang w:val="en-US" w:eastAsia="zh-CN"/>
                <w14:textFill>
                  <w14:solidFill>
                    <w14:schemeClr w14:val="tx1"/>
                  </w14:solidFill>
                </w14:textFill>
              </w:rPr>
            </w:pPr>
            <w:r>
              <w:rPr>
                <w:rFonts w:hint="default" w:ascii="Times New Roman" w:hAnsi="Times New Roman" w:eastAsia="宋体" w:cs="Times New Roman"/>
                <w:b/>
                <w:bCs w:val="0"/>
                <w:color w:val="000000" w:themeColor="text1"/>
                <w:sz w:val="28"/>
                <w:szCs w:val="28"/>
                <w:lang w:val="en-US" w:eastAsia="zh-CN"/>
                <w14:textFill>
                  <w14:solidFill>
                    <w14:schemeClr w14:val="tx1"/>
                  </w14:solidFill>
                </w14:textFill>
              </w:rPr>
              <w:t>3.7 污染物排放标准</w:t>
            </w:r>
          </w:p>
          <w:p w14:paraId="2284F6B8">
            <w:pPr>
              <w:adjustRightInd w:val="0"/>
              <w:snapToGrid w:val="0"/>
              <w:spacing w:line="360" w:lineRule="auto"/>
              <w:rPr>
                <w:rFonts w:hint="default" w:ascii="Times New Roman" w:hAnsi="Times New Roman" w:eastAsia="宋体" w:cs="Times New Roman"/>
                <w:b/>
                <w:bCs w:val="0"/>
                <w:color w:val="000000" w:themeColor="text1"/>
                <w:sz w:val="24"/>
                <w:szCs w:val="24"/>
                <w14:textFill>
                  <w14:solidFill>
                    <w14:schemeClr w14:val="tx1"/>
                  </w14:solidFill>
                </w14:textFill>
              </w:rPr>
            </w:pPr>
            <w:r>
              <w:rPr>
                <w:rFonts w:hint="default" w:ascii="Times New Roman" w:hAnsi="Times New Roman" w:eastAsia="宋体" w:cs="Times New Roman"/>
                <w:b/>
                <w:bCs w:val="0"/>
                <w:color w:val="000000" w:themeColor="text1"/>
                <w:sz w:val="24"/>
                <w:szCs w:val="24"/>
                <w14:textFill>
                  <w14:solidFill>
                    <w14:schemeClr w14:val="tx1"/>
                  </w14:solidFill>
                </w14:textFill>
              </w:rPr>
              <w:t>3.</w:t>
            </w: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 xml:space="preserve">7.1 </w:t>
            </w:r>
            <w:r>
              <w:rPr>
                <w:rFonts w:hint="default" w:ascii="Times New Roman" w:hAnsi="Times New Roman" w:eastAsia="宋体" w:cs="Times New Roman"/>
                <w:b/>
                <w:bCs w:val="0"/>
                <w:color w:val="000000" w:themeColor="text1"/>
                <w:sz w:val="24"/>
                <w:szCs w:val="24"/>
                <w14:textFill>
                  <w14:solidFill>
                    <w14:schemeClr w14:val="tx1"/>
                  </w14:solidFill>
                </w14:textFill>
              </w:rPr>
              <w:t>水污染物</w:t>
            </w: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排放标准</w:t>
            </w:r>
          </w:p>
          <w:p w14:paraId="535FD882">
            <w:pPr>
              <w:pStyle w:val="72"/>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highlight w:val="none"/>
                <w14:textFill>
                  <w14:solidFill>
                    <w14:schemeClr w14:val="tx1"/>
                  </w14:solidFill>
                </w14:textFill>
              </w:rPr>
              <w:t>项目</w:t>
            </w:r>
            <w:r>
              <w:rPr>
                <w:rFonts w:hint="default" w:ascii="Times New Roman" w:hAnsi="Times New Roman" w:eastAsia="宋体" w:cs="Times New Roman"/>
                <w:color w:val="000000" w:themeColor="text1"/>
                <w:highlight w:val="none"/>
                <w:lang w:eastAsia="zh-CN"/>
                <w14:textFill>
                  <w14:solidFill>
                    <w14:schemeClr w14:val="tx1"/>
                  </w14:solidFill>
                </w14:textFill>
              </w:rPr>
              <w:t>水污染物</w:t>
            </w:r>
            <w:r>
              <w:rPr>
                <w:rFonts w:hint="default" w:ascii="Times New Roman" w:hAnsi="Times New Roman" w:eastAsia="宋体" w:cs="Times New Roman"/>
                <w:color w:val="000000" w:themeColor="text1"/>
                <w:highlight w:val="none"/>
                <w14:textFill>
                  <w14:solidFill>
                    <w14:schemeClr w14:val="tx1"/>
                  </w14:solidFill>
                </w14:textFill>
              </w:rPr>
              <w:t>排放标准</w:t>
            </w:r>
          </w:p>
          <w:p w14:paraId="77702880">
            <w:pPr>
              <w:pStyle w:val="72"/>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①项目废水排放标准</w:t>
            </w:r>
          </w:p>
          <w:p w14:paraId="2D164CB1">
            <w:pPr>
              <w:adjustRightInd w:val="0"/>
              <w:snapToGrid w:val="0"/>
              <w:spacing w:line="360" w:lineRule="auto"/>
              <w:ind w:firstLine="480" w:firstLineChars="200"/>
              <w:rPr>
                <w:rFonts w:hint="default" w:ascii="Times New Roman" w:hAnsi="Times New Roman" w:eastAsia="宋体" w:cs="Times New Roman"/>
                <w:color w:val="000000" w:themeColor="text1"/>
                <w:sz w:val="24"/>
                <w:szCs w:val="22"/>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项目</w:t>
            </w:r>
            <w:r>
              <w:rPr>
                <w:rFonts w:hint="default" w:ascii="Times New Roman" w:hAnsi="Times New Roman" w:cs="Times New Roman"/>
                <w:color w:val="000000" w:themeColor="text1"/>
                <w:sz w:val="24"/>
                <w:highlight w:val="none"/>
                <w:lang w:val="en-US" w:eastAsia="zh-CN"/>
                <w14:textFill>
                  <w14:solidFill>
                    <w14:schemeClr w14:val="tx1"/>
                  </w14:solidFill>
                </w14:textFill>
              </w:rPr>
              <w:t>生产废水经处理后部分回用</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回用水执行《城市污水再生利用 工业用水水质》（GB/T19923-2024）标准，</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项目生活污水依托</w:t>
            </w:r>
            <w:r>
              <w:rPr>
                <w:rFonts w:hint="default" w:ascii="Times New Roman" w:hAnsi="Times New Roman" w:eastAsia="宋体" w:cs="Times New Roman"/>
                <w:color w:val="000000" w:themeColor="text1"/>
                <w:sz w:val="24"/>
                <w:szCs w:val="24"/>
                <w:lang w:eastAsia="zh-CN"/>
                <w14:textFill>
                  <w14:solidFill>
                    <w14:schemeClr w14:val="tx1"/>
                  </w14:solidFill>
                </w14:textFill>
              </w:rPr>
              <w:t>园区</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内现有的化粪池预处理达标后统一排入市政污水管网送往</w:t>
            </w:r>
            <w:r>
              <w:rPr>
                <w:rFonts w:hint="default" w:ascii="Times New Roman" w:hAnsi="Times New Roman" w:eastAsia="宋体" w:cs="Times New Roman"/>
                <w:color w:val="000000" w:themeColor="text1"/>
                <w:sz w:val="24"/>
                <w:szCs w:val="22"/>
                <w:lang w:eastAsia="zh-CN"/>
                <w14:textFill>
                  <w14:solidFill>
                    <w14:schemeClr w14:val="tx1"/>
                  </w14:solidFill>
                </w14:textFill>
              </w:rPr>
              <w:t>江镜华侨农场污水处理厂</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集中处理。</w:t>
            </w:r>
            <w:r>
              <w:rPr>
                <w:rFonts w:hint="default" w:ascii="Times New Roman" w:hAnsi="Times New Roman" w:eastAsia="宋体" w:cs="Times New Roman"/>
                <w:color w:val="000000" w:themeColor="text1"/>
                <w:sz w:val="24"/>
                <w:szCs w:val="24"/>
                <w:highlight w:val="none"/>
                <w14:textFill>
                  <w14:solidFill>
                    <w14:schemeClr w14:val="tx1"/>
                  </w14:solidFill>
                </w14:textFill>
              </w:rPr>
              <w:t>项目生活</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废</w:t>
            </w:r>
            <w:r>
              <w:rPr>
                <w:rFonts w:hint="default" w:ascii="Times New Roman" w:hAnsi="Times New Roman" w:eastAsia="宋体" w:cs="Times New Roman"/>
                <w:color w:val="000000" w:themeColor="text1"/>
                <w:sz w:val="24"/>
                <w:szCs w:val="24"/>
                <w:highlight w:val="none"/>
                <w14:textFill>
                  <w14:solidFill>
                    <w14:schemeClr w14:val="tx1"/>
                  </w14:solidFill>
                </w14:textFill>
              </w:rPr>
              <w:t>水排放执行《污水综合排放标准》(GB8978-1996)表4三级标准(其中氨氮参照执行《污水排入城镇下水道水质标准》(GB/T 31962-2015)表1中B级标准限值)，</w:t>
            </w:r>
            <w:r>
              <w:rPr>
                <w:rFonts w:hint="default" w:ascii="Times New Roman" w:hAnsi="Times New Roman" w:eastAsia="宋体" w:cs="Times New Roman"/>
                <w:color w:val="000000" w:themeColor="text1"/>
                <w:sz w:val="24"/>
                <w:szCs w:val="22"/>
                <w:highlight w:val="none"/>
                <w14:textFill>
                  <w14:solidFill>
                    <w14:schemeClr w14:val="tx1"/>
                  </w14:solidFill>
                </w14:textFill>
              </w:rPr>
              <w:t>具体详见表</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3.7-1</w:t>
            </w:r>
            <w:r>
              <w:rPr>
                <w:rFonts w:hint="default" w:ascii="Times New Roman" w:hAnsi="Times New Roman" w:cs="Times New Roman"/>
                <w:color w:val="000000" w:themeColor="text1"/>
                <w:sz w:val="24"/>
                <w:szCs w:val="22"/>
                <w:highlight w:val="none"/>
                <w:lang w:val="en-US" w:eastAsia="zh-CN"/>
                <w14:textFill>
                  <w14:solidFill>
                    <w14:schemeClr w14:val="tx1"/>
                  </w14:solidFill>
                </w14:textFill>
              </w:rPr>
              <w:t>~3.7-2</w:t>
            </w:r>
            <w:r>
              <w:rPr>
                <w:rFonts w:hint="default" w:ascii="Times New Roman" w:hAnsi="Times New Roman" w:eastAsia="宋体" w:cs="Times New Roman"/>
                <w:color w:val="000000" w:themeColor="text1"/>
                <w:sz w:val="24"/>
                <w:szCs w:val="22"/>
                <w:highlight w:val="none"/>
                <w14:textFill>
                  <w14:solidFill>
                    <w14:schemeClr w14:val="tx1"/>
                  </w14:solidFill>
                </w14:textFill>
              </w:rPr>
              <w:t>。</w:t>
            </w:r>
          </w:p>
          <w:p w14:paraId="437674B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4"/>
                <w:szCs w:val="22"/>
                <w14:textFill>
                  <w14:solidFill>
                    <w14:schemeClr w14:val="tx1"/>
                  </w14:solidFill>
                </w14:textFill>
              </w:rPr>
            </w:pPr>
            <w:r>
              <w:rPr>
                <w:rFonts w:hint="default" w:ascii="Times New Roman" w:hAnsi="Times New Roman" w:eastAsia="黑体" w:cs="Times New Roman"/>
                <w:color w:val="000000" w:themeColor="text1"/>
                <w:sz w:val="24"/>
                <w:szCs w:val="22"/>
                <w14:textFill>
                  <w14:solidFill>
                    <w14:schemeClr w14:val="tx1"/>
                  </w14:solidFill>
                </w14:textFill>
              </w:rPr>
              <w:t>表3.</w:t>
            </w:r>
            <w:r>
              <w:rPr>
                <w:rFonts w:hint="default" w:ascii="Times New Roman" w:hAnsi="Times New Roman" w:eastAsia="黑体" w:cs="Times New Roman"/>
                <w:color w:val="000000" w:themeColor="text1"/>
                <w:sz w:val="24"/>
                <w:szCs w:val="22"/>
                <w:lang w:val="en-US" w:eastAsia="zh-CN"/>
                <w14:textFill>
                  <w14:solidFill>
                    <w14:schemeClr w14:val="tx1"/>
                  </w14:solidFill>
                </w14:textFill>
              </w:rPr>
              <w:t>7-1</w:t>
            </w:r>
            <w:r>
              <w:rPr>
                <w:rFonts w:hint="default" w:ascii="Times New Roman" w:hAnsi="Times New Roman" w:eastAsia="黑体" w:cs="Times New Roman"/>
                <w:color w:val="000000" w:themeColor="text1"/>
                <w:sz w:val="24"/>
                <w:szCs w:val="22"/>
                <w14:textFill>
                  <w14:solidFill>
                    <w14:schemeClr w14:val="tx1"/>
                  </w14:solidFill>
                </w14:textFill>
              </w:rPr>
              <w:t xml:space="preserve"> </w:t>
            </w:r>
            <w:r>
              <w:rPr>
                <w:rFonts w:hint="default" w:ascii="Times New Roman" w:hAnsi="Times New Roman" w:eastAsia="黑体" w:cs="Times New Roman"/>
                <w:color w:val="000000" w:themeColor="text1"/>
                <w:sz w:val="24"/>
                <w:szCs w:val="22"/>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24"/>
                <w:szCs w:val="22"/>
                <w14:textFill>
                  <w14:solidFill>
                    <w14:schemeClr w14:val="tx1"/>
                  </w14:solidFill>
                </w14:textFill>
              </w:rPr>
              <w:t>项目</w:t>
            </w:r>
            <w:r>
              <w:rPr>
                <w:rFonts w:hint="default" w:ascii="Times New Roman" w:hAnsi="Times New Roman" w:eastAsia="黑体" w:cs="Times New Roman"/>
                <w:color w:val="000000" w:themeColor="text1"/>
                <w:sz w:val="24"/>
                <w:szCs w:val="22"/>
                <w:lang w:val="en-US" w:eastAsia="zh-CN"/>
                <w14:textFill>
                  <w14:solidFill>
                    <w14:schemeClr w14:val="tx1"/>
                  </w14:solidFill>
                </w14:textFill>
              </w:rPr>
              <w:t>外排废水</w:t>
            </w:r>
            <w:r>
              <w:rPr>
                <w:rFonts w:hint="default" w:ascii="Times New Roman" w:hAnsi="Times New Roman" w:eastAsia="黑体" w:cs="Times New Roman"/>
                <w:color w:val="000000" w:themeColor="text1"/>
                <w:sz w:val="24"/>
                <w:szCs w:val="22"/>
                <w14:textFill>
                  <w14:solidFill>
                    <w14:schemeClr w14:val="tx1"/>
                  </w14:solidFill>
                </w14:textFill>
              </w:rPr>
              <w:t>执行的污水排放标准</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17"/>
              <w:gridCol w:w="2218"/>
              <w:gridCol w:w="3845"/>
            </w:tblGrid>
            <w:tr w14:paraId="047228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8" w:type="pct"/>
                  <w:noWrap w:val="0"/>
                  <w:vAlign w:val="center"/>
                </w:tcPr>
                <w:p w14:paraId="54327D4C">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r>
                    <w:rPr>
                      <w:rFonts w:hint="default" w:ascii="Times New Roman" w:hAnsi="Times New Roman" w:eastAsia="宋体" w:cs="Times New Roman"/>
                      <w:snapToGrid w:val="0"/>
                      <w:color w:val="000000" w:themeColor="text1"/>
                      <w:kern w:val="18"/>
                      <w14:textFill>
                        <w14:solidFill>
                          <w14:schemeClr w14:val="tx1"/>
                        </w14:solidFill>
                      </w14:textFill>
                    </w:rPr>
                    <w:t>污染物名称</w:t>
                  </w:r>
                </w:p>
              </w:tc>
              <w:tc>
                <w:tcPr>
                  <w:tcW w:w="1339" w:type="pct"/>
                  <w:noWrap w:val="0"/>
                  <w:vAlign w:val="center"/>
                </w:tcPr>
                <w:p w14:paraId="3746375E">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r>
                    <w:rPr>
                      <w:rFonts w:hint="default" w:ascii="Times New Roman" w:hAnsi="Times New Roman" w:eastAsia="宋体" w:cs="Times New Roman"/>
                      <w:snapToGrid w:val="0"/>
                      <w:color w:val="000000" w:themeColor="text1"/>
                      <w:kern w:val="18"/>
                      <w14:textFill>
                        <w14:solidFill>
                          <w14:schemeClr w14:val="tx1"/>
                        </w14:solidFill>
                      </w14:textFill>
                    </w:rPr>
                    <w:t>标准值</w:t>
                  </w:r>
                </w:p>
              </w:tc>
              <w:tc>
                <w:tcPr>
                  <w:tcW w:w="2321" w:type="pct"/>
                  <w:noWrap w:val="0"/>
                  <w:vAlign w:val="center"/>
                </w:tcPr>
                <w:p w14:paraId="5B9DD572">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r>
                    <w:rPr>
                      <w:rFonts w:hint="default" w:ascii="Times New Roman" w:hAnsi="Times New Roman" w:eastAsia="宋体" w:cs="Times New Roman"/>
                      <w:snapToGrid w:val="0"/>
                      <w:color w:val="000000" w:themeColor="text1"/>
                      <w:kern w:val="18"/>
                      <w14:textFill>
                        <w14:solidFill>
                          <w14:schemeClr w14:val="tx1"/>
                        </w14:solidFill>
                      </w14:textFill>
                    </w:rPr>
                    <w:t>标准来源</w:t>
                  </w:r>
                </w:p>
              </w:tc>
            </w:tr>
            <w:tr w14:paraId="0F681D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8" w:type="pct"/>
                  <w:noWrap w:val="0"/>
                  <w:vAlign w:val="center"/>
                </w:tcPr>
                <w:p w14:paraId="4D3BE5B7">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r>
                    <w:rPr>
                      <w:rFonts w:hint="default" w:ascii="Times New Roman" w:hAnsi="Times New Roman" w:eastAsia="宋体" w:cs="Times New Roman"/>
                      <w:snapToGrid w:val="0"/>
                      <w:color w:val="000000" w:themeColor="text1"/>
                      <w:kern w:val="18"/>
                      <w14:textFill>
                        <w14:solidFill>
                          <w14:schemeClr w14:val="tx1"/>
                        </w14:solidFill>
                      </w14:textFill>
                    </w:rPr>
                    <w:t>pH</w:t>
                  </w:r>
                </w:p>
              </w:tc>
              <w:tc>
                <w:tcPr>
                  <w:tcW w:w="1339" w:type="pct"/>
                  <w:noWrap w:val="0"/>
                  <w:vAlign w:val="center"/>
                </w:tcPr>
                <w:p w14:paraId="13D1D3F4">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r>
                    <w:rPr>
                      <w:rFonts w:hint="default" w:ascii="Times New Roman" w:hAnsi="Times New Roman" w:eastAsia="宋体" w:cs="Times New Roman"/>
                      <w:snapToGrid w:val="0"/>
                      <w:color w:val="000000" w:themeColor="text1"/>
                      <w:kern w:val="18"/>
                      <w14:textFill>
                        <w14:solidFill>
                          <w14:schemeClr w14:val="tx1"/>
                        </w14:solidFill>
                      </w14:textFill>
                    </w:rPr>
                    <w:t>6～9</w:t>
                  </w:r>
                  <w:r>
                    <w:rPr>
                      <w:rFonts w:hint="default" w:ascii="Times New Roman" w:hAnsi="Times New Roman" w:eastAsia="宋体" w:cs="Times New Roman"/>
                      <w:snapToGrid w:val="0"/>
                      <w:color w:val="000000" w:themeColor="text1"/>
                      <w:kern w:val="18"/>
                      <w:lang w:val="en-US" w:eastAsia="zh-CN"/>
                      <w14:textFill>
                        <w14:solidFill>
                          <w14:schemeClr w14:val="tx1"/>
                        </w14:solidFill>
                      </w14:textFill>
                    </w:rPr>
                    <w:t>(无量纲)</w:t>
                  </w:r>
                </w:p>
              </w:tc>
              <w:tc>
                <w:tcPr>
                  <w:tcW w:w="2321" w:type="pct"/>
                  <w:vMerge w:val="restart"/>
                  <w:noWrap w:val="0"/>
                  <w:vAlign w:val="center"/>
                </w:tcPr>
                <w:p w14:paraId="42AEB7F4">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r>
                    <w:rPr>
                      <w:rFonts w:hint="default" w:ascii="Times New Roman" w:hAnsi="Times New Roman" w:eastAsia="宋体" w:cs="Times New Roman"/>
                      <w:snapToGrid w:val="0"/>
                      <w:color w:val="000000" w:themeColor="text1"/>
                      <w:kern w:val="18"/>
                      <w14:textFill>
                        <w14:solidFill>
                          <w14:schemeClr w14:val="tx1"/>
                        </w14:solidFill>
                      </w14:textFill>
                    </w:rPr>
                    <w:t>《污水综合排放标准》(GB8978-1996)</w:t>
                  </w:r>
                </w:p>
                <w:p w14:paraId="1EB7C9C1">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r>
                    <w:rPr>
                      <w:rFonts w:hint="default" w:ascii="Times New Roman" w:hAnsi="Times New Roman" w:eastAsia="宋体" w:cs="Times New Roman"/>
                      <w:snapToGrid w:val="0"/>
                      <w:color w:val="000000" w:themeColor="text1"/>
                      <w:kern w:val="18"/>
                      <w14:textFill>
                        <w14:solidFill>
                          <w14:schemeClr w14:val="tx1"/>
                        </w14:solidFill>
                      </w14:textFill>
                    </w:rPr>
                    <w:t>中表4三级标准</w:t>
                  </w:r>
                </w:p>
              </w:tc>
            </w:tr>
            <w:tr w14:paraId="66744A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8" w:type="pct"/>
                  <w:noWrap w:val="0"/>
                  <w:vAlign w:val="center"/>
                </w:tcPr>
                <w:p w14:paraId="20EF6912">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r>
                    <w:rPr>
                      <w:rFonts w:hint="default" w:ascii="Times New Roman" w:hAnsi="Times New Roman" w:eastAsia="宋体" w:cs="Times New Roman"/>
                      <w:snapToGrid w:val="0"/>
                      <w:color w:val="000000" w:themeColor="text1"/>
                      <w:kern w:val="18"/>
                      <w14:textFill>
                        <w14:solidFill>
                          <w14:schemeClr w14:val="tx1"/>
                        </w14:solidFill>
                      </w14:textFill>
                    </w:rPr>
                    <w:t>COD</w:t>
                  </w:r>
                </w:p>
              </w:tc>
              <w:tc>
                <w:tcPr>
                  <w:tcW w:w="1339" w:type="pct"/>
                  <w:noWrap w:val="0"/>
                  <w:vAlign w:val="center"/>
                </w:tcPr>
                <w:p w14:paraId="2DD83C90">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r>
                    <w:rPr>
                      <w:rFonts w:hint="default" w:ascii="Times New Roman" w:hAnsi="Times New Roman" w:eastAsia="宋体" w:cs="Times New Roman"/>
                      <w:snapToGrid w:val="0"/>
                      <w:color w:val="000000" w:themeColor="text1"/>
                      <w:kern w:val="18"/>
                      <w14:textFill>
                        <w14:solidFill>
                          <w14:schemeClr w14:val="tx1"/>
                        </w14:solidFill>
                      </w14:textFill>
                    </w:rPr>
                    <w:t>500mg/L</w:t>
                  </w:r>
                </w:p>
              </w:tc>
              <w:tc>
                <w:tcPr>
                  <w:tcW w:w="2321" w:type="pct"/>
                  <w:vMerge w:val="continue"/>
                  <w:noWrap w:val="0"/>
                  <w:vAlign w:val="center"/>
                </w:tcPr>
                <w:p w14:paraId="3086B2D6">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p>
              </w:tc>
            </w:tr>
            <w:tr w14:paraId="124AC2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8" w:type="pct"/>
                  <w:noWrap w:val="0"/>
                  <w:vAlign w:val="center"/>
                </w:tcPr>
                <w:p w14:paraId="36179DCF">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r>
                    <w:rPr>
                      <w:rFonts w:hint="default" w:ascii="Times New Roman" w:hAnsi="Times New Roman" w:eastAsia="宋体" w:cs="Times New Roman"/>
                      <w:snapToGrid w:val="0"/>
                      <w:color w:val="000000" w:themeColor="text1"/>
                      <w:kern w:val="18"/>
                      <w14:textFill>
                        <w14:solidFill>
                          <w14:schemeClr w14:val="tx1"/>
                        </w14:solidFill>
                      </w14:textFill>
                    </w:rPr>
                    <w:t>BOD</w:t>
                  </w:r>
                  <w:r>
                    <w:rPr>
                      <w:rFonts w:hint="default" w:ascii="Times New Roman" w:hAnsi="Times New Roman" w:eastAsia="宋体" w:cs="Times New Roman"/>
                      <w:snapToGrid w:val="0"/>
                      <w:color w:val="000000" w:themeColor="text1"/>
                      <w:kern w:val="18"/>
                      <w:vertAlign w:val="subscript"/>
                      <w14:textFill>
                        <w14:solidFill>
                          <w14:schemeClr w14:val="tx1"/>
                        </w14:solidFill>
                      </w14:textFill>
                    </w:rPr>
                    <w:t>5</w:t>
                  </w:r>
                </w:p>
              </w:tc>
              <w:tc>
                <w:tcPr>
                  <w:tcW w:w="1339" w:type="pct"/>
                  <w:noWrap w:val="0"/>
                  <w:vAlign w:val="center"/>
                </w:tcPr>
                <w:p w14:paraId="20A2F8F8">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r>
                    <w:rPr>
                      <w:rFonts w:hint="default" w:ascii="Times New Roman" w:hAnsi="Times New Roman" w:eastAsia="宋体" w:cs="Times New Roman"/>
                      <w:snapToGrid w:val="0"/>
                      <w:color w:val="000000" w:themeColor="text1"/>
                      <w:kern w:val="18"/>
                      <w14:textFill>
                        <w14:solidFill>
                          <w14:schemeClr w14:val="tx1"/>
                        </w14:solidFill>
                      </w14:textFill>
                    </w:rPr>
                    <w:t>300mg/L</w:t>
                  </w:r>
                </w:p>
              </w:tc>
              <w:tc>
                <w:tcPr>
                  <w:tcW w:w="2321" w:type="pct"/>
                  <w:vMerge w:val="continue"/>
                  <w:noWrap w:val="0"/>
                  <w:vAlign w:val="center"/>
                </w:tcPr>
                <w:p w14:paraId="580BDFC1">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p>
              </w:tc>
            </w:tr>
            <w:tr w14:paraId="13DADB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8" w:type="pct"/>
                  <w:noWrap w:val="0"/>
                  <w:vAlign w:val="center"/>
                </w:tcPr>
                <w:p w14:paraId="588E5291">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r>
                    <w:rPr>
                      <w:rFonts w:hint="default" w:ascii="Times New Roman" w:hAnsi="Times New Roman" w:eastAsia="宋体" w:cs="Times New Roman"/>
                      <w:snapToGrid w:val="0"/>
                      <w:color w:val="000000" w:themeColor="text1"/>
                      <w:kern w:val="18"/>
                      <w14:textFill>
                        <w14:solidFill>
                          <w14:schemeClr w14:val="tx1"/>
                        </w14:solidFill>
                      </w14:textFill>
                    </w:rPr>
                    <w:t>SS</w:t>
                  </w:r>
                </w:p>
              </w:tc>
              <w:tc>
                <w:tcPr>
                  <w:tcW w:w="1339" w:type="pct"/>
                  <w:noWrap w:val="0"/>
                  <w:vAlign w:val="center"/>
                </w:tcPr>
                <w:p w14:paraId="6A940E4D">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r>
                    <w:rPr>
                      <w:rFonts w:hint="default" w:ascii="Times New Roman" w:hAnsi="Times New Roman" w:eastAsia="宋体" w:cs="Times New Roman"/>
                      <w:snapToGrid w:val="0"/>
                      <w:color w:val="000000" w:themeColor="text1"/>
                      <w:kern w:val="18"/>
                      <w14:textFill>
                        <w14:solidFill>
                          <w14:schemeClr w14:val="tx1"/>
                        </w14:solidFill>
                      </w14:textFill>
                    </w:rPr>
                    <w:t>400mg/L</w:t>
                  </w:r>
                </w:p>
              </w:tc>
              <w:tc>
                <w:tcPr>
                  <w:tcW w:w="2321" w:type="pct"/>
                  <w:vMerge w:val="continue"/>
                  <w:noWrap w:val="0"/>
                  <w:vAlign w:val="center"/>
                </w:tcPr>
                <w:p w14:paraId="6C507912">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p>
              </w:tc>
            </w:tr>
            <w:tr w14:paraId="3F8F85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8" w:type="pct"/>
                  <w:noWrap w:val="0"/>
                  <w:vAlign w:val="center"/>
                </w:tcPr>
                <w:p w14:paraId="218480D0">
                  <w:pPr>
                    <w:pStyle w:val="89"/>
                    <w:spacing w:line="340" w:lineRule="exact"/>
                    <w:ind w:firstLine="0" w:firstLineChars="0"/>
                    <w:rPr>
                      <w:rFonts w:hint="default" w:ascii="Times New Roman" w:hAnsi="Times New Roman" w:eastAsia="宋体" w:cs="Times New Roman"/>
                      <w:snapToGrid w:val="0"/>
                      <w:color w:val="000000" w:themeColor="text1"/>
                      <w:kern w:val="18"/>
                      <w:lang w:val="en-US" w:eastAsia="zh-CN"/>
                      <w14:textFill>
                        <w14:solidFill>
                          <w14:schemeClr w14:val="tx1"/>
                        </w14:solidFill>
                      </w14:textFill>
                    </w:rPr>
                  </w:pPr>
                  <w:r>
                    <w:rPr>
                      <w:rFonts w:hint="default" w:ascii="Times New Roman" w:hAnsi="Times New Roman" w:cs="Times New Roman"/>
                      <w:snapToGrid w:val="0"/>
                      <w:color w:val="000000" w:themeColor="text1"/>
                      <w:kern w:val="18"/>
                      <w:lang w:val="en-US" w:eastAsia="zh-CN"/>
                      <w14:textFill>
                        <w14:solidFill>
                          <w14:schemeClr w14:val="tx1"/>
                        </w14:solidFill>
                      </w14:textFill>
                    </w:rPr>
                    <w:t>石油类</w:t>
                  </w:r>
                </w:p>
              </w:tc>
              <w:tc>
                <w:tcPr>
                  <w:tcW w:w="1339" w:type="pct"/>
                  <w:noWrap w:val="0"/>
                  <w:vAlign w:val="center"/>
                </w:tcPr>
                <w:p w14:paraId="792256E4">
                  <w:pPr>
                    <w:pStyle w:val="89"/>
                    <w:spacing w:line="340" w:lineRule="exact"/>
                    <w:ind w:firstLine="0" w:firstLineChars="0"/>
                    <w:rPr>
                      <w:rFonts w:hint="default" w:ascii="Times New Roman" w:hAnsi="Times New Roman" w:eastAsia="宋体" w:cs="Times New Roman"/>
                      <w:snapToGrid w:val="0"/>
                      <w:color w:val="000000" w:themeColor="text1"/>
                      <w:kern w:val="18"/>
                      <w:lang w:val="en-US" w:eastAsia="zh-CN"/>
                      <w14:textFill>
                        <w14:solidFill>
                          <w14:schemeClr w14:val="tx1"/>
                        </w14:solidFill>
                      </w14:textFill>
                    </w:rPr>
                  </w:pPr>
                  <w:r>
                    <w:rPr>
                      <w:rFonts w:hint="default" w:ascii="Times New Roman" w:hAnsi="Times New Roman" w:cs="Times New Roman"/>
                      <w:snapToGrid w:val="0"/>
                      <w:color w:val="000000" w:themeColor="text1"/>
                      <w:kern w:val="18"/>
                      <w:lang w:val="en-US" w:eastAsia="zh-CN"/>
                      <w14:textFill>
                        <w14:solidFill>
                          <w14:schemeClr w14:val="tx1"/>
                        </w14:solidFill>
                      </w14:textFill>
                    </w:rPr>
                    <w:t>20</w:t>
                  </w:r>
                  <w:r>
                    <w:rPr>
                      <w:rFonts w:hint="default" w:ascii="Times New Roman" w:hAnsi="Times New Roman" w:eastAsia="宋体" w:cs="Times New Roman"/>
                      <w:snapToGrid w:val="0"/>
                      <w:color w:val="000000" w:themeColor="text1"/>
                      <w:kern w:val="18"/>
                      <w14:textFill>
                        <w14:solidFill>
                          <w14:schemeClr w14:val="tx1"/>
                        </w14:solidFill>
                      </w14:textFill>
                    </w:rPr>
                    <w:t>mg/L</w:t>
                  </w:r>
                </w:p>
              </w:tc>
              <w:tc>
                <w:tcPr>
                  <w:tcW w:w="2321" w:type="pct"/>
                  <w:vMerge w:val="continue"/>
                  <w:noWrap w:val="0"/>
                  <w:vAlign w:val="center"/>
                </w:tcPr>
                <w:p w14:paraId="4AC252B1">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p>
              </w:tc>
            </w:tr>
            <w:tr w14:paraId="2DDD1F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8" w:type="pct"/>
                  <w:shd w:val="clear" w:color="auto" w:fill="auto"/>
                  <w:noWrap w:val="0"/>
                  <w:vAlign w:val="center"/>
                </w:tcPr>
                <w:p w14:paraId="51C630C7">
                  <w:pPr>
                    <w:pStyle w:val="89"/>
                    <w:spacing w:line="340" w:lineRule="exact"/>
                    <w:ind w:firstLine="0" w:firstLineChars="0"/>
                    <w:rPr>
                      <w:rFonts w:hint="default" w:ascii="Times New Roman" w:hAnsi="Times New Roman" w:eastAsia="宋体" w:cs="Times New Roman"/>
                      <w:snapToGrid w:val="0"/>
                      <w:color w:val="000000" w:themeColor="text1"/>
                      <w:kern w:val="18"/>
                      <w:sz w:val="21"/>
                      <w:szCs w:val="24"/>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18"/>
                      <w14:textFill>
                        <w14:solidFill>
                          <w14:schemeClr w14:val="tx1"/>
                        </w14:solidFill>
                      </w14:textFill>
                    </w:rPr>
                    <w:t>NH</w:t>
                  </w:r>
                  <w:r>
                    <w:rPr>
                      <w:rFonts w:hint="default" w:ascii="Times New Roman" w:hAnsi="Times New Roman" w:eastAsia="宋体" w:cs="Times New Roman"/>
                      <w:snapToGrid w:val="0"/>
                      <w:color w:val="000000" w:themeColor="text1"/>
                      <w:kern w:val="18"/>
                      <w:vertAlign w:val="subscript"/>
                      <w14:textFill>
                        <w14:solidFill>
                          <w14:schemeClr w14:val="tx1"/>
                        </w14:solidFill>
                      </w14:textFill>
                    </w:rPr>
                    <w:t>3</w:t>
                  </w:r>
                  <w:r>
                    <w:rPr>
                      <w:rFonts w:hint="default" w:ascii="Times New Roman" w:hAnsi="Times New Roman" w:eastAsia="宋体" w:cs="Times New Roman"/>
                      <w:snapToGrid w:val="0"/>
                      <w:color w:val="000000" w:themeColor="text1"/>
                      <w:kern w:val="18"/>
                      <w14:textFill>
                        <w14:solidFill>
                          <w14:schemeClr w14:val="tx1"/>
                        </w14:solidFill>
                      </w14:textFill>
                    </w:rPr>
                    <w:t>-N</w:t>
                  </w:r>
                </w:p>
              </w:tc>
              <w:tc>
                <w:tcPr>
                  <w:tcW w:w="1339" w:type="pct"/>
                  <w:shd w:val="clear" w:color="auto" w:fill="auto"/>
                  <w:noWrap w:val="0"/>
                  <w:vAlign w:val="center"/>
                </w:tcPr>
                <w:p w14:paraId="1515FBD2">
                  <w:pPr>
                    <w:pStyle w:val="89"/>
                    <w:spacing w:line="340" w:lineRule="exact"/>
                    <w:ind w:firstLine="0" w:firstLineChars="0"/>
                    <w:rPr>
                      <w:rFonts w:hint="default" w:ascii="Times New Roman" w:hAnsi="Times New Roman" w:eastAsia="宋体" w:cs="Times New Roman"/>
                      <w:snapToGrid w:val="0"/>
                      <w:color w:val="000000" w:themeColor="text1"/>
                      <w:kern w:val="18"/>
                      <w:sz w:val="21"/>
                      <w:szCs w:val="24"/>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18"/>
                      <w14:textFill>
                        <w14:solidFill>
                          <w14:schemeClr w14:val="tx1"/>
                        </w14:solidFill>
                      </w14:textFill>
                    </w:rPr>
                    <w:t>45mg/L</w:t>
                  </w:r>
                </w:p>
              </w:tc>
              <w:tc>
                <w:tcPr>
                  <w:tcW w:w="2321" w:type="pct"/>
                  <w:vMerge w:val="restart"/>
                  <w:shd w:val="clear" w:color="auto" w:fill="auto"/>
                  <w:noWrap w:val="0"/>
                  <w:vAlign w:val="center"/>
                </w:tcPr>
                <w:p w14:paraId="78D075EC">
                  <w:pPr>
                    <w:pStyle w:val="89"/>
                    <w:spacing w:line="340" w:lineRule="exact"/>
                    <w:ind w:firstLine="0" w:firstLineChars="0"/>
                    <w:rPr>
                      <w:rFonts w:hint="default" w:ascii="Times New Roman" w:hAnsi="Times New Roman" w:eastAsia="宋体" w:cs="Times New Roman"/>
                      <w:snapToGrid w:val="0"/>
                      <w:color w:val="000000" w:themeColor="text1"/>
                      <w:kern w:val="18"/>
                      <w:sz w:val="21"/>
                      <w:szCs w:val="24"/>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18"/>
                      <w14:textFill>
                        <w14:solidFill>
                          <w14:schemeClr w14:val="tx1"/>
                        </w14:solidFill>
                      </w14:textFill>
                    </w:rPr>
                    <w:t>参照执行《污水排入城镇下水道水质标准》(GB/T 31962-2015)表1中</w:t>
                  </w:r>
                  <w:r>
                    <w:rPr>
                      <w:rFonts w:hint="default" w:ascii="Times New Roman" w:hAnsi="Times New Roman" w:eastAsia="宋体" w:cs="Times New Roman"/>
                      <w:snapToGrid w:val="0"/>
                      <w:color w:val="000000" w:themeColor="text1"/>
                      <w:kern w:val="18"/>
                      <w:lang w:val="en-US" w:eastAsia="zh-CN"/>
                      <w14:textFill>
                        <w14:solidFill>
                          <w14:schemeClr w14:val="tx1"/>
                        </w14:solidFill>
                      </w14:textFill>
                    </w:rPr>
                    <w:t>B</w:t>
                  </w:r>
                  <w:r>
                    <w:rPr>
                      <w:rFonts w:hint="default" w:ascii="Times New Roman" w:hAnsi="Times New Roman" w:eastAsia="宋体" w:cs="Times New Roman"/>
                      <w:snapToGrid w:val="0"/>
                      <w:color w:val="000000" w:themeColor="text1"/>
                      <w:kern w:val="18"/>
                      <w14:textFill>
                        <w14:solidFill>
                          <w14:schemeClr w14:val="tx1"/>
                        </w14:solidFill>
                      </w14:textFill>
                    </w:rPr>
                    <w:t>级标准</w:t>
                  </w:r>
                </w:p>
              </w:tc>
            </w:tr>
            <w:tr w14:paraId="00713D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8" w:type="pct"/>
                  <w:shd w:val="clear" w:color="auto" w:fill="auto"/>
                  <w:noWrap w:val="0"/>
                  <w:vAlign w:val="center"/>
                </w:tcPr>
                <w:p w14:paraId="10103B06">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r>
                    <w:rPr>
                      <w:rFonts w:hint="default" w:ascii="Times New Roman" w:hAnsi="Times New Roman" w:eastAsia="宋体" w:cs="Times New Roman"/>
                      <w:snapToGrid w:val="0"/>
                      <w:color w:val="000000" w:themeColor="text1"/>
                      <w:kern w:val="18"/>
                      <w:lang w:val="en-US" w:eastAsia="zh-CN"/>
                      <w14:textFill>
                        <w14:solidFill>
                          <w14:schemeClr w14:val="tx1"/>
                        </w14:solidFill>
                      </w14:textFill>
                    </w:rPr>
                    <w:t>TN</w:t>
                  </w:r>
                </w:p>
              </w:tc>
              <w:tc>
                <w:tcPr>
                  <w:tcW w:w="1339" w:type="pct"/>
                  <w:shd w:val="clear" w:color="auto" w:fill="auto"/>
                  <w:noWrap w:val="0"/>
                  <w:vAlign w:val="center"/>
                </w:tcPr>
                <w:p w14:paraId="1FDC019C">
                  <w:pPr>
                    <w:pStyle w:val="89"/>
                    <w:spacing w:line="340" w:lineRule="exact"/>
                    <w:ind w:firstLine="0" w:firstLineChars="0"/>
                    <w:rPr>
                      <w:rFonts w:hint="default" w:ascii="Times New Roman" w:hAnsi="Times New Roman" w:eastAsia="宋体" w:cs="Times New Roman"/>
                      <w:snapToGrid w:val="0"/>
                      <w:color w:val="000000" w:themeColor="text1"/>
                      <w:kern w:val="18"/>
                      <w:lang w:val="en-US" w:eastAsia="zh-CN"/>
                      <w14:textFill>
                        <w14:solidFill>
                          <w14:schemeClr w14:val="tx1"/>
                        </w14:solidFill>
                      </w14:textFill>
                    </w:rPr>
                  </w:pPr>
                  <w:r>
                    <w:rPr>
                      <w:rFonts w:hint="default" w:ascii="Times New Roman" w:hAnsi="Times New Roman" w:cs="Times New Roman"/>
                      <w:snapToGrid w:val="0"/>
                      <w:color w:val="000000" w:themeColor="text1"/>
                      <w:kern w:val="18"/>
                      <w:lang w:val="en-US" w:eastAsia="zh-CN"/>
                      <w14:textFill>
                        <w14:solidFill>
                          <w14:schemeClr w14:val="tx1"/>
                        </w14:solidFill>
                      </w14:textFill>
                    </w:rPr>
                    <w:t>70</w:t>
                  </w:r>
                  <w:r>
                    <w:rPr>
                      <w:rFonts w:hint="default" w:ascii="Times New Roman" w:hAnsi="Times New Roman" w:eastAsia="宋体" w:cs="Times New Roman"/>
                      <w:snapToGrid w:val="0"/>
                      <w:color w:val="000000" w:themeColor="text1"/>
                      <w:kern w:val="18"/>
                      <w14:textFill>
                        <w14:solidFill>
                          <w14:schemeClr w14:val="tx1"/>
                        </w14:solidFill>
                      </w14:textFill>
                    </w:rPr>
                    <w:t>mg/L</w:t>
                  </w:r>
                </w:p>
              </w:tc>
              <w:tc>
                <w:tcPr>
                  <w:tcW w:w="2321" w:type="pct"/>
                  <w:vMerge w:val="continue"/>
                  <w:shd w:val="clear" w:color="auto" w:fill="auto"/>
                  <w:noWrap w:val="0"/>
                  <w:vAlign w:val="center"/>
                </w:tcPr>
                <w:p w14:paraId="38522F9A">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p>
              </w:tc>
            </w:tr>
            <w:tr w14:paraId="17E369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8" w:type="pct"/>
                  <w:shd w:val="clear" w:color="auto" w:fill="auto"/>
                  <w:noWrap w:val="0"/>
                  <w:vAlign w:val="center"/>
                </w:tcPr>
                <w:p w14:paraId="5B27B7FF">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r>
                    <w:rPr>
                      <w:rFonts w:hint="default" w:ascii="Times New Roman" w:hAnsi="Times New Roman" w:eastAsia="宋体" w:cs="Times New Roman"/>
                      <w:snapToGrid w:val="0"/>
                      <w:color w:val="000000" w:themeColor="text1"/>
                      <w:kern w:val="18"/>
                      <w:lang w:val="en-US" w:eastAsia="zh-CN"/>
                      <w14:textFill>
                        <w14:solidFill>
                          <w14:schemeClr w14:val="tx1"/>
                        </w14:solidFill>
                      </w14:textFill>
                    </w:rPr>
                    <w:t>TP</w:t>
                  </w:r>
                </w:p>
              </w:tc>
              <w:tc>
                <w:tcPr>
                  <w:tcW w:w="1339" w:type="pct"/>
                  <w:shd w:val="clear" w:color="auto" w:fill="auto"/>
                  <w:noWrap w:val="0"/>
                  <w:vAlign w:val="center"/>
                </w:tcPr>
                <w:p w14:paraId="781D98E6">
                  <w:pPr>
                    <w:pStyle w:val="89"/>
                    <w:spacing w:line="340" w:lineRule="exact"/>
                    <w:ind w:firstLine="0" w:firstLineChars="0"/>
                    <w:rPr>
                      <w:rFonts w:hint="default" w:ascii="Times New Roman" w:hAnsi="Times New Roman" w:eastAsia="宋体" w:cs="Times New Roman"/>
                      <w:snapToGrid w:val="0"/>
                      <w:color w:val="000000" w:themeColor="text1"/>
                      <w:kern w:val="18"/>
                      <w:lang w:val="en-US" w:eastAsia="zh-CN"/>
                      <w14:textFill>
                        <w14:solidFill>
                          <w14:schemeClr w14:val="tx1"/>
                        </w14:solidFill>
                      </w14:textFill>
                    </w:rPr>
                  </w:pPr>
                  <w:r>
                    <w:rPr>
                      <w:rFonts w:hint="default" w:ascii="Times New Roman" w:hAnsi="Times New Roman" w:cs="Times New Roman"/>
                      <w:snapToGrid w:val="0"/>
                      <w:color w:val="000000" w:themeColor="text1"/>
                      <w:kern w:val="18"/>
                      <w:lang w:val="en-US" w:eastAsia="zh-CN"/>
                      <w14:textFill>
                        <w14:solidFill>
                          <w14:schemeClr w14:val="tx1"/>
                        </w14:solidFill>
                      </w14:textFill>
                    </w:rPr>
                    <w:t>8</w:t>
                  </w:r>
                  <w:r>
                    <w:rPr>
                      <w:rFonts w:hint="default" w:ascii="Times New Roman" w:hAnsi="Times New Roman" w:eastAsia="宋体" w:cs="Times New Roman"/>
                      <w:snapToGrid w:val="0"/>
                      <w:color w:val="000000" w:themeColor="text1"/>
                      <w:kern w:val="18"/>
                      <w14:textFill>
                        <w14:solidFill>
                          <w14:schemeClr w14:val="tx1"/>
                        </w14:solidFill>
                      </w14:textFill>
                    </w:rPr>
                    <w:t>mg/L</w:t>
                  </w:r>
                </w:p>
              </w:tc>
              <w:tc>
                <w:tcPr>
                  <w:tcW w:w="2321" w:type="pct"/>
                  <w:vMerge w:val="continue"/>
                  <w:shd w:val="clear" w:color="auto" w:fill="auto"/>
                  <w:noWrap w:val="0"/>
                  <w:vAlign w:val="center"/>
                </w:tcPr>
                <w:p w14:paraId="02250A98">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p>
              </w:tc>
            </w:tr>
          </w:tbl>
          <w:p w14:paraId="26098AE8">
            <w:pPr>
              <w:keepNext w:val="0"/>
              <w:keepLines w:val="0"/>
              <w:pageBreakBefore w:val="0"/>
              <w:widowControl w:val="0"/>
              <w:kinsoku/>
              <w:wordWrap/>
              <w:overflowPunct/>
              <w:topLinePunct w:val="0"/>
              <w:autoSpaceDE/>
              <w:autoSpaceDN/>
              <w:bidi w:val="0"/>
              <w:adjustRightInd w:val="0"/>
              <w:snapToGrid w:val="0"/>
              <w:spacing w:before="313" w:beforeLines="100"/>
              <w:jc w:val="center"/>
              <w:textAlignment w:val="auto"/>
              <w:rPr>
                <w:rFonts w:hint="default" w:ascii="Times New Roman" w:hAnsi="Times New Roman" w:eastAsia="宋体" w:cs="Times New Roman"/>
                <w:color w:val="000000" w:themeColor="text1"/>
                <w:sz w:val="24"/>
                <w:szCs w:val="22"/>
                <w14:textFill>
                  <w14:solidFill>
                    <w14:schemeClr w14:val="tx1"/>
                  </w14:solidFill>
                </w14:textFill>
              </w:rPr>
            </w:pPr>
            <w:r>
              <w:rPr>
                <w:rFonts w:hint="default" w:ascii="Times New Roman" w:hAnsi="Times New Roman" w:eastAsia="黑体" w:cs="Times New Roman"/>
                <w:color w:val="000000" w:themeColor="text1"/>
                <w:sz w:val="24"/>
                <w:szCs w:val="22"/>
                <w14:textFill>
                  <w14:solidFill>
                    <w14:schemeClr w14:val="tx1"/>
                  </w14:solidFill>
                </w14:textFill>
              </w:rPr>
              <w:t>表3.</w:t>
            </w:r>
            <w:r>
              <w:rPr>
                <w:rFonts w:hint="default" w:ascii="Times New Roman" w:hAnsi="Times New Roman" w:eastAsia="黑体" w:cs="Times New Roman"/>
                <w:color w:val="000000" w:themeColor="text1"/>
                <w:sz w:val="24"/>
                <w:szCs w:val="22"/>
                <w:lang w:val="en-US" w:eastAsia="zh-CN"/>
                <w14:textFill>
                  <w14:solidFill>
                    <w14:schemeClr w14:val="tx1"/>
                  </w14:solidFill>
                </w14:textFill>
              </w:rPr>
              <w:t>7-2 回用水</w:t>
            </w:r>
            <w:r>
              <w:rPr>
                <w:rFonts w:hint="default" w:ascii="Times New Roman" w:hAnsi="Times New Roman" w:eastAsia="黑体" w:cs="Times New Roman"/>
                <w:color w:val="000000" w:themeColor="text1"/>
                <w:sz w:val="24"/>
                <w:szCs w:val="22"/>
                <w14:textFill>
                  <w14:solidFill>
                    <w14:schemeClr w14:val="tx1"/>
                  </w14:solidFill>
                </w14:textFill>
              </w:rPr>
              <w:t>执行标准</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17"/>
              <w:gridCol w:w="2218"/>
              <w:gridCol w:w="3845"/>
            </w:tblGrid>
            <w:tr w14:paraId="6D132E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8" w:type="pct"/>
                  <w:noWrap w:val="0"/>
                  <w:vAlign w:val="center"/>
                </w:tcPr>
                <w:p w14:paraId="23971E14">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r>
                    <w:rPr>
                      <w:rFonts w:hint="default" w:ascii="Times New Roman" w:hAnsi="Times New Roman" w:eastAsia="宋体" w:cs="Times New Roman"/>
                      <w:snapToGrid w:val="0"/>
                      <w:color w:val="000000" w:themeColor="text1"/>
                      <w:kern w:val="18"/>
                      <w14:textFill>
                        <w14:solidFill>
                          <w14:schemeClr w14:val="tx1"/>
                        </w14:solidFill>
                      </w14:textFill>
                    </w:rPr>
                    <w:t>污染物名称</w:t>
                  </w:r>
                </w:p>
              </w:tc>
              <w:tc>
                <w:tcPr>
                  <w:tcW w:w="1339" w:type="pct"/>
                  <w:noWrap w:val="0"/>
                  <w:vAlign w:val="center"/>
                </w:tcPr>
                <w:p w14:paraId="50D7E05E">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r>
                    <w:rPr>
                      <w:rFonts w:hint="default" w:ascii="Times New Roman" w:hAnsi="Times New Roman" w:eastAsia="宋体" w:cs="Times New Roman"/>
                      <w:snapToGrid w:val="0"/>
                      <w:color w:val="000000" w:themeColor="text1"/>
                      <w:kern w:val="18"/>
                      <w14:textFill>
                        <w14:solidFill>
                          <w14:schemeClr w14:val="tx1"/>
                        </w14:solidFill>
                      </w14:textFill>
                    </w:rPr>
                    <w:t>标准值</w:t>
                  </w:r>
                </w:p>
              </w:tc>
              <w:tc>
                <w:tcPr>
                  <w:tcW w:w="2321" w:type="pct"/>
                  <w:noWrap w:val="0"/>
                  <w:vAlign w:val="center"/>
                </w:tcPr>
                <w:p w14:paraId="25A55A0E">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r>
                    <w:rPr>
                      <w:rFonts w:hint="default" w:ascii="Times New Roman" w:hAnsi="Times New Roman" w:eastAsia="宋体" w:cs="Times New Roman"/>
                      <w:snapToGrid w:val="0"/>
                      <w:color w:val="000000" w:themeColor="text1"/>
                      <w:kern w:val="18"/>
                      <w14:textFill>
                        <w14:solidFill>
                          <w14:schemeClr w14:val="tx1"/>
                        </w14:solidFill>
                      </w14:textFill>
                    </w:rPr>
                    <w:t>标准来源</w:t>
                  </w:r>
                </w:p>
              </w:tc>
            </w:tr>
            <w:tr w14:paraId="7EC335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8" w:type="pct"/>
                  <w:shd w:val="clear" w:color="auto" w:fill="auto"/>
                  <w:noWrap w:val="0"/>
                  <w:vAlign w:val="center"/>
                </w:tcPr>
                <w:p w14:paraId="57B94E5C">
                  <w:pPr>
                    <w:pStyle w:val="89"/>
                    <w:spacing w:line="340" w:lineRule="exact"/>
                    <w:ind w:firstLine="0" w:firstLineChars="0"/>
                    <w:rPr>
                      <w:rFonts w:hint="default" w:ascii="Times New Roman" w:hAnsi="Times New Roman" w:eastAsia="宋体" w:cs="Times New Roman"/>
                      <w:snapToGrid w:val="0"/>
                      <w:color w:val="000000" w:themeColor="text1"/>
                      <w:kern w:val="18"/>
                      <w:sz w:val="21"/>
                      <w:szCs w:val="24"/>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18"/>
                      <w14:textFill>
                        <w14:solidFill>
                          <w14:schemeClr w14:val="tx1"/>
                        </w14:solidFill>
                      </w14:textFill>
                    </w:rPr>
                    <w:t>COD</w:t>
                  </w:r>
                </w:p>
              </w:tc>
              <w:tc>
                <w:tcPr>
                  <w:tcW w:w="1339" w:type="pct"/>
                  <w:shd w:val="clear" w:color="auto" w:fill="auto"/>
                  <w:noWrap w:val="0"/>
                  <w:vAlign w:val="center"/>
                </w:tcPr>
                <w:p w14:paraId="7C9E9593">
                  <w:pPr>
                    <w:pStyle w:val="89"/>
                    <w:spacing w:line="340" w:lineRule="exact"/>
                    <w:ind w:firstLine="0" w:firstLineChars="0"/>
                    <w:rPr>
                      <w:rFonts w:hint="default" w:ascii="Times New Roman" w:hAnsi="Times New Roman" w:eastAsia="宋体" w:cs="Times New Roman"/>
                      <w:snapToGrid w:val="0"/>
                      <w:color w:val="000000" w:themeColor="text1"/>
                      <w:kern w:val="18"/>
                      <w:sz w:val="21"/>
                      <w:szCs w:val="24"/>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18"/>
                      <w14:textFill>
                        <w14:solidFill>
                          <w14:schemeClr w14:val="tx1"/>
                        </w14:solidFill>
                      </w14:textFill>
                    </w:rPr>
                    <w:t>50mg/L</w:t>
                  </w:r>
                </w:p>
              </w:tc>
              <w:tc>
                <w:tcPr>
                  <w:tcW w:w="2321" w:type="pct"/>
                  <w:vMerge w:val="restart"/>
                  <w:noWrap w:val="0"/>
                  <w:vAlign w:val="center"/>
                </w:tcPr>
                <w:p w14:paraId="0F6F3C70">
                  <w:pPr>
                    <w:pStyle w:val="89"/>
                    <w:spacing w:line="340" w:lineRule="exact"/>
                    <w:ind w:firstLine="0" w:firstLineChars="0"/>
                    <w:rPr>
                      <w:rFonts w:hint="default" w:ascii="Times New Roman" w:hAnsi="Times New Roman" w:eastAsia="宋体" w:cs="Times New Roman"/>
                      <w:snapToGrid w:val="0"/>
                      <w:color w:val="000000" w:themeColor="text1"/>
                      <w:kern w:val="18"/>
                      <w:sz w:val="21"/>
                      <w:szCs w:val="24"/>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18"/>
                      <w:sz w:val="21"/>
                      <w:szCs w:val="24"/>
                      <w:lang w:val="en-US" w:eastAsia="zh-CN" w:bidi="ar-SA"/>
                      <w14:textFill>
                        <w14:solidFill>
                          <w14:schemeClr w14:val="tx1"/>
                        </w14:solidFill>
                      </w14:textFill>
                    </w:rPr>
                    <w:t>《城市污水再生利用 工业用水水质》（GB/T19923-2024）</w:t>
                  </w:r>
                </w:p>
              </w:tc>
            </w:tr>
            <w:tr w14:paraId="279FC7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8" w:type="pct"/>
                  <w:shd w:val="clear" w:color="auto" w:fill="auto"/>
                  <w:noWrap w:val="0"/>
                  <w:vAlign w:val="center"/>
                </w:tcPr>
                <w:p w14:paraId="401CD78A">
                  <w:pPr>
                    <w:pStyle w:val="89"/>
                    <w:spacing w:line="340" w:lineRule="exact"/>
                    <w:ind w:firstLine="0" w:firstLineChars="0"/>
                    <w:rPr>
                      <w:rFonts w:hint="default" w:ascii="Times New Roman" w:hAnsi="Times New Roman" w:eastAsia="宋体" w:cs="Times New Roman"/>
                      <w:snapToGrid w:val="0"/>
                      <w:color w:val="000000" w:themeColor="text1"/>
                      <w:kern w:val="18"/>
                      <w:sz w:val="21"/>
                      <w:szCs w:val="24"/>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18"/>
                      <w14:textFill>
                        <w14:solidFill>
                          <w14:schemeClr w14:val="tx1"/>
                        </w14:solidFill>
                      </w14:textFill>
                    </w:rPr>
                    <w:t>BOD</w:t>
                  </w:r>
                  <w:r>
                    <w:rPr>
                      <w:rFonts w:hint="default" w:ascii="Times New Roman" w:hAnsi="Times New Roman" w:eastAsia="宋体" w:cs="Times New Roman"/>
                      <w:snapToGrid w:val="0"/>
                      <w:color w:val="000000" w:themeColor="text1"/>
                      <w:kern w:val="18"/>
                      <w:vertAlign w:val="subscript"/>
                      <w14:textFill>
                        <w14:solidFill>
                          <w14:schemeClr w14:val="tx1"/>
                        </w14:solidFill>
                      </w14:textFill>
                    </w:rPr>
                    <w:t>5</w:t>
                  </w:r>
                </w:p>
              </w:tc>
              <w:tc>
                <w:tcPr>
                  <w:tcW w:w="1339" w:type="pct"/>
                  <w:shd w:val="clear" w:color="auto" w:fill="auto"/>
                  <w:noWrap w:val="0"/>
                  <w:vAlign w:val="center"/>
                </w:tcPr>
                <w:p w14:paraId="53A19FA2">
                  <w:pPr>
                    <w:pStyle w:val="89"/>
                    <w:spacing w:line="340" w:lineRule="exact"/>
                    <w:ind w:firstLine="0" w:firstLineChars="0"/>
                    <w:rPr>
                      <w:rFonts w:hint="default" w:ascii="Times New Roman" w:hAnsi="Times New Roman" w:eastAsia="宋体" w:cs="Times New Roman"/>
                      <w:snapToGrid w:val="0"/>
                      <w:color w:val="000000" w:themeColor="text1"/>
                      <w:kern w:val="18"/>
                      <w:sz w:val="21"/>
                      <w:szCs w:val="24"/>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18"/>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18"/>
                      <w14:textFill>
                        <w14:solidFill>
                          <w14:schemeClr w14:val="tx1"/>
                        </w14:solidFill>
                      </w14:textFill>
                    </w:rPr>
                    <w:t>0mg/L</w:t>
                  </w:r>
                </w:p>
              </w:tc>
              <w:tc>
                <w:tcPr>
                  <w:tcW w:w="2321" w:type="pct"/>
                  <w:vMerge w:val="continue"/>
                  <w:noWrap w:val="0"/>
                  <w:vAlign w:val="center"/>
                </w:tcPr>
                <w:p w14:paraId="3555C419">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p>
              </w:tc>
            </w:tr>
            <w:tr w14:paraId="53B4D0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8" w:type="pct"/>
                  <w:noWrap w:val="0"/>
                  <w:vAlign w:val="center"/>
                </w:tcPr>
                <w:p w14:paraId="4A3AB56F">
                  <w:pPr>
                    <w:pStyle w:val="89"/>
                    <w:spacing w:line="340" w:lineRule="exact"/>
                    <w:ind w:firstLine="0" w:firstLineChars="0"/>
                    <w:rPr>
                      <w:rFonts w:hint="default" w:ascii="Times New Roman" w:hAnsi="Times New Roman" w:eastAsia="宋体" w:cs="Times New Roman"/>
                      <w:snapToGrid w:val="0"/>
                      <w:color w:val="000000" w:themeColor="text1"/>
                      <w:kern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18"/>
                      <w:lang w:val="en-US" w:eastAsia="zh-CN"/>
                      <w14:textFill>
                        <w14:solidFill>
                          <w14:schemeClr w14:val="tx1"/>
                        </w14:solidFill>
                      </w14:textFill>
                    </w:rPr>
                    <w:t>TN</w:t>
                  </w:r>
                </w:p>
              </w:tc>
              <w:tc>
                <w:tcPr>
                  <w:tcW w:w="1339" w:type="pct"/>
                  <w:noWrap w:val="0"/>
                  <w:vAlign w:val="center"/>
                </w:tcPr>
                <w:p w14:paraId="35549876">
                  <w:pPr>
                    <w:pStyle w:val="89"/>
                    <w:spacing w:line="340" w:lineRule="exact"/>
                    <w:ind w:firstLine="0" w:firstLineChars="0"/>
                    <w:rPr>
                      <w:rFonts w:hint="default" w:ascii="Times New Roman" w:hAnsi="Times New Roman" w:eastAsia="宋体" w:cs="Times New Roman"/>
                      <w:snapToGrid w:val="0"/>
                      <w:color w:val="000000" w:themeColor="text1"/>
                      <w:kern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18"/>
                      <w:lang w:val="en-US" w:eastAsia="zh-CN"/>
                      <w14:textFill>
                        <w14:solidFill>
                          <w14:schemeClr w14:val="tx1"/>
                        </w14:solidFill>
                      </w14:textFill>
                    </w:rPr>
                    <w:t>15</w:t>
                  </w:r>
                  <w:r>
                    <w:rPr>
                      <w:rFonts w:hint="default" w:ascii="Times New Roman" w:hAnsi="Times New Roman" w:eastAsia="宋体" w:cs="Times New Roman"/>
                      <w:snapToGrid w:val="0"/>
                      <w:color w:val="000000" w:themeColor="text1"/>
                      <w:kern w:val="18"/>
                      <w14:textFill>
                        <w14:solidFill>
                          <w14:schemeClr w14:val="tx1"/>
                        </w14:solidFill>
                      </w14:textFill>
                    </w:rPr>
                    <w:t>mg/L</w:t>
                  </w:r>
                </w:p>
              </w:tc>
              <w:tc>
                <w:tcPr>
                  <w:tcW w:w="2321" w:type="pct"/>
                  <w:vMerge w:val="continue"/>
                  <w:noWrap w:val="0"/>
                  <w:vAlign w:val="center"/>
                </w:tcPr>
                <w:p w14:paraId="6A65F3FD">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p>
              </w:tc>
            </w:tr>
            <w:tr w14:paraId="2B4457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8" w:type="pct"/>
                  <w:noWrap w:val="0"/>
                  <w:vAlign w:val="center"/>
                </w:tcPr>
                <w:p w14:paraId="6DFFD06C">
                  <w:pPr>
                    <w:pStyle w:val="89"/>
                    <w:spacing w:line="340" w:lineRule="exact"/>
                    <w:ind w:firstLine="0" w:firstLineChars="0"/>
                    <w:rPr>
                      <w:rFonts w:hint="default" w:ascii="Times New Roman" w:hAnsi="Times New Roman" w:eastAsia="宋体" w:cs="Times New Roman"/>
                      <w:snapToGrid w:val="0"/>
                      <w:color w:val="000000" w:themeColor="text1"/>
                      <w:kern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18"/>
                      <w:lang w:val="en-US" w:eastAsia="zh-CN"/>
                      <w14:textFill>
                        <w14:solidFill>
                          <w14:schemeClr w14:val="tx1"/>
                        </w14:solidFill>
                      </w14:textFill>
                    </w:rPr>
                    <w:t>TP</w:t>
                  </w:r>
                </w:p>
              </w:tc>
              <w:tc>
                <w:tcPr>
                  <w:tcW w:w="1339" w:type="pct"/>
                  <w:noWrap w:val="0"/>
                  <w:vAlign w:val="center"/>
                </w:tcPr>
                <w:p w14:paraId="1CC8AB26">
                  <w:pPr>
                    <w:pStyle w:val="89"/>
                    <w:spacing w:line="340" w:lineRule="exact"/>
                    <w:ind w:firstLine="0" w:firstLineChars="0"/>
                    <w:rPr>
                      <w:rFonts w:hint="default" w:ascii="Times New Roman" w:hAnsi="Times New Roman" w:eastAsia="宋体" w:cs="Times New Roman"/>
                      <w:snapToGrid w:val="0"/>
                      <w:color w:val="000000" w:themeColor="text1"/>
                      <w:kern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18"/>
                      <w:lang w:val="en-US" w:eastAsia="zh-CN"/>
                      <w14:textFill>
                        <w14:solidFill>
                          <w14:schemeClr w14:val="tx1"/>
                        </w14:solidFill>
                      </w14:textFill>
                    </w:rPr>
                    <w:t>0.5</w:t>
                  </w:r>
                  <w:r>
                    <w:rPr>
                      <w:rFonts w:hint="default" w:ascii="Times New Roman" w:hAnsi="Times New Roman" w:eastAsia="宋体" w:cs="Times New Roman"/>
                      <w:snapToGrid w:val="0"/>
                      <w:color w:val="000000" w:themeColor="text1"/>
                      <w:kern w:val="18"/>
                      <w14:textFill>
                        <w14:solidFill>
                          <w14:schemeClr w14:val="tx1"/>
                        </w14:solidFill>
                      </w14:textFill>
                    </w:rPr>
                    <w:t>mg/L</w:t>
                  </w:r>
                </w:p>
              </w:tc>
              <w:tc>
                <w:tcPr>
                  <w:tcW w:w="2321" w:type="pct"/>
                  <w:vMerge w:val="continue"/>
                  <w:noWrap w:val="0"/>
                  <w:vAlign w:val="center"/>
                </w:tcPr>
                <w:p w14:paraId="302A12A8">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p>
              </w:tc>
            </w:tr>
            <w:tr w14:paraId="0E480A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8" w:type="pct"/>
                  <w:noWrap w:val="0"/>
                  <w:vAlign w:val="center"/>
                </w:tcPr>
                <w:p w14:paraId="0FF7C85B">
                  <w:pPr>
                    <w:pStyle w:val="89"/>
                    <w:spacing w:line="340" w:lineRule="exact"/>
                    <w:ind w:firstLine="0" w:firstLineChars="0"/>
                    <w:rPr>
                      <w:rFonts w:hint="default" w:ascii="Times New Roman" w:hAnsi="Times New Roman" w:eastAsia="宋体" w:cs="Times New Roman"/>
                      <w:snapToGrid w:val="0"/>
                      <w:color w:val="000000" w:themeColor="text1"/>
                      <w:kern w:val="18"/>
                      <w:lang w:val="en-US" w:eastAsia="zh-CN"/>
                      <w14:textFill>
                        <w14:solidFill>
                          <w14:schemeClr w14:val="tx1"/>
                        </w14:solidFill>
                      </w14:textFill>
                    </w:rPr>
                  </w:pPr>
                  <w:r>
                    <w:rPr>
                      <w:rFonts w:hint="default" w:ascii="Times New Roman" w:hAnsi="Times New Roman" w:cs="Times New Roman"/>
                      <w:snapToGrid w:val="0"/>
                      <w:color w:val="000000" w:themeColor="text1"/>
                      <w:kern w:val="18"/>
                      <w:lang w:val="en-US" w:eastAsia="zh-CN"/>
                      <w14:textFill>
                        <w14:solidFill>
                          <w14:schemeClr w14:val="tx1"/>
                        </w14:solidFill>
                      </w14:textFill>
                    </w:rPr>
                    <w:t>石油类</w:t>
                  </w:r>
                </w:p>
              </w:tc>
              <w:tc>
                <w:tcPr>
                  <w:tcW w:w="1339" w:type="pct"/>
                  <w:noWrap w:val="0"/>
                  <w:vAlign w:val="center"/>
                </w:tcPr>
                <w:p w14:paraId="3CE67907">
                  <w:pPr>
                    <w:pStyle w:val="89"/>
                    <w:spacing w:line="340" w:lineRule="exact"/>
                    <w:ind w:firstLine="0" w:firstLineChars="0"/>
                    <w:rPr>
                      <w:rFonts w:hint="default" w:ascii="Times New Roman" w:hAnsi="Times New Roman" w:eastAsia="宋体" w:cs="Times New Roman"/>
                      <w:snapToGrid w:val="0"/>
                      <w:color w:val="000000" w:themeColor="text1"/>
                      <w:kern w:val="18"/>
                      <w:lang w:val="en-US" w:eastAsia="zh-CN"/>
                      <w14:textFill>
                        <w14:solidFill>
                          <w14:schemeClr w14:val="tx1"/>
                        </w14:solidFill>
                      </w14:textFill>
                    </w:rPr>
                  </w:pPr>
                  <w:r>
                    <w:rPr>
                      <w:rFonts w:hint="default" w:ascii="Times New Roman" w:hAnsi="Times New Roman" w:cs="Times New Roman"/>
                      <w:snapToGrid w:val="0"/>
                      <w:color w:val="000000" w:themeColor="text1"/>
                      <w:kern w:val="18"/>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18"/>
                      <w14:textFill>
                        <w14:solidFill>
                          <w14:schemeClr w14:val="tx1"/>
                        </w14:solidFill>
                      </w14:textFill>
                    </w:rPr>
                    <w:t>mg/L</w:t>
                  </w:r>
                </w:p>
              </w:tc>
              <w:tc>
                <w:tcPr>
                  <w:tcW w:w="2321" w:type="pct"/>
                  <w:vMerge w:val="continue"/>
                  <w:noWrap w:val="0"/>
                  <w:vAlign w:val="center"/>
                </w:tcPr>
                <w:p w14:paraId="1122746A">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p>
              </w:tc>
            </w:tr>
            <w:tr w14:paraId="09E87A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8" w:type="pct"/>
                  <w:noWrap w:val="0"/>
                  <w:vAlign w:val="center"/>
                </w:tcPr>
                <w:p w14:paraId="2B6D6E59">
                  <w:pPr>
                    <w:pStyle w:val="89"/>
                    <w:spacing w:line="340" w:lineRule="exact"/>
                    <w:ind w:firstLine="0" w:firstLineChars="0"/>
                    <w:rPr>
                      <w:rFonts w:hint="default" w:ascii="Times New Roman" w:hAnsi="Times New Roman" w:cs="Times New Roman"/>
                      <w:snapToGrid w:val="0"/>
                      <w:color w:val="000000" w:themeColor="text1"/>
                      <w:kern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18"/>
                      <w14:textFill>
                        <w14:solidFill>
                          <w14:schemeClr w14:val="tx1"/>
                        </w14:solidFill>
                      </w14:textFill>
                    </w:rPr>
                    <w:t>SS</w:t>
                  </w:r>
                </w:p>
              </w:tc>
              <w:tc>
                <w:tcPr>
                  <w:tcW w:w="1339" w:type="pct"/>
                  <w:noWrap w:val="0"/>
                  <w:vAlign w:val="center"/>
                </w:tcPr>
                <w:p w14:paraId="4A990F25">
                  <w:pPr>
                    <w:pStyle w:val="89"/>
                    <w:spacing w:line="340" w:lineRule="exact"/>
                    <w:ind w:firstLine="0" w:firstLineChars="0"/>
                    <w:rPr>
                      <w:rFonts w:hint="default" w:ascii="Times New Roman" w:hAnsi="Times New Roman" w:cs="Times New Roman"/>
                      <w:snapToGrid w:val="0"/>
                      <w:color w:val="000000" w:themeColor="text1"/>
                      <w:kern w:val="18"/>
                      <w:lang w:val="en-US" w:eastAsia="zh-CN"/>
                      <w14:textFill>
                        <w14:solidFill>
                          <w14:schemeClr w14:val="tx1"/>
                        </w14:solidFill>
                      </w14:textFill>
                    </w:rPr>
                  </w:pPr>
                  <w:r>
                    <w:rPr>
                      <w:rFonts w:hint="default" w:ascii="Times New Roman" w:hAnsi="Times New Roman" w:cs="Times New Roman"/>
                      <w:snapToGrid w:val="0"/>
                      <w:color w:val="000000" w:themeColor="text1"/>
                      <w:kern w:val="18"/>
                      <w:lang w:val="en-US" w:eastAsia="zh-CN"/>
                      <w14:textFill>
                        <w14:solidFill>
                          <w14:schemeClr w14:val="tx1"/>
                        </w14:solidFill>
                      </w14:textFill>
                    </w:rPr>
                    <w:t>--</w:t>
                  </w:r>
                </w:p>
              </w:tc>
              <w:tc>
                <w:tcPr>
                  <w:tcW w:w="2321" w:type="pct"/>
                  <w:vMerge w:val="continue"/>
                  <w:noWrap w:val="0"/>
                  <w:vAlign w:val="center"/>
                </w:tcPr>
                <w:p w14:paraId="1E1E38D4">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p>
              </w:tc>
            </w:tr>
            <w:tr w14:paraId="6E6CE1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8" w:type="pct"/>
                  <w:shd w:val="clear" w:color="auto" w:fill="auto"/>
                  <w:noWrap w:val="0"/>
                  <w:vAlign w:val="center"/>
                </w:tcPr>
                <w:p w14:paraId="3BC46CB3">
                  <w:pPr>
                    <w:pStyle w:val="89"/>
                    <w:spacing w:line="340" w:lineRule="exact"/>
                    <w:ind w:firstLine="0" w:firstLineChars="0"/>
                    <w:rPr>
                      <w:rFonts w:hint="default" w:ascii="Times New Roman" w:hAnsi="Times New Roman" w:eastAsia="宋体" w:cs="Times New Roman"/>
                      <w:snapToGrid w:val="0"/>
                      <w:color w:val="000000" w:themeColor="text1"/>
                      <w:kern w:val="18"/>
                      <w:sz w:val="21"/>
                      <w:szCs w:val="24"/>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18"/>
                      <w14:textFill>
                        <w14:solidFill>
                          <w14:schemeClr w14:val="tx1"/>
                        </w14:solidFill>
                      </w14:textFill>
                    </w:rPr>
                    <w:t>NH</w:t>
                  </w:r>
                  <w:r>
                    <w:rPr>
                      <w:rFonts w:hint="default" w:ascii="Times New Roman" w:hAnsi="Times New Roman" w:eastAsia="宋体" w:cs="Times New Roman"/>
                      <w:snapToGrid w:val="0"/>
                      <w:color w:val="000000" w:themeColor="text1"/>
                      <w:kern w:val="18"/>
                      <w:vertAlign w:val="subscript"/>
                      <w14:textFill>
                        <w14:solidFill>
                          <w14:schemeClr w14:val="tx1"/>
                        </w14:solidFill>
                      </w14:textFill>
                    </w:rPr>
                    <w:t>3</w:t>
                  </w:r>
                  <w:r>
                    <w:rPr>
                      <w:rFonts w:hint="default" w:ascii="Times New Roman" w:hAnsi="Times New Roman" w:eastAsia="宋体" w:cs="Times New Roman"/>
                      <w:snapToGrid w:val="0"/>
                      <w:color w:val="000000" w:themeColor="text1"/>
                      <w:kern w:val="18"/>
                      <w14:textFill>
                        <w14:solidFill>
                          <w14:schemeClr w14:val="tx1"/>
                        </w14:solidFill>
                      </w14:textFill>
                    </w:rPr>
                    <w:t>-N</w:t>
                  </w:r>
                </w:p>
              </w:tc>
              <w:tc>
                <w:tcPr>
                  <w:tcW w:w="1339" w:type="pct"/>
                  <w:shd w:val="clear" w:color="auto" w:fill="auto"/>
                  <w:noWrap w:val="0"/>
                  <w:vAlign w:val="center"/>
                </w:tcPr>
                <w:p w14:paraId="3AC924FE">
                  <w:pPr>
                    <w:pStyle w:val="89"/>
                    <w:spacing w:line="340" w:lineRule="exact"/>
                    <w:ind w:firstLine="0" w:firstLineChars="0"/>
                    <w:rPr>
                      <w:rFonts w:hint="default" w:ascii="Times New Roman" w:hAnsi="Times New Roman" w:eastAsia="宋体" w:cs="Times New Roman"/>
                      <w:snapToGrid w:val="0"/>
                      <w:color w:val="000000" w:themeColor="text1"/>
                      <w:kern w:val="18"/>
                      <w:sz w:val="21"/>
                      <w:szCs w:val="24"/>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18"/>
                      <w14:textFill>
                        <w14:solidFill>
                          <w14:schemeClr w14:val="tx1"/>
                        </w14:solidFill>
                      </w14:textFill>
                    </w:rPr>
                    <w:t>5mg/L</w:t>
                  </w:r>
                </w:p>
              </w:tc>
              <w:tc>
                <w:tcPr>
                  <w:tcW w:w="2321" w:type="pct"/>
                  <w:vMerge w:val="continue"/>
                  <w:shd w:val="clear" w:color="auto" w:fill="auto"/>
                  <w:noWrap w:val="0"/>
                  <w:vAlign w:val="center"/>
                </w:tcPr>
                <w:p w14:paraId="33B476CC">
                  <w:pPr>
                    <w:pStyle w:val="89"/>
                    <w:spacing w:line="340" w:lineRule="exact"/>
                    <w:ind w:firstLine="0" w:firstLineChars="0"/>
                    <w:rPr>
                      <w:rFonts w:hint="default" w:ascii="Times New Roman" w:hAnsi="Times New Roman" w:eastAsia="宋体" w:cs="Times New Roman"/>
                      <w:snapToGrid w:val="0"/>
                      <w:color w:val="000000" w:themeColor="text1"/>
                      <w:kern w:val="18"/>
                      <w:sz w:val="21"/>
                      <w:szCs w:val="24"/>
                      <w:lang w:val="en-US" w:eastAsia="zh-CN" w:bidi="ar-SA"/>
                      <w14:textFill>
                        <w14:solidFill>
                          <w14:schemeClr w14:val="tx1"/>
                        </w14:solidFill>
                      </w14:textFill>
                    </w:rPr>
                  </w:pPr>
                </w:p>
              </w:tc>
            </w:tr>
          </w:tbl>
          <w:p w14:paraId="3F71382F">
            <w:pPr>
              <w:keepNext w:val="0"/>
              <w:keepLines w:val="0"/>
              <w:pageBreakBefore w:val="0"/>
              <w:widowControl w:val="0"/>
              <w:kinsoku/>
              <w:wordWrap/>
              <w:overflowPunct/>
              <w:topLinePunct w:val="0"/>
              <w:autoSpaceDE/>
              <w:autoSpaceDN/>
              <w:bidi w:val="0"/>
              <w:adjustRightInd/>
              <w:snapToGrid/>
              <w:spacing w:before="191" w:beforeLines="50"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②</w:t>
            </w:r>
            <w:r>
              <w:rPr>
                <w:rFonts w:hint="default" w:ascii="Times New Roman" w:hAnsi="Times New Roman" w:cs="Times New Roman"/>
                <w:color w:val="000000" w:themeColor="text1"/>
                <w:sz w:val="24"/>
                <w:lang w:eastAsia="zh-CN"/>
                <w14:textFill>
                  <w14:solidFill>
                    <w14:schemeClr w14:val="tx1"/>
                  </w14:solidFill>
                </w14:textFill>
              </w:rPr>
              <w:t>污水处理厂</w:t>
            </w:r>
            <w:r>
              <w:rPr>
                <w:rFonts w:hint="default" w:ascii="Times New Roman" w:hAnsi="Times New Roman" w:eastAsia="宋体" w:cs="Times New Roman"/>
                <w:color w:val="000000" w:themeColor="text1"/>
                <w:sz w:val="24"/>
                <w14:textFill>
                  <w14:solidFill>
                    <w14:schemeClr w14:val="tx1"/>
                  </w14:solidFill>
                </w14:textFill>
              </w:rPr>
              <w:t>排放标准</w:t>
            </w:r>
          </w:p>
          <w:p w14:paraId="00913B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根据调查，</w:t>
            </w:r>
            <w:r>
              <w:rPr>
                <w:rFonts w:hint="default" w:ascii="Times New Roman" w:hAnsi="Times New Roman" w:eastAsia="宋体" w:cs="Times New Roman"/>
                <w:color w:val="000000" w:themeColor="text1"/>
                <w:sz w:val="24"/>
                <w:lang w:eastAsia="zh-CN"/>
                <w14:textFill>
                  <w14:solidFill>
                    <w14:schemeClr w14:val="tx1"/>
                  </w14:solidFill>
                </w14:textFill>
              </w:rPr>
              <w:t>江镜华侨农场污水处理厂</w:t>
            </w:r>
            <w:r>
              <w:rPr>
                <w:rFonts w:hint="default" w:ascii="Times New Roman" w:hAnsi="Times New Roman" w:eastAsia="宋体" w:cs="Times New Roman"/>
                <w:color w:val="000000" w:themeColor="text1"/>
                <w:sz w:val="24"/>
                <w14:textFill>
                  <w14:solidFill>
                    <w14:schemeClr w14:val="tx1"/>
                  </w14:solidFill>
                </w14:textFill>
              </w:rPr>
              <w:t>尾水排放执行</w:t>
            </w:r>
            <w:r>
              <w:rPr>
                <w:rFonts w:hint="default" w:ascii="Times New Roman" w:hAnsi="Times New Roman" w:eastAsia="宋体" w:cs="Times New Roman"/>
                <w:color w:val="000000" w:themeColor="text1"/>
                <w:sz w:val="24"/>
                <w:lang w:eastAsia="zh-CN"/>
                <w14:textFill>
                  <w14:solidFill>
                    <w14:schemeClr w14:val="tx1"/>
                  </w14:solidFill>
                </w14:textFill>
              </w:rPr>
              <w:t>《城镇污水处理厂污染物排放标准》(GB18918-2002)及其修改单</w:t>
            </w:r>
            <w:r>
              <w:rPr>
                <w:rFonts w:hint="default" w:ascii="Times New Roman" w:hAnsi="Times New Roman" w:eastAsia="宋体" w:cs="Times New Roman"/>
                <w:color w:val="000000" w:themeColor="text1"/>
                <w:sz w:val="24"/>
                <w14:textFill>
                  <w14:solidFill>
                    <w14:schemeClr w14:val="tx1"/>
                  </w14:solidFill>
                </w14:textFill>
              </w:rPr>
              <w:t>表1的</w:t>
            </w:r>
            <w:r>
              <w:rPr>
                <w:rFonts w:hint="default" w:ascii="Times New Roman" w:hAnsi="Times New Roman" w:eastAsia="宋体" w:cs="Times New Roman"/>
                <w:color w:val="000000" w:themeColor="text1"/>
                <w:sz w:val="24"/>
                <w:lang w:eastAsia="zh-CN"/>
                <w14:textFill>
                  <w14:solidFill>
                    <w14:schemeClr w14:val="tx1"/>
                  </w14:solidFill>
                </w14:textFill>
              </w:rPr>
              <w:t>一级标准A标准</w:t>
            </w:r>
            <w:r>
              <w:rPr>
                <w:rFonts w:hint="default" w:ascii="Times New Roman" w:hAnsi="Times New Roman" w:eastAsia="宋体" w:cs="Times New Roman"/>
                <w:color w:val="000000" w:themeColor="text1"/>
                <w:sz w:val="24"/>
                <w14:textFill>
                  <w14:solidFill>
                    <w14:schemeClr w14:val="tx1"/>
                  </w14:solidFill>
                </w14:textFill>
              </w:rPr>
              <w:t>，具体详见表3.</w:t>
            </w:r>
            <w:r>
              <w:rPr>
                <w:rFonts w:hint="default" w:ascii="Times New Roman" w:hAnsi="Times New Roman" w:eastAsia="宋体" w:cs="Times New Roman"/>
                <w:color w:val="000000" w:themeColor="text1"/>
                <w:sz w:val="24"/>
                <w:lang w:val="en-US" w:eastAsia="zh-CN"/>
                <w14:textFill>
                  <w14:solidFill>
                    <w14:schemeClr w14:val="tx1"/>
                  </w14:solidFill>
                </w14:textFill>
              </w:rPr>
              <w:t>7-</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p>
          <w:p w14:paraId="1420206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黑体" w:cs="Times New Roman"/>
                <w:color w:val="000000" w:themeColor="text1"/>
                <w:sz w:val="24"/>
                <w:szCs w:val="22"/>
                <w14:textFill>
                  <w14:solidFill>
                    <w14:schemeClr w14:val="tx1"/>
                  </w14:solidFill>
                </w14:textFill>
              </w:rPr>
            </w:pPr>
            <w:r>
              <w:rPr>
                <w:rFonts w:hint="default" w:ascii="Times New Roman" w:hAnsi="Times New Roman" w:eastAsia="黑体" w:cs="Times New Roman"/>
                <w:color w:val="000000" w:themeColor="text1"/>
                <w:sz w:val="24"/>
                <w:szCs w:val="22"/>
                <w14:textFill>
                  <w14:solidFill>
                    <w14:schemeClr w14:val="tx1"/>
                  </w14:solidFill>
                </w14:textFill>
              </w:rPr>
              <w:t>表3.</w:t>
            </w:r>
            <w:r>
              <w:rPr>
                <w:rFonts w:hint="default" w:ascii="Times New Roman" w:hAnsi="Times New Roman" w:eastAsia="黑体" w:cs="Times New Roman"/>
                <w:color w:val="000000" w:themeColor="text1"/>
                <w:sz w:val="24"/>
                <w:szCs w:val="22"/>
                <w:lang w:val="en-US" w:eastAsia="zh-CN"/>
                <w14:textFill>
                  <w14:solidFill>
                    <w14:schemeClr w14:val="tx1"/>
                  </w14:solidFill>
                </w14:textFill>
              </w:rPr>
              <w:t>7-3</w:t>
            </w:r>
            <w:r>
              <w:rPr>
                <w:rFonts w:hint="default" w:ascii="Times New Roman" w:hAnsi="Times New Roman" w:eastAsia="黑体" w:cs="Times New Roman"/>
                <w:color w:val="000000" w:themeColor="text1"/>
                <w:sz w:val="24"/>
                <w:szCs w:val="22"/>
                <w14:textFill>
                  <w14:solidFill>
                    <w14:schemeClr w14:val="tx1"/>
                  </w14:solidFill>
                </w14:textFill>
              </w:rPr>
              <w:t xml:space="preserve">  污水处理厂污水排放标准</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97"/>
              <w:gridCol w:w="2624"/>
              <w:gridCol w:w="3859"/>
            </w:tblGrid>
            <w:tr w14:paraId="10A627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5" w:type="pct"/>
                  <w:noWrap w:val="0"/>
                  <w:vAlign w:val="center"/>
                </w:tcPr>
                <w:p w14:paraId="2A8E65E2">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r>
                    <w:rPr>
                      <w:rFonts w:hint="default" w:ascii="Times New Roman" w:hAnsi="Times New Roman" w:eastAsia="宋体" w:cs="Times New Roman"/>
                      <w:snapToGrid w:val="0"/>
                      <w:color w:val="000000" w:themeColor="text1"/>
                      <w:kern w:val="18"/>
                      <w14:textFill>
                        <w14:solidFill>
                          <w14:schemeClr w14:val="tx1"/>
                        </w14:solidFill>
                      </w14:textFill>
                    </w:rPr>
                    <w:t>污染物名称</w:t>
                  </w:r>
                </w:p>
              </w:tc>
              <w:tc>
                <w:tcPr>
                  <w:tcW w:w="1584" w:type="pct"/>
                  <w:noWrap w:val="0"/>
                  <w:vAlign w:val="center"/>
                </w:tcPr>
                <w:p w14:paraId="0592CA84">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r>
                    <w:rPr>
                      <w:rFonts w:hint="default" w:ascii="Times New Roman" w:hAnsi="Times New Roman" w:eastAsia="宋体" w:cs="Times New Roman"/>
                      <w:snapToGrid w:val="0"/>
                      <w:color w:val="000000" w:themeColor="text1"/>
                      <w:kern w:val="18"/>
                      <w14:textFill>
                        <w14:solidFill>
                          <w14:schemeClr w14:val="tx1"/>
                        </w14:solidFill>
                      </w14:textFill>
                    </w:rPr>
                    <w:t>一级标准</w:t>
                  </w:r>
                  <w:r>
                    <w:rPr>
                      <w:rFonts w:hint="default" w:ascii="Times New Roman" w:hAnsi="Times New Roman" w:eastAsia="宋体" w:cs="Times New Roman"/>
                      <w:snapToGrid w:val="0"/>
                      <w:color w:val="000000" w:themeColor="text1"/>
                      <w:kern w:val="18"/>
                      <w:lang w:val="en-US" w:eastAsia="zh-CN"/>
                      <w14:textFill>
                        <w14:solidFill>
                          <w14:schemeClr w14:val="tx1"/>
                        </w14:solidFill>
                      </w14:textFill>
                    </w:rPr>
                    <w:t>A</w:t>
                  </w:r>
                  <w:r>
                    <w:rPr>
                      <w:rFonts w:hint="default" w:ascii="Times New Roman" w:hAnsi="Times New Roman" w:eastAsia="宋体" w:cs="Times New Roman"/>
                      <w:snapToGrid w:val="0"/>
                      <w:color w:val="000000" w:themeColor="text1"/>
                      <w:kern w:val="18"/>
                      <w14:textFill>
                        <w14:solidFill>
                          <w14:schemeClr w14:val="tx1"/>
                        </w14:solidFill>
                      </w14:textFill>
                    </w:rPr>
                    <w:t>标准限值</w:t>
                  </w:r>
                </w:p>
              </w:tc>
              <w:tc>
                <w:tcPr>
                  <w:tcW w:w="2330" w:type="pct"/>
                  <w:noWrap w:val="0"/>
                  <w:vAlign w:val="center"/>
                </w:tcPr>
                <w:p w14:paraId="70D28B3D">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r>
                    <w:rPr>
                      <w:rFonts w:hint="default" w:ascii="Times New Roman" w:hAnsi="Times New Roman" w:eastAsia="宋体" w:cs="Times New Roman"/>
                      <w:snapToGrid w:val="0"/>
                      <w:color w:val="000000" w:themeColor="text1"/>
                      <w:kern w:val="18"/>
                      <w14:textFill>
                        <w14:solidFill>
                          <w14:schemeClr w14:val="tx1"/>
                        </w14:solidFill>
                      </w14:textFill>
                    </w:rPr>
                    <w:t>标准来源</w:t>
                  </w:r>
                </w:p>
              </w:tc>
            </w:tr>
            <w:tr w14:paraId="6B34D3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5" w:type="pct"/>
                  <w:noWrap w:val="0"/>
                  <w:vAlign w:val="center"/>
                </w:tcPr>
                <w:p w14:paraId="235E1AEC">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r>
                    <w:rPr>
                      <w:rFonts w:hint="default" w:ascii="Times New Roman" w:hAnsi="Times New Roman" w:eastAsia="宋体" w:cs="Times New Roman"/>
                      <w:snapToGrid w:val="0"/>
                      <w:color w:val="000000" w:themeColor="text1"/>
                      <w:kern w:val="18"/>
                      <w14:textFill>
                        <w14:solidFill>
                          <w14:schemeClr w14:val="tx1"/>
                        </w14:solidFill>
                      </w14:textFill>
                    </w:rPr>
                    <w:t>pH</w:t>
                  </w:r>
                </w:p>
              </w:tc>
              <w:tc>
                <w:tcPr>
                  <w:tcW w:w="1584" w:type="pct"/>
                  <w:noWrap w:val="0"/>
                  <w:vAlign w:val="center"/>
                </w:tcPr>
                <w:p w14:paraId="151DF83F">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r>
                    <w:rPr>
                      <w:rFonts w:hint="default" w:ascii="Times New Roman" w:hAnsi="Times New Roman" w:eastAsia="宋体" w:cs="Times New Roman"/>
                      <w:snapToGrid w:val="0"/>
                      <w:color w:val="000000" w:themeColor="text1"/>
                      <w:kern w:val="18"/>
                      <w14:textFill>
                        <w14:solidFill>
                          <w14:schemeClr w14:val="tx1"/>
                        </w14:solidFill>
                      </w14:textFill>
                    </w:rPr>
                    <w:t xml:space="preserve">6～9 </w:t>
                  </w:r>
                  <w:r>
                    <w:rPr>
                      <w:rFonts w:hint="default" w:ascii="Times New Roman" w:hAnsi="Times New Roman" w:eastAsia="宋体" w:cs="Times New Roman"/>
                      <w:snapToGrid w:val="0"/>
                      <w:color w:val="000000" w:themeColor="text1"/>
                      <w:kern w:val="18"/>
                      <w:lang w:val="en-US" w:eastAsia="zh-CN"/>
                      <w14:textFill>
                        <w14:solidFill>
                          <w14:schemeClr w14:val="tx1"/>
                        </w14:solidFill>
                      </w14:textFill>
                    </w:rPr>
                    <w:t>(无量纲)</w:t>
                  </w:r>
                </w:p>
              </w:tc>
              <w:tc>
                <w:tcPr>
                  <w:tcW w:w="2330" w:type="pct"/>
                  <w:vMerge w:val="restart"/>
                  <w:noWrap w:val="0"/>
                  <w:vAlign w:val="center"/>
                </w:tcPr>
                <w:p w14:paraId="7A8D8A7F">
                  <w:pPr>
                    <w:pStyle w:val="89"/>
                    <w:spacing w:line="340" w:lineRule="exact"/>
                    <w:ind w:firstLine="0" w:firstLineChars="0"/>
                    <w:rPr>
                      <w:rFonts w:hint="default" w:ascii="Times New Roman" w:hAnsi="Times New Roman" w:eastAsia="宋体" w:cs="Times New Roman"/>
                      <w:snapToGrid w:val="0"/>
                      <w:color w:val="000000" w:themeColor="text1"/>
                      <w:kern w:val="18"/>
                      <w:lang w:eastAsia="zh-CN"/>
                      <w14:textFill>
                        <w14:solidFill>
                          <w14:schemeClr w14:val="tx1"/>
                        </w14:solidFill>
                      </w14:textFill>
                    </w:rPr>
                  </w:pPr>
                  <w:r>
                    <w:rPr>
                      <w:rFonts w:hint="default" w:ascii="Times New Roman" w:hAnsi="Times New Roman" w:eastAsia="宋体" w:cs="Times New Roman"/>
                      <w:snapToGrid w:val="0"/>
                      <w:color w:val="000000" w:themeColor="text1"/>
                      <w:kern w:val="18"/>
                      <w:lang w:eastAsia="zh-CN"/>
                      <w14:textFill>
                        <w14:solidFill>
                          <w14:schemeClr w14:val="tx1"/>
                        </w14:solidFill>
                      </w14:textFill>
                    </w:rPr>
                    <w:t>《城镇污水处理厂污染物排放标准》(GB18918-2002)及其修改单</w:t>
                  </w:r>
                  <w:r>
                    <w:rPr>
                      <w:rFonts w:hint="default" w:ascii="Times New Roman" w:hAnsi="Times New Roman" w:eastAsia="宋体" w:cs="Times New Roman"/>
                      <w:snapToGrid w:val="0"/>
                      <w:color w:val="000000" w:themeColor="text1"/>
                      <w:kern w:val="18"/>
                      <w14:textFill>
                        <w14:solidFill>
                          <w14:schemeClr w14:val="tx1"/>
                        </w14:solidFill>
                      </w14:textFill>
                    </w:rPr>
                    <w:t>表1的</w:t>
                  </w:r>
                  <w:r>
                    <w:rPr>
                      <w:rFonts w:hint="default" w:ascii="Times New Roman" w:hAnsi="Times New Roman" w:eastAsia="宋体" w:cs="Times New Roman"/>
                      <w:snapToGrid w:val="0"/>
                      <w:color w:val="000000" w:themeColor="text1"/>
                      <w:kern w:val="18"/>
                      <w:lang w:eastAsia="zh-CN"/>
                      <w14:textFill>
                        <w14:solidFill>
                          <w14:schemeClr w14:val="tx1"/>
                        </w14:solidFill>
                      </w14:textFill>
                    </w:rPr>
                    <w:t>一级标准A标准</w:t>
                  </w:r>
                </w:p>
              </w:tc>
            </w:tr>
            <w:tr w14:paraId="706301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5" w:type="pct"/>
                  <w:noWrap w:val="0"/>
                  <w:vAlign w:val="center"/>
                </w:tcPr>
                <w:p w14:paraId="1E3BB568">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r>
                    <w:rPr>
                      <w:rFonts w:hint="default" w:ascii="Times New Roman" w:hAnsi="Times New Roman" w:eastAsia="宋体" w:cs="Times New Roman"/>
                      <w:snapToGrid w:val="0"/>
                      <w:color w:val="000000" w:themeColor="text1"/>
                      <w:kern w:val="18"/>
                      <w14:textFill>
                        <w14:solidFill>
                          <w14:schemeClr w14:val="tx1"/>
                        </w14:solidFill>
                      </w14:textFill>
                    </w:rPr>
                    <w:t>COD</w:t>
                  </w:r>
                </w:p>
              </w:tc>
              <w:tc>
                <w:tcPr>
                  <w:tcW w:w="1584" w:type="pct"/>
                  <w:noWrap w:val="0"/>
                  <w:vAlign w:val="center"/>
                </w:tcPr>
                <w:p w14:paraId="293E38D9">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r>
                    <w:rPr>
                      <w:rFonts w:hint="default" w:ascii="Times New Roman" w:hAnsi="Times New Roman" w:eastAsia="宋体" w:cs="Times New Roman"/>
                      <w:snapToGrid w:val="0"/>
                      <w:color w:val="000000" w:themeColor="text1"/>
                      <w:kern w:val="18"/>
                      <w:lang w:val="en-US" w:eastAsia="zh-CN"/>
                      <w14:textFill>
                        <w14:solidFill>
                          <w14:schemeClr w14:val="tx1"/>
                        </w14:solidFill>
                      </w14:textFill>
                    </w:rPr>
                    <w:t>50</w:t>
                  </w:r>
                  <w:r>
                    <w:rPr>
                      <w:rFonts w:hint="default" w:ascii="Times New Roman" w:hAnsi="Times New Roman" w:eastAsia="宋体" w:cs="Times New Roman"/>
                      <w:snapToGrid w:val="0"/>
                      <w:color w:val="000000" w:themeColor="text1"/>
                      <w:kern w:val="18"/>
                      <w14:textFill>
                        <w14:solidFill>
                          <w14:schemeClr w14:val="tx1"/>
                        </w14:solidFill>
                      </w14:textFill>
                    </w:rPr>
                    <w:t>mg/L</w:t>
                  </w:r>
                </w:p>
              </w:tc>
              <w:tc>
                <w:tcPr>
                  <w:tcW w:w="2330" w:type="pct"/>
                  <w:vMerge w:val="continue"/>
                  <w:noWrap w:val="0"/>
                  <w:vAlign w:val="center"/>
                </w:tcPr>
                <w:p w14:paraId="35443F66">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p>
              </w:tc>
            </w:tr>
            <w:tr w14:paraId="136C7B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5" w:type="pct"/>
                  <w:noWrap w:val="0"/>
                  <w:vAlign w:val="center"/>
                </w:tcPr>
                <w:p w14:paraId="7E94D92B">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r>
                    <w:rPr>
                      <w:rFonts w:hint="default" w:ascii="Times New Roman" w:hAnsi="Times New Roman" w:eastAsia="宋体" w:cs="Times New Roman"/>
                      <w:snapToGrid w:val="0"/>
                      <w:color w:val="000000" w:themeColor="text1"/>
                      <w:kern w:val="18"/>
                      <w14:textFill>
                        <w14:solidFill>
                          <w14:schemeClr w14:val="tx1"/>
                        </w14:solidFill>
                      </w14:textFill>
                    </w:rPr>
                    <w:t>BOD</w:t>
                  </w:r>
                  <w:r>
                    <w:rPr>
                      <w:rFonts w:hint="default" w:ascii="Times New Roman" w:hAnsi="Times New Roman" w:eastAsia="宋体" w:cs="Times New Roman"/>
                      <w:snapToGrid w:val="0"/>
                      <w:color w:val="000000" w:themeColor="text1"/>
                      <w:kern w:val="18"/>
                      <w:vertAlign w:val="subscript"/>
                      <w14:textFill>
                        <w14:solidFill>
                          <w14:schemeClr w14:val="tx1"/>
                        </w14:solidFill>
                      </w14:textFill>
                    </w:rPr>
                    <w:t>5</w:t>
                  </w:r>
                </w:p>
              </w:tc>
              <w:tc>
                <w:tcPr>
                  <w:tcW w:w="1584" w:type="pct"/>
                  <w:noWrap w:val="0"/>
                  <w:vAlign w:val="center"/>
                </w:tcPr>
                <w:p w14:paraId="07030EBE">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r>
                    <w:rPr>
                      <w:rFonts w:hint="default" w:ascii="Times New Roman" w:hAnsi="Times New Roman" w:eastAsia="宋体" w:cs="Times New Roman"/>
                      <w:snapToGrid w:val="0"/>
                      <w:color w:val="000000" w:themeColor="text1"/>
                      <w:kern w:val="18"/>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18"/>
                      <w14:textFill>
                        <w14:solidFill>
                          <w14:schemeClr w14:val="tx1"/>
                        </w14:solidFill>
                      </w14:textFill>
                    </w:rPr>
                    <w:t>0mg/L</w:t>
                  </w:r>
                </w:p>
              </w:tc>
              <w:tc>
                <w:tcPr>
                  <w:tcW w:w="2330" w:type="pct"/>
                  <w:vMerge w:val="continue"/>
                  <w:noWrap w:val="0"/>
                  <w:vAlign w:val="center"/>
                </w:tcPr>
                <w:p w14:paraId="15028133">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p>
              </w:tc>
            </w:tr>
            <w:tr w14:paraId="66F2F7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5" w:type="pct"/>
                  <w:noWrap w:val="0"/>
                  <w:vAlign w:val="center"/>
                </w:tcPr>
                <w:p w14:paraId="6A6A4BD4">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r>
                    <w:rPr>
                      <w:rFonts w:hint="default" w:ascii="Times New Roman" w:hAnsi="Times New Roman" w:eastAsia="宋体" w:cs="Times New Roman"/>
                      <w:snapToGrid w:val="0"/>
                      <w:color w:val="000000" w:themeColor="text1"/>
                      <w:kern w:val="18"/>
                      <w14:textFill>
                        <w14:solidFill>
                          <w14:schemeClr w14:val="tx1"/>
                        </w14:solidFill>
                      </w14:textFill>
                    </w:rPr>
                    <w:t>SS</w:t>
                  </w:r>
                </w:p>
              </w:tc>
              <w:tc>
                <w:tcPr>
                  <w:tcW w:w="1584" w:type="pct"/>
                  <w:noWrap w:val="0"/>
                  <w:vAlign w:val="center"/>
                </w:tcPr>
                <w:p w14:paraId="35A0A67B">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r>
                    <w:rPr>
                      <w:rFonts w:hint="default" w:ascii="Times New Roman" w:hAnsi="Times New Roman" w:eastAsia="宋体" w:cs="Times New Roman"/>
                      <w:snapToGrid w:val="0"/>
                      <w:color w:val="000000" w:themeColor="text1"/>
                      <w:kern w:val="18"/>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18"/>
                      <w14:textFill>
                        <w14:solidFill>
                          <w14:schemeClr w14:val="tx1"/>
                        </w14:solidFill>
                      </w14:textFill>
                    </w:rPr>
                    <w:t>0mg/L</w:t>
                  </w:r>
                </w:p>
              </w:tc>
              <w:tc>
                <w:tcPr>
                  <w:tcW w:w="2330" w:type="pct"/>
                  <w:vMerge w:val="continue"/>
                  <w:noWrap w:val="0"/>
                  <w:vAlign w:val="center"/>
                </w:tcPr>
                <w:p w14:paraId="33D5F736">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p>
              </w:tc>
            </w:tr>
            <w:tr w14:paraId="73C16B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085" w:type="pct"/>
                  <w:noWrap w:val="0"/>
                  <w:vAlign w:val="center"/>
                </w:tcPr>
                <w:p w14:paraId="163F99A1">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r>
                    <w:rPr>
                      <w:rFonts w:hint="default" w:ascii="Times New Roman" w:hAnsi="Times New Roman" w:eastAsia="宋体" w:cs="Times New Roman"/>
                      <w:snapToGrid w:val="0"/>
                      <w:color w:val="000000" w:themeColor="text1"/>
                      <w:kern w:val="18"/>
                      <w14:textFill>
                        <w14:solidFill>
                          <w14:schemeClr w14:val="tx1"/>
                        </w14:solidFill>
                      </w14:textFill>
                    </w:rPr>
                    <w:t>NH</w:t>
                  </w:r>
                  <w:r>
                    <w:rPr>
                      <w:rFonts w:hint="default" w:ascii="Times New Roman" w:hAnsi="Times New Roman" w:eastAsia="宋体" w:cs="Times New Roman"/>
                      <w:snapToGrid w:val="0"/>
                      <w:color w:val="000000" w:themeColor="text1"/>
                      <w:kern w:val="18"/>
                      <w:vertAlign w:val="subscript"/>
                      <w14:textFill>
                        <w14:solidFill>
                          <w14:schemeClr w14:val="tx1"/>
                        </w14:solidFill>
                      </w14:textFill>
                    </w:rPr>
                    <w:t>3</w:t>
                  </w:r>
                  <w:r>
                    <w:rPr>
                      <w:rFonts w:hint="default" w:ascii="Times New Roman" w:hAnsi="Times New Roman" w:eastAsia="宋体" w:cs="Times New Roman"/>
                      <w:snapToGrid w:val="0"/>
                      <w:color w:val="000000" w:themeColor="text1"/>
                      <w:kern w:val="18"/>
                      <w14:textFill>
                        <w14:solidFill>
                          <w14:schemeClr w14:val="tx1"/>
                        </w14:solidFill>
                      </w14:textFill>
                    </w:rPr>
                    <w:t>-N</w:t>
                  </w:r>
                </w:p>
              </w:tc>
              <w:tc>
                <w:tcPr>
                  <w:tcW w:w="1584" w:type="pct"/>
                  <w:noWrap w:val="0"/>
                  <w:vAlign w:val="center"/>
                </w:tcPr>
                <w:p w14:paraId="1D1C0688">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r>
                    <w:rPr>
                      <w:rFonts w:hint="default" w:ascii="Times New Roman" w:hAnsi="Times New Roman" w:eastAsia="宋体" w:cs="Times New Roman"/>
                      <w:snapToGrid w:val="0"/>
                      <w:color w:val="000000" w:themeColor="text1"/>
                      <w:kern w:val="18"/>
                      <w:lang w:val="en-US" w:eastAsia="zh-CN"/>
                      <w14:textFill>
                        <w14:solidFill>
                          <w14:schemeClr w14:val="tx1"/>
                        </w14:solidFill>
                      </w14:textFill>
                    </w:rPr>
                    <w:t>5</w:t>
                  </w:r>
                  <w:r>
                    <w:rPr>
                      <w:rFonts w:hint="default" w:ascii="Times New Roman" w:hAnsi="Times New Roman" w:eastAsia="宋体" w:cs="Times New Roman"/>
                      <w:snapToGrid w:val="0"/>
                      <w:color w:val="000000" w:themeColor="text1"/>
                      <w:kern w:val="18"/>
                      <w14:textFill>
                        <w14:solidFill>
                          <w14:schemeClr w14:val="tx1"/>
                        </w14:solidFill>
                      </w14:textFill>
                    </w:rPr>
                    <w:t>mg/L</w:t>
                  </w:r>
                </w:p>
              </w:tc>
              <w:tc>
                <w:tcPr>
                  <w:tcW w:w="2330" w:type="pct"/>
                  <w:vMerge w:val="continue"/>
                  <w:noWrap w:val="0"/>
                  <w:vAlign w:val="center"/>
                </w:tcPr>
                <w:p w14:paraId="3AA0CF66">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p>
              </w:tc>
            </w:tr>
            <w:tr w14:paraId="1DAABA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5" w:type="pct"/>
                  <w:noWrap w:val="0"/>
                  <w:vAlign w:val="center"/>
                </w:tcPr>
                <w:p w14:paraId="4EC1D6F2">
                  <w:pPr>
                    <w:pStyle w:val="89"/>
                    <w:spacing w:line="340" w:lineRule="exact"/>
                    <w:ind w:firstLine="0" w:firstLineChars="0"/>
                    <w:rPr>
                      <w:rFonts w:hint="default" w:ascii="Times New Roman" w:hAnsi="Times New Roman" w:eastAsia="宋体" w:cs="Times New Roman"/>
                      <w:snapToGrid w:val="0"/>
                      <w:color w:val="000000" w:themeColor="text1"/>
                      <w:kern w:val="18"/>
                      <w:lang w:val="en-US" w:eastAsia="zh-CN"/>
                      <w14:textFill>
                        <w14:solidFill>
                          <w14:schemeClr w14:val="tx1"/>
                        </w14:solidFill>
                      </w14:textFill>
                    </w:rPr>
                  </w:pPr>
                  <w:r>
                    <w:rPr>
                      <w:rFonts w:hint="default" w:ascii="Times New Roman" w:hAnsi="Times New Roman" w:cs="Times New Roman"/>
                      <w:snapToGrid w:val="0"/>
                      <w:color w:val="000000" w:themeColor="text1"/>
                      <w:kern w:val="18"/>
                      <w:lang w:val="en-US" w:eastAsia="zh-CN"/>
                      <w14:textFill>
                        <w14:solidFill>
                          <w14:schemeClr w14:val="tx1"/>
                        </w14:solidFill>
                      </w14:textFill>
                    </w:rPr>
                    <w:t>石油类</w:t>
                  </w:r>
                </w:p>
              </w:tc>
              <w:tc>
                <w:tcPr>
                  <w:tcW w:w="1584" w:type="pct"/>
                  <w:noWrap w:val="0"/>
                  <w:vAlign w:val="center"/>
                </w:tcPr>
                <w:p w14:paraId="72639B40">
                  <w:pPr>
                    <w:pStyle w:val="89"/>
                    <w:spacing w:line="340" w:lineRule="exact"/>
                    <w:ind w:firstLine="0" w:firstLineChars="0"/>
                    <w:rPr>
                      <w:rFonts w:hint="default" w:ascii="Times New Roman" w:hAnsi="Times New Roman" w:eastAsia="宋体" w:cs="Times New Roman"/>
                      <w:snapToGrid w:val="0"/>
                      <w:color w:val="000000" w:themeColor="text1"/>
                      <w:kern w:val="18"/>
                      <w:lang w:val="en-US" w:eastAsia="zh-CN"/>
                      <w14:textFill>
                        <w14:solidFill>
                          <w14:schemeClr w14:val="tx1"/>
                        </w14:solidFill>
                      </w14:textFill>
                    </w:rPr>
                  </w:pPr>
                  <w:r>
                    <w:rPr>
                      <w:rFonts w:hint="default" w:ascii="Times New Roman" w:hAnsi="Times New Roman" w:cs="Times New Roman"/>
                      <w:snapToGrid w:val="0"/>
                      <w:color w:val="000000" w:themeColor="text1"/>
                      <w:kern w:val="18"/>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18"/>
                      <w14:textFill>
                        <w14:solidFill>
                          <w14:schemeClr w14:val="tx1"/>
                        </w14:solidFill>
                      </w14:textFill>
                    </w:rPr>
                    <w:t>mg/L</w:t>
                  </w:r>
                </w:p>
              </w:tc>
              <w:tc>
                <w:tcPr>
                  <w:tcW w:w="2330" w:type="pct"/>
                  <w:vMerge w:val="continue"/>
                  <w:noWrap w:val="0"/>
                  <w:vAlign w:val="center"/>
                </w:tcPr>
                <w:p w14:paraId="2154284D">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p>
              </w:tc>
            </w:tr>
            <w:tr w14:paraId="6459D5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085" w:type="pct"/>
                  <w:noWrap w:val="0"/>
                  <w:vAlign w:val="center"/>
                </w:tcPr>
                <w:p w14:paraId="14E0A82B">
                  <w:pPr>
                    <w:pStyle w:val="89"/>
                    <w:spacing w:line="340" w:lineRule="exact"/>
                    <w:ind w:firstLine="0" w:firstLineChars="0"/>
                    <w:rPr>
                      <w:rFonts w:hint="default" w:ascii="Times New Roman" w:hAnsi="Times New Roman" w:cs="Times New Roman"/>
                      <w:snapToGrid w:val="0"/>
                      <w:color w:val="000000" w:themeColor="text1"/>
                      <w:kern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18"/>
                      <w:lang w:val="en-US" w:eastAsia="zh-CN"/>
                      <w14:textFill>
                        <w14:solidFill>
                          <w14:schemeClr w14:val="tx1"/>
                        </w14:solidFill>
                      </w14:textFill>
                    </w:rPr>
                    <w:t>TN</w:t>
                  </w:r>
                </w:p>
              </w:tc>
              <w:tc>
                <w:tcPr>
                  <w:tcW w:w="1584" w:type="pct"/>
                  <w:noWrap w:val="0"/>
                  <w:vAlign w:val="center"/>
                </w:tcPr>
                <w:p w14:paraId="5E8CFED5">
                  <w:pPr>
                    <w:pStyle w:val="89"/>
                    <w:spacing w:line="340" w:lineRule="exact"/>
                    <w:ind w:firstLine="0" w:firstLineChars="0"/>
                    <w:rPr>
                      <w:rFonts w:hint="default" w:ascii="Times New Roman" w:hAnsi="Times New Roman" w:cs="Times New Roman"/>
                      <w:snapToGrid w:val="0"/>
                      <w:color w:val="000000" w:themeColor="text1"/>
                      <w:kern w:val="18"/>
                      <w:lang w:val="en-US" w:eastAsia="zh-CN"/>
                      <w14:textFill>
                        <w14:solidFill>
                          <w14:schemeClr w14:val="tx1"/>
                        </w14:solidFill>
                      </w14:textFill>
                    </w:rPr>
                  </w:pPr>
                  <w:r>
                    <w:rPr>
                      <w:rFonts w:hint="default" w:ascii="Times New Roman" w:hAnsi="Times New Roman" w:cs="Times New Roman"/>
                      <w:snapToGrid w:val="0"/>
                      <w:color w:val="000000" w:themeColor="text1"/>
                      <w:kern w:val="18"/>
                      <w:lang w:val="en-US" w:eastAsia="zh-CN"/>
                      <w14:textFill>
                        <w14:solidFill>
                          <w14:schemeClr w14:val="tx1"/>
                        </w14:solidFill>
                      </w14:textFill>
                    </w:rPr>
                    <w:t>15</w:t>
                  </w:r>
                  <w:r>
                    <w:rPr>
                      <w:rFonts w:hint="default" w:ascii="Times New Roman" w:hAnsi="Times New Roman" w:eastAsia="宋体" w:cs="Times New Roman"/>
                      <w:snapToGrid w:val="0"/>
                      <w:color w:val="000000" w:themeColor="text1"/>
                      <w:kern w:val="18"/>
                      <w14:textFill>
                        <w14:solidFill>
                          <w14:schemeClr w14:val="tx1"/>
                        </w14:solidFill>
                      </w14:textFill>
                    </w:rPr>
                    <w:t>mg/L</w:t>
                  </w:r>
                </w:p>
              </w:tc>
              <w:tc>
                <w:tcPr>
                  <w:tcW w:w="2330" w:type="pct"/>
                  <w:vMerge w:val="continue"/>
                  <w:noWrap w:val="0"/>
                  <w:vAlign w:val="center"/>
                </w:tcPr>
                <w:p w14:paraId="67A82A14">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p>
              </w:tc>
            </w:tr>
            <w:tr w14:paraId="3A298D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5" w:type="pct"/>
                  <w:noWrap w:val="0"/>
                  <w:vAlign w:val="center"/>
                </w:tcPr>
                <w:p w14:paraId="4878E0F2">
                  <w:pPr>
                    <w:pStyle w:val="89"/>
                    <w:spacing w:line="340" w:lineRule="exact"/>
                    <w:ind w:firstLine="0" w:firstLineChars="0"/>
                    <w:rPr>
                      <w:rFonts w:hint="default" w:ascii="Times New Roman" w:hAnsi="Times New Roman" w:cs="Times New Roman"/>
                      <w:snapToGrid w:val="0"/>
                      <w:color w:val="000000" w:themeColor="text1"/>
                      <w:kern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18"/>
                      <w:lang w:val="en-US" w:eastAsia="zh-CN"/>
                      <w14:textFill>
                        <w14:solidFill>
                          <w14:schemeClr w14:val="tx1"/>
                        </w14:solidFill>
                      </w14:textFill>
                    </w:rPr>
                    <w:t>TP</w:t>
                  </w:r>
                </w:p>
              </w:tc>
              <w:tc>
                <w:tcPr>
                  <w:tcW w:w="1584" w:type="pct"/>
                  <w:noWrap w:val="0"/>
                  <w:vAlign w:val="center"/>
                </w:tcPr>
                <w:p w14:paraId="1A6394B8">
                  <w:pPr>
                    <w:pStyle w:val="89"/>
                    <w:spacing w:line="340" w:lineRule="exact"/>
                    <w:ind w:firstLine="0" w:firstLineChars="0"/>
                    <w:rPr>
                      <w:rFonts w:hint="default" w:ascii="Times New Roman" w:hAnsi="Times New Roman" w:cs="Times New Roman"/>
                      <w:snapToGrid w:val="0"/>
                      <w:color w:val="000000" w:themeColor="text1"/>
                      <w:kern w:val="18"/>
                      <w:lang w:val="en-US" w:eastAsia="zh-CN"/>
                      <w14:textFill>
                        <w14:solidFill>
                          <w14:schemeClr w14:val="tx1"/>
                        </w14:solidFill>
                      </w14:textFill>
                    </w:rPr>
                  </w:pPr>
                  <w:r>
                    <w:rPr>
                      <w:rFonts w:hint="default" w:ascii="Times New Roman" w:hAnsi="Times New Roman" w:cs="Times New Roman"/>
                      <w:snapToGrid w:val="0"/>
                      <w:color w:val="000000" w:themeColor="text1"/>
                      <w:kern w:val="18"/>
                      <w:lang w:val="en-US" w:eastAsia="zh-CN"/>
                      <w14:textFill>
                        <w14:solidFill>
                          <w14:schemeClr w14:val="tx1"/>
                        </w14:solidFill>
                      </w14:textFill>
                    </w:rPr>
                    <w:t>0.5</w:t>
                  </w:r>
                  <w:r>
                    <w:rPr>
                      <w:rFonts w:hint="default" w:ascii="Times New Roman" w:hAnsi="Times New Roman" w:eastAsia="宋体" w:cs="Times New Roman"/>
                      <w:snapToGrid w:val="0"/>
                      <w:color w:val="000000" w:themeColor="text1"/>
                      <w:kern w:val="18"/>
                      <w14:textFill>
                        <w14:solidFill>
                          <w14:schemeClr w14:val="tx1"/>
                        </w14:solidFill>
                      </w14:textFill>
                    </w:rPr>
                    <w:t>mg/L</w:t>
                  </w:r>
                </w:p>
              </w:tc>
              <w:tc>
                <w:tcPr>
                  <w:tcW w:w="2330" w:type="pct"/>
                  <w:vMerge w:val="continue"/>
                  <w:noWrap w:val="0"/>
                  <w:vAlign w:val="center"/>
                </w:tcPr>
                <w:p w14:paraId="276BF9E1">
                  <w:pPr>
                    <w:pStyle w:val="89"/>
                    <w:spacing w:line="340" w:lineRule="exact"/>
                    <w:ind w:firstLine="0" w:firstLineChars="0"/>
                    <w:rPr>
                      <w:rFonts w:hint="default" w:ascii="Times New Roman" w:hAnsi="Times New Roman" w:eastAsia="宋体" w:cs="Times New Roman"/>
                      <w:snapToGrid w:val="0"/>
                      <w:color w:val="000000" w:themeColor="text1"/>
                      <w:kern w:val="18"/>
                      <w14:textFill>
                        <w14:solidFill>
                          <w14:schemeClr w14:val="tx1"/>
                        </w14:solidFill>
                      </w14:textFill>
                    </w:rPr>
                  </w:pPr>
                </w:p>
              </w:tc>
            </w:tr>
          </w:tbl>
          <w:p w14:paraId="40EDD4E1">
            <w:pPr>
              <w:spacing w:before="120" w:beforeLines="50" w:line="360" w:lineRule="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3.7.</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 xml:space="preserve"> </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废气</w:t>
            </w:r>
          </w:p>
          <w:p w14:paraId="4D25951E">
            <w:pPr>
              <w:spacing w:before="120" w:beforeLines="50" w:line="360" w:lineRule="auto"/>
              <w:ind w:firstLine="480" w:firstLineChars="200"/>
              <w:rPr>
                <w:color w:val="auto"/>
                <w:sz w:val="24"/>
                <w:szCs w:val="24"/>
              </w:rPr>
            </w:pPr>
            <w:r>
              <w:rPr>
                <w:color w:val="auto"/>
                <w:sz w:val="24"/>
                <w:szCs w:val="24"/>
              </w:rPr>
              <w:t>项目污水处理站</w:t>
            </w:r>
            <w:r>
              <w:rPr>
                <w:bCs/>
                <w:color w:val="auto"/>
                <w:sz w:val="24"/>
                <w:szCs w:val="24"/>
              </w:rPr>
              <w:t>废气主要是污水处理过程产生的恶臭气体，主要污染因子为NH</w:t>
            </w:r>
            <w:r>
              <w:rPr>
                <w:bCs/>
                <w:color w:val="auto"/>
                <w:sz w:val="24"/>
                <w:szCs w:val="24"/>
                <w:vertAlign w:val="subscript"/>
              </w:rPr>
              <w:t>3</w:t>
            </w:r>
            <w:r>
              <w:rPr>
                <w:bCs/>
                <w:color w:val="auto"/>
                <w:sz w:val="24"/>
                <w:szCs w:val="24"/>
              </w:rPr>
              <w:t>、H</w:t>
            </w:r>
            <w:r>
              <w:rPr>
                <w:bCs/>
                <w:color w:val="auto"/>
                <w:sz w:val="24"/>
                <w:szCs w:val="24"/>
                <w:vertAlign w:val="subscript"/>
              </w:rPr>
              <w:t>2</w:t>
            </w:r>
            <w:r>
              <w:rPr>
                <w:bCs/>
                <w:color w:val="auto"/>
                <w:sz w:val="24"/>
                <w:szCs w:val="24"/>
              </w:rPr>
              <w:t>S和臭气浓度。</w:t>
            </w:r>
            <w:r>
              <w:rPr>
                <w:color w:val="auto"/>
                <w:sz w:val="24"/>
                <w:szCs w:val="24"/>
              </w:rPr>
              <w:t>污水处理站臭气</w:t>
            </w:r>
            <w:r>
              <w:rPr>
                <w:rFonts w:hint="eastAsia"/>
                <w:color w:val="auto"/>
                <w:sz w:val="24"/>
                <w:szCs w:val="24"/>
                <w:lang w:eastAsia="zh-CN"/>
              </w:rPr>
              <w:t>参照</w:t>
            </w:r>
            <w:r>
              <w:rPr>
                <w:color w:val="auto"/>
                <w:sz w:val="24"/>
                <w:szCs w:val="24"/>
              </w:rPr>
              <w:t>执行</w:t>
            </w:r>
            <w:r>
              <w:rPr>
                <w:bCs/>
                <w:color w:val="auto"/>
                <w:sz w:val="24"/>
              </w:rPr>
              <w:t>《城镇污水处理厂污染物排放标准》(GB18918-2002)中表4厂界废气排放最高允许浓度二级标准</w:t>
            </w:r>
            <w:r>
              <w:rPr>
                <w:color w:val="auto"/>
                <w:sz w:val="24"/>
                <w:szCs w:val="24"/>
              </w:rPr>
              <w:t>，详见表3.</w:t>
            </w:r>
            <w:r>
              <w:rPr>
                <w:rFonts w:hint="eastAsia"/>
                <w:color w:val="auto"/>
                <w:sz w:val="24"/>
                <w:szCs w:val="24"/>
                <w:lang w:val="en-US" w:eastAsia="zh-CN"/>
              </w:rPr>
              <w:t>7-4</w:t>
            </w:r>
            <w:r>
              <w:rPr>
                <w:color w:val="auto"/>
                <w:sz w:val="24"/>
                <w:szCs w:val="24"/>
              </w:rPr>
              <w:t>。</w:t>
            </w:r>
          </w:p>
          <w:p w14:paraId="278271BE">
            <w:pPr>
              <w:spacing w:before="120" w:beforeLines="50"/>
              <w:jc w:val="center"/>
              <w:textAlignment w:val="baseline"/>
              <w:rPr>
                <w:rFonts w:eastAsia="黑体"/>
                <w:color w:val="auto"/>
                <w:kern w:val="0"/>
                <w:sz w:val="24"/>
                <w:szCs w:val="24"/>
              </w:rPr>
            </w:pPr>
            <w:r>
              <w:rPr>
                <w:rFonts w:eastAsia="黑体"/>
                <w:color w:val="auto"/>
                <w:kern w:val="0"/>
                <w:sz w:val="24"/>
                <w:szCs w:val="24"/>
              </w:rPr>
              <w:t>表3.</w:t>
            </w:r>
            <w:r>
              <w:rPr>
                <w:rFonts w:hint="eastAsia" w:eastAsia="黑体"/>
                <w:color w:val="auto"/>
                <w:kern w:val="0"/>
                <w:sz w:val="24"/>
                <w:szCs w:val="24"/>
                <w:lang w:val="en-US" w:eastAsia="zh-CN"/>
              </w:rPr>
              <w:t>7-4</w:t>
            </w:r>
            <w:r>
              <w:rPr>
                <w:rFonts w:eastAsia="黑体"/>
                <w:color w:val="auto"/>
                <w:kern w:val="0"/>
                <w:sz w:val="24"/>
                <w:szCs w:val="24"/>
              </w:rPr>
              <w:t xml:space="preserve">  《城镇污水处理厂污染物排放标准》(GB18918-2002) (摘录)</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664"/>
              <w:gridCol w:w="3616"/>
            </w:tblGrid>
            <w:tr w14:paraId="1F7725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65" w:type="dxa"/>
                  <w:noWrap w:val="0"/>
                  <w:vAlign w:val="center"/>
                </w:tcPr>
                <w:p w14:paraId="13A15CEE">
                  <w:pPr>
                    <w:spacing w:line="340" w:lineRule="exact"/>
                    <w:jc w:val="center"/>
                    <w:rPr>
                      <w:bCs/>
                      <w:color w:val="auto"/>
                      <w:kern w:val="0"/>
                      <w:sz w:val="21"/>
                      <w:szCs w:val="21"/>
                    </w:rPr>
                  </w:pPr>
                  <w:r>
                    <w:rPr>
                      <w:bCs/>
                      <w:color w:val="auto"/>
                      <w:kern w:val="0"/>
                      <w:sz w:val="21"/>
                      <w:szCs w:val="21"/>
                    </w:rPr>
                    <w:t>控制项目</w:t>
                  </w:r>
                </w:p>
              </w:tc>
              <w:tc>
                <w:tcPr>
                  <w:tcW w:w="3941" w:type="dxa"/>
                  <w:noWrap w:val="0"/>
                  <w:vAlign w:val="center"/>
                </w:tcPr>
                <w:p w14:paraId="2AEEA716">
                  <w:pPr>
                    <w:spacing w:line="340" w:lineRule="exact"/>
                    <w:jc w:val="center"/>
                    <w:rPr>
                      <w:bCs/>
                      <w:color w:val="auto"/>
                      <w:kern w:val="0"/>
                      <w:sz w:val="21"/>
                      <w:szCs w:val="21"/>
                    </w:rPr>
                  </w:pPr>
                  <w:r>
                    <w:rPr>
                      <w:bCs/>
                      <w:color w:val="auto"/>
                      <w:kern w:val="0"/>
                      <w:sz w:val="21"/>
                      <w:szCs w:val="21"/>
                    </w:rPr>
                    <w:t>二级标准</w:t>
                  </w:r>
                </w:p>
              </w:tc>
            </w:tr>
            <w:tr w14:paraId="1AD0B8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65" w:type="dxa"/>
                  <w:noWrap w:val="0"/>
                  <w:vAlign w:val="center"/>
                </w:tcPr>
                <w:p w14:paraId="56BA762E">
                  <w:pPr>
                    <w:spacing w:line="340" w:lineRule="exact"/>
                    <w:jc w:val="center"/>
                    <w:rPr>
                      <w:bCs/>
                      <w:color w:val="auto"/>
                      <w:kern w:val="0"/>
                      <w:sz w:val="21"/>
                      <w:szCs w:val="21"/>
                    </w:rPr>
                  </w:pPr>
                  <w:r>
                    <w:rPr>
                      <w:bCs/>
                      <w:color w:val="auto"/>
                      <w:kern w:val="0"/>
                      <w:sz w:val="21"/>
                      <w:szCs w:val="21"/>
                    </w:rPr>
                    <w:t>氨(mg/m</w:t>
                  </w:r>
                  <w:r>
                    <w:rPr>
                      <w:bCs/>
                      <w:color w:val="auto"/>
                      <w:kern w:val="0"/>
                      <w:sz w:val="21"/>
                      <w:szCs w:val="21"/>
                      <w:vertAlign w:val="superscript"/>
                    </w:rPr>
                    <w:t>3</w:t>
                  </w:r>
                  <w:r>
                    <w:rPr>
                      <w:bCs/>
                      <w:color w:val="auto"/>
                      <w:kern w:val="0"/>
                      <w:sz w:val="21"/>
                      <w:szCs w:val="21"/>
                    </w:rPr>
                    <w:t>)</w:t>
                  </w:r>
                </w:p>
              </w:tc>
              <w:tc>
                <w:tcPr>
                  <w:tcW w:w="3941" w:type="dxa"/>
                  <w:noWrap w:val="0"/>
                  <w:vAlign w:val="center"/>
                </w:tcPr>
                <w:p w14:paraId="7160C909">
                  <w:pPr>
                    <w:spacing w:line="340" w:lineRule="exact"/>
                    <w:jc w:val="center"/>
                    <w:rPr>
                      <w:bCs/>
                      <w:color w:val="auto"/>
                      <w:kern w:val="0"/>
                      <w:sz w:val="21"/>
                      <w:szCs w:val="21"/>
                    </w:rPr>
                  </w:pPr>
                  <w:r>
                    <w:rPr>
                      <w:bCs/>
                      <w:color w:val="auto"/>
                      <w:kern w:val="0"/>
                      <w:sz w:val="21"/>
                      <w:szCs w:val="21"/>
                    </w:rPr>
                    <w:t>1.5</w:t>
                  </w:r>
                </w:p>
              </w:tc>
            </w:tr>
            <w:tr w14:paraId="138981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65" w:type="dxa"/>
                  <w:noWrap w:val="0"/>
                  <w:vAlign w:val="center"/>
                </w:tcPr>
                <w:p w14:paraId="76ACF7C3">
                  <w:pPr>
                    <w:spacing w:line="340" w:lineRule="exact"/>
                    <w:jc w:val="center"/>
                    <w:rPr>
                      <w:bCs/>
                      <w:color w:val="auto"/>
                      <w:kern w:val="0"/>
                      <w:sz w:val="21"/>
                      <w:szCs w:val="21"/>
                    </w:rPr>
                  </w:pPr>
                  <w:r>
                    <w:rPr>
                      <w:bCs/>
                      <w:color w:val="auto"/>
                      <w:kern w:val="0"/>
                      <w:sz w:val="21"/>
                      <w:szCs w:val="21"/>
                    </w:rPr>
                    <w:t>硫化氢()</w:t>
                  </w:r>
                </w:p>
              </w:tc>
              <w:tc>
                <w:tcPr>
                  <w:tcW w:w="3941" w:type="dxa"/>
                  <w:noWrap w:val="0"/>
                  <w:vAlign w:val="center"/>
                </w:tcPr>
                <w:p w14:paraId="5E746C65">
                  <w:pPr>
                    <w:spacing w:line="340" w:lineRule="exact"/>
                    <w:jc w:val="center"/>
                    <w:rPr>
                      <w:bCs/>
                      <w:color w:val="auto"/>
                      <w:kern w:val="0"/>
                      <w:sz w:val="21"/>
                      <w:szCs w:val="21"/>
                    </w:rPr>
                  </w:pPr>
                  <w:r>
                    <w:rPr>
                      <w:bCs/>
                      <w:color w:val="auto"/>
                      <w:kern w:val="0"/>
                      <w:sz w:val="21"/>
                      <w:szCs w:val="21"/>
                    </w:rPr>
                    <w:t>0.06</w:t>
                  </w:r>
                </w:p>
              </w:tc>
            </w:tr>
            <w:tr w14:paraId="5AAEC9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65" w:type="dxa"/>
                  <w:noWrap w:val="0"/>
                  <w:vAlign w:val="center"/>
                </w:tcPr>
                <w:p w14:paraId="36883D40">
                  <w:pPr>
                    <w:spacing w:line="340" w:lineRule="exact"/>
                    <w:jc w:val="center"/>
                    <w:rPr>
                      <w:bCs/>
                      <w:color w:val="auto"/>
                      <w:kern w:val="0"/>
                      <w:sz w:val="21"/>
                      <w:szCs w:val="21"/>
                    </w:rPr>
                  </w:pPr>
                  <w:r>
                    <w:rPr>
                      <w:bCs/>
                      <w:color w:val="auto"/>
                      <w:kern w:val="0"/>
                      <w:sz w:val="21"/>
                      <w:szCs w:val="21"/>
                    </w:rPr>
                    <w:t>臭气浓度(无量纲)</w:t>
                  </w:r>
                </w:p>
              </w:tc>
              <w:tc>
                <w:tcPr>
                  <w:tcW w:w="3941" w:type="dxa"/>
                  <w:noWrap w:val="0"/>
                  <w:vAlign w:val="center"/>
                </w:tcPr>
                <w:p w14:paraId="599DFBF3">
                  <w:pPr>
                    <w:spacing w:line="340" w:lineRule="exact"/>
                    <w:jc w:val="center"/>
                    <w:rPr>
                      <w:bCs/>
                      <w:color w:val="auto"/>
                      <w:kern w:val="0"/>
                      <w:sz w:val="21"/>
                      <w:szCs w:val="21"/>
                    </w:rPr>
                  </w:pPr>
                  <w:r>
                    <w:rPr>
                      <w:bCs/>
                      <w:color w:val="auto"/>
                      <w:kern w:val="0"/>
                      <w:sz w:val="21"/>
                      <w:szCs w:val="21"/>
                    </w:rPr>
                    <w:t>20</w:t>
                  </w:r>
                </w:p>
              </w:tc>
            </w:tr>
          </w:tbl>
          <w:p w14:paraId="4EC9348D">
            <w:pPr>
              <w:spacing w:before="120" w:beforeLines="50" w:line="360" w:lineRule="auto"/>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eastAsia" w:ascii="Times New Roman" w:hAnsi="Times New Roman" w:cs="Times New Roman"/>
                <w:b/>
                <w:bCs/>
                <w:color w:val="000000" w:themeColor="text1"/>
                <w:sz w:val="24"/>
                <w:highlight w:val="none"/>
                <w:lang w:val="en-US" w:eastAsia="zh-CN"/>
                <w14:textFill>
                  <w14:solidFill>
                    <w14:schemeClr w14:val="tx1"/>
                  </w14:solidFill>
                </w14:textFill>
              </w:rPr>
              <w:t xml:space="preserve">3.7.3 </w:t>
            </w:r>
            <w:r>
              <w:rPr>
                <w:rFonts w:hint="default" w:ascii="Times New Roman" w:hAnsi="Times New Roman" w:eastAsia="宋体" w:cs="Times New Roman"/>
                <w:b/>
                <w:bCs/>
                <w:color w:val="000000" w:themeColor="text1"/>
                <w:sz w:val="24"/>
                <w:highlight w:val="none"/>
                <w14:textFill>
                  <w14:solidFill>
                    <w14:schemeClr w14:val="tx1"/>
                  </w14:solidFill>
                </w14:textFill>
              </w:rPr>
              <w:t>厂界噪声</w:t>
            </w:r>
          </w:p>
          <w:p w14:paraId="7B575CA7">
            <w:pPr>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项目运营期厂界噪声执行《工业企业厂界环境噪声排放标准》(GB12348-2008)中</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3类标准</w:t>
            </w:r>
            <w:r>
              <w:rPr>
                <w:rFonts w:hint="default" w:ascii="Times New Roman" w:hAnsi="Times New Roman" w:eastAsia="宋体" w:cs="Times New Roman"/>
                <w:color w:val="000000" w:themeColor="text1"/>
                <w:sz w:val="24"/>
                <w:szCs w:val="24"/>
                <w:highlight w:val="none"/>
                <w14:textFill>
                  <w14:solidFill>
                    <w14:schemeClr w14:val="tx1"/>
                  </w14:solidFill>
                </w14:textFill>
              </w:rPr>
              <w:t>，具体详见表</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7-5</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722AEB0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color w:val="000000" w:themeColor="text1"/>
                <w:sz w:val="24"/>
                <w:szCs w:val="24"/>
                <w:highlight w:val="none"/>
                <w14:textFill>
                  <w14:solidFill>
                    <w14:schemeClr w14:val="tx1"/>
                  </w14:solidFill>
                </w14:textFill>
              </w:rPr>
            </w:pPr>
            <w:r>
              <w:rPr>
                <w:rFonts w:hint="default" w:ascii="Times New Roman" w:hAnsi="Times New Roman" w:eastAsia="黑体" w:cs="Times New Roman"/>
                <w:color w:val="000000" w:themeColor="text1"/>
                <w:sz w:val="24"/>
                <w:szCs w:val="24"/>
                <w:highlight w:val="none"/>
                <w14:textFill>
                  <w14:solidFill>
                    <w14:schemeClr w14:val="tx1"/>
                  </w14:solidFill>
                </w14:textFill>
              </w:rPr>
              <w:t>表3.</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7-5</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《工业企业厂界环境噪声排放标准》(GB12348-2008)表1(摘录)</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105"/>
              <w:gridCol w:w="1298"/>
              <w:gridCol w:w="1298"/>
              <w:gridCol w:w="1576"/>
            </w:tblGrid>
            <w:tr w14:paraId="6433D3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79" w:type="pct"/>
                  <w:tcBorders>
                    <w:tl2br w:val="single" w:color="auto" w:sz="2" w:space="0"/>
                  </w:tcBorders>
                  <w:noWrap w:val="0"/>
                  <w:vAlign w:val="center"/>
                </w:tcPr>
                <w:p w14:paraId="41A883BC">
                  <w:pPr>
                    <w:snapToGrid w:val="0"/>
                    <w:spacing w:line="340" w:lineRule="exact"/>
                    <w:jc w:val="right"/>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 xml:space="preserve">          时 段</w:t>
                  </w:r>
                </w:p>
                <w:p w14:paraId="58C911DD">
                  <w:pPr>
                    <w:snapToGrid w:val="0"/>
                    <w:spacing w:line="340" w:lineRule="exact"/>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厂界外声环境功能区类别</w:t>
                  </w:r>
                </w:p>
              </w:tc>
              <w:tc>
                <w:tcPr>
                  <w:tcW w:w="784" w:type="pct"/>
                  <w:noWrap w:val="0"/>
                  <w:vAlign w:val="center"/>
                </w:tcPr>
                <w:p w14:paraId="6AF3A67F">
                  <w:pPr>
                    <w:snapToGrid w:val="0"/>
                    <w:spacing w:line="340" w:lineRule="exact"/>
                    <w:jc w:val="cente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昼 间</w:t>
                  </w:r>
                </w:p>
              </w:tc>
              <w:tc>
                <w:tcPr>
                  <w:tcW w:w="784" w:type="pct"/>
                  <w:noWrap w:val="0"/>
                  <w:vAlign w:val="center"/>
                </w:tcPr>
                <w:p w14:paraId="5AF31A0D">
                  <w:pPr>
                    <w:snapToGrid w:val="0"/>
                    <w:spacing w:line="340" w:lineRule="exact"/>
                    <w:jc w:val="cente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lang w:eastAsia="zh-CN"/>
                      <w14:textFill>
                        <w14:solidFill>
                          <w14:schemeClr w14:val="tx1"/>
                        </w14:solidFill>
                      </w14:textFill>
                    </w:rPr>
                    <w:t>夜</w:t>
                  </w: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 xml:space="preserve"> 间</w:t>
                  </w:r>
                </w:p>
              </w:tc>
              <w:tc>
                <w:tcPr>
                  <w:tcW w:w="951" w:type="pct"/>
                  <w:noWrap w:val="0"/>
                  <w:vAlign w:val="center"/>
                </w:tcPr>
                <w:p w14:paraId="6EF534AB">
                  <w:pPr>
                    <w:snapToGrid w:val="0"/>
                    <w:spacing w:line="340" w:lineRule="exact"/>
                    <w:jc w:val="cente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单 位</w:t>
                  </w:r>
                </w:p>
              </w:tc>
            </w:tr>
            <w:tr w14:paraId="5243B8C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79" w:type="pct"/>
                  <w:noWrap w:val="0"/>
                  <w:vAlign w:val="center"/>
                </w:tcPr>
                <w:p w14:paraId="3A0C0B71">
                  <w:pPr>
                    <w:snapToGrid w:val="0"/>
                    <w:spacing w:line="340" w:lineRule="exact"/>
                    <w:jc w:val="cente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lang w:val="en-US" w:eastAsia="zh-CN"/>
                      <w14:textFill>
                        <w14:solidFill>
                          <w14:schemeClr w14:val="tx1"/>
                        </w14:solidFill>
                      </w14:textFill>
                    </w:rPr>
                    <w:t>3</w:t>
                  </w: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类</w:t>
                  </w:r>
                </w:p>
              </w:tc>
              <w:tc>
                <w:tcPr>
                  <w:tcW w:w="784" w:type="pct"/>
                  <w:noWrap w:val="0"/>
                  <w:vAlign w:val="center"/>
                </w:tcPr>
                <w:p w14:paraId="2D13EB33">
                  <w:pPr>
                    <w:snapToGrid w:val="0"/>
                    <w:spacing w:line="340" w:lineRule="exact"/>
                    <w:jc w:val="center"/>
                    <w:rPr>
                      <w:rFonts w:hint="default" w:ascii="Times New Roman" w:hAnsi="Times New Roman" w:eastAsia="宋体" w:cs="Times New Roman"/>
                      <w:snapToGrid w:val="0"/>
                      <w:color w:val="000000" w:themeColor="text1"/>
                      <w:kern w:val="18"/>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w:t>
                  </w:r>
                  <w:r>
                    <w:rPr>
                      <w:rFonts w:hint="default" w:ascii="Times New Roman" w:hAnsi="Times New Roman" w:eastAsia="宋体" w:cs="Times New Roman"/>
                      <w:snapToGrid w:val="0"/>
                      <w:color w:val="000000" w:themeColor="text1"/>
                      <w:kern w:val="18"/>
                      <w:szCs w:val="21"/>
                      <w:highlight w:val="none"/>
                      <w:lang w:val="en-US" w:eastAsia="zh-CN"/>
                      <w14:textFill>
                        <w14:solidFill>
                          <w14:schemeClr w14:val="tx1"/>
                        </w14:solidFill>
                      </w14:textFill>
                    </w:rPr>
                    <w:t>65</w:t>
                  </w:r>
                </w:p>
              </w:tc>
              <w:tc>
                <w:tcPr>
                  <w:tcW w:w="784" w:type="pct"/>
                  <w:noWrap w:val="0"/>
                  <w:vAlign w:val="center"/>
                </w:tcPr>
                <w:p w14:paraId="053E4A4B">
                  <w:pPr>
                    <w:snapToGrid w:val="0"/>
                    <w:spacing w:line="340" w:lineRule="exact"/>
                    <w:jc w:val="cente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w:t>
                  </w:r>
                  <w:r>
                    <w:rPr>
                      <w:rFonts w:hint="default" w:ascii="Times New Roman" w:hAnsi="Times New Roman" w:eastAsia="宋体" w:cs="Times New Roman"/>
                      <w:snapToGrid w:val="0"/>
                      <w:color w:val="000000" w:themeColor="text1"/>
                      <w:kern w:val="18"/>
                      <w:szCs w:val="21"/>
                      <w:highlight w:val="none"/>
                      <w:lang w:val="en-US" w:eastAsia="zh-CN"/>
                      <w14:textFill>
                        <w14:solidFill>
                          <w14:schemeClr w14:val="tx1"/>
                        </w14:solidFill>
                      </w14:textFill>
                    </w:rPr>
                    <w:t>55</w:t>
                  </w:r>
                </w:p>
              </w:tc>
              <w:tc>
                <w:tcPr>
                  <w:tcW w:w="951" w:type="pct"/>
                  <w:noWrap w:val="0"/>
                  <w:vAlign w:val="center"/>
                </w:tcPr>
                <w:p w14:paraId="390A9082">
                  <w:pPr>
                    <w:snapToGrid w:val="0"/>
                    <w:spacing w:line="340" w:lineRule="exact"/>
                    <w:jc w:val="cente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dB(A)</w:t>
                  </w:r>
                </w:p>
              </w:tc>
            </w:tr>
          </w:tbl>
          <w:p w14:paraId="2E1B78EA">
            <w:pPr>
              <w:keepNext w:val="0"/>
              <w:keepLines w:val="0"/>
              <w:pageBreakBefore w:val="0"/>
              <w:widowControl w:val="0"/>
              <w:kinsoku/>
              <w:wordWrap/>
              <w:overflowPunct/>
              <w:topLinePunct w:val="0"/>
              <w:autoSpaceDE/>
              <w:autoSpaceDN/>
              <w:bidi w:val="0"/>
              <w:adjustRightInd w:val="0"/>
              <w:snapToGrid w:val="0"/>
              <w:spacing w:before="120" w:beforeLines="50" w:line="360" w:lineRule="auto"/>
              <w:textAlignment w:val="auto"/>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3.7.</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highlight w:val="none"/>
                <w14:textFill>
                  <w14:solidFill>
                    <w14:schemeClr w14:val="tx1"/>
                  </w14:solidFill>
                </w14:textFill>
              </w:rPr>
              <w:t>固体废物</w:t>
            </w:r>
          </w:p>
          <w:p w14:paraId="681C7CEC">
            <w:pPr>
              <w:pStyle w:val="83"/>
              <w:ind w:firstLine="480"/>
              <w:jc w:val="both"/>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项目生活垃圾按照《城市环境卫生设施规划规范》(GB/T50337-2018)中的要求进行综合利用和处置；项目产生的一般工业固废贮存管理执行《一般工业固体废物贮存和填埋污染控制标准》(GB18599-2020)</w:t>
            </w:r>
            <w:r>
              <w:rPr>
                <w:rFonts w:hint="default" w:ascii="Times New Roman" w:hAnsi="Times New Roman" w:eastAsia="宋体" w:cs="Times New Roman"/>
                <w:color w:val="0000FF"/>
                <w:sz w:val="24"/>
                <w:highlight w:val="none"/>
              </w:rPr>
              <w:t>。</w:t>
            </w:r>
          </w:p>
        </w:tc>
      </w:tr>
      <w:tr w14:paraId="60462C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565" w:type="dxa"/>
            <w:noWrap w:val="0"/>
            <w:vAlign w:val="center"/>
          </w:tcPr>
          <w:p w14:paraId="3E6148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总量</w:t>
            </w:r>
          </w:p>
          <w:p w14:paraId="4A6017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控制</w:t>
            </w:r>
          </w:p>
          <w:p w14:paraId="5EF75A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指标</w:t>
            </w:r>
          </w:p>
        </w:tc>
        <w:tc>
          <w:tcPr>
            <w:tcW w:w="8496" w:type="dxa"/>
            <w:noWrap w:val="0"/>
            <w:vAlign w:val="center"/>
          </w:tcPr>
          <w:p w14:paraId="3326CA7E">
            <w:pPr>
              <w:keepNext w:val="0"/>
              <w:keepLines w:val="0"/>
              <w:pageBreakBefore w:val="0"/>
              <w:widowControl w:val="0"/>
              <w:kinsoku/>
              <w:wordWrap/>
              <w:overflowPunct/>
              <w:topLinePunct w:val="0"/>
              <w:autoSpaceDE/>
              <w:autoSpaceDN/>
              <w:bidi w:val="0"/>
              <w:adjustRightInd w:val="0"/>
              <w:snapToGrid w:val="0"/>
              <w:spacing w:before="120" w:beforeLines="50" w:line="360" w:lineRule="auto"/>
              <w:textAlignment w:val="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3.8.1 废水总量</w:t>
            </w:r>
          </w:p>
          <w:p w14:paraId="158E38BE">
            <w:pPr>
              <w:pStyle w:val="92"/>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lang w:val="en-US" w:eastAsia="zh-CN"/>
              </w:rPr>
            </w:pPr>
            <w:r>
              <w:rPr>
                <w:rFonts w:hint="default" w:ascii="Times New Roman" w:hAnsi="Times New Roman" w:cs="Times New Roman"/>
                <w:color w:val="auto"/>
                <w:sz w:val="24"/>
                <w:lang w:val="en-GB"/>
              </w:rPr>
              <w:t>根据《福建省建设项目主要污染物排放总量指标管理办法(试行)的通知》(闽环发[2014]13号)、《福建省关于全面实施排污权有偿使用和交易工作的意见》(政2016号54号)</w:t>
            </w:r>
            <w:r>
              <w:rPr>
                <w:rFonts w:hint="eastAsia" w:ascii="Times New Roman" w:hAnsi="Times New Roman" w:cs="Times New Roman"/>
                <w:color w:val="auto"/>
                <w:sz w:val="24"/>
                <w:lang w:val="en-US" w:eastAsia="zh-CN"/>
              </w:rPr>
              <w:t>等文件要求，</w:t>
            </w:r>
            <w:r>
              <w:rPr>
                <w:rFonts w:hint="default" w:ascii="Times New Roman" w:hAnsi="Times New Roman" w:cs="Times New Roman"/>
                <w:color w:val="auto"/>
                <w:sz w:val="24"/>
                <w:lang w:val="en-GB"/>
              </w:rPr>
              <w:t>现阶段</w:t>
            </w:r>
            <w:r>
              <w:rPr>
                <w:rFonts w:hint="eastAsia" w:ascii="Times New Roman" w:hAnsi="Times New Roman" w:eastAsia="宋体" w:cs="Times New Roman"/>
                <w:color w:val="auto"/>
                <w:lang w:val="en-US" w:eastAsia="zh-CN"/>
              </w:rPr>
              <w:t>福建省主要污染物排放总量指标为COD、NH</w:t>
            </w:r>
            <w:r>
              <w:rPr>
                <w:rFonts w:hint="eastAsia" w:ascii="Times New Roman" w:hAnsi="Times New Roman" w:eastAsia="宋体" w:cs="Times New Roman"/>
                <w:color w:val="auto"/>
                <w:vertAlign w:val="subscript"/>
                <w:lang w:val="en-US" w:eastAsia="zh-CN"/>
              </w:rPr>
              <w:t>3</w:t>
            </w:r>
            <w:r>
              <w:rPr>
                <w:rFonts w:hint="eastAsia" w:ascii="Times New Roman" w:hAnsi="Times New Roman" w:eastAsia="宋体" w:cs="Times New Roman"/>
                <w:color w:val="auto"/>
                <w:lang w:val="en-US" w:eastAsia="zh-CN"/>
              </w:rPr>
              <w:t>-N、SO</w:t>
            </w:r>
            <w:r>
              <w:rPr>
                <w:rFonts w:hint="eastAsia" w:ascii="Times New Roman" w:hAnsi="Times New Roman" w:eastAsia="宋体" w:cs="Times New Roman"/>
                <w:color w:val="auto"/>
                <w:vertAlign w:val="subscript"/>
                <w:lang w:val="en-US" w:eastAsia="zh-CN"/>
              </w:rPr>
              <w:t>2</w:t>
            </w:r>
            <w:r>
              <w:rPr>
                <w:rFonts w:hint="eastAsia" w:ascii="Times New Roman" w:hAnsi="Times New Roman" w:eastAsia="宋体" w:cs="Times New Roman"/>
                <w:color w:val="auto"/>
                <w:lang w:val="en-US" w:eastAsia="zh-CN"/>
              </w:rPr>
              <w:t>、NOx。</w:t>
            </w:r>
          </w:p>
          <w:p w14:paraId="2EFDB016">
            <w:pPr>
              <w:pStyle w:val="92"/>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0" w:firstLineChars="0"/>
              <w:jc w:val="both"/>
              <w:textAlignment w:val="auto"/>
              <w:outlineLvl w:val="9"/>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 xml:space="preserve">3.8.2 </w:t>
            </w:r>
            <w:r>
              <w:rPr>
                <w:rFonts w:hint="eastAsia" w:ascii="Times New Roman" w:hAnsi="Times New Roman" w:cs="Times New Roman"/>
                <w:b/>
                <w:bCs/>
                <w:color w:val="auto"/>
                <w:lang w:val="en-US" w:eastAsia="zh-CN"/>
              </w:rPr>
              <w:t>废水主要污染物排放总量</w:t>
            </w:r>
          </w:p>
          <w:p w14:paraId="452BD08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黑体" w:cs="Times New Roman"/>
                <w:color w:val="auto"/>
                <w:sz w:val="24"/>
                <w:highlight w:val="none"/>
              </w:rPr>
            </w:pPr>
            <w:r>
              <w:rPr>
                <w:color w:val="auto"/>
                <w:sz w:val="24"/>
              </w:rPr>
              <w:t>根据本项目废水排放量，结合</w:t>
            </w:r>
            <w:r>
              <w:rPr>
                <w:rFonts w:hint="default"/>
                <w:color w:val="auto"/>
                <w:sz w:val="24"/>
                <w:lang w:eastAsia="zh-CN"/>
              </w:rPr>
              <w:t>江镜华侨农场污水处理厂</w:t>
            </w:r>
            <w:r>
              <w:rPr>
                <w:color w:val="auto"/>
                <w:sz w:val="24"/>
                <w:szCs w:val="20"/>
              </w:rPr>
              <w:t>尾水排放标准，</w:t>
            </w:r>
            <w:r>
              <w:rPr>
                <w:color w:val="auto"/>
                <w:sz w:val="24"/>
              </w:rPr>
              <w:t>核算得到项目</w:t>
            </w:r>
            <w:r>
              <w:rPr>
                <w:rFonts w:hint="eastAsia"/>
                <w:color w:val="auto"/>
                <w:sz w:val="24"/>
                <w:lang w:eastAsia="zh-CN"/>
              </w:rPr>
              <w:t>生产废水</w:t>
            </w:r>
            <w:r>
              <w:rPr>
                <w:color w:val="auto"/>
                <w:sz w:val="24"/>
              </w:rPr>
              <w:t>污染物排放总量如下表所示。</w:t>
            </w:r>
          </w:p>
          <w:p w14:paraId="53D928A5">
            <w:pPr>
              <w:keepNext w:val="0"/>
              <w:keepLines w:val="0"/>
              <w:pageBreakBefore w:val="0"/>
              <w:widowControl w:val="0"/>
              <w:kinsoku/>
              <w:wordWrap/>
              <w:overflowPunct/>
              <w:topLinePunct w:val="0"/>
              <w:autoSpaceDE/>
              <w:autoSpaceDN/>
              <w:bidi w:val="0"/>
              <w:adjustRightInd/>
              <w:snapToGrid/>
              <w:spacing w:before="120" w:beforeLines="50"/>
              <w:ind w:firstLine="480" w:firstLineChars="200"/>
              <w:jc w:val="center"/>
              <w:textAlignment w:val="auto"/>
              <w:rPr>
                <w:rFonts w:hint="default" w:ascii="Times New Roman" w:hAnsi="Times New Roman" w:eastAsia="黑体" w:cs="Times New Roman"/>
                <w:color w:val="auto"/>
                <w:sz w:val="24"/>
                <w:highlight w:val="none"/>
              </w:rPr>
            </w:pPr>
          </w:p>
          <w:p w14:paraId="17940A73">
            <w:pPr>
              <w:keepNext w:val="0"/>
              <w:keepLines w:val="0"/>
              <w:pageBreakBefore w:val="0"/>
              <w:widowControl w:val="0"/>
              <w:kinsoku/>
              <w:wordWrap/>
              <w:overflowPunct/>
              <w:topLinePunct w:val="0"/>
              <w:autoSpaceDE/>
              <w:autoSpaceDN/>
              <w:bidi w:val="0"/>
              <w:adjustRightInd/>
              <w:snapToGrid/>
              <w:spacing w:before="120" w:beforeLines="50"/>
              <w:jc w:val="center"/>
              <w:textAlignment w:val="auto"/>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表</w:t>
            </w:r>
            <w:r>
              <w:rPr>
                <w:rFonts w:hint="eastAsia" w:ascii="Times New Roman" w:hAnsi="Times New Roman" w:eastAsia="黑体" w:cs="Times New Roman"/>
                <w:color w:val="auto"/>
                <w:sz w:val="24"/>
                <w:highlight w:val="none"/>
                <w:lang w:val="en-US" w:eastAsia="zh-CN"/>
              </w:rPr>
              <w:t>3.8-1</w:t>
            </w:r>
            <w:r>
              <w:rPr>
                <w:rFonts w:hint="default" w:ascii="Times New Roman" w:hAnsi="Times New Roman" w:eastAsia="黑体" w:cs="Times New Roman"/>
                <w:color w:val="auto"/>
                <w:sz w:val="24"/>
                <w:highlight w:val="none"/>
              </w:rPr>
              <w:t xml:space="preserve">  项目</w:t>
            </w:r>
            <w:r>
              <w:rPr>
                <w:rFonts w:hint="eastAsia" w:ascii="Times New Roman" w:hAnsi="Times New Roman" w:eastAsia="黑体" w:cs="Times New Roman"/>
                <w:color w:val="auto"/>
                <w:sz w:val="24"/>
                <w:highlight w:val="none"/>
                <w:lang w:eastAsia="zh-CN"/>
              </w:rPr>
              <w:t>生产</w:t>
            </w:r>
            <w:r>
              <w:rPr>
                <w:rFonts w:hint="default" w:ascii="Times New Roman" w:hAnsi="Times New Roman" w:eastAsia="黑体" w:cs="Times New Roman"/>
                <w:color w:val="auto"/>
                <w:sz w:val="24"/>
                <w:highlight w:val="none"/>
              </w:rPr>
              <w:t>废水污染物排放总量指标一览表</w:t>
            </w:r>
          </w:p>
          <w:tbl>
            <w:tblPr>
              <w:tblStyle w:val="28"/>
              <w:tblW w:w="0" w:type="auto"/>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autofit"/>
              <w:tblCellMar>
                <w:top w:w="0" w:type="dxa"/>
                <w:left w:w="108" w:type="dxa"/>
                <w:bottom w:w="0" w:type="dxa"/>
                <w:right w:w="108" w:type="dxa"/>
              </w:tblCellMar>
            </w:tblPr>
            <w:tblGrid>
              <w:gridCol w:w="839"/>
              <w:gridCol w:w="860"/>
              <w:gridCol w:w="1039"/>
              <w:gridCol w:w="1192"/>
              <w:gridCol w:w="922"/>
              <w:gridCol w:w="1192"/>
              <w:gridCol w:w="2236"/>
            </w:tblGrid>
            <w:tr w14:paraId="445D5B4B">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trHeight w:val="397" w:hRule="atLeast"/>
              </w:trPr>
              <w:tc>
                <w:tcPr>
                  <w:tcW w:w="1719" w:type="dxa"/>
                  <w:gridSpan w:val="2"/>
                  <w:noWrap w:val="0"/>
                  <w:vAlign w:val="center"/>
                </w:tcPr>
                <w:p w14:paraId="5D5A2E66">
                  <w:pPr>
                    <w:keepNext w:val="0"/>
                    <w:keepLines w:val="0"/>
                    <w:pageBreakBefore w:val="0"/>
                    <w:widowControl w:val="0"/>
                    <w:kinsoku/>
                    <w:wordWrap/>
                    <w:overflowPunct/>
                    <w:topLinePunct w:val="0"/>
                    <w:autoSpaceDE/>
                    <w:autoSpaceDN/>
                    <w:bidi w:val="0"/>
                    <w:adjustRightInd/>
                    <w:snapToGrid/>
                    <w:spacing w:line="340" w:lineRule="exact"/>
                    <w:ind w:firstLine="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w:t>
                  </w:r>
                </w:p>
              </w:tc>
              <w:tc>
                <w:tcPr>
                  <w:tcW w:w="2253" w:type="dxa"/>
                  <w:gridSpan w:val="2"/>
                  <w:noWrap w:val="0"/>
                  <w:vAlign w:val="center"/>
                </w:tcPr>
                <w:p w14:paraId="6299EA17">
                  <w:pPr>
                    <w:keepNext w:val="0"/>
                    <w:keepLines w:val="0"/>
                    <w:pageBreakBefore w:val="0"/>
                    <w:widowControl w:val="0"/>
                    <w:kinsoku/>
                    <w:wordWrap/>
                    <w:overflowPunct/>
                    <w:topLinePunct w:val="0"/>
                    <w:autoSpaceDE/>
                    <w:autoSpaceDN/>
                    <w:bidi w:val="0"/>
                    <w:adjustRightInd/>
                    <w:snapToGrid/>
                    <w:spacing w:line="340" w:lineRule="exact"/>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项目排出厂区总量</w:t>
                  </w:r>
                </w:p>
              </w:tc>
              <w:tc>
                <w:tcPr>
                  <w:tcW w:w="2139" w:type="dxa"/>
                  <w:gridSpan w:val="2"/>
                  <w:noWrap w:val="0"/>
                  <w:vAlign w:val="center"/>
                </w:tcPr>
                <w:p w14:paraId="7E647834">
                  <w:pPr>
                    <w:keepNext w:val="0"/>
                    <w:keepLines w:val="0"/>
                    <w:pageBreakBefore w:val="0"/>
                    <w:widowControl w:val="0"/>
                    <w:kinsoku/>
                    <w:wordWrap/>
                    <w:overflowPunct/>
                    <w:topLinePunct w:val="0"/>
                    <w:autoSpaceDE/>
                    <w:autoSpaceDN/>
                    <w:bidi w:val="0"/>
                    <w:adjustRightInd/>
                    <w:snapToGrid/>
                    <w:spacing w:line="340" w:lineRule="exact"/>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项目排入环境总量</w:t>
                  </w:r>
                </w:p>
              </w:tc>
              <w:tc>
                <w:tcPr>
                  <w:tcW w:w="2279" w:type="dxa"/>
                  <w:noWrap w:val="0"/>
                  <w:vAlign w:val="center"/>
                </w:tcPr>
                <w:p w14:paraId="5875C701">
                  <w:pPr>
                    <w:keepNext w:val="0"/>
                    <w:keepLines w:val="0"/>
                    <w:pageBreakBefore w:val="0"/>
                    <w:widowControl w:val="0"/>
                    <w:kinsoku/>
                    <w:wordWrap/>
                    <w:overflowPunct/>
                    <w:topLinePunct w:val="0"/>
                    <w:autoSpaceDE/>
                    <w:autoSpaceDN/>
                    <w:bidi w:val="0"/>
                    <w:adjustRightInd/>
                    <w:snapToGrid/>
                    <w:spacing w:line="340" w:lineRule="exact"/>
                    <w:ind w:firstLine="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备注</w:t>
                  </w:r>
                </w:p>
              </w:tc>
            </w:tr>
            <w:tr w14:paraId="5F3641BA">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trHeight w:val="397" w:hRule="atLeast"/>
              </w:trPr>
              <w:tc>
                <w:tcPr>
                  <w:tcW w:w="855" w:type="dxa"/>
                  <w:vMerge w:val="restart"/>
                  <w:tcBorders>
                    <w:right w:val="single" w:color="auto" w:sz="4" w:space="0"/>
                  </w:tcBorders>
                  <w:noWrap w:val="0"/>
                  <w:vAlign w:val="center"/>
                </w:tcPr>
                <w:p w14:paraId="6AF95BE9">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破碎、清洗废水</w:t>
                  </w:r>
                </w:p>
              </w:tc>
              <w:tc>
                <w:tcPr>
                  <w:tcW w:w="864" w:type="dxa"/>
                  <w:noWrap w:val="0"/>
                  <w:vAlign w:val="center"/>
                </w:tcPr>
                <w:p w14:paraId="07C8CDD0">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kern w:val="0"/>
                      <w:sz w:val="21"/>
                      <w:szCs w:val="21"/>
                      <w:highlight w:val="none"/>
                    </w:rPr>
                    <w:t>废水量</w:t>
                  </w:r>
                </w:p>
              </w:tc>
              <w:tc>
                <w:tcPr>
                  <w:tcW w:w="1039" w:type="dxa"/>
                  <w:tcBorders>
                    <w:right w:val="single" w:color="auto" w:sz="4" w:space="0"/>
                  </w:tcBorders>
                  <w:noWrap w:val="0"/>
                  <w:vAlign w:val="center"/>
                </w:tcPr>
                <w:p w14:paraId="0DBE484F">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1214" w:type="dxa"/>
                  <w:tcBorders>
                    <w:left w:val="single" w:color="auto" w:sz="4" w:space="0"/>
                  </w:tcBorders>
                  <w:noWrap w:val="0"/>
                  <w:vAlign w:val="center"/>
                </w:tcPr>
                <w:p w14:paraId="30C881C9">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4192</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925" w:type="dxa"/>
                  <w:tcBorders>
                    <w:right w:val="single" w:color="auto" w:sz="4" w:space="0"/>
                  </w:tcBorders>
                  <w:noWrap w:val="0"/>
                  <w:vAlign w:val="center"/>
                </w:tcPr>
                <w:p w14:paraId="1CFA7782">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w:t>
                  </w:r>
                </w:p>
              </w:tc>
              <w:tc>
                <w:tcPr>
                  <w:tcW w:w="1214" w:type="dxa"/>
                  <w:tcBorders>
                    <w:top w:val="single" w:color="auto" w:sz="4" w:space="0"/>
                    <w:left w:val="single" w:color="auto" w:sz="4" w:space="0"/>
                  </w:tcBorders>
                  <w:noWrap w:val="0"/>
                  <w:vAlign w:val="center"/>
                </w:tcPr>
                <w:p w14:paraId="21161886">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4192</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2279" w:type="dxa"/>
                  <w:vMerge w:val="restart"/>
                  <w:tcBorders>
                    <w:top w:val="single" w:color="auto" w:sz="4" w:space="0"/>
                  </w:tcBorders>
                  <w:noWrap w:val="0"/>
                  <w:vAlign w:val="center"/>
                </w:tcPr>
                <w:p w14:paraId="07550368">
                  <w:pPr>
                    <w:keepNext w:val="0"/>
                    <w:keepLines w:val="0"/>
                    <w:pageBreakBefore w:val="0"/>
                    <w:widowControl w:val="0"/>
                    <w:kinsoku/>
                    <w:wordWrap/>
                    <w:overflowPunct/>
                    <w:topLinePunct w:val="0"/>
                    <w:autoSpaceDE/>
                    <w:autoSpaceDN/>
                    <w:bidi w:val="0"/>
                    <w:adjustRightInd/>
                    <w:snapToGrid/>
                    <w:spacing w:line="340" w:lineRule="exact"/>
                    <w:ind w:firstLine="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 w:val="21"/>
                      <w:szCs w:val="21"/>
                      <w:highlight w:val="none"/>
                      <w:lang w:bidi="he-IL"/>
                    </w:rPr>
                    <w:t>排入环境量按照污水处理厂出水标准</w:t>
                  </w:r>
                  <w:r>
                    <w:rPr>
                      <w:rFonts w:hint="eastAsia" w:ascii="Times New Roman" w:hAnsi="Times New Roman" w:eastAsia="宋体" w:cs="Times New Roman"/>
                      <w:color w:val="auto"/>
                      <w:sz w:val="21"/>
                      <w:szCs w:val="21"/>
                      <w:highlight w:val="none"/>
                      <w:lang w:eastAsia="zh-CN" w:bidi="he-IL"/>
                    </w:rPr>
                    <w:t>，即</w:t>
                  </w:r>
                  <w:r>
                    <w:rPr>
                      <w:rFonts w:hint="default" w:ascii="Times New Roman" w:hAnsi="Times New Roman" w:cs="Times New Roman"/>
                      <w:color w:val="auto"/>
                      <w:sz w:val="21"/>
                      <w:szCs w:val="21"/>
                      <w:lang w:val="en-US" w:eastAsia="zh-CN"/>
                    </w:rPr>
                    <w:t>《城镇污水处理厂污染物排放标准》(GB18918-2002)及其修改单表1</w:t>
                  </w:r>
                  <w:r>
                    <w:rPr>
                      <w:rFonts w:hint="eastAsia" w:ascii="Times New Roman" w:hAnsi="Times New Roman" w:cs="Times New Roman"/>
                      <w:color w:val="auto"/>
                      <w:sz w:val="21"/>
                      <w:szCs w:val="21"/>
                      <w:lang w:eastAsia="zh-CN"/>
                    </w:rPr>
                    <w:t>一级</w:t>
                  </w:r>
                  <w:r>
                    <w:rPr>
                      <w:rFonts w:hint="eastAsia" w:ascii="Times New Roman" w:hAnsi="Times New Roman" w:cs="Times New Roman"/>
                      <w:color w:val="auto"/>
                      <w:sz w:val="21"/>
                      <w:szCs w:val="21"/>
                      <w:lang w:val="en-US" w:eastAsia="zh-CN"/>
                    </w:rPr>
                    <w:t>A</w:t>
                  </w:r>
                  <w:r>
                    <w:rPr>
                      <w:rFonts w:hint="eastAsia" w:ascii="Times New Roman" w:hAnsi="Times New Roman" w:cs="Times New Roman"/>
                      <w:color w:val="auto"/>
                      <w:sz w:val="21"/>
                      <w:szCs w:val="21"/>
                      <w:lang w:eastAsia="zh-CN"/>
                    </w:rPr>
                    <w:t>标准</w:t>
                  </w:r>
                </w:p>
              </w:tc>
            </w:tr>
            <w:tr w14:paraId="32C2AE66">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trHeight w:val="397" w:hRule="atLeast"/>
              </w:trPr>
              <w:tc>
                <w:tcPr>
                  <w:tcW w:w="855" w:type="dxa"/>
                  <w:vMerge w:val="continue"/>
                  <w:noWrap w:val="0"/>
                  <w:vAlign w:val="center"/>
                </w:tcPr>
                <w:p w14:paraId="7B690FC0">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cs="Times New Roman"/>
                      <w:color w:val="auto"/>
                      <w:kern w:val="0"/>
                      <w:sz w:val="21"/>
                      <w:szCs w:val="21"/>
                      <w:highlight w:val="none"/>
                    </w:rPr>
                  </w:pPr>
                </w:p>
              </w:tc>
              <w:tc>
                <w:tcPr>
                  <w:tcW w:w="864" w:type="dxa"/>
                  <w:noWrap w:val="0"/>
                  <w:vAlign w:val="center"/>
                </w:tcPr>
                <w:p w14:paraId="0B1070AA">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p>
              </w:tc>
              <w:tc>
                <w:tcPr>
                  <w:tcW w:w="1039" w:type="dxa"/>
                  <w:noWrap w:val="0"/>
                  <w:vAlign w:val="center"/>
                </w:tcPr>
                <w:p w14:paraId="0AC7E0D7">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41.8</w:t>
                  </w:r>
                  <w:r>
                    <w:rPr>
                      <w:rFonts w:hint="default" w:ascii="Times New Roman" w:hAnsi="Times New Roman" w:eastAsia="宋体" w:cs="Times New Roman"/>
                      <w:color w:val="auto"/>
                      <w:kern w:val="0"/>
                      <w:sz w:val="21"/>
                      <w:szCs w:val="21"/>
                      <w:highlight w:val="none"/>
                    </w:rPr>
                    <w:t>mg/L</w:t>
                  </w:r>
                </w:p>
              </w:tc>
              <w:tc>
                <w:tcPr>
                  <w:tcW w:w="1214" w:type="dxa"/>
                  <w:noWrap w:val="0"/>
                  <w:vAlign w:val="center"/>
                </w:tcPr>
                <w:p w14:paraId="716291A7">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0.175</w:t>
                  </w:r>
                  <w:r>
                    <w:rPr>
                      <w:rFonts w:hint="default" w:ascii="Times New Roman" w:hAnsi="Times New Roman" w:eastAsia="宋体" w:cs="Times New Roman"/>
                      <w:color w:val="auto"/>
                      <w:sz w:val="21"/>
                      <w:szCs w:val="21"/>
                      <w:highlight w:val="none"/>
                    </w:rPr>
                    <w:t>t/a</w:t>
                  </w:r>
                </w:p>
              </w:tc>
              <w:tc>
                <w:tcPr>
                  <w:tcW w:w="925" w:type="dxa"/>
                  <w:noWrap w:val="0"/>
                  <w:vAlign w:val="center"/>
                </w:tcPr>
                <w:p w14:paraId="362F5FA1">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5</w:t>
                  </w:r>
                  <w:r>
                    <w:rPr>
                      <w:rFonts w:hint="default" w:ascii="Times New Roman" w:hAnsi="Times New Roman" w:cs="Times New Roman"/>
                      <w:color w:val="auto"/>
                      <w:kern w:val="0"/>
                      <w:sz w:val="21"/>
                      <w:szCs w:val="21"/>
                      <w:highlight w:val="none"/>
                      <w:lang w:val="en-US" w:eastAsia="zh-CN"/>
                    </w:rPr>
                    <w:t>0</w:t>
                  </w:r>
                  <w:r>
                    <w:rPr>
                      <w:rFonts w:hint="default" w:ascii="Times New Roman" w:hAnsi="Times New Roman" w:eastAsia="宋体" w:cs="Times New Roman"/>
                      <w:color w:val="auto"/>
                      <w:sz w:val="21"/>
                      <w:szCs w:val="21"/>
                      <w:highlight w:val="none"/>
                    </w:rPr>
                    <w:t>mg/L</w:t>
                  </w:r>
                </w:p>
              </w:tc>
              <w:tc>
                <w:tcPr>
                  <w:tcW w:w="1214" w:type="dxa"/>
                  <w:noWrap w:val="0"/>
                  <w:vAlign w:val="center"/>
                </w:tcPr>
                <w:p w14:paraId="45CEE5A8">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0.210</w:t>
                  </w:r>
                  <w:r>
                    <w:rPr>
                      <w:rFonts w:hint="default" w:ascii="Times New Roman" w:hAnsi="Times New Roman" w:cs="Times New Roman"/>
                      <w:color w:val="auto"/>
                      <w:kern w:val="0"/>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2279" w:type="dxa"/>
                  <w:vMerge w:val="continue"/>
                  <w:noWrap w:val="0"/>
                  <w:vAlign w:val="top"/>
                </w:tcPr>
                <w:p w14:paraId="17423A59">
                  <w:pPr>
                    <w:keepNext w:val="0"/>
                    <w:keepLines w:val="0"/>
                    <w:pageBreakBefore w:val="0"/>
                    <w:widowControl w:val="0"/>
                    <w:kinsoku/>
                    <w:wordWrap/>
                    <w:overflowPunct/>
                    <w:topLinePunct w:val="0"/>
                    <w:autoSpaceDE/>
                    <w:autoSpaceDN/>
                    <w:bidi w:val="0"/>
                    <w:adjustRightInd/>
                    <w:snapToGrid/>
                    <w:spacing w:line="340" w:lineRule="exact"/>
                    <w:ind w:firstLine="0"/>
                    <w:jc w:val="center"/>
                    <w:textAlignment w:val="auto"/>
                    <w:rPr>
                      <w:rFonts w:hint="default" w:ascii="Times New Roman" w:hAnsi="Times New Roman" w:cs="Times New Roman"/>
                      <w:color w:val="auto"/>
                      <w:kern w:val="0"/>
                      <w:sz w:val="21"/>
                      <w:szCs w:val="21"/>
                      <w:highlight w:val="none"/>
                    </w:rPr>
                  </w:pPr>
                </w:p>
              </w:tc>
            </w:tr>
            <w:tr w14:paraId="06430ACB">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trHeight w:val="397" w:hRule="atLeast"/>
              </w:trPr>
              <w:tc>
                <w:tcPr>
                  <w:tcW w:w="855" w:type="dxa"/>
                  <w:vMerge w:val="continue"/>
                  <w:noWrap w:val="0"/>
                  <w:vAlign w:val="center"/>
                </w:tcPr>
                <w:p w14:paraId="6A28F6E2">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cs="Times New Roman"/>
                      <w:color w:val="auto"/>
                      <w:kern w:val="0"/>
                      <w:sz w:val="21"/>
                      <w:szCs w:val="21"/>
                      <w:highlight w:val="none"/>
                    </w:rPr>
                  </w:pPr>
                </w:p>
              </w:tc>
              <w:tc>
                <w:tcPr>
                  <w:tcW w:w="864" w:type="dxa"/>
                  <w:noWrap w:val="0"/>
                  <w:vAlign w:val="center"/>
                </w:tcPr>
                <w:p w14:paraId="7E1FB263">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1039" w:type="dxa"/>
                  <w:noWrap w:val="0"/>
                  <w:vAlign w:val="center"/>
                </w:tcPr>
                <w:p w14:paraId="2E2EA26E">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4.6</w:t>
                  </w:r>
                  <w:r>
                    <w:rPr>
                      <w:rFonts w:hint="default" w:ascii="Times New Roman" w:hAnsi="Times New Roman" w:eastAsia="宋体" w:cs="Times New Roman"/>
                      <w:color w:val="auto"/>
                      <w:kern w:val="0"/>
                      <w:sz w:val="21"/>
                      <w:szCs w:val="21"/>
                      <w:highlight w:val="none"/>
                    </w:rPr>
                    <w:t>mg/L</w:t>
                  </w:r>
                </w:p>
              </w:tc>
              <w:tc>
                <w:tcPr>
                  <w:tcW w:w="1214" w:type="dxa"/>
                  <w:noWrap w:val="0"/>
                  <w:vAlign w:val="center"/>
                </w:tcPr>
                <w:p w14:paraId="4AF9D0BB">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0.019</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925" w:type="dxa"/>
                  <w:noWrap w:val="0"/>
                  <w:vAlign w:val="center"/>
                </w:tcPr>
                <w:p w14:paraId="38982E32">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5</w:t>
                  </w:r>
                  <w:r>
                    <w:rPr>
                      <w:rFonts w:hint="default" w:ascii="Times New Roman" w:hAnsi="Times New Roman" w:eastAsia="宋体" w:cs="Times New Roman"/>
                      <w:color w:val="auto"/>
                      <w:sz w:val="21"/>
                      <w:szCs w:val="21"/>
                      <w:highlight w:val="none"/>
                    </w:rPr>
                    <w:t>mg/L</w:t>
                  </w:r>
                </w:p>
              </w:tc>
              <w:tc>
                <w:tcPr>
                  <w:tcW w:w="1214" w:type="dxa"/>
                  <w:noWrap w:val="0"/>
                  <w:vAlign w:val="center"/>
                </w:tcPr>
                <w:p w14:paraId="061DEFD9">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0.021</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2279" w:type="dxa"/>
                  <w:vMerge w:val="continue"/>
                  <w:noWrap w:val="0"/>
                  <w:vAlign w:val="top"/>
                </w:tcPr>
                <w:p w14:paraId="483CF918">
                  <w:pPr>
                    <w:keepNext w:val="0"/>
                    <w:keepLines w:val="0"/>
                    <w:pageBreakBefore w:val="0"/>
                    <w:widowControl w:val="0"/>
                    <w:kinsoku/>
                    <w:wordWrap/>
                    <w:overflowPunct/>
                    <w:topLinePunct w:val="0"/>
                    <w:autoSpaceDE/>
                    <w:autoSpaceDN/>
                    <w:bidi w:val="0"/>
                    <w:adjustRightInd/>
                    <w:snapToGrid/>
                    <w:spacing w:line="340" w:lineRule="exact"/>
                    <w:ind w:firstLine="0"/>
                    <w:jc w:val="center"/>
                    <w:textAlignment w:val="auto"/>
                    <w:rPr>
                      <w:rFonts w:hint="default" w:ascii="Times New Roman" w:hAnsi="Times New Roman" w:cs="Times New Roman"/>
                      <w:color w:val="auto"/>
                      <w:kern w:val="0"/>
                      <w:sz w:val="21"/>
                      <w:szCs w:val="21"/>
                      <w:highlight w:val="none"/>
                    </w:rPr>
                  </w:pPr>
                </w:p>
              </w:tc>
            </w:tr>
          </w:tbl>
          <w:p w14:paraId="0E387D9A">
            <w:pPr>
              <w:pStyle w:val="92"/>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根据《福建省环保厅关于进一步明确排污权工作有关问题的通知》(闽环保财[2017]22号)，现有工业排污单位的水污染物的初始排污权只核定工业废水部分，</w:t>
            </w:r>
            <w:r>
              <w:rPr>
                <w:rFonts w:hint="eastAsia" w:ascii="Times New Roman" w:hAnsi="Times New Roman" w:eastAsia="宋体" w:cs="Times New Roman"/>
                <w:color w:val="auto"/>
                <w:kern w:val="2"/>
                <w:sz w:val="24"/>
                <w:szCs w:val="24"/>
                <w:lang w:val="en-US" w:eastAsia="zh-CN" w:bidi="ar-SA"/>
              </w:rPr>
              <w:t>本项目外排的生活污水</w:t>
            </w:r>
            <w:r>
              <w:rPr>
                <w:rFonts w:hint="default" w:ascii="Times New Roman" w:hAnsi="Times New Roman" w:eastAsia="宋体" w:cs="Times New Roman"/>
                <w:color w:val="auto"/>
                <w:kern w:val="2"/>
                <w:sz w:val="24"/>
                <w:szCs w:val="24"/>
                <w:lang w:val="en-US" w:eastAsia="zh-CN" w:bidi="ar-SA"/>
              </w:rPr>
              <w:t>允许排放量由江镜华侨农场污水处理厂统计在内，</w:t>
            </w:r>
            <w:r>
              <w:rPr>
                <w:rFonts w:hint="eastAsia" w:ascii="Times New Roman" w:hAnsi="Times New Roman" w:eastAsia="宋体" w:cs="Times New Roman"/>
                <w:color w:val="auto"/>
                <w:kern w:val="2"/>
                <w:sz w:val="24"/>
                <w:szCs w:val="24"/>
                <w:lang w:val="en-US" w:eastAsia="zh-CN" w:bidi="ar-SA"/>
              </w:rPr>
              <w:t>只</w:t>
            </w:r>
            <w:r>
              <w:rPr>
                <w:rFonts w:hint="default" w:ascii="Times New Roman" w:hAnsi="Times New Roman" w:eastAsia="宋体" w:cs="Times New Roman"/>
                <w:color w:val="auto"/>
                <w:kern w:val="2"/>
                <w:sz w:val="24"/>
                <w:szCs w:val="24"/>
                <w:lang w:val="en-US" w:eastAsia="zh-CN" w:bidi="ar-SA"/>
              </w:rPr>
              <w:t>需重新申请</w:t>
            </w:r>
            <w:r>
              <w:rPr>
                <w:rFonts w:hint="eastAsia" w:ascii="Times New Roman" w:hAnsi="Times New Roman" w:eastAsia="宋体" w:cs="Times New Roman"/>
                <w:color w:val="auto"/>
                <w:kern w:val="2"/>
                <w:sz w:val="24"/>
                <w:szCs w:val="24"/>
                <w:lang w:val="en-US" w:eastAsia="zh-CN" w:bidi="ar-SA"/>
              </w:rPr>
              <w:t>生产废水</w:t>
            </w:r>
            <w:r>
              <w:rPr>
                <w:rFonts w:hint="default" w:ascii="Times New Roman" w:hAnsi="Times New Roman" w:eastAsia="宋体" w:cs="Times New Roman"/>
                <w:color w:val="auto"/>
                <w:kern w:val="2"/>
                <w:sz w:val="24"/>
                <w:szCs w:val="24"/>
                <w:lang w:val="en-US" w:eastAsia="zh-CN" w:bidi="ar-SA"/>
              </w:rPr>
              <w:t>污染物排放总量。</w:t>
            </w:r>
          </w:p>
          <w:p w14:paraId="388B1543">
            <w:pPr>
              <w:pStyle w:val="92"/>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0" w:firstLineChars="0"/>
              <w:jc w:val="both"/>
              <w:textAlignment w:val="auto"/>
              <w:outlineLvl w:val="9"/>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3.8.2 废气总量</w:t>
            </w:r>
          </w:p>
          <w:p w14:paraId="3612707A">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0"/>
                <w:lang w:val="en-US" w:eastAsia="zh-CN" w:bidi="ar-SA"/>
              </w:rPr>
              <w:t>项目废气不涉及SO</w:t>
            </w:r>
            <w:r>
              <w:rPr>
                <w:rFonts w:hint="default" w:ascii="Times New Roman" w:hAnsi="Times New Roman" w:eastAsia="宋体" w:cs="Times New Roman"/>
                <w:color w:val="auto"/>
                <w:kern w:val="0"/>
                <w:sz w:val="24"/>
                <w:szCs w:val="20"/>
                <w:vertAlign w:val="subscript"/>
                <w:lang w:val="en-US" w:eastAsia="zh-CN" w:bidi="ar-SA"/>
              </w:rPr>
              <w:t>2</w:t>
            </w:r>
            <w:r>
              <w:rPr>
                <w:rFonts w:hint="default" w:ascii="Times New Roman" w:hAnsi="Times New Roman" w:eastAsia="宋体" w:cs="Times New Roman"/>
                <w:color w:val="auto"/>
                <w:kern w:val="0"/>
                <w:sz w:val="24"/>
                <w:szCs w:val="20"/>
                <w:lang w:val="en-US" w:eastAsia="zh-CN" w:bidi="ar-SA"/>
              </w:rPr>
              <w:t>、NOx等属于国家和地方有偿使用和交易的排污权总量指标；</w:t>
            </w:r>
            <w:r>
              <w:rPr>
                <w:rFonts w:hint="eastAsia" w:ascii="Times New Roman" w:hAnsi="Times New Roman" w:eastAsia="宋体" w:cs="Times New Roman"/>
                <w:color w:val="auto"/>
                <w:kern w:val="0"/>
                <w:sz w:val="24"/>
                <w:szCs w:val="20"/>
                <w:lang w:val="en-US" w:eastAsia="zh-CN" w:bidi="ar-SA"/>
              </w:rPr>
              <w:t>亦不涉及</w:t>
            </w:r>
            <w:r>
              <w:rPr>
                <w:rFonts w:hint="default" w:ascii="Times New Roman" w:hAnsi="Times New Roman" w:eastAsia="宋体" w:cs="Times New Roman"/>
                <w:color w:val="auto"/>
                <w:kern w:val="0"/>
                <w:sz w:val="24"/>
                <w:szCs w:val="20"/>
                <w:lang w:val="en-US" w:eastAsia="zh-CN" w:bidi="ar-SA"/>
              </w:rPr>
              <w:t>VOCs总量指标。</w:t>
            </w:r>
          </w:p>
          <w:p w14:paraId="650005D2">
            <w:pPr>
              <w:pStyle w:val="92"/>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right="0" w:rightChars="0" w:firstLine="0" w:firstLineChars="0"/>
              <w:jc w:val="both"/>
              <w:textAlignment w:val="auto"/>
              <w:outlineLvl w:val="9"/>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3.8.3 主要污染物总量指标来源</w:t>
            </w:r>
          </w:p>
          <w:p w14:paraId="3CF0E774">
            <w:pPr>
              <w:pStyle w:val="92"/>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firstLine="480"/>
              <w:textAlignment w:val="auto"/>
              <w:rPr>
                <w:rFonts w:hint="eastAsia" w:ascii="Times New Roman" w:hAnsi="Times New Roman" w:eastAsia="宋体" w:cs="Times New Roman"/>
                <w:b w:val="0"/>
                <w:color w:val="auto"/>
                <w:kern w:val="0"/>
                <w:sz w:val="24"/>
                <w:szCs w:val="24"/>
                <w:lang w:val="en-US" w:eastAsia="zh-CN" w:bidi="ar-SA"/>
              </w:rPr>
            </w:pPr>
            <w:r>
              <w:rPr>
                <w:rFonts w:hint="eastAsia" w:ascii="Times New Roman" w:hAnsi="Times New Roman" w:cs="Times New Roman"/>
                <w:color w:val="auto"/>
                <w:sz w:val="24"/>
                <w:szCs w:val="24"/>
                <w:highlight w:val="none"/>
                <w:lang w:val="en-US" w:eastAsia="zh-CN"/>
              </w:rPr>
              <w:t>项目COD、</w:t>
            </w:r>
            <w:r>
              <w:rPr>
                <w:rFonts w:hint="default" w:ascii="Times New Roman" w:hAnsi="Times New Roman" w:eastAsia="宋体" w:cs="Times New Roman"/>
                <w:color w:val="auto"/>
                <w:sz w:val="24"/>
                <w:szCs w:val="24"/>
                <w:highlight w:val="none"/>
              </w:rPr>
              <w:t>NH</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-N</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SO</w:t>
            </w:r>
            <w:r>
              <w:rPr>
                <w:rFonts w:hint="eastAsia" w:ascii="Times New Roman" w:hAnsi="Times New Roman" w:cs="Times New Roman"/>
                <w:color w:val="auto"/>
                <w:sz w:val="24"/>
                <w:szCs w:val="24"/>
                <w:highlight w:val="none"/>
                <w:vertAlign w:val="subscript"/>
                <w:lang w:val="en-US" w:eastAsia="zh-CN"/>
              </w:rPr>
              <w:t>2</w:t>
            </w:r>
            <w:r>
              <w:rPr>
                <w:rFonts w:hint="eastAsia" w:ascii="Times New Roman" w:hAnsi="Times New Roman" w:cs="Times New Roman"/>
                <w:color w:val="auto"/>
                <w:sz w:val="24"/>
                <w:szCs w:val="24"/>
                <w:highlight w:val="none"/>
                <w:lang w:val="en-US" w:eastAsia="zh-CN"/>
              </w:rPr>
              <w:t>、NOx</w:t>
            </w:r>
            <w:r>
              <w:rPr>
                <w:rFonts w:hint="default" w:ascii="Times New Roman" w:hAnsi="Times New Roman" w:cs="Times New Roman"/>
                <w:color w:val="auto"/>
                <w:sz w:val="24"/>
                <w:szCs w:val="24"/>
                <w:highlight w:val="none"/>
                <w:vertAlign w:val="baseline"/>
                <w:lang w:val="en-US" w:eastAsia="zh-CN"/>
              </w:rPr>
              <w:t>等指标</w:t>
            </w:r>
            <w:r>
              <w:rPr>
                <w:rFonts w:hint="default" w:ascii="Times New Roman" w:hAnsi="Times New Roman" w:eastAsia="宋体" w:cs="Times New Roman"/>
                <w:color w:val="auto"/>
                <w:sz w:val="24"/>
                <w:szCs w:val="24"/>
                <w:highlight w:val="none"/>
                <w:vertAlign w:val="baseline"/>
                <w:lang w:val="en-US" w:eastAsia="zh-CN"/>
              </w:rPr>
              <w:t>属于</w:t>
            </w:r>
            <w:r>
              <w:rPr>
                <w:rFonts w:hint="default" w:ascii="Times New Roman" w:hAnsi="Times New Roman" w:eastAsia="宋体" w:cs="Times New Roman"/>
                <w:color w:val="auto"/>
                <w:sz w:val="24"/>
                <w:szCs w:val="24"/>
                <w:highlight w:val="none"/>
              </w:rPr>
              <w:t>国家和地方有偿使用和交易的排污权总量指标</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rPr>
              <w:t>由建设单位向</w:t>
            </w:r>
            <w:r>
              <w:rPr>
                <w:rFonts w:hint="eastAsia" w:ascii="Times New Roman" w:hAnsi="Times New Roman" w:cs="Times New Roman"/>
                <w:color w:val="auto"/>
                <w:sz w:val="24"/>
                <w:szCs w:val="24"/>
                <w:lang w:eastAsia="zh-CN"/>
              </w:rPr>
              <w:t>福州市</w:t>
            </w:r>
            <w:r>
              <w:rPr>
                <w:rFonts w:hint="eastAsia" w:ascii="Times New Roman" w:hAnsi="Times New Roman" w:cs="Times New Roman"/>
                <w:color w:val="auto"/>
                <w:sz w:val="24"/>
                <w:szCs w:val="24"/>
                <w:lang w:val="en-US" w:eastAsia="zh-CN"/>
              </w:rPr>
              <w:t>福清</w:t>
            </w:r>
            <w:r>
              <w:rPr>
                <w:rFonts w:hint="eastAsia" w:ascii="Times New Roman" w:hAnsi="Times New Roman" w:cs="Times New Roman"/>
                <w:color w:val="auto"/>
                <w:sz w:val="24"/>
                <w:szCs w:val="24"/>
                <w:lang w:eastAsia="zh-CN"/>
              </w:rPr>
              <w:t>生态环境局</w:t>
            </w:r>
            <w:r>
              <w:rPr>
                <w:rFonts w:hint="eastAsia" w:ascii="Times New Roman" w:hAnsi="Times New Roman" w:cs="Times New Roman"/>
                <w:color w:val="auto"/>
                <w:sz w:val="24"/>
                <w:szCs w:val="24"/>
                <w:lang w:val="en-US" w:eastAsia="zh-CN"/>
              </w:rPr>
              <w:t>申请污染物总量确认</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并根据污染物总量确认意见申购的指标量向海峡股权交易中心自行</w:t>
            </w:r>
            <w:r>
              <w:rPr>
                <w:rFonts w:hint="eastAsia" w:ascii="Times New Roman" w:hAnsi="Times New Roman" w:cs="Times New Roman"/>
                <w:color w:val="auto"/>
                <w:sz w:val="24"/>
                <w:szCs w:val="24"/>
                <w:lang w:eastAsia="zh-CN"/>
              </w:rPr>
              <w:t>购买获得</w:t>
            </w:r>
            <w:r>
              <w:rPr>
                <w:rFonts w:hint="eastAsia" w:ascii="Times New Roman" w:hAnsi="Times New Roman" w:cs="Times New Roman"/>
                <w:color w:val="auto"/>
                <w:sz w:val="24"/>
                <w:szCs w:val="24"/>
                <w:lang w:val="en-US" w:eastAsia="zh-CN"/>
              </w:rPr>
              <w:t>。项目主要污染物排放总量计算结果为：COD0.21吨/年，</w:t>
            </w:r>
            <w:r>
              <w:rPr>
                <w:rFonts w:hint="default" w:ascii="Times New Roman" w:hAnsi="Times New Roman" w:eastAsia="宋体" w:cs="Times New Roman"/>
                <w:color w:val="auto"/>
                <w:sz w:val="24"/>
                <w:szCs w:val="24"/>
                <w:highlight w:val="none"/>
              </w:rPr>
              <w:t>NH</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-N</w:t>
            </w:r>
            <w:r>
              <w:rPr>
                <w:rFonts w:hint="eastAsia" w:ascii="Times New Roman" w:hAnsi="Times New Roman" w:cs="Times New Roman"/>
                <w:color w:val="auto"/>
                <w:sz w:val="24"/>
                <w:szCs w:val="24"/>
                <w:lang w:val="en-US" w:eastAsia="zh-CN"/>
              </w:rPr>
              <w:t>0.021吨/年。</w:t>
            </w:r>
          </w:p>
          <w:p w14:paraId="34D81783">
            <w:pPr>
              <w:pStyle w:val="2"/>
              <w:ind w:left="0" w:leftChars="0" w:firstLine="0" w:firstLineChars="0"/>
              <w:outlineLvl w:val="9"/>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p>
          <w:p w14:paraId="4F945778">
            <w:pP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p>
          <w:p w14:paraId="05DF6902">
            <w:pPr>
              <w:pStyle w:val="2"/>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p>
          <w:p w14:paraId="3E55C061">
            <w:pP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p>
          <w:p w14:paraId="60AC33E3">
            <w:pPr>
              <w:pStyle w:val="2"/>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p>
          <w:p w14:paraId="3329F53D">
            <w:pP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p>
          <w:p w14:paraId="02802F43">
            <w:pPr>
              <w:pStyle w:val="2"/>
              <w:rPr>
                <w:rFonts w:hint="default"/>
                <w:lang w:val="en-US" w:eastAsia="zh-CN"/>
              </w:rPr>
            </w:pPr>
          </w:p>
          <w:p w14:paraId="48261272">
            <w:pPr>
              <w:adjustRightInd w:val="0"/>
              <w:snapToGrid w:val="0"/>
              <w:jc w:val="both"/>
              <w:rPr>
                <w:rFonts w:hint="default" w:ascii="Times New Roman" w:hAnsi="Times New Roman" w:eastAsia="宋体" w:cs="Times New Roman"/>
                <w:color w:val="000000" w:themeColor="text1"/>
                <w:kern w:val="0"/>
                <w:szCs w:val="21"/>
                <w:lang w:val="en-US" w:eastAsia="zh-CN"/>
                <w14:textFill>
                  <w14:solidFill>
                    <w14:schemeClr w14:val="tx1"/>
                  </w14:solidFill>
                </w14:textFill>
              </w:rPr>
            </w:pPr>
          </w:p>
        </w:tc>
      </w:tr>
    </w:tbl>
    <w:p w14:paraId="63AE88F5">
      <w:pPr>
        <w:pStyle w:val="23"/>
        <w:numPr>
          <w:ilvl w:val="0"/>
          <w:numId w:val="0"/>
        </w:numPr>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pPr>
      <w:r>
        <w:rPr>
          <w:rFonts w:hint="default" w:ascii="Times New Roman" w:hAnsi="Times New Roman" w:eastAsia="宋体" w:cs="Times New Roman"/>
          <w:snapToGrid w:val="0"/>
          <w:color w:val="000000" w:themeColor="text1"/>
          <w:sz w:val="36"/>
          <w:szCs w:val="36"/>
          <w14:textFill>
            <w14:solidFill>
              <w14:schemeClr w14:val="tx1"/>
            </w14:solidFill>
          </w14:textFill>
        </w:rPr>
        <w:br w:type="page"/>
      </w:r>
      <w:bookmarkStart w:id="18" w:name="_Toc21866"/>
      <w:r>
        <w:rPr>
          <w:rFonts w:hint="default" w:ascii="Times New Roman" w:hAnsi="Times New Roman" w:eastAsia="黑体" w:cs="Times New Roman"/>
          <w:snapToGrid w:val="0"/>
          <w:color w:val="000000" w:themeColor="text1"/>
          <w:sz w:val="30"/>
          <w:szCs w:val="30"/>
          <w:lang w:eastAsia="zh-CN"/>
          <w14:textFill>
            <w14:solidFill>
              <w14:schemeClr w14:val="tx1"/>
            </w14:solidFill>
          </w14:textFill>
        </w:rPr>
        <w:t>四、</w:t>
      </w:r>
      <w:r>
        <w:rPr>
          <w:rFonts w:hint="default" w:ascii="Times New Roman" w:hAnsi="Times New Roman" w:eastAsia="黑体" w:cs="Times New Roman"/>
          <w:snapToGrid w:val="0"/>
          <w:color w:val="000000" w:themeColor="text1"/>
          <w:sz w:val="30"/>
          <w:szCs w:val="30"/>
          <w14:textFill>
            <w14:solidFill>
              <w14:schemeClr w14:val="tx1"/>
            </w14:solidFill>
          </w14:textFill>
        </w:rPr>
        <w:t>主要环境影响和保护措施</w:t>
      </w:r>
      <w:bookmarkEnd w:id="18"/>
    </w:p>
    <w:tbl>
      <w:tblPr>
        <w:tblStyle w:val="28"/>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451"/>
      </w:tblGrid>
      <w:tr w14:paraId="74B557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49" w:hRule="atLeast"/>
          <w:jc w:val="center"/>
        </w:trPr>
        <w:tc>
          <w:tcPr>
            <w:tcW w:w="457" w:type="dxa"/>
            <w:noWrap w:val="0"/>
            <w:tcMar>
              <w:left w:w="28" w:type="dxa"/>
              <w:right w:w="28" w:type="dxa"/>
            </w:tcMar>
            <w:vAlign w:val="center"/>
          </w:tcPr>
          <w:p w14:paraId="0CC920F6">
            <w:pPr>
              <w:pStyle w:val="23"/>
              <w:keepNext w:val="0"/>
              <w:keepLines w:val="0"/>
              <w:pageBreakBefore w:val="0"/>
              <w:kinsoku/>
              <w:wordWrap/>
              <w:overflowPunct/>
              <w:topLinePunct w:val="0"/>
              <w:autoSpaceDE/>
              <w:autoSpaceDN/>
              <w:bidi w:val="0"/>
              <w:adjustRightInd w:val="0"/>
              <w:snapToGrid w:val="0"/>
              <w:spacing w:before="0" w:beforeAutospacing="0" w:after="0" w:afterAutospacing="0" w:line="340" w:lineRule="exact"/>
              <w:jc w:val="center"/>
              <w:textAlignment w:val="auto"/>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施工</w:t>
            </w:r>
          </w:p>
          <w:p w14:paraId="091D048F">
            <w:pPr>
              <w:pStyle w:val="23"/>
              <w:keepNext w:val="0"/>
              <w:keepLines w:val="0"/>
              <w:pageBreakBefore w:val="0"/>
              <w:kinsoku/>
              <w:wordWrap/>
              <w:overflowPunct/>
              <w:topLinePunct w:val="0"/>
              <w:autoSpaceDE/>
              <w:autoSpaceDN/>
              <w:bidi w:val="0"/>
              <w:adjustRightInd w:val="0"/>
              <w:snapToGrid w:val="0"/>
              <w:spacing w:before="0" w:beforeAutospacing="0" w:after="0" w:afterAutospacing="0" w:line="340" w:lineRule="exact"/>
              <w:jc w:val="center"/>
              <w:textAlignment w:val="auto"/>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期环</w:t>
            </w:r>
          </w:p>
          <w:p w14:paraId="33FB0F8E">
            <w:pPr>
              <w:pStyle w:val="23"/>
              <w:keepNext w:val="0"/>
              <w:keepLines w:val="0"/>
              <w:pageBreakBefore w:val="0"/>
              <w:kinsoku/>
              <w:wordWrap/>
              <w:overflowPunct/>
              <w:topLinePunct w:val="0"/>
              <w:autoSpaceDE/>
              <w:autoSpaceDN/>
              <w:bidi w:val="0"/>
              <w:adjustRightInd w:val="0"/>
              <w:snapToGrid w:val="0"/>
              <w:spacing w:before="0" w:beforeAutospacing="0" w:after="0" w:afterAutospacing="0" w:line="340" w:lineRule="exact"/>
              <w:jc w:val="center"/>
              <w:textAlignment w:val="auto"/>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境保</w:t>
            </w:r>
          </w:p>
          <w:p w14:paraId="4C4B6507">
            <w:pPr>
              <w:pStyle w:val="23"/>
              <w:keepNext w:val="0"/>
              <w:keepLines w:val="0"/>
              <w:pageBreakBefore w:val="0"/>
              <w:kinsoku/>
              <w:wordWrap/>
              <w:overflowPunct/>
              <w:topLinePunct w:val="0"/>
              <w:autoSpaceDE/>
              <w:autoSpaceDN/>
              <w:bidi w:val="0"/>
              <w:adjustRightInd w:val="0"/>
              <w:snapToGrid w:val="0"/>
              <w:spacing w:before="0" w:beforeAutospacing="0" w:after="0" w:afterAutospacing="0" w:line="340" w:lineRule="exact"/>
              <w:jc w:val="center"/>
              <w:textAlignment w:val="auto"/>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护措</w:t>
            </w:r>
          </w:p>
          <w:p w14:paraId="5C775D23">
            <w:pPr>
              <w:pStyle w:val="23"/>
              <w:keepNext w:val="0"/>
              <w:keepLines w:val="0"/>
              <w:pageBreakBefore w:val="0"/>
              <w:kinsoku/>
              <w:wordWrap/>
              <w:overflowPunct/>
              <w:topLinePunct w:val="0"/>
              <w:autoSpaceDE/>
              <w:autoSpaceDN/>
              <w:bidi w:val="0"/>
              <w:adjustRightInd w:val="0"/>
              <w:snapToGrid w:val="0"/>
              <w:spacing w:before="0" w:beforeAutospacing="0" w:after="0" w:afterAutospacing="0" w:line="340" w:lineRule="exact"/>
              <w:jc w:val="center"/>
              <w:textAlignment w:val="auto"/>
              <w:rPr>
                <w:rFonts w:hint="default" w:ascii="Times New Roman" w:hAnsi="Times New Roman" w:eastAsia="宋体" w:cs="Times New Roman"/>
                <w:bCs/>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施</w:t>
            </w:r>
          </w:p>
        </w:tc>
        <w:tc>
          <w:tcPr>
            <w:tcW w:w="8451" w:type="dxa"/>
            <w:noWrap w:val="0"/>
            <w:vAlign w:val="center"/>
          </w:tcPr>
          <w:p w14:paraId="4D2BFCB3">
            <w:pPr>
              <w:keepNext w:val="0"/>
              <w:keepLines w:val="0"/>
              <w:pageBreakBefore w:val="0"/>
              <w:widowControl w:val="0"/>
              <w:kinsoku/>
              <w:wordWrap/>
              <w:overflowPunct/>
              <w:topLinePunct w:val="0"/>
              <w:autoSpaceDE w:val="0"/>
              <w:autoSpaceDN w:val="0"/>
              <w:bidi w:val="0"/>
              <w:adjustRightInd/>
              <w:snapToGrid/>
              <w:spacing w:line="360" w:lineRule="auto"/>
              <w:textAlignment w:val="bottom"/>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8"/>
                <w:szCs w:val="28"/>
                <w:lang w:val="en-US" w:eastAsia="zh-CN" w:bidi="ar-SA"/>
                <w14:textFill>
                  <w14:solidFill>
                    <w14:schemeClr w14:val="tx1"/>
                  </w14:solidFill>
                </w14:textFill>
              </w:rPr>
              <w:t>4.1施工期环境保护措施</w:t>
            </w:r>
          </w:p>
          <w:p w14:paraId="5D153BA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bottom"/>
              <w:rPr>
                <w:rFonts w:hint="default" w:ascii="Times New Roman" w:hAnsi="Times New Roman" w:eastAsia="宋体" w:cs="Times New Roman"/>
                <w:bCs/>
                <w:color w:val="000000" w:themeColor="text1"/>
                <w:spacing w:val="-10"/>
                <w:szCs w:val="21"/>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根据现场调查，项目租赁厂房已建成。施工期主要为设备安装、调试阶段产生的环境问题，本项目设备安装、调试简单</w:t>
            </w:r>
            <w:r>
              <w:rPr>
                <w:rFonts w:hint="eastAsia" w:cs="Times New Roman"/>
                <w:color w:val="000000" w:themeColor="text1"/>
                <w:kern w:val="2"/>
                <w:sz w:val="24"/>
                <w:szCs w:val="24"/>
                <w:lang w:val="en-US" w:eastAsia="zh-CN" w:bidi="ar-SA"/>
                <w14:textFill>
                  <w14:solidFill>
                    <w14:schemeClr w14:val="tx1"/>
                  </w14:solidFill>
                </w14:textFill>
              </w:rPr>
              <w:t>且</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时间较短，因此，随着设备安装、调试完毕后，项目施工期也将结束，施工期环境影响也随着消失，不会对周边环境噪声影响。</w:t>
            </w:r>
          </w:p>
        </w:tc>
      </w:tr>
      <w:tr w14:paraId="38F8C1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87" w:hRule="atLeast"/>
          <w:jc w:val="center"/>
        </w:trPr>
        <w:tc>
          <w:tcPr>
            <w:tcW w:w="457" w:type="dxa"/>
            <w:noWrap w:val="0"/>
            <w:tcMar>
              <w:left w:w="28" w:type="dxa"/>
              <w:right w:w="28" w:type="dxa"/>
            </w:tcMar>
            <w:vAlign w:val="center"/>
          </w:tcPr>
          <w:p w14:paraId="1B5B2E81">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运营</w:t>
            </w:r>
          </w:p>
          <w:p w14:paraId="66C9997D">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期环</w:t>
            </w:r>
          </w:p>
          <w:p w14:paraId="43060316">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境影</w:t>
            </w:r>
          </w:p>
          <w:p w14:paraId="71F3D280">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响和</w:t>
            </w:r>
          </w:p>
          <w:p w14:paraId="5101FF97">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保护</w:t>
            </w:r>
          </w:p>
          <w:p w14:paraId="361F6678">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措施</w:t>
            </w:r>
          </w:p>
        </w:tc>
        <w:tc>
          <w:tcPr>
            <w:tcW w:w="8451" w:type="dxa"/>
            <w:noWrap w:val="0"/>
            <w:vAlign w:val="center"/>
          </w:tcPr>
          <w:p w14:paraId="4A8BC026">
            <w:pPr>
              <w:keepNext/>
              <w:keepLines/>
              <w:widowControl w:val="0"/>
              <w:bidi w:val="0"/>
              <w:spacing w:before="120" w:beforeAutospacing="0" w:after="120" w:afterAutospacing="0" w:line="360" w:lineRule="auto"/>
              <w:jc w:val="left"/>
              <w:outlineLvl w:val="1"/>
              <w:rPr>
                <w:rFonts w:hint="default" w:ascii="Times New Roman" w:hAnsi="Times New Roman" w:eastAsia="宋体" w:cs="Times New Roman"/>
                <w:b/>
                <w:color w:val="000000" w:themeColor="text1"/>
                <w:kern w:val="2"/>
                <w:sz w:val="28"/>
                <w:szCs w:val="28"/>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8"/>
                <w:szCs w:val="28"/>
                <w:lang w:val="en-US" w:eastAsia="zh-CN" w:bidi="ar-SA"/>
                <w14:textFill>
                  <w14:solidFill>
                    <w14:schemeClr w14:val="tx1"/>
                  </w14:solidFill>
                </w14:textFill>
              </w:rPr>
              <w:t>4.2运营期大气环境影响分析和污染防治措施</w:t>
            </w:r>
          </w:p>
          <w:p w14:paraId="113A4784">
            <w:pPr>
              <w:pStyle w:val="8"/>
              <w:keepNext w:val="0"/>
              <w:keepLines w:val="0"/>
              <w:pageBreakBefore w:val="0"/>
              <w:widowControl w:val="0"/>
              <w:kinsoku/>
              <w:wordWrap/>
              <w:overflowPunct/>
              <w:topLinePunct w:val="0"/>
              <w:autoSpaceDE/>
              <w:autoSpaceDN/>
              <w:bidi w:val="0"/>
              <w:adjustRightInd w:val="0"/>
              <w:snapToGrid/>
              <w:spacing w:before="120" w:after="120" w:line="360" w:lineRule="auto"/>
              <w:ind w:left="0" w:leftChars="0" w:firstLine="0" w:firstLineChars="0"/>
              <w:textAlignment w:val="auto"/>
              <w:rPr>
                <w:rFonts w:hint="default" w:ascii="Times New Roman" w:hAnsi="Times New Roman" w:eastAsia="宋体" w:cs="Times New Roman"/>
                <w:b/>
                <w:bCs/>
                <w:snapToGrid w:val="0"/>
                <w:color w:val="000000" w:themeColor="text1"/>
                <w:sz w:val="30"/>
                <w:szCs w:val="30"/>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t>4.2.1运营期废气源强核算</w:t>
            </w:r>
          </w:p>
          <w:p w14:paraId="43C2E0C7">
            <w:pPr>
              <w:pStyle w:val="125"/>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由于</w:t>
            </w:r>
            <w:r>
              <w:rPr>
                <w:rFonts w:hint="default" w:ascii="Times New Roman" w:hAnsi="Times New Roman" w:cs="Times New Roman"/>
                <w:color w:val="auto"/>
                <w:lang w:val="en-US" w:eastAsia="zh-CN"/>
              </w:rPr>
              <w:t>原料</w:t>
            </w:r>
            <w:r>
              <w:rPr>
                <w:rFonts w:hint="default" w:ascii="Times New Roman" w:hAnsi="Times New Roman" w:cs="Times New Roman"/>
                <w:color w:val="auto"/>
                <w:lang w:eastAsia="zh-CN"/>
              </w:rPr>
              <w:t>破碎工序采用密闭湿式、剪切式破碎，破碎粉尘量小且不会逸出设备外，故破碎粉尘不予考虑</w:t>
            </w:r>
            <w:r>
              <w:rPr>
                <w:rFonts w:hint="eastAsia" w:ascii="Times New Roman" w:hAnsi="Times New Roman" w:cs="Times New Roman"/>
                <w:color w:val="auto"/>
                <w:lang w:eastAsia="zh-CN"/>
              </w:rPr>
              <w:t>。</w:t>
            </w:r>
            <w:r>
              <w:rPr>
                <w:rFonts w:hint="default" w:ascii="Times New Roman" w:hAnsi="Times New Roman" w:cs="Times New Roman"/>
                <w:color w:val="auto"/>
                <w:lang w:eastAsia="zh-CN"/>
              </w:rPr>
              <w:t>厂区地面全部硬化，厂内运输主要为生产原辅料的运人和产品的运出，进出车辆较少，其产生扬尘和废气可忽略不计。</w:t>
            </w:r>
          </w:p>
          <w:p w14:paraId="2BF8D225">
            <w:pPr>
              <w:spacing w:line="360" w:lineRule="auto"/>
              <w:ind w:firstLine="480" w:firstLineChars="200"/>
              <w:rPr>
                <w:bCs/>
                <w:color w:val="auto"/>
                <w:sz w:val="24"/>
              </w:rPr>
            </w:pPr>
            <w:r>
              <w:rPr>
                <w:bCs/>
                <w:color w:val="auto"/>
                <w:sz w:val="24"/>
              </w:rPr>
              <w:t>污水处理站废气主要是污水处理过程产生的恶臭气体，主要污染因子为NH</w:t>
            </w:r>
            <w:r>
              <w:rPr>
                <w:bCs/>
                <w:color w:val="auto"/>
                <w:sz w:val="24"/>
                <w:vertAlign w:val="subscript"/>
              </w:rPr>
              <w:t>3</w:t>
            </w:r>
            <w:r>
              <w:rPr>
                <w:bCs/>
                <w:color w:val="auto"/>
                <w:sz w:val="24"/>
              </w:rPr>
              <w:t>、H</w:t>
            </w:r>
            <w:r>
              <w:rPr>
                <w:bCs/>
                <w:color w:val="auto"/>
                <w:sz w:val="24"/>
                <w:vertAlign w:val="subscript"/>
              </w:rPr>
              <w:t>2</w:t>
            </w:r>
            <w:r>
              <w:rPr>
                <w:bCs/>
                <w:color w:val="auto"/>
                <w:sz w:val="24"/>
              </w:rPr>
              <w:t>S和臭气浓度。根据李国发表在《重庆环境科学》的《环境臭气评价方法的新探讨》论文中提出的方法：通过臭气强度分级确定臭气污染源源强，臭气强度1级，为勉强感觉臭味存在(嗅觉阈值)，对应污水站周边NH</w:t>
            </w:r>
            <w:r>
              <w:rPr>
                <w:bCs/>
                <w:color w:val="auto"/>
                <w:sz w:val="24"/>
                <w:vertAlign w:val="subscript"/>
              </w:rPr>
              <w:t>3</w:t>
            </w:r>
            <w:r>
              <w:rPr>
                <w:bCs/>
                <w:color w:val="auto"/>
                <w:sz w:val="24"/>
              </w:rPr>
              <w:t>、H</w:t>
            </w:r>
            <w:r>
              <w:rPr>
                <w:bCs/>
                <w:color w:val="auto"/>
                <w:sz w:val="24"/>
                <w:vertAlign w:val="subscript"/>
              </w:rPr>
              <w:t>2</w:t>
            </w:r>
            <w:r>
              <w:rPr>
                <w:bCs/>
                <w:color w:val="auto"/>
                <w:sz w:val="24"/>
              </w:rPr>
              <w:t>S的无组织排放浓度分别为0.1mg/m</w:t>
            </w:r>
            <w:r>
              <w:rPr>
                <w:bCs/>
                <w:color w:val="auto"/>
                <w:sz w:val="24"/>
                <w:vertAlign w:val="superscript"/>
              </w:rPr>
              <w:t>3</w:t>
            </w:r>
            <w:r>
              <w:rPr>
                <w:bCs/>
                <w:color w:val="auto"/>
                <w:sz w:val="24"/>
              </w:rPr>
              <w:t>，0.0005mg/m</w:t>
            </w:r>
            <w:r>
              <w:rPr>
                <w:bCs/>
                <w:color w:val="auto"/>
                <w:sz w:val="24"/>
                <w:vertAlign w:val="superscript"/>
              </w:rPr>
              <w:t>3</w:t>
            </w:r>
            <w:r>
              <w:rPr>
                <w:bCs/>
                <w:color w:val="auto"/>
                <w:sz w:val="24"/>
              </w:rPr>
              <w:t>。</w:t>
            </w:r>
          </w:p>
          <w:p w14:paraId="51871704">
            <w:pPr>
              <w:spacing w:line="360" w:lineRule="auto"/>
              <w:ind w:firstLine="480" w:firstLineChars="200"/>
              <w:rPr>
                <w:bCs/>
                <w:color w:val="auto"/>
                <w:sz w:val="24"/>
              </w:rPr>
            </w:pPr>
            <w:r>
              <w:rPr>
                <w:bCs/>
                <w:color w:val="auto"/>
                <w:sz w:val="24"/>
              </w:rPr>
              <w:t>拟建项目污水站</w:t>
            </w:r>
            <w:r>
              <w:rPr>
                <w:rFonts w:hint="eastAsia"/>
                <w:bCs/>
                <w:color w:val="auto"/>
                <w:sz w:val="24"/>
                <w:lang w:val="en-US" w:eastAsia="zh-CN"/>
              </w:rPr>
              <w:t>加盖密闭</w:t>
            </w:r>
            <w:r>
              <w:rPr>
                <w:bCs/>
                <w:color w:val="auto"/>
                <w:sz w:val="24"/>
              </w:rPr>
              <w:t>，微生物膜正常脱膜并通过反冲洗排出池外，减少滤池中微生物膜的积累</w:t>
            </w:r>
            <w:r>
              <w:rPr>
                <w:rFonts w:hint="eastAsia"/>
                <w:bCs/>
                <w:color w:val="auto"/>
                <w:sz w:val="24"/>
              </w:rPr>
              <w:t>，可</w:t>
            </w:r>
            <w:r>
              <w:rPr>
                <w:bCs/>
                <w:color w:val="auto"/>
                <w:sz w:val="24"/>
              </w:rPr>
              <w:t>保证曝气设施的正常工作</w:t>
            </w:r>
            <w:r>
              <w:rPr>
                <w:rFonts w:hint="eastAsia"/>
                <w:bCs/>
                <w:color w:val="auto"/>
                <w:sz w:val="24"/>
              </w:rPr>
              <w:t>，有效减少臭气的产生。</w:t>
            </w:r>
            <w:r>
              <w:rPr>
                <w:bCs/>
                <w:color w:val="auto"/>
                <w:sz w:val="24"/>
              </w:rPr>
              <w:t>根据对通州区农村污水处理站(27个站)、重庆古韵酒家、马堡山新村移民点污水处理站现场调查结果，在污水站厂界臭味感觉不明显，勉强感觉臭味存在(嗅觉阈值)，臭气强度为1级，对应污水站周边NH</w:t>
            </w:r>
            <w:r>
              <w:rPr>
                <w:bCs/>
                <w:color w:val="auto"/>
                <w:sz w:val="24"/>
                <w:vertAlign w:val="subscript"/>
              </w:rPr>
              <w:t>3</w:t>
            </w:r>
            <w:r>
              <w:rPr>
                <w:bCs/>
                <w:color w:val="auto"/>
                <w:sz w:val="24"/>
              </w:rPr>
              <w:t>、H</w:t>
            </w:r>
            <w:r>
              <w:rPr>
                <w:bCs/>
                <w:color w:val="auto"/>
                <w:sz w:val="24"/>
                <w:vertAlign w:val="subscript"/>
              </w:rPr>
              <w:t>2</w:t>
            </w:r>
            <w:r>
              <w:rPr>
                <w:bCs/>
                <w:color w:val="auto"/>
                <w:sz w:val="24"/>
              </w:rPr>
              <w:t>S无组织浓度为0.1mg/m</w:t>
            </w:r>
            <w:r>
              <w:rPr>
                <w:bCs/>
                <w:color w:val="auto"/>
                <w:sz w:val="24"/>
                <w:vertAlign w:val="superscript"/>
              </w:rPr>
              <w:t>3</w:t>
            </w:r>
            <w:r>
              <w:rPr>
                <w:bCs/>
                <w:color w:val="auto"/>
                <w:sz w:val="24"/>
              </w:rPr>
              <w:t>，0.0005mg/m</w:t>
            </w:r>
            <w:r>
              <w:rPr>
                <w:bCs/>
                <w:color w:val="auto"/>
                <w:sz w:val="24"/>
                <w:vertAlign w:val="superscript"/>
              </w:rPr>
              <w:t>3</w:t>
            </w:r>
            <w:r>
              <w:rPr>
                <w:bCs/>
                <w:color w:val="auto"/>
                <w:sz w:val="24"/>
              </w:rPr>
              <w:t>，臭气浓度小于10(无量纲)，满足《城镇污水处理厂污染物排放标准》(GB18918-2002)中表4厂界废气排放最高允许浓度二级标准中NH</w:t>
            </w:r>
            <w:r>
              <w:rPr>
                <w:bCs/>
                <w:color w:val="auto"/>
                <w:sz w:val="24"/>
                <w:vertAlign w:val="subscript"/>
              </w:rPr>
              <w:t>3</w:t>
            </w:r>
            <w:r>
              <w:rPr>
                <w:bCs/>
                <w:color w:val="auto"/>
                <w:sz w:val="24"/>
              </w:rPr>
              <w:t>1.5mg/m</w:t>
            </w:r>
            <w:r>
              <w:rPr>
                <w:bCs/>
                <w:color w:val="auto"/>
                <w:sz w:val="24"/>
                <w:vertAlign w:val="superscript"/>
              </w:rPr>
              <w:t>3</w:t>
            </w:r>
            <w:r>
              <w:rPr>
                <w:bCs/>
                <w:color w:val="auto"/>
                <w:sz w:val="24"/>
              </w:rPr>
              <w:t>，H</w:t>
            </w:r>
            <w:r>
              <w:rPr>
                <w:bCs/>
                <w:color w:val="auto"/>
                <w:sz w:val="24"/>
                <w:vertAlign w:val="subscript"/>
              </w:rPr>
              <w:t>2</w:t>
            </w:r>
            <w:r>
              <w:rPr>
                <w:bCs/>
                <w:color w:val="auto"/>
                <w:sz w:val="24"/>
              </w:rPr>
              <w:t>S0.06mg/m</w:t>
            </w:r>
            <w:r>
              <w:rPr>
                <w:bCs/>
                <w:color w:val="auto"/>
                <w:sz w:val="24"/>
                <w:vertAlign w:val="superscript"/>
              </w:rPr>
              <w:t>3</w:t>
            </w:r>
            <w:r>
              <w:rPr>
                <w:bCs/>
                <w:color w:val="auto"/>
                <w:sz w:val="24"/>
              </w:rPr>
              <w:t>，臭气浓度小于20(无量纲)的要求。</w:t>
            </w:r>
          </w:p>
          <w:p w14:paraId="1A4EEE4A">
            <w:pPr>
              <w:spacing w:line="360" w:lineRule="auto"/>
              <w:ind w:firstLine="480" w:firstLineChars="200"/>
              <w:rPr>
                <w:bCs/>
                <w:color w:val="auto"/>
                <w:sz w:val="24"/>
              </w:rPr>
            </w:pPr>
            <w:r>
              <w:rPr>
                <w:bCs/>
                <w:color w:val="auto"/>
                <w:sz w:val="24"/>
              </w:rPr>
              <w:t>根据美国EPA对城市污水处理厂恶臭污染物产生情况的研究，每去除1g的BOD</w:t>
            </w:r>
            <w:r>
              <w:rPr>
                <w:bCs/>
                <w:color w:val="auto"/>
                <w:sz w:val="24"/>
                <w:vertAlign w:val="subscript"/>
              </w:rPr>
              <w:t>5</w:t>
            </w:r>
            <w:r>
              <w:rPr>
                <w:bCs/>
                <w:color w:val="auto"/>
                <w:sz w:val="24"/>
              </w:rPr>
              <w:t>，可产生0.0031g的NH</w:t>
            </w:r>
            <w:r>
              <w:rPr>
                <w:bCs/>
                <w:color w:val="auto"/>
                <w:sz w:val="24"/>
                <w:vertAlign w:val="subscript"/>
              </w:rPr>
              <w:t>3</w:t>
            </w:r>
            <w:r>
              <w:rPr>
                <w:bCs/>
                <w:color w:val="auto"/>
                <w:sz w:val="24"/>
              </w:rPr>
              <w:t>、0.00012g的H</w:t>
            </w:r>
            <w:r>
              <w:rPr>
                <w:bCs/>
                <w:color w:val="auto"/>
                <w:sz w:val="24"/>
                <w:vertAlign w:val="subscript"/>
              </w:rPr>
              <w:t>2</w:t>
            </w:r>
            <w:r>
              <w:rPr>
                <w:bCs/>
                <w:color w:val="auto"/>
                <w:sz w:val="24"/>
              </w:rPr>
              <w:t>S，拟建项目NH</w:t>
            </w:r>
            <w:r>
              <w:rPr>
                <w:bCs/>
                <w:color w:val="auto"/>
                <w:sz w:val="24"/>
                <w:vertAlign w:val="subscript"/>
              </w:rPr>
              <w:t>3</w:t>
            </w:r>
            <w:r>
              <w:rPr>
                <w:bCs/>
                <w:color w:val="auto"/>
                <w:sz w:val="24"/>
              </w:rPr>
              <w:t>和H</w:t>
            </w:r>
            <w:r>
              <w:rPr>
                <w:bCs/>
                <w:color w:val="auto"/>
                <w:sz w:val="24"/>
                <w:vertAlign w:val="subscript"/>
              </w:rPr>
              <w:t>2</w:t>
            </w:r>
            <w:r>
              <w:rPr>
                <w:bCs/>
                <w:color w:val="auto"/>
                <w:sz w:val="24"/>
              </w:rPr>
              <w:t>S的排放总量分别为0.00</w:t>
            </w:r>
            <w:r>
              <w:rPr>
                <w:rFonts w:hint="eastAsia"/>
                <w:bCs/>
                <w:color w:val="auto"/>
                <w:sz w:val="24"/>
                <w:lang w:val="en-US" w:eastAsia="zh-CN"/>
              </w:rPr>
              <w:t>16</w:t>
            </w:r>
            <w:r>
              <w:rPr>
                <w:bCs/>
                <w:color w:val="auto"/>
                <w:sz w:val="24"/>
              </w:rPr>
              <w:t>t/a、0.0000</w:t>
            </w:r>
            <w:r>
              <w:rPr>
                <w:rFonts w:hint="eastAsia"/>
                <w:bCs/>
                <w:color w:val="auto"/>
                <w:sz w:val="24"/>
                <w:lang w:val="en-US" w:eastAsia="zh-CN"/>
              </w:rPr>
              <w:t>6</w:t>
            </w:r>
            <w:r>
              <w:rPr>
                <w:bCs/>
                <w:color w:val="auto"/>
                <w:sz w:val="24"/>
              </w:rPr>
              <w:t>t/a。</w:t>
            </w:r>
          </w:p>
          <w:p w14:paraId="4DAC2924">
            <w:pPr>
              <w:keepLines w:val="0"/>
              <w:pageBreakBefore w:val="0"/>
              <w:widowControl w:val="0"/>
              <w:kinsoku/>
              <w:wordWrap/>
              <w:topLinePunct w:val="0"/>
              <w:autoSpaceDE/>
              <w:autoSpaceDN/>
              <w:bidi w:val="0"/>
              <w:adjustRightInd/>
              <w:snapToGrid/>
              <w:spacing w:line="360" w:lineRule="auto"/>
              <w:textAlignment w:val="auto"/>
              <w:rPr>
                <w:rFonts w:hint="default" w:ascii="Times New Roman" w:hAnsi="Times New Roman" w:eastAsia="宋体" w:cs="Times New Roman"/>
                <w:b/>
                <w:bCs w:val="0"/>
                <w:color w:val="auto"/>
                <w:kern w:val="0"/>
                <w:sz w:val="24"/>
              </w:rPr>
            </w:pPr>
            <w:r>
              <w:rPr>
                <w:rFonts w:hint="default" w:ascii="Times New Roman" w:hAnsi="Times New Roman" w:eastAsia="宋体" w:cs="Times New Roman"/>
                <w:b/>
                <w:bCs w:val="0"/>
                <w:color w:val="auto"/>
                <w:kern w:val="0"/>
                <w:sz w:val="24"/>
              </w:rPr>
              <w:t>4</w:t>
            </w:r>
            <w:r>
              <w:rPr>
                <w:rFonts w:hint="default" w:ascii="Times New Roman" w:hAnsi="Times New Roman" w:eastAsia="宋体" w:cs="Times New Roman"/>
                <w:b/>
                <w:bCs w:val="0"/>
                <w:color w:val="auto"/>
                <w:kern w:val="0"/>
                <w:sz w:val="24"/>
                <w:lang w:val="en-US" w:eastAsia="zh-CN"/>
              </w:rPr>
              <w:t>.2.</w:t>
            </w:r>
            <w:r>
              <w:rPr>
                <w:rFonts w:hint="eastAsia" w:ascii="Times New Roman" w:hAnsi="Times New Roman" w:cs="Times New Roman"/>
                <w:b/>
                <w:bCs w:val="0"/>
                <w:color w:val="auto"/>
                <w:kern w:val="0"/>
                <w:sz w:val="24"/>
                <w:lang w:val="en-US" w:eastAsia="zh-CN"/>
              </w:rPr>
              <w:t xml:space="preserve">2 </w:t>
            </w:r>
            <w:r>
              <w:rPr>
                <w:rFonts w:hint="default" w:ascii="Times New Roman" w:hAnsi="Times New Roman" w:eastAsia="宋体" w:cs="Times New Roman"/>
                <w:b/>
                <w:bCs w:val="0"/>
                <w:color w:val="auto"/>
                <w:kern w:val="0"/>
                <w:sz w:val="24"/>
              </w:rPr>
              <w:t>自行监测计划</w:t>
            </w:r>
          </w:p>
          <w:p w14:paraId="62B54466">
            <w:pPr>
              <w:keepNext w:val="0"/>
              <w:keepLines w:val="0"/>
              <w:suppressLineNumbers w:val="0"/>
              <w:adjustRightInd w:val="0"/>
              <w:spacing w:before="0" w:beforeAutospacing="0" w:after="0" w:afterAutospacing="0" w:line="360" w:lineRule="auto"/>
              <w:ind w:left="0" w:right="0" w:firstLine="480" w:firstLineChars="200"/>
              <w:rPr>
                <w:rFonts w:hint="default"/>
                <w:bCs/>
                <w:sz w:val="24"/>
                <w:szCs w:val="32"/>
              </w:rPr>
            </w:pPr>
            <w:r>
              <w:rPr>
                <w:rFonts w:hint="default"/>
                <w:bCs/>
                <w:sz w:val="24"/>
                <w:szCs w:val="32"/>
              </w:rPr>
              <w:t>根据《排污单位自行监测技术指南 总则》（HJ819-2017）</w:t>
            </w:r>
            <w:r>
              <w:rPr>
                <w:rFonts w:hint="eastAsia"/>
                <w:bCs/>
                <w:sz w:val="24"/>
                <w:szCs w:val="32"/>
              </w:rPr>
              <w:t>、《</w:t>
            </w:r>
            <w:r>
              <w:rPr>
                <w:rFonts w:hint="default"/>
                <w:bCs/>
                <w:sz w:val="24"/>
                <w:szCs w:val="32"/>
              </w:rPr>
              <w:t>排污许可证申请与核发技术规范 废弃资源加工工业</w:t>
            </w:r>
            <w:r>
              <w:rPr>
                <w:rFonts w:hint="eastAsia"/>
                <w:bCs/>
                <w:sz w:val="24"/>
                <w:szCs w:val="32"/>
              </w:rPr>
              <w:t>》</w:t>
            </w:r>
            <w:r>
              <w:rPr>
                <w:rFonts w:hint="default"/>
                <w:bCs/>
                <w:sz w:val="24"/>
                <w:szCs w:val="32"/>
              </w:rPr>
              <w:t>（HJ1034—2019）</w:t>
            </w:r>
            <w:r>
              <w:rPr>
                <w:rFonts w:hint="eastAsia"/>
                <w:bCs/>
                <w:sz w:val="24"/>
                <w:szCs w:val="32"/>
              </w:rPr>
              <w:t>中</w:t>
            </w:r>
            <w:r>
              <w:rPr>
                <w:rFonts w:hint="default"/>
                <w:bCs/>
                <w:sz w:val="24"/>
                <w:szCs w:val="32"/>
              </w:rPr>
              <w:t>相关要求，项目在投入运行后，需定期对项目污染源开展监测活动，具体如下所示。</w:t>
            </w:r>
          </w:p>
          <w:p w14:paraId="2C2872E8">
            <w:pPr>
              <w:pStyle w:val="134"/>
              <w:keepNext w:val="0"/>
              <w:keepLines w:val="0"/>
              <w:pageBreakBefore w:val="0"/>
              <w:widowControl w:val="0"/>
              <w:kinsoku/>
              <w:wordWrap/>
              <w:overflowPunct/>
              <w:topLinePunct w:val="0"/>
              <w:autoSpaceDE/>
              <w:autoSpaceDN/>
              <w:bidi w:val="0"/>
              <w:adjustRightInd/>
              <w:snapToGrid/>
              <w:spacing w:before="157" w:beforeLines="50" w:line="240" w:lineRule="auto"/>
              <w:ind w:right="102"/>
              <w:jc w:val="center"/>
              <w:textAlignment w:val="auto"/>
              <w:rPr>
                <w:rFonts w:hint="default" w:ascii="Times New Roman" w:hAnsi="Times New Roman" w:eastAsia="黑体" w:cs="Times New Roman"/>
                <w:spacing w:val="0"/>
                <w:sz w:val="24"/>
                <w:szCs w:val="24"/>
                <w:lang w:val="en-US" w:eastAsia="zh-CN"/>
              </w:rPr>
            </w:pPr>
            <w:r>
              <w:rPr>
                <w:rFonts w:hint="eastAsia" w:ascii="Times New Roman" w:hAnsi="Times New Roman" w:eastAsia="黑体" w:cs="Times New Roman"/>
                <w:spacing w:val="0"/>
                <w:sz w:val="24"/>
                <w:szCs w:val="24"/>
                <w:lang w:val="en-US" w:eastAsia="zh-CN"/>
              </w:rPr>
              <w:t xml:space="preserve">表4.2-1  </w:t>
            </w:r>
            <w:r>
              <w:rPr>
                <w:rFonts w:hint="default" w:ascii="Times New Roman" w:hAnsi="Times New Roman" w:eastAsia="黑体" w:cs="Times New Roman"/>
                <w:spacing w:val="0"/>
                <w:sz w:val="24"/>
                <w:szCs w:val="24"/>
                <w:lang w:val="en-US" w:eastAsia="zh-CN"/>
              </w:rPr>
              <w:t>营运期环境监测计划</w:t>
            </w:r>
          </w:p>
          <w:tbl>
            <w:tblPr>
              <w:tblStyle w:val="28"/>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3"/>
              <w:gridCol w:w="1552"/>
              <w:gridCol w:w="2792"/>
              <w:gridCol w:w="2436"/>
            </w:tblGrid>
            <w:tr w14:paraId="2E925C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pct"/>
                  <w:tcBorders>
                    <w:tl2br w:val="nil"/>
                    <w:tr2bl w:val="nil"/>
                  </w:tcBorders>
                  <w:vAlign w:val="center"/>
                </w:tcPr>
                <w:p w14:paraId="6DAB211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40" w:lineRule="exact"/>
                    <w:ind w:left="0" w:right="0"/>
                    <w:jc w:val="center"/>
                    <w:textAlignment w:val="baseline"/>
                    <w:rPr>
                      <w:rFonts w:hint="default" w:ascii="Times New Roman" w:hAnsi="Times New Roman" w:eastAsia="宋体" w:cs="Times New Roman"/>
                      <w:b w:val="0"/>
                      <w:bCs w:val="0"/>
                      <w:kern w:val="24"/>
                      <w:sz w:val="21"/>
                      <w:szCs w:val="21"/>
                    </w:rPr>
                  </w:pPr>
                  <w:r>
                    <w:rPr>
                      <w:rFonts w:hint="default" w:ascii="Times New Roman" w:hAnsi="Times New Roman" w:eastAsia="宋体" w:cs="Times New Roman"/>
                      <w:b w:val="0"/>
                      <w:bCs w:val="0"/>
                      <w:kern w:val="24"/>
                      <w:sz w:val="21"/>
                      <w:szCs w:val="21"/>
                    </w:rPr>
                    <w:t>产污节点</w:t>
                  </w:r>
                </w:p>
              </w:tc>
              <w:tc>
                <w:tcPr>
                  <w:tcW w:w="942" w:type="pct"/>
                  <w:tcBorders>
                    <w:tl2br w:val="nil"/>
                    <w:tr2bl w:val="nil"/>
                  </w:tcBorders>
                  <w:vAlign w:val="center"/>
                </w:tcPr>
                <w:p w14:paraId="6D2530C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40" w:lineRule="exact"/>
                    <w:ind w:left="0" w:right="0"/>
                    <w:jc w:val="center"/>
                    <w:textAlignment w:val="baseline"/>
                    <w:rPr>
                      <w:rFonts w:hint="default" w:ascii="Times New Roman" w:hAnsi="Times New Roman" w:eastAsia="宋体" w:cs="Times New Roman"/>
                      <w:b w:val="0"/>
                      <w:bCs w:val="0"/>
                      <w:kern w:val="24"/>
                      <w:sz w:val="21"/>
                      <w:szCs w:val="21"/>
                    </w:rPr>
                  </w:pPr>
                  <w:r>
                    <w:rPr>
                      <w:rFonts w:hint="default" w:ascii="Times New Roman" w:hAnsi="Times New Roman" w:eastAsia="宋体" w:cs="Times New Roman"/>
                      <w:b w:val="0"/>
                      <w:bCs w:val="0"/>
                      <w:kern w:val="24"/>
                      <w:sz w:val="21"/>
                      <w:szCs w:val="21"/>
                    </w:rPr>
                    <w:t>监测点位</w:t>
                  </w:r>
                </w:p>
              </w:tc>
              <w:tc>
                <w:tcPr>
                  <w:tcW w:w="1695" w:type="pct"/>
                  <w:tcBorders>
                    <w:tl2br w:val="nil"/>
                    <w:tr2bl w:val="nil"/>
                  </w:tcBorders>
                  <w:vAlign w:val="center"/>
                </w:tcPr>
                <w:p w14:paraId="2FDB033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40" w:lineRule="exact"/>
                    <w:ind w:left="0" w:right="0"/>
                    <w:jc w:val="center"/>
                    <w:textAlignment w:val="baseline"/>
                    <w:rPr>
                      <w:rFonts w:hint="default" w:ascii="Times New Roman" w:hAnsi="Times New Roman" w:eastAsia="宋体" w:cs="Times New Roman"/>
                      <w:b w:val="0"/>
                      <w:bCs w:val="0"/>
                      <w:kern w:val="24"/>
                      <w:sz w:val="21"/>
                      <w:szCs w:val="21"/>
                    </w:rPr>
                  </w:pPr>
                  <w:r>
                    <w:rPr>
                      <w:rFonts w:hint="default" w:ascii="Times New Roman" w:hAnsi="Times New Roman" w:eastAsia="宋体" w:cs="Times New Roman"/>
                      <w:b w:val="0"/>
                      <w:bCs w:val="0"/>
                      <w:kern w:val="24"/>
                      <w:sz w:val="21"/>
                      <w:szCs w:val="21"/>
                    </w:rPr>
                    <w:t>监测指标</w:t>
                  </w:r>
                </w:p>
              </w:tc>
              <w:tc>
                <w:tcPr>
                  <w:tcW w:w="1479" w:type="pct"/>
                  <w:tcBorders>
                    <w:tl2br w:val="nil"/>
                    <w:tr2bl w:val="nil"/>
                  </w:tcBorders>
                  <w:vAlign w:val="center"/>
                </w:tcPr>
                <w:p w14:paraId="0232EE3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40" w:lineRule="exact"/>
                    <w:ind w:left="0" w:right="0"/>
                    <w:jc w:val="center"/>
                    <w:textAlignment w:val="baseline"/>
                    <w:rPr>
                      <w:rFonts w:hint="default" w:ascii="Times New Roman" w:hAnsi="Times New Roman" w:eastAsia="宋体" w:cs="Times New Roman"/>
                      <w:b w:val="0"/>
                      <w:bCs w:val="0"/>
                      <w:kern w:val="24"/>
                      <w:sz w:val="21"/>
                      <w:szCs w:val="21"/>
                    </w:rPr>
                  </w:pPr>
                  <w:r>
                    <w:rPr>
                      <w:rFonts w:hint="default" w:ascii="Times New Roman" w:hAnsi="Times New Roman" w:eastAsia="宋体" w:cs="Times New Roman"/>
                      <w:b w:val="0"/>
                      <w:bCs w:val="0"/>
                      <w:kern w:val="24"/>
                      <w:sz w:val="21"/>
                      <w:szCs w:val="21"/>
                    </w:rPr>
                    <w:t>最低监测频次</w:t>
                  </w:r>
                </w:p>
              </w:tc>
            </w:tr>
            <w:tr w14:paraId="2A47BF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2" w:type="pct"/>
                  <w:tcBorders>
                    <w:tl2br w:val="nil"/>
                    <w:tr2bl w:val="nil"/>
                  </w:tcBorders>
                  <w:vAlign w:val="center"/>
                </w:tcPr>
                <w:p w14:paraId="1B5050B9">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40" w:lineRule="exact"/>
                    <w:ind w:left="0" w:right="0"/>
                    <w:jc w:val="center"/>
                    <w:rPr>
                      <w:rFonts w:hint="default" w:ascii="Times New Roman" w:hAnsi="Times New Roman" w:eastAsia="宋体" w:cs="Times New Roman"/>
                      <w:b w:val="0"/>
                      <w:bCs w:val="0"/>
                      <w:kern w:val="24"/>
                      <w:sz w:val="21"/>
                      <w:szCs w:val="21"/>
                    </w:rPr>
                  </w:pPr>
                  <w:r>
                    <w:rPr>
                      <w:rFonts w:hint="default" w:ascii="Times New Roman" w:hAnsi="Times New Roman" w:eastAsia="宋体" w:cs="Times New Roman"/>
                      <w:b w:val="0"/>
                      <w:bCs w:val="0"/>
                      <w:kern w:val="24"/>
                      <w:sz w:val="21"/>
                      <w:szCs w:val="21"/>
                    </w:rPr>
                    <w:t>污水处理站</w:t>
                  </w:r>
                </w:p>
              </w:tc>
              <w:tc>
                <w:tcPr>
                  <w:tcW w:w="942" w:type="pct"/>
                  <w:tcBorders>
                    <w:tl2br w:val="nil"/>
                    <w:tr2bl w:val="nil"/>
                  </w:tcBorders>
                  <w:vAlign w:val="center"/>
                </w:tcPr>
                <w:p w14:paraId="2DD28ECC">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40" w:lineRule="exact"/>
                    <w:ind w:left="0" w:right="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厂界</w:t>
                  </w:r>
                </w:p>
              </w:tc>
              <w:tc>
                <w:tcPr>
                  <w:tcW w:w="1695" w:type="pct"/>
                  <w:tcBorders>
                    <w:tl2br w:val="nil"/>
                    <w:tr2bl w:val="nil"/>
                  </w:tcBorders>
                  <w:vAlign w:val="center"/>
                </w:tcPr>
                <w:p w14:paraId="6C6EBB77">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40" w:lineRule="exact"/>
                    <w:ind w:left="0" w:right="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氨、硫化氢</w:t>
                  </w:r>
                </w:p>
              </w:tc>
              <w:tc>
                <w:tcPr>
                  <w:tcW w:w="1479" w:type="pct"/>
                  <w:tcBorders>
                    <w:tl2br w:val="nil"/>
                    <w:tr2bl w:val="nil"/>
                  </w:tcBorders>
                  <w:vAlign w:val="center"/>
                </w:tcPr>
                <w:p w14:paraId="249F42C0">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40" w:lineRule="exact"/>
                    <w:ind w:left="0" w:right="0"/>
                    <w:jc w:val="center"/>
                    <w:rPr>
                      <w:rFonts w:hint="default" w:ascii="Times New Roman" w:hAnsi="Times New Roman" w:eastAsia="宋体" w:cs="Times New Roman"/>
                      <w:b w:val="0"/>
                      <w:bCs w:val="0"/>
                      <w:kern w:val="24"/>
                      <w:sz w:val="21"/>
                      <w:szCs w:val="21"/>
                    </w:rPr>
                  </w:pPr>
                  <w:r>
                    <w:rPr>
                      <w:rFonts w:hint="default" w:ascii="Times New Roman" w:hAnsi="Times New Roman" w:eastAsia="宋体" w:cs="Times New Roman"/>
                      <w:b w:val="0"/>
                      <w:bCs w:val="0"/>
                      <w:kern w:val="24"/>
                      <w:sz w:val="21"/>
                      <w:szCs w:val="21"/>
                    </w:rPr>
                    <w:t>1次/年</w:t>
                  </w:r>
                </w:p>
              </w:tc>
            </w:tr>
          </w:tbl>
          <w:p w14:paraId="39225277">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bottom"/>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p>
        </w:tc>
      </w:tr>
    </w:tbl>
    <w:p w14:paraId="04B67687">
      <w:pPr>
        <w:pStyle w:val="23"/>
        <w:keepNext w:val="0"/>
        <w:keepLines w:val="0"/>
        <w:pageBreakBefore w:val="0"/>
        <w:widowControl/>
        <w:numPr>
          <w:ilvl w:val="0"/>
          <w:numId w:val="0"/>
        </w:numPr>
        <w:kinsoku/>
        <w:wordWrap/>
        <w:overflowPunct/>
        <w:topLinePunct w:val="0"/>
        <w:autoSpaceDE/>
        <w:autoSpaceDN/>
        <w:bidi w:val="0"/>
        <w:adjustRightInd/>
        <w:snapToGrid/>
        <w:jc w:val="both"/>
        <w:textAlignment w:val="auto"/>
        <w:outlineLvl w:val="9"/>
        <w:rPr>
          <w:rFonts w:hint="default" w:ascii="Times New Roman" w:hAnsi="Times New Roman" w:eastAsia="宋体" w:cs="Times New Roman"/>
          <w:snapToGrid w:val="0"/>
          <w:color w:val="000000" w:themeColor="text1"/>
          <w:sz w:val="30"/>
          <w:szCs w:val="30"/>
          <w14:textFill>
            <w14:solidFill>
              <w14:schemeClr w14:val="tx1"/>
            </w14:solidFill>
          </w14:textFill>
        </w:rPr>
      </w:pPr>
    </w:p>
    <w:p w14:paraId="3CA3D601">
      <w:pPr>
        <w:pStyle w:val="23"/>
        <w:keepNext w:val="0"/>
        <w:keepLines w:val="0"/>
        <w:pageBreakBefore w:val="0"/>
        <w:widowControl/>
        <w:numPr>
          <w:ilvl w:val="0"/>
          <w:numId w:val="0"/>
        </w:numPr>
        <w:kinsoku/>
        <w:wordWrap/>
        <w:overflowPunct/>
        <w:topLinePunct w:val="0"/>
        <w:autoSpaceDE/>
        <w:autoSpaceDN/>
        <w:bidi w:val="0"/>
        <w:adjustRightInd/>
        <w:snapToGrid/>
        <w:jc w:val="both"/>
        <w:textAlignment w:val="auto"/>
        <w:outlineLvl w:val="9"/>
        <w:rPr>
          <w:rFonts w:hint="default" w:ascii="Times New Roman" w:hAnsi="Times New Roman" w:eastAsia="宋体" w:cs="Times New Roman"/>
          <w:snapToGrid w:val="0"/>
          <w:color w:val="000000" w:themeColor="text1"/>
          <w:sz w:val="30"/>
          <w:szCs w:val="30"/>
          <w14:textFill>
            <w14:solidFill>
              <w14:schemeClr w14:val="tx1"/>
            </w14:solidFill>
          </w14:textFill>
        </w:rPr>
      </w:pPr>
    </w:p>
    <w:p w14:paraId="343CF881">
      <w:pPr>
        <w:pStyle w:val="23"/>
        <w:keepNext w:val="0"/>
        <w:keepLines w:val="0"/>
        <w:pageBreakBefore w:val="0"/>
        <w:widowControl/>
        <w:numPr>
          <w:ilvl w:val="0"/>
          <w:numId w:val="0"/>
        </w:numPr>
        <w:kinsoku/>
        <w:wordWrap/>
        <w:overflowPunct/>
        <w:topLinePunct w:val="0"/>
        <w:autoSpaceDE/>
        <w:autoSpaceDN/>
        <w:bidi w:val="0"/>
        <w:adjustRightInd/>
        <w:snapToGrid/>
        <w:jc w:val="both"/>
        <w:textAlignment w:val="auto"/>
        <w:outlineLvl w:val="9"/>
        <w:rPr>
          <w:rFonts w:hint="default" w:ascii="Times New Roman" w:hAnsi="Times New Roman" w:eastAsia="宋体" w:cs="Times New Roman"/>
          <w:snapToGrid w:val="0"/>
          <w:color w:val="000000" w:themeColor="text1"/>
          <w:sz w:val="30"/>
          <w:szCs w:val="30"/>
          <w14:textFill>
            <w14:solidFill>
              <w14:schemeClr w14:val="tx1"/>
            </w14:solidFill>
          </w14:textFill>
        </w:rPr>
      </w:pPr>
    </w:p>
    <w:p w14:paraId="511730BD">
      <w:pPr>
        <w:pStyle w:val="23"/>
        <w:numPr>
          <w:ilvl w:val="0"/>
          <w:numId w:val="0"/>
        </w:numPr>
        <w:jc w:val="both"/>
        <w:outlineLvl w:val="9"/>
        <w:rPr>
          <w:rFonts w:hint="default" w:ascii="Times New Roman" w:hAnsi="Times New Roman" w:eastAsia="宋体" w:cs="Times New Roman"/>
          <w:snapToGrid w:val="0"/>
          <w:color w:val="000000" w:themeColor="text1"/>
          <w:sz w:val="30"/>
          <w:szCs w:val="30"/>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8"/>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01"/>
        <w:gridCol w:w="8507"/>
      </w:tblGrid>
      <w:tr w14:paraId="12296C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87" w:hRule="atLeast"/>
          <w:jc w:val="center"/>
        </w:trPr>
        <w:tc>
          <w:tcPr>
            <w:tcW w:w="401" w:type="dxa"/>
            <w:noWrap w:val="0"/>
            <w:tcMar>
              <w:left w:w="28" w:type="dxa"/>
              <w:right w:w="28" w:type="dxa"/>
            </w:tcMar>
            <w:vAlign w:val="center"/>
          </w:tcPr>
          <w:p w14:paraId="0AC1FE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运营</w:t>
            </w:r>
          </w:p>
          <w:p w14:paraId="201E39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期环</w:t>
            </w:r>
          </w:p>
          <w:p w14:paraId="0D5F76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境影</w:t>
            </w:r>
          </w:p>
          <w:p w14:paraId="736388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响和</w:t>
            </w:r>
          </w:p>
          <w:p w14:paraId="43D231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保护</w:t>
            </w:r>
          </w:p>
          <w:p w14:paraId="56FEA6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措施</w:t>
            </w:r>
          </w:p>
        </w:tc>
        <w:tc>
          <w:tcPr>
            <w:tcW w:w="8507" w:type="dxa"/>
            <w:noWrap w:val="0"/>
            <w:vAlign w:val="center"/>
          </w:tcPr>
          <w:p w14:paraId="31133614">
            <w:pPr>
              <w:pStyle w:val="3"/>
              <w:keepNext/>
              <w:keepLines/>
              <w:pageBreakBefore w:val="0"/>
              <w:widowControl w:val="0"/>
              <w:numPr>
                <w:ilvl w:val="1"/>
                <w:numId w:val="0"/>
              </w:numPr>
              <w:kinsoku/>
              <w:wordWrap/>
              <w:overflowPunct/>
              <w:topLinePunct w:val="0"/>
              <w:autoSpaceDE/>
              <w:autoSpaceDN/>
              <w:bidi w:val="0"/>
              <w:adjustRightInd/>
              <w:snapToGrid/>
              <w:spacing w:before="157" w:beforeLines="50"/>
              <w:ind w:leftChars="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bCs w:val="0"/>
                <w:color w:val="000000" w:themeColor="text1"/>
                <w:kern w:val="2"/>
                <w14:textFill>
                  <w14:solidFill>
                    <w14:schemeClr w14:val="tx1"/>
                  </w14:solidFill>
                </w14:textFill>
              </w:rPr>
              <w:t>4.</w:t>
            </w:r>
            <w:r>
              <w:rPr>
                <w:rFonts w:hint="default" w:ascii="Times New Roman" w:hAnsi="Times New Roman" w:eastAsia="宋体" w:cs="Times New Roman"/>
                <w:bCs w:val="0"/>
                <w:color w:val="000000" w:themeColor="text1"/>
                <w:kern w:val="2"/>
                <w:lang w:val="en-US" w:eastAsia="zh-CN"/>
                <w14:textFill>
                  <w14:solidFill>
                    <w14:schemeClr w14:val="tx1"/>
                  </w14:solidFill>
                </w14:textFill>
              </w:rPr>
              <w:t>3</w:t>
            </w:r>
            <w:r>
              <w:rPr>
                <w:rFonts w:hint="default" w:ascii="Times New Roman" w:hAnsi="Times New Roman" w:eastAsia="宋体" w:cs="Times New Roman"/>
                <w:bCs w:val="0"/>
                <w:color w:val="000000" w:themeColor="text1"/>
                <w:kern w:val="2"/>
                <w14:textFill>
                  <w14:solidFill>
                    <w14:schemeClr w14:val="tx1"/>
                  </w14:solidFill>
                </w14:textFill>
              </w:rPr>
              <w:t xml:space="preserve"> 运营期水环境影响分析和污染防治措施</w:t>
            </w:r>
          </w:p>
          <w:p w14:paraId="139998D8">
            <w:pPr>
              <w:pStyle w:val="4"/>
              <w:pageBreakBefore w:val="0"/>
              <w:widowControl w:val="0"/>
              <w:kinsoku/>
              <w:wordWrap/>
              <w:topLinePunct w:val="0"/>
              <w:autoSpaceDE/>
              <w:autoSpaceDN/>
              <w:bidi w:val="0"/>
              <w:spacing w:line="360" w:lineRule="auto"/>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bookmarkStart w:id="19" w:name="_Toc18741"/>
            <w:r>
              <w:rPr>
                <w:rFonts w:hint="default" w:ascii="Times New Roman" w:hAnsi="Times New Roman" w:eastAsia="宋体" w:cs="Times New Roman"/>
                <w:b/>
                <w:color w:val="000000" w:themeColor="text1"/>
                <w:sz w:val="24"/>
                <w14:textFill>
                  <w14:solidFill>
                    <w14:schemeClr w14:val="tx1"/>
                  </w14:solidFill>
                </w14:textFill>
              </w:rPr>
              <w:t>4.</w:t>
            </w:r>
            <w:r>
              <w:rPr>
                <w:rFonts w:hint="default" w:ascii="Times New Roman" w:hAnsi="Times New Roman" w:eastAsia="宋体" w:cs="Times New Roman"/>
                <w:b/>
                <w:color w:val="000000" w:themeColor="text1"/>
                <w:sz w:val="24"/>
                <w:lang w:val="en-US" w:eastAsia="zh-CN"/>
                <w14:textFill>
                  <w14:solidFill>
                    <w14:schemeClr w14:val="tx1"/>
                  </w14:solidFill>
                </w14:textFill>
              </w:rPr>
              <w:t>3</w:t>
            </w:r>
            <w:r>
              <w:rPr>
                <w:rFonts w:hint="default" w:ascii="Times New Roman" w:hAnsi="Times New Roman" w:eastAsia="宋体" w:cs="Times New Roman"/>
                <w:b/>
                <w:color w:val="000000" w:themeColor="text1"/>
                <w:sz w:val="24"/>
                <w14:textFill>
                  <w14:solidFill>
                    <w14:schemeClr w14:val="tx1"/>
                  </w14:solidFill>
                </w14:textFill>
              </w:rPr>
              <w:t>.1 运营期废水源强核算</w:t>
            </w:r>
            <w:bookmarkEnd w:id="19"/>
          </w:p>
          <w:p w14:paraId="59BA54C6">
            <w:pPr>
              <w:pStyle w:val="134"/>
              <w:keepNext w:val="0"/>
              <w:keepLines w:val="0"/>
              <w:pageBreakBefore w:val="0"/>
              <w:widowControl w:val="0"/>
              <w:kinsoku/>
              <w:wordWrap/>
              <w:overflowPunct/>
              <w:topLinePunct w:val="0"/>
              <w:autoSpaceDE/>
              <w:autoSpaceDN/>
              <w:bidi w:val="0"/>
              <w:adjustRightInd/>
              <w:snapToGrid/>
              <w:spacing w:line="360" w:lineRule="auto"/>
              <w:ind w:left="110" w:right="41" w:firstLine="480" w:firstLineChars="200"/>
              <w:textAlignment w:val="auto"/>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lang w:val="en-US" w:eastAsia="zh-CN"/>
              </w:rPr>
              <w:t>1</w:t>
            </w: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lang w:val="en-US" w:eastAsia="zh-CN"/>
              </w:rPr>
              <w:t>生产废水</w:t>
            </w:r>
          </w:p>
          <w:p w14:paraId="65E48317">
            <w:pPr>
              <w:pStyle w:val="134"/>
              <w:keepNext w:val="0"/>
              <w:keepLines w:val="0"/>
              <w:pageBreakBefore w:val="0"/>
              <w:widowControl w:val="0"/>
              <w:kinsoku/>
              <w:wordWrap/>
              <w:overflowPunct/>
              <w:topLinePunct w:val="0"/>
              <w:autoSpaceDE/>
              <w:autoSpaceDN/>
              <w:bidi w:val="0"/>
              <w:adjustRightInd/>
              <w:snapToGrid/>
              <w:spacing w:line="360" w:lineRule="auto"/>
              <w:ind w:left="110" w:right="41" w:firstLine="480" w:firstLineChars="200"/>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项目生产过程中原材料采用湿法粉碎+清洗的生产工艺，根据前文计算，项目湿法粉碎、清洗废水量为10480m</w:t>
            </w:r>
            <w:r>
              <w:rPr>
                <w:rFonts w:hint="default" w:ascii="Times New Roman" w:hAnsi="Times New Roman" w:eastAsia="宋体" w:cs="Times New Roman"/>
                <w:color w:val="auto"/>
                <w:spacing w:val="0"/>
                <w:sz w:val="24"/>
                <w:szCs w:val="24"/>
                <w:vertAlign w:val="superscript"/>
              </w:rPr>
              <w:t>3</w:t>
            </w:r>
            <w:r>
              <w:rPr>
                <w:rFonts w:hint="default" w:ascii="Times New Roman" w:hAnsi="Times New Roman" w:eastAsia="宋体" w:cs="Times New Roman"/>
                <w:color w:val="auto"/>
                <w:spacing w:val="0"/>
                <w:sz w:val="24"/>
                <w:szCs w:val="24"/>
              </w:rPr>
              <w:t>/a（31.76m</w:t>
            </w:r>
            <w:r>
              <w:rPr>
                <w:rFonts w:hint="default" w:ascii="Times New Roman" w:hAnsi="Times New Roman" w:eastAsia="宋体" w:cs="Times New Roman"/>
                <w:color w:val="auto"/>
                <w:spacing w:val="0"/>
                <w:sz w:val="24"/>
                <w:szCs w:val="24"/>
                <w:vertAlign w:val="superscript"/>
              </w:rPr>
              <w:t>3</w:t>
            </w:r>
            <w:r>
              <w:rPr>
                <w:rFonts w:hint="default" w:ascii="Times New Roman" w:hAnsi="Times New Roman" w:eastAsia="宋体" w:cs="Times New Roman"/>
                <w:color w:val="auto"/>
                <w:spacing w:val="0"/>
                <w:sz w:val="24"/>
                <w:szCs w:val="24"/>
              </w:rPr>
              <w:t>/d），本项目拟新建沉淀池一座，容积为</w:t>
            </w:r>
            <w:r>
              <w:rPr>
                <w:rFonts w:hint="default" w:ascii="Times New Roman" w:hAnsi="Times New Roman" w:eastAsia="宋体" w:cs="Times New Roman"/>
                <w:color w:val="auto"/>
                <w:spacing w:val="0"/>
                <w:sz w:val="24"/>
                <w:szCs w:val="24"/>
                <w:lang w:val="en-US" w:eastAsia="zh-CN"/>
              </w:rPr>
              <w:t>40</w:t>
            </w:r>
            <w:r>
              <w:rPr>
                <w:rFonts w:hint="default" w:ascii="Times New Roman" w:hAnsi="Times New Roman" w:eastAsia="宋体" w:cs="Times New Roman"/>
                <w:color w:val="auto"/>
                <w:spacing w:val="0"/>
                <w:sz w:val="24"/>
                <w:szCs w:val="24"/>
              </w:rPr>
              <w:t>m</w:t>
            </w:r>
            <w:r>
              <w:rPr>
                <w:rFonts w:hint="default" w:ascii="Times New Roman" w:hAnsi="Times New Roman" w:eastAsia="宋体" w:cs="Times New Roman"/>
                <w:color w:val="auto"/>
                <w:spacing w:val="0"/>
                <w:sz w:val="24"/>
                <w:szCs w:val="24"/>
                <w:vertAlign w:val="superscript"/>
                <w:lang w:val="en-US" w:eastAsia="zh-CN"/>
              </w:rPr>
              <w:t>3</w:t>
            </w:r>
            <w:r>
              <w:rPr>
                <w:rFonts w:hint="default" w:ascii="Times New Roman" w:hAnsi="Times New Roman" w:eastAsia="宋体" w:cs="Times New Roman"/>
                <w:color w:val="auto"/>
                <w:spacing w:val="0"/>
                <w:sz w:val="24"/>
                <w:szCs w:val="24"/>
              </w:rPr>
              <w:t>/</w:t>
            </w:r>
            <w:r>
              <w:rPr>
                <w:rFonts w:hint="default" w:ascii="Times New Roman" w:hAnsi="Times New Roman" w:eastAsia="宋体" w:cs="Times New Roman"/>
                <w:color w:val="auto"/>
                <w:spacing w:val="0"/>
                <w:sz w:val="24"/>
                <w:szCs w:val="24"/>
                <w:lang w:val="en-US" w:eastAsia="zh-CN"/>
              </w:rPr>
              <w:t>d</w:t>
            </w:r>
            <w:r>
              <w:rPr>
                <w:rFonts w:hint="default" w:ascii="Times New Roman" w:hAnsi="Times New Roman" w:eastAsia="宋体" w:cs="Times New Roman"/>
                <w:color w:val="auto"/>
                <w:spacing w:val="0"/>
                <w:sz w:val="24"/>
                <w:szCs w:val="24"/>
              </w:rPr>
              <w:t>，项目湿法粉碎、清洗废水经集水渠流入内处理后再进入厂区污水处理站处理。</w:t>
            </w:r>
          </w:p>
          <w:p w14:paraId="44786232">
            <w:pPr>
              <w:pStyle w:val="134"/>
              <w:keepNext w:val="0"/>
              <w:keepLines w:val="0"/>
              <w:pageBreakBefore w:val="0"/>
              <w:widowControl w:val="0"/>
              <w:kinsoku/>
              <w:wordWrap/>
              <w:overflowPunct/>
              <w:topLinePunct w:val="0"/>
              <w:autoSpaceDE/>
              <w:autoSpaceDN/>
              <w:bidi w:val="0"/>
              <w:adjustRightInd/>
              <w:snapToGrid/>
              <w:spacing w:line="360" w:lineRule="auto"/>
              <w:ind w:left="107" w:right="103" w:firstLine="480" w:firstLineChars="200"/>
              <w:textAlignment w:val="auto"/>
              <w:rPr>
                <w:rFonts w:hint="default" w:ascii="Times New Roman" w:hAnsi="Times New Roman" w:eastAsia="宋体" w:cs="Times New Roman"/>
                <w:spacing w:val="0"/>
                <w:sz w:val="24"/>
                <w:szCs w:val="24"/>
                <w:lang w:val="en-US"/>
              </w:rPr>
            </w:pPr>
            <w:r>
              <w:rPr>
                <w:rFonts w:hint="default" w:ascii="Times New Roman" w:hAnsi="Times New Roman" w:eastAsia="宋体" w:cs="Times New Roman"/>
                <w:spacing w:val="0"/>
                <w:sz w:val="24"/>
                <w:szCs w:val="24"/>
              </w:rPr>
              <w:t>根据《排放源统计调查产排污核算方法和系数手册》“42  废弃资源综合利用行业”</w:t>
            </w:r>
            <w:r>
              <w:rPr>
                <w:rFonts w:hint="default" w:ascii="Times New Roman" w:hAnsi="Times New Roman" w:eastAsia="宋体" w:cs="Times New Roman"/>
                <w:spacing w:val="0"/>
                <w:sz w:val="24"/>
                <w:szCs w:val="24"/>
                <w:lang w:val="en-US" w:eastAsia="zh-CN"/>
              </w:rPr>
              <w:t>及参考《贵州宏康洁环保科技有限公司5000t/a医用玻璃（一次性塑料）输液瓶（袋）回收加工建设项目竣工环境保护验收监测报告表》，该项目产品原辅材料、产品方案、生产工艺、生产规模等与本项目相类似，故具有可类比性。根据该项目验收检测报告可知，污水处理设备进水口SS平均浓度在44mg/L左右，BOD</w:t>
            </w:r>
            <w:r>
              <w:rPr>
                <w:rFonts w:hint="default" w:ascii="Times New Roman" w:hAnsi="Times New Roman" w:eastAsia="宋体" w:cs="Times New Roman"/>
                <w:spacing w:val="0"/>
                <w:sz w:val="24"/>
                <w:szCs w:val="24"/>
                <w:vertAlign w:val="subscript"/>
                <w:lang w:val="en-US" w:eastAsia="zh-CN"/>
              </w:rPr>
              <w:t>5</w:t>
            </w:r>
            <w:r>
              <w:rPr>
                <w:rFonts w:hint="default" w:ascii="Times New Roman" w:hAnsi="Times New Roman" w:eastAsia="宋体" w:cs="Times New Roman"/>
                <w:spacing w:val="0"/>
                <w:sz w:val="24"/>
                <w:szCs w:val="24"/>
                <w:lang w:val="en-US" w:eastAsia="zh-CN"/>
              </w:rPr>
              <w:t>平均浓度在55.77mg/L左右，故本项目生产废水SS产生浓度取值50mg/L、BOD</w:t>
            </w:r>
            <w:r>
              <w:rPr>
                <w:rFonts w:hint="default" w:ascii="Times New Roman" w:hAnsi="Times New Roman" w:eastAsia="宋体" w:cs="Times New Roman"/>
                <w:spacing w:val="0"/>
                <w:sz w:val="24"/>
                <w:szCs w:val="24"/>
                <w:vertAlign w:val="subscript"/>
                <w:lang w:val="en-US" w:eastAsia="zh-CN"/>
              </w:rPr>
              <w:t>5</w:t>
            </w:r>
            <w:r>
              <w:rPr>
                <w:rFonts w:hint="default" w:ascii="Times New Roman" w:hAnsi="Times New Roman" w:eastAsia="宋体" w:cs="Times New Roman"/>
                <w:spacing w:val="0"/>
                <w:sz w:val="24"/>
                <w:szCs w:val="24"/>
                <w:lang w:val="en-US" w:eastAsia="zh-CN"/>
              </w:rPr>
              <w:t>产生浓度取值60mg/L。</w:t>
            </w:r>
            <w:r>
              <w:rPr>
                <w:rFonts w:hint="default" w:ascii="Times New Roman" w:hAnsi="Times New Roman" w:eastAsia="宋体" w:cs="Times New Roman"/>
                <w:spacing w:val="0"/>
                <w:sz w:val="24"/>
                <w:szCs w:val="24"/>
              </w:rPr>
              <w:t>本项目</w:t>
            </w:r>
            <w:r>
              <w:rPr>
                <w:rFonts w:hint="default" w:ascii="Times New Roman" w:hAnsi="Times New Roman" w:eastAsia="宋体" w:cs="Times New Roman"/>
                <w:spacing w:val="0"/>
                <w:sz w:val="24"/>
                <w:szCs w:val="24"/>
                <w:lang w:val="en-US" w:eastAsia="zh-CN"/>
              </w:rPr>
              <w:t>废水产生源强详见表4.3-1。</w:t>
            </w:r>
          </w:p>
          <w:p w14:paraId="20C27CCC">
            <w:pPr>
              <w:pStyle w:val="134"/>
              <w:keepNext w:val="0"/>
              <w:keepLines w:val="0"/>
              <w:pageBreakBefore w:val="0"/>
              <w:widowControl w:val="0"/>
              <w:kinsoku/>
              <w:wordWrap/>
              <w:overflowPunct/>
              <w:topLinePunct w:val="0"/>
              <w:autoSpaceDE/>
              <w:autoSpaceDN/>
              <w:bidi w:val="0"/>
              <w:adjustRightInd/>
              <w:snapToGrid/>
              <w:spacing w:before="157" w:beforeLines="50" w:line="240" w:lineRule="auto"/>
              <w:ind w:right="102"/>
              <w:jc w:val="center"/>
              <w:textAlignment w:val="auto"/>
              <w:rPr>
                <w:rFonts w:hint="default" w:ascii="Times New Roman" w:hAnsi="Times New Roman" w:eastAsia="黑体" w:cs="Times New Roman"/>
                <w:spacing w:val="0"/>
                <w:sz w:val="24"/>
                <w:szCs w:val="24"/>
                <w:lang w:val="en-US" w:eastAsia="zh-CN"/>
              </w:rPr>
            </w:pPr>
            <w:r>
              <w:rPr>
                <w:rFonts w:hint="default" w:ascii="Times New Roman" w:hAnsi="Times New Roman" w:eastAsia="黑体" w:cs="Times New Roman"/>
                <w:spacing w:val="0"/>
                <w:sz w:val="24"/>
                <w:szCs w:val="24"/>
                <w:lang w:val="en-US" w:eastAsia="zh-CN"/>
              </w:rPr>
              <w:t xml:space="preserve">表4.3-1 </w:t>
            </w:r>
            <w:r>
              <w:rPr>
                <w:rFonts w:hint="eastAsia" w:ascii="Times New Roman" w:hAnsi="Times New Roman" w:eastAsia="黑体" w:cs="Times New Roman"/>
                <w:spacing w:val="0"/>
                <w:sz w:val="24"/>
                <w:szCs w:val="24"/>
                <w:lang w:val="en-US" w:eastAsia="zh-CN"/>
              </w:rPr>
              <w:t xml:space="preserve"> </w:t>
            </w:r>
            <w:r>
              <w:rPr>
                <w:rFonts w:hint="default" w:ascii="Times New Roman" w:hAnsi="Times New Roman" w:eastAsia="黑体" w:cs="Times New Roman"/>
                <w:spacing w:val="0"/>
                <w:sz w:val="24"/>
                <w:szCs w:val="24"/>
                <w:lang w:val="en-US" w:eastAsia="zh-CN"/>
              </w:rPr>
              <w:t>4220 非金属废料和碎屑加工处理行业系数表（摘录）</w:t>
            </w:r>
          </w:p>
          <w:tbl>
            <w:tblPr>
              <w:tblStyle w:val="29"/>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79"/>
              <w:gridCol w:w="1381"/>
              <w:gridCol w:w="1382"/>
              <w:gridCol w:w="1382"/>
              <w:gridCol w:w="1382"/>
              <w:gridCol w:w="1382"/>
            </w:tblGrid>
            <w:tr w14:paraId="3DEE11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tcBorders>
                    <w:tl2br w:val="nil"/>
                    <w:tr2bl w:val="nil"/>
                  </w:tcBorders>
                  <w:vAlign w:val="center"/>
                </w:tcPr>
                <w:p w14:paraId="6508A6BE">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lang w:val="en-US" w:eastAsia="zh-CN"/>
                    </w:rPr>
                  </w:pPr>
                  <w:r>
                    <w:rPr>
                      <w:rFonts w:hint="default" w:ascii="Times New Roman" w:hAnsi="Times New Roman" w:eastAsia="宋体" w:cs="Times New Roman"/>
                      <w:spacing w:val="0"/>
                      <w:sz w:val="21"/>
                      <w:szCs w:val="21"/>
                      <w:vertAlign w:val="baseline"/>
                      <w:lang w:val="en-US" w:eastAsia="zh-CN"/>
                    </w:rPr>
                    <w:t>原料名称及用量</w:t>
                  </w:r>
                </w:p>
              </w:tc>
              <w:tc>
                <w:tcPr>
                  <w:tcW w:w="833" w:type="pct"/>
                  <w:tcBorders>
                    <w:tl2br w:val="nil"/>
                    <w:tr2bl w:val="nil"/>
                  </w:tcBorders>
                  <w:vAlign w:val="center"/>
                </w:tcPr>
                <w:p w14:paraId="1FEF7905">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lang w:val="en-US" w:eastAsia="zh-CN"/>
                    </w:rPr>
                  </w:pPr>
                  <w:r>
                    <w:rPr>
                      <w:rFonts w:hint="default" w:ascii="Times New Roman" w:hAnsi="Times New Roman" w:eastAsia="宋体" w:cs="Times New Roman"/>
                      <w:spacing w:val="0"/>
                      <w:sz w:val="21"/>
                      <w:szCs w:val="21"/>
                      <w:vertAlign w:val="baseline"/>
                      <w:lang w:val="en-US" w:eastAsia="zh-CN"/>
                    </w:rPr>
                    <w:t>工艺名称</w:t>
                  </w:r>
                </w:p>
              </w:tc>
              <w:tc>
                <w:tcPr>
                  <w:tcW w:w="833" w:type="pct"/>
                  <w:tcBorders>
                    <w:tl2br w:val="nil"/>
                    <w:tr2bl w:val="nil"/>
                  </w:tcBorders>
                  <w:vAlign w:val="center"/>
                </w:tcPr>
                <w:p w14:paraId="2427D66F">
                  <w:pPr>
                    <w:keepNext w:val="0"/>
                    <w:keepLines w:val="0"/>
                    <w:pageBreakBefore w:val="0"/>
                    <w:widowControl/>
                    <w:suppressLineNumbers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kern w:val="2"/>
                      <w:sz w:val="21"/>
                      <w:szCs w:val="21"/>
                      <w:vertAlign w:val="baseline"/>
                      <w:lang w:val="en-US" w:eastAsia="zh-CN" w:bidi="ar-SA"/>
                    </w:rPr>
                  </w:pPr>
                  <w:r>
                    <w:rPr>
                      <w:rFonts w:hint="default" w:ascii="Times New Roman" w:hAnsi="Times New Roman" w:eastAsia="宋体" w:cs="Times New Roman"/>
                      <w:spacing w:val="0"/>
                      <w:kern w:val="2"/>
                      <w:sz w:val="21"/>
                      <w:szCs w:val="21"/>
                      <w:vertAlign w:val="baseline"/>
                      <w:lang w:val="en-US" w:eastAsia="zh-CN" w:bidi="ar-SA"/>
                    </w:rPr>
                    <w:t>污染物指标</w:t>
                  </w:r>
                </w:p>
              </w:tc>
              <w:tc>
                <w:tcPr>
                  <w:tcW w:w="833" w:type="pct"/>
                  <w:tcBorders>
                    <w:tl2br w:val="nil"/>
                    <w:tr2bl w:val="nil"/>
                  </w:tcBorders>
                  <w:vAlign w:val="center"/>
                </w:tcPr>
                <w:p w14:paraId="45C48341">
                  <w:pPr>
                    <w:keepNext w:val="0"/>
                    <w:keepLines w:val="0"/>
                    <w:pageBreakBefore w:val="0"/>
                    <w:widowControl/>
                    <w:suppressLineNumbers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kern w:val="2"/>
                      <w:sz w:val="21"/>
                      <w:szCs w:val="21"/>
                      <w:vertAlign w:val="baseline"/>
                      <w:lang w:val="en-US" w:eastAsia="zh-CN" w:bidi="ar-SA"/>
                    </w:rPr>
                  </w:pPr>
                  <w:r>
                    <w:rPr>
                      <w:rFonts w:hint="default" w:ascii="Times New Roman" w:hAnsi="Times New Roman" w:eastAsia="宋体" w:cs="Times New Roman"/>
                      <w:spacing w:val="0"/>
                      <w:kern w:val="2"/>
                      <w:sz w:val="21"/>
                      <w:szCs w:val="21"/>
                      <w:vertAlign w:val="baseline"/>
                      <w:lang w:val="en-US" w:eastAsia="zh-CN" w:bidi="ar-SA"/>
                    </w:rPr>
                    <w:t>单位</w:t>
                  </w:r>
                </w:p>
              </w:tc>
              <w:tc>
                <w:tcPr>
                  <w:tcW w:w="833" w:type="pct"/>
                  <w:tcBorders>
                    <w:tl2br w:val="nil"/>
                    <w:tr2bl w:val="nil"/>
                  </w:tcBorders>
                  <w:vAlign w:val="center"/>
                </w:tcPr>
                <w:p w14:paraId="4ADF6AFA">
                  <w:pPr>
                    <w:keepNext w:val="0"/>
                    <w:keepLines w:val="0"/>
                    <w:pageBreakBefore w:val="0"/>
                    <w:widowControl/>
                    <w:suppressLineNumbers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kern w:val="2"/>
                      <w:sz w:val="21"/>
                      <w:szCs w:val="21"/>
                      <w:vertAlign w:val="baseline"/>
                      <w:lang w:val="en-US" w:eastAsia="zh-CN" w:bidi="ar-SA"/>
                    </w:rPr>
                  </w:pPr>
                  <w:r>
                    <w:rPr>
                      <w:rFonts w:hint="default" w:ascii="Times New Roman" w:hAnsi="Times New Roman" w:eastAsia="宋体" w:cs="Times New Roman"/>
                      <w:spacing w:val="0"/>
                      <w:kern w:val="2"/>
                      <w:sz w:val="21"/>
                      <w:szCs w:val="21"/>
                      <w:vertAlign w:val="baseline"/>
                      <w:lang w:val="en-US" w:eastAsia="zh-CN" w:bidi="ar-SA"/>
                    </w:rPr>
                    <w:t>产污系数</w:t>
                  </w:r>
                </w:p>
              </w:tc>
              <w:tc>
                <w:tcPr>
                  <w:tcW w:w="833" w:type="pct"/>
                  <w:tcBorders>
                    <w:tl2br w:val="nil"/>
                    <w:tr2bl w:val="nil"/>
                  </w:tcBorders>
                  <w:vAlign w:val="center"/>
                </w:tcPr>
                <w:p w14:paraId="061E1F02">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lang w:val="en-US" w:eastAsia="zh-CN"/>
                    </w:rPr>
                  </w:pPr>
                  <w:r>
                    <w:rPr>
                      <w:rFonts w:hint="default" w:ascii="Times New Roman" w:hAnsi="Times New Roman" w:eastAsia="宋体" w:cs="Times New Roman"/>
                      <w:spacing w:val="0"/>
                      <w:sz w:val="21"/>
                      <w:szCs w:val="21"/>
                      <w:vertAlign w:val="baseline"/>
                      <w:lang w:val="en-US" w:eastAsia="zh-CN"/>
                    </w:rPr>
                    <w:t>产生源强t/a</w:t>
                  </w:r>
                </w:p>
              </w:tc>
            </w:tr>
            <w:tr w14:paraId="762B70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restart"/>
                  <w:tcBorders>
                    <w:tl2br w:val="nil"/>
                    <w:tr2bl w:val="nil"/>
                  </w:tcBorders>
                  <w:vAlign w:val="center"/>
                </w:tcPr>
                <w:p w14:paraId="3CBCEFE3">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lang w:val="en-US" w:eastAsia="zh-CN"/>
                    </w:rPr>
                  </w:pPr>
                  <w:r>
                    <w:rPr>
                      <w:rFonts w:hint="default" w:ascii="Times New Roman" w:hAnsi="Times New Roman" w:eastAsia="宋体" w:cs="Times New Roman"/>
                      <w:spacing w:val="0"/>
                      <w:sz w:val="21"/>
                      <w:szCs w:val="21"/>
                      <w:vertAlign w:val="baseline"/>
                      <w:lang w:val="en-US" w:eastAsia="zh-CN"/>
                    </w:rPr>
                    <w:t>废PE/PP</w:t>
                  </w:r>
                </w:p>
                <w:p w14:paraId="1A296876">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lang w:val="en-US"/>
                    </w:rPr>
                  </w:pPr>
                  <w:r>
                    <w:rPr>
                      <w:rFonts w:hint="default" w:ascii="Times New Roman" w:hAnsi="Times New Roman" w:eastAsia="宋体" w:cs="Times New Roman"/>
                      <w:spacing w:val="0"/>
                      <w:sz w:val="21"/>
                      <w:szCs w:val="21"/>
                      <w:vertAlign w:val="baseline"/>
                      <w:lang w:val="en-US" w:eastAsia="zh-CN"/>
                    </w:rPr>
                    <w:t>10400t/a</w:t>
                  </w:r>
                </w:p>
              </w:tc>
              <w:tc>
                <w:tcPr>
                  <w:tcW w:w="833" w:type="pct"/>
                  <w:vMerge w:val="restart"/>
                  <w:tcBorders>
                    <w:tl2br w:val="nil"/>
                    <w:tr2bl w:val="nil"/>
                  </w:tcBorders>
                  <w:vAlign w:val="center"/>
                </w:tcPr>
                <w:p w14:paraId="091149BF">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rPr>
                  </w:pPr>
                  <w:r>
                    <w:rPr>
                      <w:rFonts w:hint="default" w:ascii="Times New Roman" w:hAnsi="Times New Roman" w:eastAsia="宋体" w:cs="Times New Roman"/>
                      <w:spacing w:val="0"/>
                      <w:sz w:val="21"/>
                      <w:szCs w:val="21"/>
                      <w:lang w:val="en-US" w:eastAsia="zh-CN"/>
                    </w:rPr>
                    <w:t>清洗或湿法破碎+清洗</w:t>
                  </w:r>
                </w:p>
              </w:tc>
              <w:tc>
                <w:tcPr>
                  <w:tcW w:w="833" w:type="pct"/>
                  <w:tcBorders>
                    <w:tl2br w:val="nil"/>
                    <w:tr2bl w:val="nil"/>
                  </w:tcBorders>
                  <w:vAlign w:val="center"/>
                </w:tcPr>
                <w:p w14:paraId="23A76736">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lang w:val="en-US" w:eastAsia="zh-CN"/>
                    </w:rPr>
                  </w:pPr>
                  <w:r>
                    <w:rPr>
                      <w:rFonts w:hint="default" w:ascii="Times New Roman" w:hAnsi="Times New Roman" w:eastAsia="宋体" w:cs="Times New Roman"/>
                      <w:spacing w:val="0"/>
                      <w:sz w:val="21"/>
                      <w:szCs w:val="21"/>
                      <w:vertAlign w:val="baseline"/>
                      <w:lang w:val="en-US" w:eastAsia="zh-CN"/>
                    </w:rPr>
                    <w:t>COD</w:t>
                  </w:r>
                </w:p>
              </w:tc>
              <w:tc>
                <w:tcPr>
                  <w:tcW w:w="833" w:type="pct"/>
                  <w:tcBorders>
                    <w:tl2br w:val="nil"/>
                    <w:tr2bl w:val="nil"/>
                  </w:tcBorders>
                  <w:vAlign w:val="center"/>
                </w:tcPr>
                <w:p w14:paraId="48AD486E">
                  <w:pPr>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rPr>
                  </w:pPr>
                  <w:r>
                    <w:rPr>
                      <w:rFonts w:hint="default" w:ascii="Times New Roman" w:hAnsi="Times New Roman" w:eastAsia="宋体" w:cs="Times New Roman"/>
                      <w:spacing w:val="0"/>
                      <w:sz w:val="21"/>
                      <w:szCs w:val="21"/>
                    </w:rPr>
                    <w:t>克/吨原料</w:t>
                  </w:r>
                </w:p>
              </w:tc>
              <w:tc>
                <w:tcPr>
                  <w:tcW w:w="833" w:type="pct"/>
                  <w:tcBorders>
                    <w:tl2br w:val="nil"/>
                    <w:tr2bl w:val="nil"/>
                  </w:tcBorders>
                  <w:vAlign w:val="center"/>
                </w:tcPr>
                <w:p w14:paraId="3B732FD5">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lang w:val="en-US" w:eastAsia="zh-CN"/>
                    </w:rPr>
                  </w:pPr>
                  <w:r>
                    <w:rPr>
                      <w:rFonts w:hint="default" w:ascii="Times New Roman" w:hAnsi="Times New Roman" w:eastAsia="宋体" w:cs="Times New Roman"/>
                      <w:spacing w:val="0"/>
                      <w:sz w:val="21"/>
                      <w:szCs w:val="21"/>
                      <w:vertAlign w:val="baseline"/>
                      <w:lang w:val="en-US" w:eastAsia="zh-CN"/>
                    </w:rPr>
                    <w:t>420</w:t>
                  </w:r>
                </w:p>
              </w:tc>
              <w:tc>
                <w:tcPr>
                  <w:tcW w:w="833" w:type="pct"/>
                  <w:tcBorders>
                    <w:tl2br w:val="nil"/>
                    <w:tr2bl w:val="nil"/>
                  </w:tcBorders>
                  <w:vAlign w:val="center"/>
                </w:tcPr>
                <w:p w14:paraId="6A97AD7B">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lang w:val="en-US" w:eastAsia="zh-CN"/>
                    </w:rPr>
                  </w:pPr>
                  <w:r>
                    <w:rPr>
                      <w:rFonts w:hint="default" w:ascii="Times New Roman" w:hAnsi="Times New Roman" w:eastAsia="宋体" w:cs="Times New Roman"/>
                      <w:spacing w:val="0"/>
                      <w:sz w:val="21"/>
                      <w:szCs w:val="21"/>
                      <w:vertAlign w:val="baseline"/>
                      <w:lang w:val="en-US" w:eastAsia="zh-CN"/>
                    </w:rPr>
                    <w:t>4.368</w:t>
                  </w:r>
                </w:p>
              </w:tc>
            </w:tr>
            <w:tr w14:paraId="49E78C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tcBorders>
                    <w:tl2br w:val="nil"/>
                    <w:tr2bl w:val="nil"/>
                  </w:tcBorders>
                  <w:vAlign w:val="center"/>
                </w:tcPr>
                <w:p w14:paraId="5658A8AD">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lang w:val="en-US" w:eastAsia="zh-CN"/>
                    </w:rPr>
                  </w:pPr>
                </w:p>
              </w:tc>
              <w:tc>
                <w:tcPr>
                  <w:tcW w:w="833" w:type="pct"/>
                  <w:vMerge w:val="continue"/>
                  <w:tcBorders>
                    <w:tl2br w:val="nil"/>
                    <w:tr2bl w:val="nil"/>
                  </w:tcBorders>
                  <w:vAlign w:val="center"/>
                </w:tcPr>
                <w:p w14:paraId="085AC215">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lang w:val="en-US" w:eastAsia="zh-CN"/>
                    </w:rPr>
                  </w:pPr>
                </w:p>
              </w:tc>
              <w:tc>
                <w:tcPr>
                  <w:tcW w:w="833" w:type="pct"/>
                  <w:tcBorders>
                    <w:tl2br w:val="nil"/>
                    <w:tr2bl w:val="nil"/>
                  </w:tcBorders>
                  <w:vAlign w:val="center"/>
                </w:tcPr>
                <w:p w14:paraId="1E52A7F8">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lang w:val="en-US" w:eastAsia="zh-CN"/>
                    </w:rPr>
                  </w:pPr>
                  <w:r>
                    <w:rPr>
                      <w:rFonts w:hint="default" w:ascii="Times New Roman" w:hAnsi="Times New Roman" w:eastAsia="宋体" w:cs="Times New Roman"/>
                      <w:spacing w:val="0"/>
                      <w:sz w:val="21"/>
                      <w:szCs w:val="21"/>
                      <w:lang w:val="en-US" w:eastAsia="zh-CN"/>
                    </w:rPr>
                    <w:t>BOD</w:t>
                  </w:r>
                  <w:r>
                    <w:rPr>
                      <w:rFonts w:hint="default" w:ascii="Times New Roman" w:hAnsi="Times New Roman" w:eastAsia="宋体" w:cs="Times New Roman"/>
                      <w:spacing w:val="0"/>
                      <w:sz w:val="21"/>
                      <w:szCs w:val="21"/>
                      <w:vertAlign w:val="subscript"/>
                      <w:lang w:val="en-US" w:eastAsia="zh-CN"/>
                    </w:rPr>
                    <w:t>5</w:t>
                  </w:r>
                </w:p>
              </w:tc>
              <w:tc>
                <w:tcPr>
                  <w:tcW w:w="833" w:type="pct"/>
                  <w:tcBorders>
                    <w:tl2br w:val="nil"/>
                    <w:tr2bl w:val="nil"/>
                  </w:tcBorders>
                  <w:vAlign w:val="center"/>
                </w:tcPr>
                <w:p w14:paraId="28D44FC9">
                  <w:pPr>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4"/>
                      <w:szCs w:val="24"/>
                      <w:lang w:val="en-US" w:eastAsia="zh-CN"/>
                    </w:rPr>
                    <w:t>mg/L</w:t>
                  </w:r>
                </w:p>
              </w:tc>
              <w:tc>
                <w:tcPr>
                  <w:tcW w:w="833" w:type="pct"/>
                  <w:tcBorders>
                    <w:tl2br w:val="nil"/>
                    <w:tr2bl w:val="nil"/>
                  </w:tcBorders>
                  <w:vAlign w:val="center"/>
                </w:tcPr>
                <w:p w14:paraId="1071FF80">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lang w:val="en-US" w:eastAsia="zh-CN"/>
                    </w:rPr>
                  </w:pPr>
                  <w:r>
                    <w:rPr>
                      <w:rFonts w:hint="default" w:ascii="Times New Roman" w:hAnsi="Times New Roman" w:eastAsia="宋体" w:cs="Times New Roman"/>
                      <w:spacing w:val="0"/>
                      <w:sz w:val="21"/>
                      <w:szCs w:val="21"/>
                      <w:vertAlign w:val="baseline"/>
                      <w:lang w:val="en-US" w:eastAsia="zh-CN"/>
                    </w:rPr>
                    <w:t>60</w:t>
                  </w:r>
                </w:p>
              </w:tc>
              <w:tc>
                <w:tcPr>
                  <w:tcW w:w="833" w:type="pct"/>
                  <w:tcBorders>
                    <w:tl2br w:val="nil"/>
                    <w:tr2bl w:val="nil"/>
                  </w:tcBorders>
                  <w:vAlign w:val="center"/>
                </w:tcPr>
                <w:p w14:paraId="5B2CE397">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lang w:val="en-US" w:eastAsia="zh-CN"/>
                    </w:rPr>
                  </w:pPr>
                  <w:r>
                    <w:rPr>
                      <w:rFonts w:hint="default" w:ascii="Times New Roman" w:hAnsi="Times New Roman" w:eastAsia="宋体" w:cs="Times New Roman"/>
                      <w:spacing w:val="0"/>
                      <w:sz w:val="21"/>
                      <w:szCs w:val="21"/>
                      <w:vertAlign w:val="baseline"/>
                      <w:lang w:val="en-US" w:eastAsia="zh-CN"/>
                    </w:rPr>
                    <w:t>0.629</w:t>
                  </w:r>
                </w:p>
              </w:tc>
            </w:tr>
            <w:tr w14:paraId="58181E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tcBorders>
                    <w:tl2br w:val="nil"/>
                    <w:tr2bl w:val="nil"/>
                  </w:tcBorders>
                  <w:vAlign w:val="center"/>
                </w:tcPr>
                <w:p w14:paraId="6234202F">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lang w:val="en-US" w:eastAsia="zh-CN"/>
                    </w:rPr>
                  </w:pPr>
                </w:p>
              </w:tc>
              <w:tc>
                <w:tcPr>
                  <w:tcW w:w="833" w:type="pct"/>
                  <w:vMerge w:val="continue"/>
                  <w:tcBorders>
                    <w:tl2br w:val="nil"/>
                    <w:tr2bl w:val="nil"/>
                  </w:tcBorders>
                  <w:vAlign w:val="center"/>
                </w:tcPr>
                <w:p w14:paraId="3CA206D8">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lang w:val="en-US" w:eastAsia="zh-CN"/>
                    </w:rPr>
                  </w:pPr>
                </w:p>
              </w:tc>
              <w:tc>
                <w:tcPr>
                  <w:tcW w:w="833" w:type="pct"/>
                  <w:tcBorders>
                    <w:tl2br w:val="nil"/>
                    <w:tr2bl w:val="nil"/>
                  </w:tcBorders>
                  <w:vAlign w:val="center"/>
                </w:tcPr>
                <w:p w14:paraId="6D1253B9">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lang w:val="en-US" w:eastAsia="zh-CN"/>
                    </w:rPr>
                  </w:pPr>
                  <w:r>
                    <w:rPr>
                      <w:rFonts w:hint="default" w:ascii="Times New Roman" w:hAnsi="Times New Roman" w:eastAsia="宋体" w:cs="Times New Roman"/>
                      <w:spacing w:val="0"/>
                      <w:sz w:val="21"/>
                      <w:szCs w:val="21"/>
                      <w:vertAlign w:val="baseline"/>
                      <w:lang w:val="en-US" w:eastAsia="zh-CN"/>
                    </w:rPr>
                    <w:t>SS</w:t>
                  </w:r>
                </w:p>
              </w:tc>
              <w:tc>
                <w:tcPr>
                  <w:tcW w:w="833" w:type="pct"/>
                  <w:tcBorders>
                    <w:tl2br w:val="nil"/>
                    <w:tr2bl w:val="nil"/>
                  </w:tcBorders>
                  <w:vAlign w:val="center"/>
                </w:tcPr>
                <w:p w14:paraId="2693A71E">
                  <w:pPr>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4"/>
                      <w:szCs w:val="24"/>
                      <w:lang w:val="en-US" w:eastAsia="zh-CN"/>
                    </w:rPr>
                    <w:t>mg/L</w:t>
                  </w:r>
                </w:p>
              </w:tc>
              <w:tc>
                <w:tcPr>
                  <w:tcW w:w="833" w:type="pct"/>
                  <w:tcBorders>
                    <w:tl2br w:val="nil"/>
                    <w:tr2bl w:val="nil"/>
                  </w:tcBorders>
                  <w:vAlign w:val="center"/>
                </w:tcPr>
                <w:p w14:paraId="77FF951D">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lang w:val="en-US" w:eastAsia="zh-CN"/>
                    </w:rPr>
                  </w:pPr>
                  <w:r>
                    <w:rPr>
                      <w:rFonts w:hint="default" w:ascii="Times New Roman" w:hAnsi="Times New Roman" w:eastAsia="宋体" w:cs="Times New Roman"/>
                      <w:spacing w:val="0"/>
                      <w:sz w:val="21"/>
                      <w:szCs w:val="21"/>
                      <w:vertAlign w:val="baseline"/>
                      <w:lang w:val="en-US" w:eastAsia="zh-CN"/>
                    </w:rPr>
                    <w:t>50</w:t>
                  </w:r>
                </w:p>
              </w:tc>
              <w:tc>
                <w:tcPr>
                  <w:tcW w:w="833" w:type="pct"/>
                  <w:tcBorders>
                    <w:tl2br w:val="nil"/>
                    <w:tr2bl w:val="nil"/>
                  </w:tcBorders>
                  <w:vAlign w:val="center"/>
                </w:tcPr>
                <w:p w14:paraId="343CB5B1">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lang w:val="en-US" w:eastAsia="zh-CN"/>
                    </w:rPr>
                  </w:pPr>
                  <w:r>
                    <w:rPr>
                      <w:rFonts w:hint="default" w:ascii="Times New Roman" w:hAnsi="Times New Roman" w:eastAsia="宋体" w:cs="Times New Roman"/>
                      <w:spacing w:val="0"/>
                      <w:sz w:val="21"/>
                      <w:szCs w:val="21"/>
                      <w:vertAlign w:val="baseline"/>
                      <w:lang w:val="en-US" w:eastAsia="zh-CN"/>
                    </w:rPr>
                    <w:t>0.524</w:t>
                  </w:r>
                </w:p>
              </w:tc>
            </w:tr>
            <w:tr w14:paraId="06A15A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tcBorders>
                    <w:tl2br w:val="nil"/>
                    <w:tr2bl w:val="nil"/>
                  </w:tcBorders>
                  <w:vAlign w:val="center"/>
                </w:tcPr>
                <w:p w14:paraId="54F014F9">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rPr>
                  </w:pPr>
                </w:p>
              </w:tc>
              <w:tc>
                <w:tcPr>
                  <w:tcW w:w="833" w:type="pct"/>
                  <w:vMerge w:val="continue"/>
                  <w:tcBorders>
                    <w:tl2br w:val="nil"/>
                    <w:tr2bl w:val="nil"/>
                  </w:tcBorders>
                  <w:vAlign w:val="center"/>
                </w:tcPr>
                <w:p w14:paraId="3DD8D481">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rPr>
                  </w:pPr>
                </w:p>
              </w:tc>
              <w:tc>
                <w:tcPr>
                  <w:tcW w:w="833" w:type="pct"/>
                  <w:tcBorders>
                    <w:tl2br w:val="nil"/>
                    <w:tr2bl w:val="nil"/>
                  </w:tcBorders>
                  <w:vAlign w:val="center"/>
                </w:tcPr>
                <w:p w14:paraId="3AC47D26">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lang w:val="en-US" w:eastAsia="zh-CN"/>
                    </w:rPr>
                  </w:pPr>
                  <w:r>
                    <w:rPr>
                      <w:rFonts w:hint="default" w:ascii="Times New Roman" w:hAnsi="Times New Roman" w:eastAsia="宋体" w:cs="Times New Roman"/>
                      <w:spacing w:val="0"/>
                      <w:sz w:val="21"/>
                      <w:szCs w:val="21"/>
                      <w:vertAlign w:val="baseline"/>
                      <w:lang w:val="en-US" w:eastAsia="zh-CN"/>
                    </w:rPr>
                    <w:t>NH</w:t>
                  </w:r>
                  <w:r>
                    <w:rPr>
                      <w:rFonts w:hint="default" w:ascii="Times New Roman" w:hAnsi="Times New Roman" w:eastAsia="宋体" w:cs="Times New Roman"/>
                      <w:spacing w:val="0"/>
                      <w:sz w:val="21"/>
                      <w:szCs w:val="21"/>
                      <w:vertAlign w:val="subscript"/>
                      <w:lang w:val="en-US" w:eastAsia="zh-CN"/>
                    </w:rPr>
                    <w:t>3</w:t>
                  </w:r>
                  <w:r>
                    <w:rPr>
                      <w:rFonts w:hint="default" w:ascii="Times New Roman" w:hAnsi="Times New Roman" w:eastAsia="宋体" w:cs="Times New Roman"/>
                      <w:spacing w:val="0"/>
                      <w:sz w:val="21"/>
                      <w:szCs w:val="21"/>
                      <w:vertAlign w:val="baseline"/>
                      <w:lang w:val="en-US" w:eastAsia="zh-CN"/>
                    </w:rPr>
                    <w:t>-N</w:t>
                  </w:r>
                </w:p>
              </w:tc>
              <w:tc>
                <w:tcPr>
                  <w:tcW w:w="833" w:type="pct"/>
                  <w:tcBorders>
                    <w:tl2br w:val="nil"/>
                    <w:tr2bl w:val="nil"/>
                  </w:tcBorders>
                  <w:vAlign w:val="center"/>
                </w:tcPr>
                <w:p w14:paraId="308FA610">
                  <w:pPr>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rPr>
                  </w:pPr>
                  <w:r>
                    <w:rPr>
                      <w:rFonts w:hint="default" w:ascii="Times New Roman" w:hAnsi="Times New Roman" w:eastAsia="宋体" w:cs="Times New Roman"/>
                      <w:spacing w:val="0"/>
                      <w:sz w:val="21"/>
                      <w:szCs w:val="21"/>
                    </w:rPr>
                    <w:t>克/吨原料</w:t>
                  </w:r>
                </w:p>
              </w:tc>
              <w:tc>
                <w:tcPr>
                  <w:tcW w:w="833" w:type="pct"/>
                  <w:tcBorders>
                    <w:tl2br w:val="nil"/>
                    <w:tr2bl w:val="nil"/>
                  </w:tcBorders>
                  <w:vAlign w:val="center"/>
                </w:tcPr>
                <w:p w14:paraId="211B7F39">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lang w:val="en-US" w:eastAsia="zh-CN"/>
                    </w:rPr>
                  </w:pPr>
                  <w:r>
                    <w:rPr>
                      <w:rFonts w:hint="default" w:ascii="Times New Roman" w:hAnsi="Times New Roman" w:eastAsia="宋体" w:cs="Times New Roman"/>
                      <w:spacing w:val="0"/>
                      <w:sz w:val="21"/>
                      <w:szCs w:val="21"/>
                      <w:vertAlign w:val="baseline"/>
                      <w:lang w:val="en-US" w:eastAsia="zh-CN"/>
                    </w:rPr>
                    <w:t>21.2</w:t>
                  </w:r>
                </w:p>
              </w:tc>
              <w:tc>
                <w:tcPr>
                  <w:tcW w:w="833" w:type="pct"/>
                  <w:tcBorders>
                    <w:tl2br w:val="nil"/>
                    <w:tr2bl w:val="nil"/>
                  </w:tcBorders>
                  <w:vAlign w:val="center"/>
                </w:tcPr>
                <w:p w14:paraId="065E9DC8">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lang w:val="en-US" w:eastAsia="zh-CN"/>
                    </w:rPr>
                  </w:pPr>
                  <w:r>
                    <w:rPr>
                      <w:rFonts w:hint="default" w:ascii="Times New Roman" w:hAnsi="Times New Roman" w:eastAsia="宋体" w:cs="Times New Roman"/>
                      <w:spacing w:val="0"/>
                      <w:sz w:val="21"/>
                      <w:szCs w:val="21"/>
                      <w:vertAlign w:val="baseline"/>
                      <w:lang w:val="en-US" w:eastAsia="zh-CN"/>
                    </w:rPr>
                    <w:t>0.220</w:t>
                  </w:r>
                </w:p>
              </w:tc>
            </w:tr>
            <w:tr w14:paraId="44E60C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tcBorders>
                    <w:tl2br w:val="nil"/>
                    <w:tr2bl w:val="nil"/>
                  </w:tcBorders>
                  <w:vAlign w:val="center"/>
                </w:tcPr>
                <w:p w14:paraId="0F8254DE">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rPr>
                  </w:pPr>
                </w:p>
              </w:tc>
              <w:tc>
                <w:tcPr>
                  <w:tcW w:w="833" w:type="pct"/>
                  <w:vMerge w:val="continue"/>
                  <w:tcBorders>
                    <w:tl2br w:val="nil"/>
                    <w:tr2bl w:val="nil"/>
                  </w:tcBorders>
                  <w:vAlign w:val="center"/>
                </w:tcPr>
                <w:p w14:paraId="250858D3">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rPr>
                  </w:pPr>
                </w:p>
              </w:tc>
              <w:tc>
                <w:tcPr>
                  <w:tcW w:w="833" w:type="pct"/>
                  <w:tcBorders>
                    <w:tl2br w:val="nil"/>
                    <w:tr2bl w:val="nil"/>
                  </w:tcBorders>
                  <w:vAlign w:val="center"/>
                </w:tcPr>
                <w:p w14:paraId="0DEED9F1">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lang w:val="en-US" w:eastAsia="zh-CN"/>
                    </w:rPr>
                  </w:pPr>
                  <w:r>
                    <w:rPr>
                      <w:rFonts w:hint="default" w:ascii="Times New Roman" w:hAnsi="Times New Roman" w:eastAsia="宋体" w:cs="Times New Roman"/>
                      <w:spacing w:val="0"/>
                      <w:sz w:val="21"/>
                      <w:szCs w:val="21"/>
                      <w:vertAlign w:val="baseline"/>
                      <w:lang w:val="en-US" w:eastAsia="zh-CN"/>
                    </w:rPr>
                    <w:t>石油类</w:t>
                  </w:r>
                </w:p>
              </w:tc>
              <w:tc>
                <w:tcPr>
                  <w:tcW w:w="833" w:type="pct"/>
                  <w:tcBorders>
                    <w:tl2br w:val="nil"/>
                    <w:tr2bl w:val="nil"/>
                  </w:tcBorders>
                  <w:vAlign w:val="center"/>
                </w:tcPr>
                <w:p w14:paraId="1F782C8B">
                  <w:pPr>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rPr>
                  </w:pPr>
                  <w:r>
                    <w:rPr>
                      <w:rFonts w:hint="default" w:ascii="Times New Roman" w:hAnsi="Times New Roman" w:eastAsia="宋体" w:cs="Times New Roman"/>
                      <w:spacing w:val="0"/>
                      <w:sz w:val="21"/>
                      <w:szCs w:val="21"/>
                    </w:rPr>
                    <w:t>克/吨原料</w:t>
                  </w:r>
                </w:p>
              </w:tc>
              <w:tc>
                <w:tcPr>
                  <w:tcW w:w="833" w:type="pct"/>
                  <w:tcBorders>
                    <w:tl2br w:val="nil"/>
                    <w:tr2bl w:val="nil"/>
                  </w:tcBorders>
                  <w:vAlign w:val="center"/>
                </w:tcPr>
                <w:p w14:paraId="55BB17C9">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lang w:val="en-US" w:eastAsia="zh-CN"/>
                    </w:rPr>
                  </w:pPr>
                  <w:r>
                    <w:rPr>
                      <w:rFonts w:hint="default" w:ascii="Times New Roman" w:hAnsi="Times New Roman" w:eastAsia="宋体" w:cs="Times New Roman"/>
                      <w:spacing w:val="0"/>
                      <w:sz w:val="21"/>
                      <w:szCs w:val="21"/>
                      <w:vertAlign w:val="baseline"/>
                      <w:lang w:val="en-US" w:eastAsia="zh-CN"/>
                    </w:rPr>
                    <w:t>18.5</w:t>
                  </w:r>
                </w:p>
              </w:tc>
              <w:tc>
                <w:tcPr>
                  <w:tcW w:w="833" w:type="pct"/>
                  <w:tcBorders>
                    <w:tl2br w:val="nil"/>
                    <w:tr2bl w:val="nil"/>
                  </w:tcBorders>
                  <w:vAlign w:val="center"/>
                </w:tcPr>
                <w:p w14:paraId="671BF71E">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lang w:val="en-US" w:eastAsia="zh-CN"/>
                    </w:rPr>
                  </w:pPr>
                  <w:r>
                    <w:rPr>
                      <w:rFonts w:hint="default" w:ascii="Times New Roman" w:hAnsi="Times New Roman" w:eastAsia="宋体" w:cs="Times New Roman"/>
                      <w:spacing w:val="0"/>
                      <w:sz w:val="21"/>
                      <w:szCs w:val="21"/>
                      <w:vertAlign w:val="baseline"/>
                      <w:lang w:val="en-US" w:eastAsia="zh-CN"/>
                    </w:rPr>
                    <w:t>0.192</w:t>
                  </w:r>
                </w:p>
              </w:tc>
            </w:tr>
            <w:tr w14:paraId="325436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tcBorders>
                    <w:tl2br w:val="nil"/>
                    <w:tr2bl w:val="nil"/>
                  </w:tcBorders>
                  <w:vAlign w:val="center"/>
                </w:tcPr>
                <w:p w14:paraId="3F064ED3">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rPr>
                  </w:pPr>
                </w:p>
              </w:tc>
              <w:tc>
                <w:tcPr>
                  <w:tcW w:w="833" w:type="pct"/>
                  <w:vMerge w:val="continue"/>
                  <w:tcBorders>
                    <w:tl2br w:val="nil"/>
                    <w:tr2bl w:val="nil"/>
                  </w:tcBorders>
                  <w:vAlign w:val="center"/>
                </w:tcPr>
                <w:p w14:paraId="44AC4BBF">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rPr>
                  </w:pPr>
                </w:p>
              </w:tc>
              <w:tc>
                <w:tcPr>
                  <w:tcW w:w="833" w:type="pct"/>
                  <w:tcBorders>
                    <w:tl2br w:val="nil"/>
                    <w:tr2bl w:val="nil"/>
                  </w:tcBorders>
                  <w:vAlign w:val="center"/>
                </w:tcPr>
                <w:p w14:paraId="52A297D2">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lang w:val="en-US" w:eastAsia="zh-CN"/>
                    </w:rPr>
                  </w:pPr>
                  <w:r>
                    <w:rPr>
                      <w:rFonts w:hint="default" w:ascii="Times New Roman" w:hAnsi="Times New Roman" w:eastAsia="宋体" w:cs="Times New Roman"/>
                      <w:spacing w:val="0"/>
                      <w:sz w:val="21"/>
                      <w:szCs w:val="21"/>
                      <w:vertAlign w:val="baseline"/>
                      <w:lang w:val="en-US" w:eastAsia="zh-CN"/>
                    </w:rPr>
                    <w:t>TN</w:t>
                  </w:r>
                </w:p>
              </w:tc>
              <w:tc>
                <w:tcPr>
                  <w:tcW w:w="833" w:type="pct"/>
                  <w:tcBorders>
                    <w:tl2br w:val="nil"/>
                    <w:tr2bl w:val="nil"/>
                  </w:tcBorders>
                  <w:vAlign w:val="center"/>
                </w:tcPr>
                <w:p w14:paraId="6E7BD97C">
                  <w:pPr>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rPr>
                  </w:pPr>
                  <w:r>
                    <w:rPr>
                      <w:rFonts w:hint="default" w:ascii="Times New Roman" w:hAnsi="Times New Roman" w:eastAsia="宋体" w:cs="Times New Roman"/>
                      <w:spacing w:val="0"/>
                      <w:sz w:val="21"/>
                      <w:szCs w:val="21"/>
                    </w:rPr>
                    <w:t>克/吨原料</w:t>
                  </w:r>
                </w:p>
              </w:tc>
              <w:tc>
                <w:tcPr>
                  <w:tcW w:w="833" w:type="pct"/>
                  <w:tcBorders>
                    <w:tl2br w:val="nil"/>
                    <w:tr2bl w:val="nil"/>
                  </w:tcBorders>
                  <w:vAlign w:val="center"/>
                </w:tcPr>
                <w:p w14:paraId="107C0AC0">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lang w:val="en-US" w:eastAsia="zh-CN"/>
                    </w:rPr>
                  </w:pPr>
                  <w:r>
                    <w:rPr>
                      <w:rFonts w:hint="default" w:ascii="Times New Roman" w:hAnsi="Times New Roman" w:eastAsia="宋体" w:cs="Times New Roman"/>
                      <w:spacing w:val="0"/>
                      <w:sz w:val="21"/>
                      <w:szCs w:val="21"/>
                      <w:vertAlign w:val="baseline"/>
                      <w:lang w:val="en-US" w:eastAsia="zh-CN"/>
                    </w:rPr>
                    <w:t>32.5</w:t>
                  </w:r>
                </w:p>
              </w:tc>
              <w:tc>
                <w:tcPr>
                  <w:tcW w:w="833" w:type="pct"/>
                  <w:tcBorders>
                    <w:tl2br w:val="nil"/>
                    <w:tr2bl w:val="nil"/>
                  </w:tcBorders>
                  <w:vAlign w:val="center"/>
                </w:tcPr>
                <w:p w14:paraId="5CE4EF10">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lang w:val="en-US" w:eastAsia="zh-CN"/>
                    </w:rPr>
                  </w:pPr>
                  <w:r>
                    <w:rPr>
                      <w:rFonts w:hint="default" w:ascii="Times New Roman" w:hAnsi="Times New Roman" w:eastAsia="宋体" w:cs="Times New Roman"/>
                      <w:spacing w:val="0"/>
                      <w:sz w:val="21"/>
                      <w:szCs w:val="21"/>
                      <w:vertAlign w:val="baseline"/>
                      <w:lang w:val="en-US" w:eastAsia="zh-CN"/>
                    </w:rPr>
                    <w:t>0.338</w:t>
                  </w:r>
                </w:p>
              </w:tc>
            </w:tr>
            <w:tr w14:paraId="53F871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tcBorders>
                    <w:tl2br w:val="nil"/>
                    <w:tr2bl w:val="nil"/>
                  </w:tcBorders>
                  <w:vAlign w:val="center"/>
                </w:tcPr>
                <w:p w14:paraId="30F7C68F">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rPr>
                  </w:pPr>
                </w:p>
              </w:tc>
              <w:tc>
                <w:tcPr>
                  <w:tcW w:w="833" w:type="pct"/>
                  <w:vMerge w:val="continue"/>
                  <w:tcBorders>
                    <w:tl2br w:val="nil"/>
                    <w:tr2bl w:val="nil"/>
                  </w:tcBorders>
                  <w:vAlign w:val="center"/>
                </w:tcPr>
                <w:p w14:paraId="3E666FBE">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rPr>
                  </w:pPr>
                </w:p>
              </w:tc>
              <w:tc>
                <w:tcPr>
                  <w:tcW w:w="833" w:type="pct"/>
                  <w:tcBorders>
                    <w:tl2br w:val="nil"/>
                    <w:tr2bl w:val="nil"/>
                  </w:tcBorders>
                  <w:vAlign w:val="center"/>
                </w:tcPr>
                <w:p w14:paraId="7F402C18">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lang w:val="en-US" w:eastAsia="zh-CN"/>
                    </w:rPr>
                  </w:pPr>
                  <w:r>
                    <w:rPr>
                      <w:rFonts w:hint="default" w:ascii="Times New Roman" w:hAnsi="Times New Roman" w:eastAsia="宋体" w:cs="Times New Roman"/>
                      <w:spacing w:val="0"/>
                      <w:sz w:val="21"/>
                      <w:szCs w:val="21"/>
                      <w:vertAlign w:val="baseline"/>
                      <w:lang w:val="en-US" w:eastAsia="zh-CN"/>
                    </w:rPr>
                    <w:t>TP</w:t>
                  </w:r>
                </w:p>
              </w:tc>
              <w:tc>
                <w:tcPr>
                  <w:tcW w:w="833" w:type="pct"/>
                  <w:tcBorders>
                    <w:tl2br w:val="nil"/>
                    <w:tr2bl w:val="nil"/>
                  </w:tcBorders>
                  <w:vAlign w:val="center"/>
                </w:tcPr>
                <w:p w14:paraId="34C6839D">
                  <w:pPr>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rPr>
                  </w:pPr>
                  <w:r>
                    <w:rPr>
                      <w:rFonts w:hint="default" w:ascii="Times New Roman" w:hAnsi="Times New Roman" w:eastAsia="宋体" w:cs="Times New Roman"/>
                      <w:spacing w:val="0"/>
                      <w:sz w:val="21"/>
                      <w:szCs w:val="21"/>
                    </w:rPr>
                    <w:t>克/吨原料</w:t>
                  </w:r>
                </w:p>
              </w:tc>
              <w:tc>
                <w:tcPr>
                  <w:tcW w:w="833" w:type="pct"/>
                  <w:tcBorders>
                    <w:tl2br w:val="nil"/>
                    <w:tr2bl w:val="nil"/>
                  </w:tcBorders>
                  <w:vAlign w:val="center"/>
                </w:tcPr>
                <w:p w14:paraId="341F4D3E">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lang w:val="en-US" w:eastAsia="zh-CN"/>
                    </w:rPr>
                  </w:pPr>
                  <w:r>
                    <w:rPr>
                      <w:rFonts w:hint="default" w:ascii="Times New Roman" w:hAnsi="Times New Roman" w:eastAsia="宋体" w:cs="Times New Roman"/>
                      <w:spacing w:val="0"/>
                      <w:sz w:val="21"/>
                      <w:szCs w:val="21"/>
                      <w:vertAlign w:val="baseline"/>
                      <w:lang w:val="en-US" w:eastAsia="zh-CN"/>
                    </w:rPr>
                    <w:t>1.2</w:t>
                  </w:r>
                </w:p>
              </w:tc>
              <w:tc>
                <w:tcPr>
                  <w:tcW w:w="833" w:type="pct"/>
                  <w:tcBorders>
                    <w:tl2br w:val="nil"/>
                    <w:tr2bl w:val="nil"/>
                  </w:tcBorders>
                  <w:vAlign w:val="center"/>
                </w:tcPr>
                <w:p w14:paraId="121926C2">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lang w:val="en-US" w:eastAsia="zh-CN"/>
                    </w:rPr>
                  </w:pPr>
                  <w:r>
                    <w:rPr>
                      <w:rFonts w:hint="default" w:ascii="Times New Roman" w:hAnsi="Times New Roman" w:eastAsia="宋体" w:cs="Times New Roman"/>
                      <w:spacing w:val="0"/>
                      <w:sz w:val="21"/>
                      <w:szCs w:val="21"/>
                      <w:vertAlign w:val="baseline"/>
                      <w:lang w:val="en-US" w:eastAsia="zh-CN"/>
                    </w:rPr>
                    <w:t>0.005</w:t>
                  </w:r>
                </w:p>
              </w:tc>
            </w:tr>
            <w:tr w14:paraId="10CDFB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restart"/>
                  <w:tcBorders>
                    <w:tl2br w:val="nil"/>
                    <w:tr2bl w:val="nil"/>
                  </w:tcBorders>
                  <w:vAlign w:val="center"/>
                </w:tcPr>
                <w:p w14:paraId="166D47C2">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废玻璃</w:t>
                  </w:r>
                </w:p>
                <w:p w14:paraId="06E0F5FE">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4000</w:t>
                  </w:r>
                  <w:r>
                    <w:rPr>
                      <w:rFonts w:hint="default" w:ascii="Times New Roman" w:hAnsi="Times New Roman" w:eastAsia="宋体" w:cs="Times New Roman"/>
                      <w:spacing w:val="0"/>
                      <w:sz w:val="21"/>
                      <w:szCs w:val="21"/>
                      <w:vertAlign w:val="baseline"/>
                      <w:lang w:val="en-US" w:eastAsia="zh-CN"/>
                    </w:rPr>
                    <w:t>t/a</w:t>
                  </w:r>
                </w:p>
              </w:tc>
              <w:tc>
                <w:tcPr>
                  <w:tcW w:w="833" w:type="pct"/>
                  <w:vMerge w:val="restart"/>
                  <w:tcBorders>
                    <w:tl2br w:val="nil"/>
                    <w:tr2bl w:val="nil"/>
                  </w:tcBorders>
                  <w:vAlign w:val="center"/>
                </w:tcPr>
                <w:p w14:paraId="14F62903">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rPr>
                  </w:pPr>
                  <w:r>
                    <w:rPr>
                      <w:rFonts w:hint="default" w:ascii="Times New Roman" w:hAnsi="Times New Roman" w:eastAsia="宋体" w:cs="Times New Roman"/>
                      <w:spacing w:val="0"/>
                      <w:sz w:val="21"/>
                      <w:szCs w:val="21"/>
                      <w:lang w:val="en-US" w:eastAsia="zh-CN"/>
                    </w:rPr>
                    <w:t>破碎+分选+水洗</w:t>
                  </w:r>
                </w:p>
              </w:tc>
              <w:tc>
                <w:tcPr>
                  <w:tcW w:w="833" w:type="pct"/>
                  <w:tcBorders>
                    <w:tl2br w:val="nil"/>
                    <w:tr2bl w:val="nil"/>
                  </w:tcBorders>
                  <w:vAlign w:val="center"/>
                </w:tcPr>
                <w:p w14:paraId="3DE361BA">
                  <w:pPr>
                    <w:pStyle w:val="134"/>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eastAsia="宋体" w:cs="Times New Roman"/>
                      <w:spacing w:val="0"/>
                      <w:sz w:val="21"/>
                      <w:szCs w:val="21"/>
                      <w:vertAlign w:val="baseline"/>
                      <w:lang w:val="en-US" w:eastAsia="zh-CN"/>
                    </w:rPr>
                  </w:pPr>
                  <w:r>
                    <w:rPr>
                      <w:rFonts w:hint="default" w:ascii="Times New Roman" w:hAnsi="Times New Roman" w:eastAsia="宋体" w:cs="Times New Roman"/>
                      <w:spacing w:val="0"/>
                      <w:sz w:val="21"/>
                      <w:szCs w:val="21"/>
                      <w:vertAlign w:val="baseline"/>
                      <w:lang w:val="en-US" w:eastAsia="zh-CN"/>
                    </w:rPr>
                    <w:t>COD</w:t>
                  </w:r>
                </w:p>
              </w:tc>
              <w:tc>
                <w:tcPr>
                  <w:tcW w:w="833" w:type="pct"/>
                  <w:tcBorders>
                    <w:tl2br w:val="nil"/>
                    <w:tr2bl w:val="nil"/>
                  </w:tcBorders>
                  <w:vAlign w:val="center"/>
                </w:tcPr>
                <w:p w14:paraId="35EB4AEE">
                  <w:pPr>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克/吨原料</w:t>
                  </w:r>
                </w:p>
              </w:tc>
              <w:tc>
                <w:tcPr>
                  <w:tcW w:w="833" w:type="pct"/>
                  <w:tcBorders>
                    <w:tl2br w:val="nil"/>
                    <w:tr2bl w:val="nil"/>
                  </w:tcBorders>
                  <w:vAlign w:val="center"/>
                </w:tcPr>
                <w:p w14:paraId="547985C3">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lang w:val="en-US" w:eastAsia="zh-CN"/>
                    </w:rPr>
                  </w:pPr>
                  <w:r>
                    <w:rPr>
                      <w:rFonts w:hint="default" w:ascii="Times New Roman" w:hAnsi="Times New Roman" w:eastAsia="宋体" w:cs="Times New Roman"/>
                      <w:spacing w:val="0"/>
                      <w:sz w:val="21"/>
                      <w:szCs w:val="21"/>
                      <w:vertAlign w:val="baseline"/>
                      <w:lang w:val="en-US" w:eastAsia="zh-CN"/>
                    </w:rPr>
                    <w:t>2.3</w:t>
                  </w:r>
                </w:p>
              </w:tc>
              <w:tc>
                <w:tcPr>
                  <w:tcW w:w="833" w:type="pct"/>
                  <w:tcBorders>
                    <w:tl2br w:val="nil"/>
                    <w:tr2bl w:val="nil"/>
                  </w:tcBorders>
                  <w:vAlign w:val="center"/>
                </w:tcPr>
                <w:p w14:paraId="176C4297">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lang w:val="en-US" w:eastAsia="zh-CN"/>
                    </w:rPr>
                  </w:pPr>
                  <w:r>
                    <w:rPr>
                      <w:rFonts w:hint="default" w:ascii="Times New Roman" w:hAnsi="Times New Roman" w:eastAsia="宋体" w:cs="Times New Roman"/>
                      <w:spacing w:val="0"/>
                      <w:sz w:val="21"/>
                      <w:szCs w:val="21"/>
                      <w:vertAlign w:val="baseline"/>
                      <w:lang w:val="en-US" w:eastAsia="zh-CN"/>
                    </w:rPr>
                    <w:t>0.009</w:t>
                  </w:r>
                </w:p>
              </w:tc>
            </w:tr>
            <w:tr w14:paraId="651C49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tcBorders>
                    <w:tl2br w:val="nil"/>
                    <w:tr2bl w:val="nil"/>
                  </w:tcBorders>
                  <w:vAlign w:val="center"/>
                </w:tcPr>
                <w:p w14:paraId="35BAAC51">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rPr>
                  </w:pPr>
                </w:p>
              </w:tc>
              <w:tc>
                <w:tcPr>
                  <w:tcW w:w="833" w:type="pct"/>
                  <w:vMerge w:val="continue"/>
                  <w:tcBorders>
                    <w:tl2br w:val="nil"/>
                    <w:tr2bl w:val="nil"/>
                  </w:tcBorders>
                  <w:vAlign w:val="center"/>
                </w:tcPr>
                <w:p w14:paraId="58B396E5">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rPr>
                  </w:pPr>
                </w:p>
              </w:tc>
              <w:tc>
                <w:tcPr>
                  <w:tcW w:w="833" w:type="pct"/>
                  <w:tcBorders>
                    <w:tl2br w:val="nil"/>
                    <w:tr2bl w:val="nil"/>
                  </w:tcBorders>
                  <w:vAlign w:val="center"/>
                </w:tcPr>
                <w:p w14:paraId="0367587B">
                  <w:pPr>
                    <w:pStyle w:val="134"/>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eastAsia="宋体" w:cs="Times New Roman"/>
                      <w:spacing w:val="0"/>
                      <w:sz w:val="21"/>
                      <w:szCs w:val="21"/>
                      <w:vertAlign w:val="baseline"/>
                      <w:lang w:val="en-US" w:eastAsia="zh-CN"/>
                    </w:rPr>
                  </w:pPr>
                  <w:r>
                    <w:rPr>
                      <w:rFonts w:hint="default" w:ascii="Times New Roman" w:hAnsi="Times New Roman" w:eastAsia="宋体" w:cs="Times New Roman"/>
                      <w:spacing w:val="0"/>
                      <w:sz w:val="21"/>
                      <w:szCs w:val="21"/>
                      <w:vertAlign w:val="baseline"/>
                      <w:lang w:val="en-US" w:eastAsia="zh-CN"/>
                    </w:rPr>
                    <w:t>NH</w:t>
                  </w:r>
                  <w:r>
                    <w:rPr>
                      <w:rFonts w:hint="default" w:ascii="Times New Roman" w:hAnsi="Times New Roman" w:eastAsia="宋体" w:cs="Times New Roman"/>
                      <w:spacing w:val="0"/>
                      <w:sz w:val="21"/>
                      <w:szCs w:val="21"/>
                      <w:vertAlign w:val="subscript"/>
                      <w:lang w:val="en-US" w:eastAsia="zh-CN"/>
                    </w:rPr>
                    <w:t>3</w:t>
                  </w:r>
                  <w:r>
                    <w:rPr>
                      <w:rFonts w:hint="default" w:ascii="Times New Roman" w:hAnsi="Times New Roman" w:eastAsia="宋体" w:cs="Times New Roman"/>
                      <w:spacing w:val="0"/>
                      <w:sz w:val="21"/>
                      <w:szCs w:val="21"/>
                      <w:vertAlign w:val="baseline"/>
                      <w:lang w:val="en-US" w:eastAsia="zh-CN"/>
                    </w:rPr>
                    <w:t>-N</w:t>
                  </w:r>
                </w:p>
              </w:tc>
              <w:tc>
                <w:tcPr>
                  <w:tcW w:w="833" w:type="pct"/>
                  <w:tcBorders>
                    <w:tl2br w:val="nil"/>
                    <w:tr2bl w:val="nil"/>
                  </w:tcBorders>
                  <w:vAlign w:val="center"/>
                </w:tcPr>
                <w:p w14:paraId="1453E054">
                  <w:pPr>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克/吨原料</w:t>
                  </w:r>
                </w:p>
              </w:tc>
              <w:tc>
                <w:tcPr>
                  <w:tcW w:w="833" w:type="pct"/>
                  <w:tcBorders>
                    <w:tl2br w:val="nil"/>
                    <w:tr2bl w:val="nil"/>
                  </w:tcBorders>
                  <w:vAlign w:val="center"/>
                </w:tcPr>
                <w:p w14:paraId="46052FC0">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lang w:val="en-US" w:eastAsia="zh-CN"/>
                    </w:rPr>
                  </w:pPr>
                  <w:r>
                    <w:rPr>
                      <w:rFonts w:hint="default" w:ascii="Times New Roman" w:hAnsi="Times New Roman" w:eastAsia="宋体" w:cs="Times New Roman"/>
                      <w:spacing w:val="0"/>
                      <w:sz w:val="21"/>
                      <w:szCs w:val="21"/>
                      <w:vertAlign w:val="baseline"/>
                      <w:lang w:val="en-US" w:eastAsia="zh-CN"/>
                    </w:rPr>
                    <w:t>5.5</w:t>
                  </w:r>
                </w:p>
              </w:tc>
              <w:tc>
                <w:tcPr>
                  <w:tcW w:w="833" w:type="pct"/>
                  <w:tcBorders>
                    <w:tl2br w:val="nil"/>
                    <w:tr2bl w:val="nil"/>
                  </w:tcBorders>
                  <w:vAlign w:val="center"/>
                </w:tcPr>
                <w:p w14:paraId="12023468">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lang w:val="en-US" w:eastAsia="zh-CN"/>
                    </w:rPr>
                  </w:pPr>
                  <w:r>
                    <w:rPr>
                      <w:rFonts w:hint="default" w:ascii="Times New Roman" w:hAnsi="Times New Roman" w:eastAsia="宋体" w:cs="Times New Roman"/>
                      <w:spacing w:val="0"/>
                      <w:sz w:val="21"/>
                      <w:szCs w:val="21"/>
                      <w:vertAlign w:val="baseline"/>
                      <w:lang w:val="en-US" w:eastAsia="zh-CN"/>
                    </w:rPr>
                    <w:t>0.022</w:t>
                  </w:r>
                </w:p>
              </w:tc>
            </w:tr>
            <w:tr w14:paraId="1E02C0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tcBorders>
                    <w:tl2br w:val="nil"/>
                    <w:tr2bl w:val="nil"/>
                  </w:tcBorders>
                  <w:vAlign w:val="center"/>
                </w:tcPr>
                <w:p w14:paraId="2A99342D">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rPr>
                  </w:pPr>
                </w:p>
              </w:tc>
              <w:tc>
                <w:tcPr>
                  <w:tcW w:w="833" w:type="pct"/>
                  <w:vMerge w:val="continue"/>
                  <w:tcBorders>
                    <w:tl2br w:val="nil"/>
                    <w:tr2bl w:val="nil"/>
                  </w:tcBorders>
                  <w:vAlign w:val="center"/>
                </w:tcPr>
                <w:p w14:paraId="03A1491B">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rPr>
                  </w:pPr>
                </w:p>
              </w:tc>
              <w:tc>
                <w:tcPr>
                  <w:tcW w:w="833" w:type="pct"/>
                  <w:tcBorders>
                    <w:tl2br w:val="nil"/>
                    <w:tr2bl w:val="nil"/>
                  </w:tcBorders>
                  <w:vAlign w:val="center"/>
                </w:tcPr>
                <w:p w14:paraId="04B24ECE">
                  <w:pPr>
                    <w:pStyle w:val="134"/>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eastAsia="宋体" w:cs="Times New Roman"/>
                      <w:spacing w:val="0"/>
                      <w:sz w:val="21"/>
                      <w:szCs w:val="21"/>
                      <w:vertAlign w:val="baseline"/>
                      <w:lang w:val="en-US" w:eastAsia="zh-CN"/>
                    </w:rPr>
                  </w:pPr>
                  <w:r>
                    <w:rPr>
                      <w:rFonts w:hint="default" w:ascii="Times New Roman" w:hAnsi="Times New Roman" w:eastAsia="宋体" w:cs="Times New Roman"/>
                      <w:spacing w:val="0"/>
                      <w:sz w:val="21"/>
                      <w:szCs w:val="21"/>
                      <w:vertAlign w:val="baseline"/>
                      <w:lang w:val="en-US" w:eastAsia="zh-CN"/>
                    </w:rPr>
                    <w:t>TN</w:t>
                  </w:r>
                </w:p>
              </w:tc>
              <w:tc>
                <w:tcPr>
                  <w:tcW w:w="833" w:type="pct"/>
                  <w:tcBorders>
                    <w:tl2br w:val="nil"/>
                    <w:tr2bl w:val="nil"/>
                  </w:tcBorders>
                  <w:vAlign w:val="center"/>
                </w:tcPr>
                <w:p w14:paraId="207909B0">
                  <w:pPr>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克/吨原料</w:t>
                  </w:r>
                </w:p>
              </w:tc>
              <w:tc>
                <w:tcPr>
                  <w:tcW w:w="833" w:type="pct"/>
                  <w:tcBorders>
                    <w:tl2br w:val="nil"/>
                    <w:tr2bl w:val="nil"/>
                  </w:tcBorders>
                  <w:vAlign w:val="center"/>
                </w:tcPr>
                <w:p w14:paraId="510439D5">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lang w:val="en-US" w:eastAsia="zh-CN"/>
                    </w:rPr>
                  </w:pPr>
                  <w:r>
                    <w:rPr>
                      <w:rFonts w:hint="default" w:ascii="Times New Roman" w:hAnsi="Times New Roman" w:eastAsia="宋体" w:cs="Times New Roman"/>
                      <w:spacing w:val="0"/>
                      <w:sz w:val="21"/>
                      <w:szCs w:val="21"/>
                      <w:vertAlign w:val="baseline"/>
                      <w:lang w:val="en-US" w:eastAsia="zh-CN"/>
                    </w:rPr>
                    <w:t>10.4</w:t>
                  </w:r>
                </w:p>
              </w:tc>
              <w:tc>
                <w:tcPr>
                  <w:tcW w:w="833" w:type="pct"/>
                  <w:tcBorders>
                    <w:tl2br w:val="nil"/>
                    <w:tr2bl w:val="nil"/>
                  </w:tcBorders>
                  <w:vAlign w:val="center"/>
                </w:tcPr>
                <w:p w14:paraId="204D60AB">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lang w:val="en-US" w:eastAsia="zh-CN"/>
                    </w:rPr>
                  </w:pPr>
                  <w:r>
                    <w:rPr>
                      <w:rFonts w:hint="default" w:ascii="Times New Roman" w:hAnsi="Times New Roman" w:eastAsia="宋体" w:cs="Times New Roman"/>
                      <w:spacing w:val="0"/>
                      <w:sz w:val="21"/>
                      <w:szCs w:val="21"/>
                      <w:vertAlign w:val="baseline"/>
                      <w:lang w:val="en-US" w:eastAsia="zh-CN"/>
                    </w:rPr>
                    <w:t>0.042</w:t>
                  </w:r>
                </w:p>
              </w:tc>
            </w:tr>
            <w:tr w14:paraId="536999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tcBorders>
                    <w:tl2br w:val="nil"/>
                    <w:tr2bl w:val="nil"/>
                  </w:tcBorders>
                  <w:vAlign w:val="center"/>
                </w:tcPr>
                <w:p w14:paraId="72EA963F">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rPr>
                  </w:pPr>
                </w:p>
              </w:tc>
              <w:tc>
                <w:tcPr>
                  <w:tcW w:w="833" w:type="pct"/>
                  <w:vMerge w:val="continue"/>
                  <w:tcBorders>
                    <w:tl2br w:val="nil"/>
                    <w:tr2bl w:val="nil"/>
                  </w:tcBorders>
                  <w:vAlign w:val="center"/>
                </w:tcPr>
                <w:p w14:paraId="2806FFF0">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rPr>
                  </w:pPr>
                </w:p>
              </w:tc>
              <w:tc>
                <w:tcPr>
                  <w:tcW w:w="833" w:type="pct"/>
                  <w:tcBorders>
                    <w:tl2br w:val="nil"/>
                    <w:tr2bl w:val="nil"/>
                  </w:tcBorders>
                  <w:vAlign w:val="center"/>
                </w:tcPr>
                <w:p w14:paraId="23C58AE7">
                  <w:pPr>
                    <w:pStyle w:val="134"/>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eastAsia="宋体" w:cs="Times New Roman"/>
                      <w:spacing w:val="0"/>
                      <w:sz w:val="21"/>
                      <w:szCs w:val="21"/>
                      <w:vertAlign w:val="baseline"/>
                      <w:lang w:val="en-US" w:eastAsia="zh-CN"/>
                    </w:rPr>
                  </w:pPr>
                  <w:r>
                    <w:rPr>
                      <w:rFonts w:hint="default" w:ascii="Times New Roman" w:hAnsi="Times New Roman" w:eastAsia="宋体" w:cs="Times New Roman"/>
                      <w:spacing w:val="0"/>
                      <w:sz w:val="21"/>
                      <w:szCs w:val="21"/>
                      <w:vertAlign w:val="baseline"/>
                      <w:lang w:val="en-US" w:eastAsia="zh-CN"/>
                    </w:rPr>
                    <w:t>TP</w:t>
                  </w:r>
                </w:p>
              </w:tc>
              <w:tc>
                <w:tcPr>
                  <w:tcW w:w="833" w:type="pct"/>
                  <w:tcBorders>
                    <w:tl2br w:val="nil"/>
                    <w:tr2bl w:val="nil"/>
                  </w:tcBorders>
                  <w:vAlign w:val="center"/>
                </w:tcPr>
                <w:p w14:paraId="7A01350C">
                  <w:pPr>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克/吨原料</w:t>
                  </w:r>
                </w:p>
              </w:tc>
              <w:tc>
                <w:tcPr>
                  <w:tcW w:w="833" w:type="pct"/>
                  <w:tcBorders>
                    <w:tl2br w:val="nil"/>
                    <w:tr2bl w:val="nil"/>
                  </w:tcBorders>
                  <w:vAlign w:val="center"/>
                </w:tcPr>
                <w:p w14:paraId="2E209CD2">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lang w:val="en-US" w:eastAsia="zh-CN"/>
                    </w:rPr>
                  </w:pPr>
                  <w:r>
                    <w:rPr>
                      <w:rFonts w:hint="default" w:ascii="Times New Roman" w:hAnsi="Times New Roman" w:eastAsia="宋体" w:cs="Times New Roman"/>
                      <w:spacing w:val="0"/>
                      <w:sz w:val="21"/>
                      <w:szCs w:val="21"/>
                      <w:vertAlign w:val="baseline"/>
                      <w:lang w:val="en-US" w:eastAsia="zh-CN"/>
                    </w:rPr>
                    <w:t>0.5</w:t>
                  </w:r>
                </w:p>
              </w:tc>
              <w:tc>
                <w:tcPr>
                  <w:tcW w:w="833" w:type="pct"/>
                  <w:tcBorders>
                    <w:tl2br w:val="nil"/>
                    <w:tr2bl w:val="nil"/>
                  </w:tcBorders>
                  <w:vAlign w:val="center"/>
                </w:tcPr>
                <w:p w14:paraId="5BADBBCE">
                  <w:pPr>
                    <w:pStyle w:val="134"/>
                    <w:keepNext w:val="0"/>
                    <w:keepLines w:val="0"/>
                    <w:pageBreakBefore w:val="0"/>
                    <w:kinsoku/>
                    <w:wordWrap/>
                    <w:overflowPunct/>
                    <w:topLinePunct w:val="0"/>
                    <w:autoSpaceDE/>
                    <w:autoSpaceDN/>
                    <w:bidi w:val="0"/>
                    <w:adjustRightInd/>
                    <w:snapToGrid/>
                    <w:spacing w:line="340" w:lineRule="exact"/>
                    <w:ind w:right="0"/>
                    <w:jc w:val="center"/>
                    <w:textAlignment w:val="auto"/>
                    <w:rPr>
                      <w:rFonts w:hint="default" w:ascii="Times New Roman" w:hAnsi="Times New Roman" w:eastAsia="宋体" w:cs="Times New Roman"/>
                      <w:spacing w:val="0"/>
                      <w:sz w:val="21"/>
                      <w:szCs w:val="21"/>
                      <w:vertAlign w:val="baseline"/>
                      <w:lang w:val="en-US" w:eastAsia="zh-CN"/>
                    </w:rPr>
                  </w:pPr>
                  <w:r>
                    <w:rPr>
                      <w:rFonts w:hint="default" w:ascii="Times New Roman" w:hAnsi="Times New Roman" w:eastAsia="宋体" w:cs="Times New Roman"/>
                      <w:spacing w:val="0"/>
                      <w:sz w:val="21"/>
                      <w:szCs w:val="21"/>
                      <w:vertAlign w:val="baseline"/>
                      <w:lang w:val="en-US" w:eastAsia="zh-CN"/>
                    </w:rPr>
                    <w:t>0.002</w:t>
                  </w:r>
                </w:p>
              </w:tc>
            </w:tr>
          </w:tbl>
          <w:p w14:paraId="6FF9B822">
            <w:pPr>
              <w:pStyle w:val="134"/>
              <w:keepNext w:val="0"/>
              <w:keepLines w:val="0"/>
              <w:pageBreakBefore w:val="0"/>
              <w:widowControl w:val="0"/>
              <w:kinsoku/>
              <w:wordWrap/>
              <w:overflowPunct/>
              <w:topLinePunct w:val="0"/>
              <w:autoSpaceDE/>
              <w:autoSpaceDN/>
              <w:bidi w:val="0"/>
              <w:adjustRightInd/>
              <w:snapToGrid/>
              <w:spacing w:before="157" w:beforeLines="50" w:line="360" w:lineRule="auto"/>
              <w:ind w:left="0" w:right="0" w:firstLine="480" w:firstLineChars="200"/>
              <w:textAlignment w:val="auto"/>
              <w:rPr>
                <w:rFonts w:hint="default" w:ascii="Times New Roman" w:hAnsi="Times New Roman" w:eastAsia="宋体" w:cs="Times New Roman"/>
                <w:spacing w:val="0"/>
                <w:sz w:val="24"/>
                <w:szCs w:val="24"/>
                <w:lang w:val="en-US" w:eastAsia="zh-CN"/>
              </w:rPr>
            </w:pPr>
            <w:r>
              <w:rPr>
                <w:rFonts w:hint="default" w:ascii="Times New Roman" w:hAnsi="Times New Roman" w:eastAsia="宋体" w:cs="Times New Roman"/>
                <w:spacing w:val="0"/>
                <w:sz w:val="24"/>
                <w:szCs w:val="24"/>
                <w:lang w:val="en-US" w:eastAsia="zh-CN"/>
              </w:rPr>
              <w:t>根据</w:t>
            </w:r>
            <w:r>
              <w:rPr>
                <w:rFonts w:hint="default" w:ascii="Times New Roman" w:hAnsi="Times New Roman" w:eastAsia="宋体" w:cs="Times New Roman"/>
                <w:spacing w:val="0"/>
                <w:sz w:val="24"/>
                <w:szCs w:val="24"/>
              </w:rPr>
              <w:t>《排放源统计调查产排污核算方法和系数手册》“42  废弃资源综合利用行业”</w:t>
            </w:r>
            <w:r>
              <w:rPr>
                <w:rFonts w:hint="default" w:ascii="Times New Roman" w:hAnsi="Times New Roman" w:eastAsia="宋体" w:cs="Times New Roman"/>
                <w:spacing w:val="0"/>
                <w:sz w:val="24"/>
                <w:szCs w:val="24"/>
                <w:lang w:val="en-US" w:eastAsia="zh-CN"/>
              </w:rPr>
              <w:t>及《生物接触氧化法污水处理工程技术规范》（HJ2009-2011）</w:t>
            </w:r>
            <w:r>
              <w:rPr>
                <w:rFonts w:hint="default" w:ascii="Times New Roman" w:hAnsi="Times New Roman" w:eastAsia="宋体" w:cs="Times New Roman"/>
                <w:spacing w:val="0"/>
                <w:sz w:val="24"/>
                <w:szCs w:val="24"/>
                <w:lang w:eastAsia="zh-CN"/>
              </w:rPr>
              <w:t>，</w:t>
            </w:r>
            <w:r>
              <w:rPr>
                <w:rFonts w:hint="default" w:ascii="Times New Roman" w:hAnsi="Times New Roman" w:eastAsia="宋体" w:cs="Times New Roman"/>
                <w:spacing w:val="0"/>
                <w:sz w:val="24"/>
                <w:szCs w:val="24"/>
                <w:lang w:val="en-US" w:eastAsia="zh-CN"/>
              </w:rPr>
              <w:t>物理处理法+好氧生物处理法对</w:t>
            </w:r>
            <w:r>
              <w:rPr>
                <w:rFonts w:hint="default" w:ascii="Times New Roman" w:hAnsi="Times New Roman" w:eastAsia="宋体" w:cs="Times New Roman"/>
                <w:spacing w:val="0"/>
                <w:sz w:val="24"/>
                <w:szCs w:val="24"/>
                <w:vertAlign w:val="baseline"/>
                <w:lang w:val="en-US" w:eastAsia="zh-CN"/>
              </w:rPr>
              <w:t>COD、BOD</w:t>
            </w:r>
            <w:r>
              <w:rPr>
                <w:rFonts w:hint="default" w:ascii="Times New Roman" w:hAnsi="Times New Roman" w:eastAsia="宋体" w:cs="Times New Roman"/>
                <w:spacing w:val="0"/>
                <w:sz w:val="24"/>
                <w:szCs w:val="24"/>
                <w:vertAlign w:val="subscript"/>
                <w:lang w:val="en-US" w:eastAsia="zh-CN"/>
              </w:rPr>
              <w:t>5</w:t>
            </w:r>
            <w:r>
              <w:rPr>
                <w:rFonts w:hint="default" w:ascii="Times New Roman" w:hAnsi="Times New Roman" w:eastAsia="宋体" w:cs="Times New Roman"/>
                <w:color w:val="auto"/>
                <w:spacing w:val="0"/>
                <w:sz w:val="24"/>
                <w:szCs w:val="24"/>
                <w:vertAlign w:val="baseline"/>
                <w:lang w:val="en-US" w:eastAsia="zh-CN"/>
              </w:rPr>
              <w:t>、SS</w:t>
            </w:r>
            <w:r>
              <w:rPr>
                <w:rFonts w:hint="default" w:ascii="Times New Roman" w:hAnsi="Times New Roman" w:eastAsia="宋体" w:cs="Times New Roman"/>
                <w:spacing w:val="0"/>
                <w:sz w:val="24"/>
                <w:szCs w:val="24"/>
                <w:vertAlign w:val="baseline"/>
                <w:lang w:val="en-US" w:eastAsia="zh-CN"/>
              </w:rPr>
              <w:t>、NH</w:t>
            </w:r>
            <w:r>
              <w:rPr>
                <w:rFonts w:hint="default" w:ascii="Times New Roman" w:hAnsi="Times New Roman" w:eastAsia="宋体" w:cs="Times New Roman"/>
                <w:spacing w:val="0"/>
                <w:sz w:val="24"/>
                <w:szCs w:val="24"/>
                <w:vertAlign w:val="subscript"/>
                <w:lang w:val="en-US" w:eastAsia="zh-CN"/>
              </w:rPr>
              <w:t>3</w:t>
            </w:r>
            <w:r>
              <w:rPr>
                <w:rFonts w:hint="default" w:ascii="Times New Roman" w:hAnsi="Times New Roman" w:eastAsia="宋体" w:cs="Times New Roman"/>
                <w:spacing w:val="0"/>
                <w:sz w:val="24"/>
                <w:szCs w:val="24"/>
                <w:vertAlign w:val="baseline"/>
                <w:lang w:val="en-US" w:eastAsia="zh-CN"/>
              </w:rPr>
              <w:t>-N、石油类、TN、TP的处理效率分别为90%、80%、90%、80%、95%、60%、50%。</w:t>
            </w:r>
          </w:p>
          <w:p w14:paraId="1D7D8614">
            <w:pPr>
              <w:pStyle w:val="125"/>
              <w:pageBreakBefore w:val="0"/>
              <w:widowControl w:val="0"/>
              <w:kinsoku/>
              <w:wordWrap/>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（2）生活污水</w:t>
            </w:r>
          </w:p>
          <w:p w14:paraId="7F627A00">
            <w:pPr>
              <w:pStyle w:val="125"/>
              <w:pageBreakBefore w:val="0"/>
              <w:widowControl w:val="0"/>
              <w:kinsoku/>
              <w:wordWrap/>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项目职工均不在厂区内食宿，</w:t>
            </w:r>
            <w:r>
              <w:rPr>
                <w:rFonts w:hint="default" w:ascii="Times New Roman" w:hAnsi="Times New Roman" w:eastAsia="宋体" w:cs="Times New Roman"/>
                <w:b w:val="0"/>
                <w:bCs w:val="0"/>
                <w:color w:val="000000" w:themeColor="text1"/>
                <w:sz w:val="24"/>
                <w:szCs w:val="24"/>
                <w14:textFill>
                  <w14:solidFill>
                    <w14:schemeClr w14:val="tx1"/>
                  </w14:solidFill>
                </w14:textFill>
              </w:rPr>
              <w:t>生活污水产生量为</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0.51</w:t>
            </w:r>
            <w:r>
              <w:rPr>
                <w:rFonts w:hint="default" w:ascii="Times New Roman" w:hAnsi="Times New Roman" w:eastAsia="宋体" w:cs="Times New Roman"/>
                <w:b w:val="0"/>
                <w:bCs w:val="0"/>
                <w:color w:val="000000" w:themeColor="text1"/>
                <w:sz w:val="24"/>
                <w:szCs w:val="24"/>
                <w14:textFill>
                  <w14:solidFill>
                    <w14:schemeClr w14:val="tx1"/>
                  </w14:solidFill>
                </w14:textFill>
              </w:rPr>
              <w:t>t/d(</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168.3</w:t>
            </w:r>
            <w:r>
              <w:rPr>
                <w:rFonts w:hint="default" w:ascii="Times New Roman" w:hAnsi="Times New Roman" w:eastAsia="宋体" w:cs="Times New Roman"/>
                <w:b w:val="0"/>
                <w:bCs w:val="0"/>
                <w:color w:val="000000" w:themeColor="text1"/>
                <w:sz w:val="24"/>
                <w:szCs w:val="24"/>
                <w14:textFill>
                  <w14:solidFill>
                    <w14:schemeClr w14:val="tx1"/>
                  </w14:solidFill>
                </w14:textFill>
              </w:rPr>
              <w:t>t/a)。参考《排放源统计调查产排污核算方法和系数手册》(公告2021年第24号)中“生活污染源产排污系数手册”可知，职工产生的生活污水中各主要污染物浓度按CODcr：340mg/L，BOD</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5</w:t>
            </w:r>
            <w:r>
              <w:rPr>
                <w:rFonts w:hint="default" w:ascii="Times New Roman" w:hAnsi="Times New Roman" w:eastAsia="宋体" w:cs="Times New Roman"/>
                <w:b w:val="0"/>
                <w:bCs w:val="0"/>
                <w:color w:val="000000" w:themeColor="text1"/>
                <w:sz w:val="24"/>
                <w:szCs w:val="24"/>
                <w14:textFill>
                  <w14:solidFill>
                    <w14:schemeClr w14:val="tx1"/>
                  </w14:solidFill>
                </w14:textFill>
              </w:rPr>
              <w:t>：200mg/L，SS：220mg/L，NH</w:t>
            </w:r>
            <w:r>
              <w:rPr>
                <w:rFonts w:hint="default" w:ascii="Times New Roman" w:hAnsi="Times New Roman" w:eastAsia="宋体" w:cs="Times New Roman"/>
                <w:b w:val="0"/>
                <w:bCs w:val="0"/>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b w:val="0"/>
                <w:bCs w:val="0"/>
                <w:color w:val="000000" w:themeColor="text1"/>
                <w:sz w:val="24"/>
                <w:szCs w:val="24"/>
                <w14:textFill>
                  <w14:solidFill>
                    <w14:schemeClr w14:val="tx1"/>
                  </w14:solidFill>
                </w14:textFill>
              </w:rPr>
              <w:t>-N：32.6mg/L计算。</w:t>
            </w:r>
          </w:p>
          <w:p w14:paraId="322EEC01">
            <w:pPr>
              <w:pStyle w:val="125"/>
              <w:pageBreakBefore w:val="0"/>
              <w:widowControl w:val="0"/>
              <w:kinsoku/>
              <w:wordWrap/>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auto"/>
                <w:sz w:val="24"/>
                <w:szCs w:val="24"/>
                <w:highlight w:val="none"/>
                <w:u w:val="none"/>
                <w:lang w:val="en-US" w:eastAsia="zh-CN"/>
              </w:rPr>
              <w:t>化粪池处理效率参照《村镇生活污染防治最佳可行技术指南(试行)》（HJ-BAT-9），化粪池对污染物的去除效率为：COD：40%、BOD</w:t>
            </w:r>
            <w:r>
              <w:rPr>
                <w:rFonts w:hint="default" w:ascii="Times New Roman" w:hAnsi="Times New Roman" w:eastAsia="宋体" w:cs="Times New Roman"/>
                <w:color w:val="auto"/>
                <w:sz w:val="24"/>
                <w:szCs w:val="24"/>
                <w:highlight w:val="none"/>
                <w:u w:val="none"/>
                <w:vertAlign w:val="subscript"/>
                <w:lang w:val="en-US" w:eastAsia="zh-CN"/>
              </w:rPr>
              <w:t>5</w:t>
            </w:r>
            <w:r>
              <w:rPr>
                <w:rFonts w:hint="default" w:ascii="Times New Roman" w:hAnsi="Times New Roman" w:eastAsia="宋体" w:cs="Times New Roman"/>
                <w:color w:val="auto"/>
                <w:sz w:val="24"/>
                <w:szCs w:val="24"/>
                <w:highlight w:val="none"/>
                <w:u w:val="none"/>
                <w:lang w:val="en-US" w:eastAsia="zh-CN"/>
              </w:rPr>
              <w:t>：22%、SS：60%、NH</w:t>
            </w:r>
            <w:r>
              <w:rPr>
                <w:rFonts w:hint="default" w:ascii="Times New Roman" w:hAnsi="Times New Roman" w:eastAsia="宋体" w:cs="Times New Roman"/>
                <w:color w:val="auto"/>
                <w:sz w:val="24"/>
                <w:szCs w:val="24"/>
                <w:highlight w:val="none"/>
                <w:u w:val="none"/>
                <w:vertAlign w:val="subscript"/>
                <w:lang w:val="en-US" w:eastAsia="zh-CN"/>
              </w:rPr>
              <w:t>3</w:t>
            </w:r>
            <w:r>
              <w:rPr>
                <w:rFonts w:hint="default" w:ascii="Times New Roman" w:hAnsi="Times New Roman" w:eastAsia="宋体" w:cs="Times New Roman"/>
                <w:color w:val="auto"/>
                <w:sz w:val="24"/>
                <w:szCs w:val="24"/>
                <w:highlight w:val="none"/>
                <w:u w:val="none"/>
                <w:lang w:val="en-US" w:eastAsia="zh-CN"/>
              </w:rPr>
              <w:t>-N：10%。</w:t>
            </w:r>
          </w:p>
          <w:p w14:paraId="79DB31FF">
            <w:pPr>
              <w:keepNext/>
              <w:keepLines w:val="0"/>
              <w:pageBreakBefore w:val="0"/>
              <w:widowControl w:val="0"/>
              <w:kinsoku/>
              <w:wordWrap/>
              <w:overflowPunct w:val="0"/>
              <w:topLinePunct w:val="0"/>
              <w:autoSpaceDE/>
              <w:autoSpaceDN/>
              <w:bidi w:val="0"/>
              <w:adjustRightInd w:val="0"/>
              <w:snapToGrid w:val="0"/>
              <w:spacing w:before="0" w:after="0" w:line="360" w:lineRule="auto"/>
              <w:ind w:left="0" w:firstLine="480" w:firstLineChars="200"/>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bookmarkStart w:id="20" w:name="_Toc6048"/>
            <w:r>
              <w:rPr>
                <w:rFonts w:hint="default" w:ascii="Times New Roman" w:hAnsi="Times New Roman" w:eastAsia="宋体" w:cs="Times New Roman"/>
                <w:b w:val="0"/>
                <w:bCs w:val="0"/>
                <w:color w:val="000000" w:themeColor="text1"/>
                <w:sz w:val="24"/>
                <w:szCs w:val="24"/>
                <w14:textFill>
                  <w14:solidFill>
                    <w14:schemeClr w14:val="tx1"/>
                  </w14:solidFill>
                </w14:textFill>
              </w:rPr>
              <w:t>项目属于</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江镜华侨农场污水处理厂</w:t>
            </w:r>
            <w:r>
              <w:rPr>
                <w:rFonts w:hint="default" w:ascii="Times New Roman" w:hAnsi="Times New Roman" w:eastAsia="宋体" w:cs="Times New Roman"/>
                <w:b w:val="0"/>
                <w:bCs w:val="0"/>
                <w:color w:val="000000" w:themeColor="text1"/>
                <w:sz w:val="24"/>
                <w:szCs w:val="24"/>
                <w14:textFill>
                  <w14:solidFill>
                    <w14:schemeClr w14:val="tx1"/>
                  </w14:solidFill>
                </w14:textFill>
              </w:rPr>
              <w:t>服务范围，本项目生活污水经预处理后通过厂区总排放口排入市政污水管网，排放源强情况见表4.</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14:textFill>
                  <w14:solidFill>
                    <w14:schemeClr w14:val="tx1"/>
                  </w14:solidFill>
                </w14:textFill>
              </w:rPr>
              <w:t>-1。</w:t>
            </w:r>
            <w:bookmarkEnd w:id="20"/>
          </w:p>
        </w:tc>
      </w:tr>
    </w:tbl>
    <w:p w14:paraId="4384DD14">
      <w:pPr>
        <w:adjustRightInd w:val="0"/>
        <w:snapToGrid w:val="0"/>
        <w:spacing w:line="360" w:lineRule="auto"/>
        <w:rPr>
          <w:rFonts w:hint="default" w:ascii="Times New Roman" w:hAnsi="Times New Roman" w:eastAsia="宋体" w:cs="Times New Roman"/>
          <w:b/>
          <w:color w:val="000000" w:themeColor="text1"/>
          <w:kern w:val="0"/>
          <w:sz w:val="28"/>
          <w:szCs w:val="28"/>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9"/>
        <w:tblW w:w="4999"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2" w:space="0"/>
        </w:tblBorders>
        <w:tblLayout w:type="autofit"/>
        <w:tblCellMar>
          <w:top w:w="0" w:type="dxa"/>
          <w:left w:w="108" w:type="dxa"/>
          <w:bottom w:w="0" w:type="dxa"/>
          <w:right w:w="108" w:type="dxa"/>
        </w:tblCellMar>
      </w:tblPr>
      <w:tblGrid>
        <w:gridCol w:w="932"/>
        <w:gridCol w:w="13853"/>
      </w:tblGrid>
      <w:tr w14:paraId="38B2D6DE">
        <w:tblPrEx>
          <w:tblBorders>
            <w:top w:val="single" w:color="auto" w:sz="8" w:space="0"/>
            <w:left w:val="single" w:color="auto" w:sz="8" w:space="0"/>
            <w:bottom w:val="single" w:color="auto" w:sz="8" w:space="0"/>
            <w:right w:val="single" w:color="auto" w:sz="8" w:space="0"/>
            <w:insideH w:val="single" w:color="auto" w:sz="8" w:space="0"/>
            <w:insideV w:val="single" w:color="auto" w:sz="2" w:space="0"/>
          </w:tblBorders>
          <w:tblCellMar>
            <w:top w:w="0" w:type="dxa"/>
            <w:left w:w="108" w:type="dxa"/>
            <w:bottom w:w="0" w:type="dxa"/>
            <w:right w:w="108" w:type="dxa"/>
          </w:tblCellMar>
        </w:tblPrEx>
        <w:tc>
          <w:tcPr>
            <w:tcW w:w="315" w:type="pct"/>
            <w:tcBorders>
              <w:tl2br w:val="nil"/>
              <w:tr2bl w:val="nil"/>
            </w:tcBorders>
            <w:noWrap w:val="0"/>
            <w:vAlign w:val="center"/>
          </w:tcPr>
          <w:p w14:paraId="3EC56F0F">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运营</w:t>
            </w:r>
          </w:p>
          <w:p w14:paraId="1681F1F8">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期环</w:t>
            </w:r>
          </w:p>
          <w:p w14:paraId="6B5800FB">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境影</w:t>
            </w:r>
          </w:p>
          <w:p w14:paraId="5C641F93">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响和</w:t>
            </w:r>
          </w:p>
          <w:p w14:paraId="37EC6121">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保护</w:t>
            </w:r>
          </w:p>
          <w:p w14:paraId="1B600E1F">
            <w:pPr>
              <w:adjustRightInd w:val="0"/>
              <w:snapToGrid w:val="0"/>
              <w:jc w:val="center"/>
              <w:rPr>
                <w:rFonts w:hint="default" w:ascii="Times New Roman" w:hAnsi="Times New Roman" w:cs="Times New Roman"/>
                <w:color w:val="000000" w:themeColor="text1"/>
                <w:vertAlign w:val="baseline"/>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措施</w:t>
            </w:r>
          </w:p>
        </w:tc>
        <w:tc>
          <w:tcPr>
            <w:tcW w:w="4684" w:type="pct"/>
            <w:tcBorders>
              <w:tl2br w:val="nil"/>
              <w:tr2bl w:val="nil"/>
            </w:tcBorders>
            <w:noWrap w:val="0"/>
            <w:vAlign w:val="center"/>
          </w:tcPr>
          <w:p w14:paraId="0A442E76">
            <w:pPr>
              <w:pStyle w:val="123"/>
              <w:bidi w:val="0"/>
              <w:rPr>
                <w:rFonts w:hint="default" w:ascii="Times New Roman" w:hAnsi="Times New Roman" w:cs="Times New Roman"/>
                <w:color w:val="auto"/>
              </w:rPr>
            </w:pPr>
            <w:r>
              <w:rPr>
                <w:rFonts w:hint="default" w:ascii="Times New Roman" w:hAnsi="Times New Roman" w:cs="Times New Roman"/>
                <w:color w:val="auto"/>
              </w:rPr>
              <w:t>表4.</w:t>
            </w:r>
            <w:r>
              <w:rPr>
                <w:rFonts w:hint="default" w:ascii="Times New Roman" w:hAnsi="Times New Roman" w:cs="Times New Roman"/>
                <w:color w:val="auto"/>
                <w:lang w:val="en-US" w:eastAsia="zh-CN"/>
              </w:rPr>
              <w:t>3</w:t>
            </w:r>
            <w:r>
              <w:rPr>
                <w:rFonts w:hint="default" w:ascii="Times New Roman" w:hAnsi="Times New Roman" w:cs="Times New Roman"/>
                <w:color w:val="auto"/>
              </w:rPr>
              <w:t>-1 项目污水污染源源强核算结果及相关参数一览表</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autofit"/>
              <w:tblCellMar>
                <w:top w:w="0" w:type="dxa"/>
                <w:left w:w="28" w:type="dxa"/>
                <w:bottom w:w="0" w:type="dxa"/>
                <w:right w:w="28" w:type="dxa"/>
              </w:tblCellMar>
            </w:tblPr>
            <w:tblGrid>
              <w:gridCol w:w="416"/>
              <w:gridCol w:w="236"/>
              <w:gridCol w:w="700"/>
              <w:gridCol w:w="310"/>
              <w:gridCol w:w="670"/>
              <w:gridCol w:w="529"/>
              <w:gridCol w:w="677"/>
              <w:gridCol w:w="575"/>
              <w:gridCol w:w="641"/>
              <w:gridCol w:w="529"/>
              <w:gridCol w:w="674"/>
              <w:gridCol w:w="609"/>
              <w:gridCol w:w="611"/>
              <w:gridCol w:w="469"/>
              <w:gridCol w:w="876"/>
              <w:gridCol w:w="469"/>
              <w:gridCol w:w="961"/>
              <w:gridCol w:w="658"/>
              <w:gridCol w:w="1444"/>
              <w:gridCol w:w="628"/>
              <w:gridCol w:w="947"/>
            </w:tblGrid>
            <w:tr w14:paraId="5405F4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397" w:hRule="atLeast"/>
                <w:jc w:val="center"/>
              </w:trPr>
              <w:tc>
                <w:tcPr>
                  <w:tcW w:w="152" w:type="pct"/>
                  <w:vMerge w:val="restart"/>
                  <w:shd w:val="clear" w:color="auto" w:fill="auto"/>
                  <w:noWrap w:val="0"/>
                  <w:vAlign w:val="center"/>
                </w:tcPr>
                <w:p w14:paraId="6ABE1905">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产排污环节</w:t>
                  </w:r>
                </w:p>
              </w:tc>
              <w:tc>
                <w:tcPr>
                  <w:tcW w:w="86" w:type="pct"/>
                  <w:vMerge w:val="restart"/>
                  <w:shd w:val="clear" w:color="auto" w:fill="auto"/>
                  <w:noWrap w:val="0"/>
                  <w:vAlign w:val="center"/>
                </w:tcPr>
                <w:p w14:paraId="1BFDBCB5">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类别</w:t>
                  </w:r>
                </w:p>
              </w:tc>
              <w:tc>
                <w:tcPr>
                  <w:tcW w:w="257" w:type="pct"/>
                  <w:vMerge w:val="restart"/>
                  <w:shd w:val="clear" w:color="auto" w:fill="auto"/>
                  <w:noWrap w:val="0"/>
                  <w:vAlign w:val="center"/>
                </w:tcPr>
                <w:p w14:paraId="08AF1C20">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污染物种类</w:t>
                  </w:r>
                </w:p>
              </w:tc>
              <w:tc>
                <w:tcPr>
                  <w:tcW w:w="802" w:type="pct"/>
                  <w:gridSpan w:val="4"/>
                  <w:shd w:val="clear" w:color="auto" w:fill="auto"/>
                  <w:noWrap w:val="0"/>
                  <w:vAlign w:val="center"/>
                </w:tcPr>
                <w:p w14:paraId="79E1A7C4">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污染源产生</w:t>
                  </w:r>
                </w:p>
              </w:tc>
              <w:tc>
                <w:tcPr>
                  <w:tcW w:w="639" w:type="pct"/>
                  <w:gridSpan w:val="3"/>
                  <w:shd w:val="clear" w:color="auto" w:fill="auto"/>
                  <w:noWrap w:val="0"/>
                  <w:vAlign w:val="center"/>
                </w:tcPr>
                <w:p w14:paraId="1D5F8562">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治理措施</w:t>
                  </w:r>
                </w:p>
              </w:tc>
              <w:tc>
                <w:tcPr>
                  <w:tcW w:w="694" w:type="pct"/>
                  <w:gridSpan w:val="3"/>
                  <w:shd w:val="clear" w:color="auto" w:fill="auto"/>
                  <w:noWrap w:val="0"/>
                  <w:vAlign w:val="center"/>
                </w:tcPr>
                <w:p w14:paraId="4ED6C71F">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污染物排放</w:t>
                  </w:r>
                </w:p>
              </w:tc>
              <w:tc>
                <w:tcPr>
                  <w:tcW w:w="172" w:type="pct"/>
                  <w:vMerge w:val="restart"/>
                  <w:shd w:val="clear" w:color="auto" w:fill="auto"/>
                  <w:noWrap w:val="0"/>
                  <w:vAlign w:val="center"/>
                </w:tcPr>
                <w:p w14:paraId="17E52F1A">
                  <w:pPr>
                    <w:pStyle w:val="96"/>
                    <w:spacing w:line="240" w:lineRule="exact"/>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cs="Times New Roman"/>
                      <w:bCs/>
                      <w:color w:val="000000" w:themeColor="text1"/>
                      <w:sz w:val="18"/>
                      <w:szCs w:val="18"/>
                      <w14:textFill>
                        <w14:solidFill>
                          <w14:schemeClr w14:val="tx1"/>
                        </w14:solidFill>
                      </w14:textFill>
                    </w:rPr>
                    <w:t>排放</w:t>
                  </w:r>
                </w:p>
                <w:p w14:paraId="3FDFB84A">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bCs/>
                      <w:color w:val="000000" w:themeColor="text1"/>
                      <w:sz w:val="18"/>
                      <w:szCs w:val="18"/>
                      <w14:textFill>
                        <w14:solidFill>
                          <w14:schemeClr w14:val="tx1"/>
                        </w14:solidFill>
                      </w14:textFill>
                    </w:rPr>
                    <w:t>方式</w:t>
                  </w:r>
                </w:p>
              </w:tc>
              <w:tc>
                <w:tcPr>
                  <w:tcW w:w="321" w:type="pct"/>
                  <w:vMerge w:val="restart"/>
                  <w:shd w:val="clear" w:color="auto" w:fill="auto"/>
                  <w:noWrap w:val="0"/>
                  <w:vAlign w:val="center"/>
                </w:tcPr>
                <w:p w14:paraId="2037D0F7">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bCs/>
                      <w:color w:val="000000" w:themeColor="text1"/>
                      <w:sz w:val="18"/>
                      <w:szCs w:val="18"/>
                      <w14:textFill>
                        <w14:solidFill>
                          <w14:schemeClr w14:val="tx1"/>
                        </w14:solidFill>
                      </w14:textFill>
                    </w:rPr>
                    <w:t>排放去向</w:t>
                  </w:r>
                </w:p>
              </w:tc>
              <w:tc>
                <w:tcPr>
                  <w:tcW w:w="172" w:type="pct"/>
                  <w:vMerge w:val="restart"/>
                  <w:shd w:val="clear" w:color="auto" w:fill="auto"/>
                  <w:noWrap w:val="0"/>
                  <w:vAlign w:val="center"/>
                </w:tcPr>
                <w:p w14:paraId="06818E64">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bCs/>
                      <w:color w:val="000000" w:themeColor="text1"/>
                      <w:sz w:val="18"/>
                      <w:szCs w:val="18"/>
                      <w14:textFill>
                        <w14:solidFill>
                          <w14:schemeClr w14:val="tx1"/>
                        </w14:solidFill>
                      </w14:textFill>
                    </w:rPr>
                    <w:t>排放规律</w:t>
                  </w:r>
                </w:p>
              </w:tc>
              <w:tc>
                <w:tcPr>
                  <w:tcW w:w="1122" w:type="pct"/>
                  <w:gridSpan w:val="3"/>
                  <w:shd w:val="clear" w:color="auto" w:fill="auto"/>
                  <w:noWrap w:val="0"/>
                  <w:vAlign w:val="center"/>
                </w:tcPr>
                <w:p w14:paraId="0BB1FDBB">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排放口基本情况</w:t>
                  </w:r>
                </w:p>
              </w:tc>
              <w:tc>
                <w:tcPr>
                  <w:tcW w:w="230" w:type="pct"/>
                  <w:vMerge w:val="restart"/>
                  <w:shd w:val="clear" w:color="auto" w:fill="auto"/>
                  <w:noWrap w:val="0"/>
                  <w:vAlign w:val="center"/>
                </w:tcPr>
                <w:p w14:paraId="1A6CD861">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排放</w:t>
                  </w:r>
                </w:p>
                <w:p w14:paraId="2D4BF51C">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时间</w:t>
                  </w:r>
                </w:p>
                <w:p w14:paraId="7E95C08D">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h</w:t>
                  </w:r>
                </w:p>
              </w:tc>
              <w:tc>
                <w:tcPr>
                  <w:tcW w:w="347" w:type="pct"/>
                  <w:shd w:val="clear" w:color="auto" w:fill="auto"/>
                  <w:noWrap w:val="0"/>
                  <w:vAlign w:val="center"/>
                </w:tcPr>
                <w:p w14:paraId="3B523C75">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bCs/>
                      <w:color w:val="000000" w:themeColor="text1"/>
                      <w:sz w:val="18"/>
                      <w:szCs w:val="18"/>
                      <w14:textFill>
                        <w14:solidFill>
                          <w14:schemeClr w14:val="tx1"/>
                        </w14:solidFill>
                      </w14:textFill>
                    </w:rPr>
                    <w:t>排放标准</w:t>
                  </w:r>
                </w:p>
              </w:tc>
            </w:tr>
            <w:tr w14:paraId="7F2892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152" w:type="pct"/>
                  <w:vMerge w:val="continue"/>
                  <w:shd w:val="clear" w:color="auto" w:fill="auto"/>
                  <w:noWrap w:val="0"/>
                  <w:vAlign w:val="center"/>
                </w:tcPr>
                <w:p w14:paraId="788203F7">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86" w:type="pct"/>
                  <w:vMerge w:val="continue"/>
                  <w:shd w:val="clear" w:color="auto" w:fill="auto"/>
                  <w:noWrap w:val="0"/>
                  <w:vAlign w:val="center"/>
                </w:tcPr>
                <w:p w14:paraId="15E279D9">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57" w:type="pct"/>
                  <w:vMerge w:val="continue"/>
                  <w:shd w:val="clear" w:color="auto" w:fill="auto"/>
                  <w:noWrap w:val="0"/>
                  <w:vAlign w:val="center"/>
                </w:tcPr>
                <w:p w14:paraId="102250F9">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114" w:type="pct"/>
                  <w:shd w:val="clear" w:color="auto" w:fill="auto"/>
                  <w:noWrap w:val="0"/>
                  <w:vAlign w:val="center"/>
                </w:tcPr>
                <w:p w14:paraId="6AAC7D1A">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核算</w:t>
                  </w:r>
                </w:p>
                <w:p w14:paraId="4304300A">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方法</w:t>
                  </w:r>
                </w:p>
              </w:tc>
              <w:tc>
                <w:tcPr>
                  <w:tcW w:w="246" w:type="pct"/>
                  <w:shd w:val="clear" w:color="auto" w:fill="auto"/>
                  <w:noWrap w:val="0"/>
                  <w:vAlign w:val="center"/>
                </w:tcPr>
                <w:p w14:paraId="7201654A">
                  <w:pPr>
                    <w:pStyle w:val="96"/>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产生废水量/m</w:t>
                  </w:r>
                  <w:r>
                    <w:rPr>
                      <w:rFonts w:hint="default" w:ascii="Times New Roman" w:hAnsi="Times New Roman" w:cs="Times New Roman"/>
                      <w:color w:val="000000" w:themeColor="text1"/>
                      <w:sz w:val="18"/>
                      <w:szCs w:val="18"/>
                      <w:vertAlign w:val="superscript"/>
                      <w14:textFill>
                        <w14:solidFill>
                          <w14:schemeClr w14:val="tx1"/>
                        </w14:solidFill>
                      </w14:textFill>
                    </w:rPr>
                    <w:t>3</w:t>
                  </w:r>
                  <w:r>
                    <w:rPr>
                      <w:rFonts w:hint="default" w:ascii="Times New Roman" w:hAnsi="Times New Roman" w:cs="Times New Roman"/>
                      <w:color w:val="000000" w:themeColor="text1"/>
                      <w:sz w:val="18"/>
                      <w:szCs w:val="18"/>
                      <w14:textFill>
                        <w14:solidFill>
                          <w14:schemeClr w14:val="tx1"/>
                        </w14:solidFill>
                      </w14:textFill>
                    </w:rPr>
                    <w:t>/a</w:t>
                  </w:r>
                </w:p>
              </w:tc>
              <w:tc>
                <w:tcPr>
                  <w:tcW w:w="194" w:type="pct"/>
                  <w:shd w:val="clear" w:color="auto" w:fill="auto"/>
                  <w:noWrap w:val="0"/>
                  <w:vAlign w:val="center"/>
                </w:tcPr>
                <w:p w14:paraId="22127877">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产生浓度</w:t>
                  </w:r>
                </w:p>
                <w:p w14:paraId="1487FE61">
                  <w:pPr>
                    <w:pStyle w:val="96"/>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/mg/L</w:t>
                  </w:r>
                </w:p>
              </w:tc>
              <w:tc>
                <w:tcPr>
                  <w:tcW w:w="247" w:type="pct"/>
                  <w:shd w:val="clear" w:color="auto" w:fill="auto"/>
                  <w:noWrap w:val="0"/>
                  <w:vAlign w:val="center"/>
                </w:tcPr>
                <w:p w14:paraId="3C2BF20D">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产生量</w:t>
                  </w:r>
                </w:p>
                <w:p w14:paraId="283B1C31">
                  <w:pPr>
                    <w:pStyle w:val="96"/>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/t/a</w:t>
                  </w:r>
                </w:p>
              </w:tc>
              <w:tc>
                <w:tcPr>
                  <w:tcW w:w="210" w:type="pct"/>
                  <w:shd w:val="clear" w:color="auto" w:fill="auto"/>
                  <w:noWrap w:val="0"/>
                  <w:vAlign w:val="center"/>
                </w:tcPr>
                <w:p w14:paraId="531EDEE2">
                  <w:pPr>
                    <w:adjustRightInd w:val="0"/>
                    <w:snapToGrid w:val="0"/>
                    <w:jc w:val="center"/>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cs="Times New Roman"/>
                      <w:bCs/>
                      <w:color w:val="000000" w:themeColor="text1"/>
                      <w:sz w:val="18"/>
                      <w:szCs w:val="18"/>
                      <w14:textFill>
                        <w14:solidFill>
                          <w14:schemeClr w14:val="tx1"/>
                        </w14:solidFill>
                      </w14:textFill>
                    </w:rPr>
                    <w:t>处理能力</w:t>
                  </w:r>
                </w:p>
              </w:tc>
              <w:tc>
                <w:tcPr>
                  <w:tcW w:w="235" w:type="pct"/>
                  <w:shd w:val="clear" w:color="auto" w:fill="auto"/>
                  <w:noWrap w:val="0"/>
                  <w:vAlign w:val="center"/>
                </w:tcPr>
                <w:p w14:paraId="38137A6A">
                  <w:pPr>
                    <w:adjustRightInd w:val="0"/>
                    <w:snapToGrid w:val="0"/>
                    <w:jc w:val="center"/>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cs="Times New Roman"/>
                      <w:bCs/>
                      <w:color w:val="000000" w:themeColor="text1"/>
                      <w:sz w:val="18"/>
                      <w:szCs w:val="18"/>
                      <w14:textFill>
                        <w14:solidFill>
                          <w14:schemeClr w14:val="tx1"/>
                        </w14:solidFill>
                      </w14:textFill>
                    </w:rPr>
                    <w:t>治理效率</w:t>
                  </w:r>
                </w:p>
              </w:tc>
              <w:tc>
                <w:tcPr>
                  <w:tcW w:w="193" w:type="pct"/>
                  <w:shd w:val="clear" w:color="auto" w:fill="auto"/>
                  <w:noWrap w:val="0"/>
                  <w:vAlign w:val="center"/>
                </w:tcPr>
                <w:p w14:paraId="0A59F457">
                  <w:pPr>
                    <w:adjustRightInd w:val="0"/>
                    <w:snapToGrid w:val="0"/>
                    <w:jc w:val="center"/>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cs="Times New Roman"/>
                      <w:bCs/>
                      <w:color w:val="000000" w:themeColor="text1"/>
                      <w:sz w:val="18"/>
                      <w:szCs w:val="18"/>
                      <w14:textFill>
                        <w14:solidFill>
                          <w14:schemeClr w14:val="tx1"/>
                        </w14:solidFill>
                      </w14:textFill>
                    </w:rPr>
                    <w:t>是否为可行技术</w:t>
                  </w:r>
                </w:p>
              </w:tc>
              <w:tc>
                <w:tcPr>
                  <w:tcW w:w="247" w:type="pct"/>
                  <w:shd w:val="clear" w:color="auto" w:fill="auto"/>
                  <w:noWrap w:val="0"/>
                  <w:vAlign w:val="center"/>
                </w:tcPr>
                <w:p w14:paraId="129A9A8C">
                  <w:pPr>
                    <w:pStyle w:val="96"/>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排放废水量/m</w:t>
                  </w:r>
                  <w:r>
                    <w:rPr>
                      <w:rFonts w:hint="default" w:ascii="Times New Roman" w:hAnsi="Times New Roman" w:cs="Times New Roman"/>
                      <w:color w:val="000000" w:themeColor="text1"/>
                      <w:sz w:val="18"/>
                      <w:szCs w:val="18"/>
                      <w:vertAlign w:val="superscript"/>
                      <w14:textFill>
                        <w14:solidFill>
                          <w14:schemeClr w14:val="tx1"/>
                        </w14:solidFill>
                      </w14:textFill>
                    </w:rPr>
                    <w:t>3</w:t>
                  </w:r>
                  <w:r>
                    <w:rPr>
                      <w:rFonts w:hint="default" w:ascii="Times New Roman" w:hAnsi="Times New Roman" w:cs="Times New Roman"/>
                      <w:color w:val="000000" w:themeColor="text1"/>
                      <w:sz w:val="18"/>
                      <w:szCs w:val="18"/>
                      <w14:textFill>
                        <w14:solidFill>
                          <w14:schemeClr w14:val="tx1"/>
                        </w14:solidFill>
                      </w14:textFill>
                    </w:rPr>
                    <w:t>/a</w:t>
                  </w:r>
                </w:p>
              </w:tc>
              <w:tc>
                <w:tcPr>
                  <w:tcW w:w="223" w:type="pct"/>
                  <w:shd w:val="clear" w:color="auto" w:fill="auto"/>
                  <w:noWrap w:val="0"/>
                  <w:vAlign w:val="center"/>
                </w:tcPr>
                <w:p w14:paraId="50C13E7E">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排放浓度/mg/L</w:t>
                  </w:r>
                </w:p>
              </w:tc>
              <w:tc>
                <w:tcPr>
                  <w:tcW w:w="223" w:type="pct"/>
                  <w:shd w:val="clear" w:color="auto" w:fill="auto"/>
                  <w:noWrap w:val="0"/>
                  <w:vAlign w:val="center"/>
                </w:tcPr>
                <w:p w14:paraId="6BF0752B">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排放量</w:t>
                  </w:r>
                </w:p>
                <w:p w14:paraId="60B24CA1">
                  <w:pPr>
                    <w:pStyle w:val="96"/>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/t/a</w:t>
                  </w:r>
                </w:p>
              </w:tc>
              <w:tc>
                <w:tcPr>
                  <w:tcW w:w="172" w:type="pct"/>
                  <w:vMerge w:val="continue"/>
                  <w:shd w:val="clear" w:color="auto" w:fill="auto"/>
                  <w:noWrap w:val="0"/>
                  <w:vAlign w:val="center"/>
                </w:tcPr>
                <w:p w14:paraId="1B299675">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321" w:type="pct"/>
                  <w:vMerge w:val="continue"/>
                  <w:shd w:val="clear" w:color="auto" w:fill="auto"/>
                  <w:noWrap w:val="0"/>
                  <w:vAlign w:val="center"/>
                </w:tcPr>
                <w:p w14:paraId="19688AFD">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172" w:type="pct"/>
                  <w:vMerge w:val="continue"/>
                  <w:shd w:val="clear" w:color="auto" w:fill="auto"/>
                  <w:noWrap w:val="0"/>
                  <w:vAlign w:val="center"/>
                </w:tcPr>
                <w:p w14:paraId="131095FB">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352" w:type="pct"/>
                  <w:shd w:val="clear" w:color="auto" w:fill="auto"/>
                  <w:noWrap w:val="0"/>
                  <w:vAlign w:val="center"/>
                </w:tcPr>
                <w:p w14:paraId="6F8C7A56">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bCs/>
                      <w:color w:val="000000" w:themeColor="text1"/>
                      <w:sz w:val="18"/>
                      <w:szCs w:val="18"/>
                      <w14:textFill>
                        <w14:solidFill>
                          <w14:schemeClr w14:val="tx1"/>
                        </w14:solidFill>
                      </w14:textFill>
                    </w:rPr>
                    <w:t>编号及名称</w:t>
                  </w:r>
                </w:p>
              </w:tc>
              <w:tc>
                <w:tcPr>
                  <w:tcW w:w="241" w:type="pct"/>
                  <w:shd w:val="clear" w:color="auto" w:fill="auto"/>
                  <w:noWrap w:val="0"/>
                  <w:vAlign w:val="center"/>
                </w:tcPr>
                <w:p w14:paraId="5177F71D">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bCs/>
                      <w:color w:val="000000" w:themeColor="text1"/>
                      <w:sz w:val="18"/>
                      <w:szCs w:val="18"/>
                      <w14:textFill>
                        <w14:solidFill>
                          <w14:schemeClr w14:val="tx1"/>
                        </w14:solidFill>
                      </w14:textFill>
                    </w:rPr>
                    <w:t>类型</w:t>
                  </w:r>
                </w:p>
              </w:tc>
              <w:tc>
                <w:tcPr>
                  <w:tcW w:w="528" w:type="pct"/>
                  <w:shd w:val="clear" w:color="auto" w:fill="auto"/>
                  <w:noWrap w:val="0"/>
                  <w:vAlign w:val="center"/>
                </w:tcPr>
                <w:p w14:paraId="28B18FA0">
                  <w:pPr>
                    <w:adjustRightInd w:val="0"/>
                    <w:snapToGrid w:val="0"/>
                    <w:jc w:val="center"/>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cs="Times New Roman"/>
                      <w:bCs/>
                      <w:color w:val="000000" w:themeColor="text1"/>
                      <w:sz w:val="18"/>
                      <w:szCs w:val="18"/>
                      <w14:textFill>
                        <w14:solidFill>
                          <w14:schemeClr w14:val="tx1"/>
                        </w14:solidFill>
                      </w14:textFill>
                    </w:rPr>
                    <w:t>地理</w:t>
                  </w:r>
                </w:p>
                <w:p w14:paraId="0FDEA16E">
                  <w:pPr>
                    <w:adjustRightInd w:val="0"/>
                    <w:snapToGrid w:val="0"/>
                    <w:jc w:val="center"/>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cs="Times New Roman"/>
                      <w:bCs/>
                      <w:color w:val="000000" w:themeColor="text1"/>
                      <w:sz w:val="18"/>
                      <w:szCs w:val="18"/>
                      <w14:textFill>
                        <w14:solidFill>
                          <w14:schemeClr w14:val="tx1"/>
                        </w14:solidFill>
                      </w14:textFill>
                    </w:rPr>
                    <w:t>坐标</w:t>
                  </w:r>
                </w:p>
              </w:tc>
              <w:tc>
                <w:tcPr>
                  <w:tcW w:w="230" w:type="pct"/>
                  <w:vMerge w:val="continue"/>
                  <w:shd w:val="clear" w:color="auto" w:fill="auto"/>
                  <w:noWrap w:val="0"/>
                  <w:vAlign w:val="center"/>
                </w:tcPr>
                <w:p w14:paraId="3860BDFD">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347" w:type="pct"/>
                  <w:shd w:val="clear" w:color="auto" w:fill="auto"/>
                  <w:noWrap w:val="0"/>
                  <w:vAlign w:val="center"/>
                </w:tcPr>
                <w:p w14:paraId="44033478">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浓度</w:t>
                  </w:r>
                </w:p>
                <w:p w14:paraId="48E3C650">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/mg/L</w:t>
                  </w:r>
                </w:p>
              </w:tc>
            </w:tr>
            <w:tr w14:paraId="481AA3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152" w:type="pct"/>
                  <w:vMerge w:val="restart"/>
                  <w:shd w:val="clear" w:color="auto" w:fill="auto"/>
                  <w:noWrap w:val="0"/>
                  <w:vAlign w:val="center"/>
                </w:tcPr>
                <w:p w14:paraId="48DEC86C">
                  <w:pPr>
                    <w:pStyle w:val="96"/>
                    <w:spacing w:line="240" w:lineRule="exact"/>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bCs/>
                      <w:color w:val="000000" w:themeColor="text1"/>
                      <w:sz w:val="18"/>
                      <w:szCs w:val="18"/>
                      <w14:textFill>
                        <w14:solidFill>
                          <w14:schemeClr w14:val="tx1"/>
                        </w14:solidFill>
                      </w14:textFill>
                    </w:rPr>
                    <w:t>职工</w:t>
                  </w:r>
                </w:p>
              </w:tc>
              <w:tc>
                <w:tcPr>
                  <w:tcW w:w="86" w:type="pct"/>
                  <w:vMerge w:val="restart"/>
                  <w:shd w:val="clear" w:color="auto" w:fill="auto"/>
                  <w:noWrap w:val="0"/>
                  <w:vAlign w:val="center"/>
                </w:tcPr>
                <w:p w14:paraId="4D7A5F16">
                  <w:pPr>
                    <w:pStyle w:val="96"/>
                    <w:spacing w:line="240" w:lineRule="exact"/>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cs="Times New Roman"/>
                      <w:bCs/>
                      <w:color w:val="000000" w:themeColor="text1"/>
                      <w:sz w:val="18"/>
                      <w:szCs w:val="18"/>
                      <w14:textFill>
                        <w14:solidFill>
                          <w14:schemeClr w14:val="tx1"/>
                        </w14:solidFill>
                      </w14:textFill>
                    </w:rPr>
                    <w:t>生活</w:t>
                  </w:r>
                </w:p>
                <w:p w14:paraId="33DAED93">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bCs/>
                      <w:color w:val="000000" w:themeColor="text1"/>
                      <w:sz w:val="18"/>
                      <w:szCs w:val="18"/>
                      <w14:textFill>
                        <w14:solidFill>
                          <w14:schemeClr w14:val="tx1"/>
                        </w14:solidFill>
                      </w14:textFill>
                    </w:rPr>
                    <w:t>污水</w:t>
                  </w:r>
                </w:p>
              </w:tc>
              <w:tc>
                <w:tcPr>
                  <w:tcW w:w="257" w:type="pct"/>
                  <w:shd w:val="clear" w:color="auto" w:fill="auto"/>
                  <w:noWrap w:val="0"/>
                  <w:vAlign w:val="center"/>
                </w:tcPr>
                <w:p w14:paraId="3EF09A36">
                  <w:pPr>
                    <w:adjustRightInd w:val="0"/>
                    <w:snapToGrid w:val="0"/>
                    <w:jc w:val="center"/>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cs="Times New Roman"/>
                      <w:bCs/>
                      <w:color w:val="000000" w:themeColor="text1"/>
                      <w:sz w:val="18"/>
                      <w:szCs w:val="18"/>
                      <w14:textFill>
                        <w14:solidFill>
                          <w14:schemeClr w14:val="tx1"/>
                        </w14:solidFill>
                      </w14:textFill>
                    </w:rPr>
                    <w:t>pH</w:t>
                  </w:r>
                </w:p>
              </w:tc>
              <w:tc>
                <w:tcPr>
                  <w:tcW w:w="114" w:type="pct"/>
                  <w:vMerge w:val="restart"/>
                  <w:shd w:val="clear" w:color="auto" w:fill="auto"/>
                  <w:noWrap w:val="0"/>
                  <w:vAlign w:val="center"/>
                </w:tcPr>
                <w:p w14:paraId="19E95DF1">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产污系数法</w:t>
                  </w:r>
                </w:p>
              </w:tc>
              <w:tc>
                <w:tcPr>
                  <w:tcW w:w="246" w:type="pct"/>
                  <w:vMerge w:val="restart"/>
                  <w:shd w:val="clear" w:color="auto" w:fill="auto"/>
                  <w:noWrap w:val="0"/>
                  <w:vAlign w:val="center"/>
                </w:tcPr>
                <w:p w14:paraId="5BCF1EFC">
                  <w:pPr>
                    <w:pStyle w:val="96"/>
                    <w:spacing w:line="240" w:lineRule="exact"/>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168.3</w:t>
                  </w:r>
                </w:p>
              </w:tc>
              <w:tc>
                <w:tcPr>
                  <w:tcW w:w="194" w:type="pct"/>
                  <w:shd w:val="clear" w:color="auto" w:fill="auto"/>
                  <w:noWrap w:val="0"/>
                  <w:vAlign w:val="center"/>
                </w:tcPr>
                <w:p w14:paraId="188FE3FA">
                  <w:pPr>
                    <w:adjustRightInd w:val="0"/>
                    <w:snapToGrid w:val="0"/>
                    <w:jc w:val="center"/>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cs="Times New Roman"/>
                      <w:bCs/>
                      <w:color w:val="000000" w:themeColor="text1"/>
                      <w:sz w:val="18"/>
                      <w:szCs w:val="18"/>
                      <w14:textFill>
                        <w14:solidFill>
                          <w14:schemeClr w14:val="tx1"/>
                        </w14:solidFill>
                      </w14:textFill>
                    </w:rPr>
                    <w:t>6-9</w:t>
                  </w:r>
                </w:p>
              </w:tc>
              <w:tc>
                <w:tcPr>
                  <w:tcW w:w="247" w:type="pct"/>
                  <w:shd w:val="clear" w:color="auto" w:fill="auto"/>
                  <w:noWrap w:val="0"/>
                  <w:vAlign w:val="center"/>
                </w:tcPr>
                <w:p w14:paraId="4F1F6EB8">
                  <w:pPr>
                    <w:widowControl/>
                    <w:jc w:val="center"/>
                    <w:textAlignment w:val="center"/>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cs="Times New Roman"/>
                      <w:color w:val="000000" w:themeColor="text1"/>
                      <w:kern w:val="0"/>
                      <w:sz w:val="18"/>
                      <w:szCs w:val="18"/>
                      <w:lang w:bidi="ar"/>
                      <w14:textFill>
                        <w14:solidFill>
                          <w14:schemeClr w14:val="tx1"/>
                        </w14:solidFill>
                      </w14:textFill>
                    </w:rPr>
                    <w:t>/</w:t>
                  </w:r>
                </w:p>
              </w:tc>
              <w:tc>
                <w:tcPr>
                  <w:tcW w:w="210" w:type="pct"/>
                  <w:vMerge w:val="restart"/>
                  <w:shd w:val="clear" w:color="auto" w:fill="auto"/>
                  <w:noWrap w:val="0"/>
                  <w:vAlign w:val="center"/>
                </w:tcPr>
                <w:p w14:paraId="63637909">
                  <w:pPr>
                    <w:pStyle w:val="96"/>
                    <w:spacing w:line="240" w:lineRule="exact"/>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Cs/>
                      <w:color w:val="000000" w:themeColor="text1"/>
                      <w:sz w:val="18"/>
                      <w:szCs w:val="18"/>
                      <w14:textFill>
                        <w14:solidFill>
                          <w14:schemeClr w14:val="tx1"/>
                        </w14:solidFill>
                      </w14:textFill>
                    </w:rPr>
                    <w:t>化粪池</w:t>
                  </w:r>
                  <w:r>
                    <w:rPr>
                      <w:rFonts w:hint="default" w:ascii="Times New Roman" w:hAnsi="Times New Roman" w:cs="Times New Roman"/>
                      <w:bCs/>
                      <w:color w:val="000000" w:themeColor="text1"/>
                      <w:sz w:val="18"/>
                      <w:szCs w:val="18"/>
                      <w:highlight w:val="none"/>
                      <w:lang w:val="en-US" w:eastAsia="zh-CN"/>
                      <w14:textFill>
                        <w14:solidFill>
                          <w14:schemeClr w14:val="tx1"/>
                        </w14:solidFill>
                      </w14:textFill>
                    </w:rPr>
                    <w:t>3m</w:t>
                  </w:r>
                  <w:r>
                    <w:rPr>
                      <w:rFonts w:hint="default" w:ascii="Times New Roman" w:hAnsi="Times New Roman" w:cs="Times New Roman"/>
                      <w:bCs/>
                      <w:color w:val="000000" w:themeColor="text1"/>
                      <w:sz w:val="18"/>
                      <w:szCs w:val="18"/>
                      <w:highlight w:val="none"/>
                      <w:vertAlign w:val="superscript"/>
                      <w:lang w:val="en-US" w:eastAsia="zh-CN"/>
                      <w14:textFill>
                        <w14:solidFill>
                          <w14:schemeClr w14:val="tx1"/>
                        </w14:solidFill>
                      </w14:textFill>
                    </w:rPr>
                    <w:t>3</w:t>
                  </w:r>
                </w:p>
              </w:tc>
              <w:tc>
                <w:tcPr>
                  <w:tcW w:w="235" w:type="pct"/>
                  <w:shd w:val="clear" w:color="auto" w:fill="auto"/>
                  <w:noWrap w:val="0"/>
                  <w:vAlign w:val="center"/>
                </w:tcPr>
                <w:p w14:paraId="73F2845B">
                  <w:pPr>
                    <w:adjustRightInd w:val="0"/>
                    <w:snapToGrid w:val="0"/>
                    <w:jc w:val="center"/>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cs="Times New Roman"/>
                      <w:bCs/>
                      <w:color w:val="000000" w:themeColor="text1"/>
                      <w:sz w:val="18"/>
                      <w:szCs w:val="18"/>
                      <w14:textFill>
                        <w14:solidFill>
                          <w14:schemeClr w14:val="tx1"/>
                        </w14:solidFill>
                      </w14:textFill>
                    </w:rPr>
                    <w:t>/</w:t>
                  </w:r>
                </w:p>
              </w:tc>
              <w:tc>
                <w:tcPr>
                  <w:tcW w:w="193" w:type="pct"/>
                  <w:vMerge w:val="restart"/>
                  <w:shd w:val="clear" w:color="auto" w:fill="auto"/>
                  <w:noWrap w:val="0"/>
                  <w:vAlign w:val="center"/>
                </w:tcPr>
                <w:p w14:paraId="6C5028D2">
                  <w:pPr>
                    <w:pStyle w:val="96"/>
                    <w:spacing w:line="240" w:lineRule="exact"/>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是</w:t>
                  </w:r>
                </w:p>
              </w:tc>
              <w:tc>
                <w:tcPr>
                  <w:tcW w:w="247" w:type="pct"/>
                  <w:vMerge w:val="restart"/>
                  <w:shd w:val="clear" w:color="auto" w:fill="auto"/>
                  <w:noWrap w:val="0"/>
                  <w:vAlign w:val="center"/>
                </w:tcPr>
                <w:p w14:paraId="39E0BBE6">
                  <w:pPr>
                    <w:pStyle w:val="96"/>
                    <w:spacing w:line="240" w:lineRule="exact"/>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168.3</w:t>
                  </w:r>
                </w:p>
              </w:tc>
              <w:tc>
                <w:tcPr>
                  <w:tcW w:w="223" w:type="pct"/>
                  <w:shd w:val="clear" w:color="auto" w:fill="auto"/>
                  <w:noWrap w:val="0"/>
                  <w:vAlign w:val="center"/>
                </w:tcPr>
                <w:p w14:paraId="75D8222B">
                  <w:pPr>
                    <w:widowControl/>
                    <w:jc w:val="center"/>
                    <w:textAlignment w:val="center"/>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cs="Times New Roman"/>
                      <w:color w:val="000000" w:themeColor="text1"/>
                      <w:kern w:val="0"/>
                      <w:sz w:val="18"/>
                      <w:szCs w:val="18"/>
                      <w:lang w:bidi="ar"/>
                      <w14:textFill>
                        <w14:solidFill>
                          <w14:schemeClr w14:val="tx1"/>
                        </w14:solidFill>
                      </w14:textFill>
                    </w:rPr>
                    <w:t>/</w:t>
                  </w:r>
                </w:p>
              </w:tc>
              <w:tc>
                <w:tcPr>
                  <w:tcW w:w="223" w:type="pct"/>
                  <w:shd w:val="clear" w:color="auto" w:fill="auto"/>
                  <w:noWrap w:val="0"/>
                  <w:vAlign w:val="center"/>
                </w:tcPr>
                <w:p w14:paraId="1C5C16F9">
                  <w:pPr>
                    <w:widowControl/>
                    <w:jc w:val="center"/>
                    <w:textAlignment w:val="center"/>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cs="Times New Roman"/>
                      <w:color w:val="000000" w:themeColor="text1"/>
                      <w:kern w:val="0"/>
                      <w:sz w:val="18"/>
                      <w:szCs w:val="18"/>
                      <w:lang w:bidi="ar"/>
                      <w14:textFill>
                        <w14:solidFill>
                          <w14:schemeClr w14:val="tx1"/>
                        </w14:solidFill>
                      </w14:textFill>
                    </w:rPr>
                    <w:t>/</w:t>
                  </w:r>
                </w:p>
              </w:tc>
              <w:tc>
                <w:tcPr>
                  <w:tcW w:w="172" w:type="pct"/>
                  <w:vMerge w:val="restart"/>
                  <w:shd w:val="clear" w:color="auto" w:fill="auto"/>
                  <w:noWrap w:val="0"/>
                  <w:vAlign w:val="center"/>
                </w:tcPr>
                <w:p w14:paraId="2908F415">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bCs/>
                      <w:color w:val="000000" w:themeColor="text1"/>
                      <w:sz w:val="18"/>
                      <w:szCs w:val="18"/>
                      <w14:textFill>
                        <w14:solidFill>
                          <w14:schemeClr w14:val="tx1"/>
                        </w14:solidFill>
                      </w14:textFill>
                    </w:rPr>
                    <w:t>间接排放</w:t>
                  </w:r>
                </w:p>
              </w:tc>
              <w:tc>
                <w:tcPr>
                  <w:tcW w:w="321" w:type="pct"/>
                  <w:vMerge w:val="restart"/>
                  <w:shd w:val="clear" w:color="auto" w:fill="auto"/>
                  <w:noWrap w:val="0"/>
                  <w:vAlign w:val="center"/>
                </w:tcPr>
                <w:p w14:paraId="028048B1">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bCs/>
                      <w:color w:val="000000" w:themeColor="text1"/>
                      <w:sz w:val="18"/>
                      <w:szCs w:val="18"/>
                      <w14:textFill>
                        <w14:solidFill>
                          <w14:schemeClr w14:val="tx1"/>
                        </w14:solidFill>
                      </w14:textFill>
                    </w:rPr>
                    <w:t>排入市政污水管网，送往</w:t>
                  </w:r>
                  <w:r>
                    <w:rPr>
                      <w:rFonts w:hint="default" w:ascii="Times New Roman" w:hAnsi="Times New Roman" w:cs="Times New Roman"/>
                      <w:bCs/>
                      <w:color w:val="000000" w:themeColor="text1"/>
                      <w:sz w:val="18"/>
                      <w:szCs w:val="18"/>
                      <w:lang w:eastAsia="zh-CN"/>
                      <w14:textFill>
                        <w14:solidFill>
                          <w14:schemeClr w14:val="tx1"/>
                        </w14:solidFill>
                      </w14:textFill>
                    </w:rPr>
                    <w:t>江镜华侨农场污水处理厂</w:t>
                  </w:r>
                  <w:r>
                    <w:rPr>
                      <w:rFonts w:hint="default" w:ascii="Times New Roman" w:hAnsi="Times New Roman" w:cs="Times New Roman"/>
                      <w:bCs/>
                      <w:color w:val="000000" w:themeColor="text1"/>
                      <w:sz w:val="18"/>
                      <w:szCs w:val="18"/>
                      <w14:textFill>
                        <w14:solidFill>
                          <w14:schemeClr w14:val="tx1"/>
                        </w14:solidFill>
                      </w14:textFill>
                    </w:rPr>
                    <w:t>集中处理</w:t>
                  </w:r>
                </w:p>
              </w:tc>
              <w:tc>
                <w:tcPr>
                  <w:tcW w:w="172" w:type="pct"/>
                  <w:vMerge w:val="restart"/>
                  <w:shd w:val="clear" w:color="auto" w:fill="auto"/>
                  <w:noWrap w:val="0"/>
                  <w:vAlign w:val="center"/>
                </w:tcPr>
                <w:p w14:paraId="645F0C29">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bCs/>
                      <w:color w:val="000000" w:themeColor="text1"/>
                      <w:sz w:val="18"/>
                      <w:szCs w:val="18"/>
                      <w14:textFill>
                        <w14:solidFill>
                          <w14:schemeClr w14:val="tx1"/>
                        </w14:solidFill>
                      </w14:textFill>
                    </w:rPr>
                    <w:t>间歇排放</w:t>
                  </w:r>
                </w:p>
              </w:tc>
              <w:tc>
                <w:tcPr>
                  <w:tcW w:w="352" w:type="pct"/>
                  <w:vMerge w:val="restart"/>
                  <w:shd w:val="clear" w:color="auto" w:fill="auto"/>
                  <w:noWrap w:val="0"/>
                  <w:vAlign w:val="center"/>
                </w:tcPr>
                <w:p w14:paraId="4823D912">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bCs/>
                      <w:color w:val="000000" w:themeColor="text1"/>
                      <w:sz w:val="18"/>
                      <w:szCs w:val="18"/>
                      <w14:textFill>
                        <w14:solidFill>
                          <w14:schemeClr w14:val="tx1"/>
                        </w14:solidFill>
                      </w14:textFill>
                    </w:rPr>
                    <w:t>编号DW001，</w:t>
                  </w:r>
                  <w:r>
                    <w:rPr>
                      <w:rFonts w:hint="default" w:ascii="Times New Roman" w:hAnsi="Times New Roman" w:cs="Times New Roman"/>
                      <w:color w:val="000000" w:themeColor="text1"/>
                      <w:sz w:val="18"/>
                      <w:szCs w:val="18"/>
                      <w14:textFill>
                        <w14:solidFill>
                          <w14:schemeClr w14:val="tx1"/>
                        </w14:solidFill>
                      </w14:textFill>
                    </w:rPr>
                    <w:t>厂区污水总排口</w:t>
                  </w:r>
                </w:p>
              </w:tc>
              <w:tc>
                <w:tcPr>
                  <w:tcW w:w="241" w:type="pct"/>
                  <w:vMerge w:val="restart"/>
                  <w:shd w:val="clear" w:color="auto" w:fill="auto"/>
                  <w:noWrap w:val="0"/>
                  <w:vAlign w:val="center"/>
                </w:tcPr>
                <w:p w14:paraId="242F9B35">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一般排放口</w:t>
                  </w:r>
                </w:p>
              </w:tc>
              <w:tc>
                <w:tcPr>
                  <w:tcW w:w="528" w:type="pct"/>
                  <w:vMerge w:val="restart"/>
                  <w:shd w:val="clear" w:color="auto" w:fill="auto"/>
                  <w:noWrap w:val="0"/>
                  <w:vAlign w:val="center"/>
                </w:tcPr>
                <w:p w14:paraId="63B63EA4">
                  <w:pPr>
                    <w:pStyle w:val="96"/>
                    <w:spacing w:line="240" w:lineRule="exac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经度：</w:t>
                  </w:r>
                </w:p>
                <w:p w14:paraId="62852216">
                  <w:pPr>
                    <w:adjustRightInd w:val="0"/>
                    <w:snapToGrid w:val="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119°23′11.359,</w:t>
                  </w:r>
                </w:p>
                <w:p w14:paraId="69725ACA">
                  <w:pPr>
                    <w:adjustRightInd w:val="0"/>
                    <w:snapToGrid w:val="0"/>
                    <w:jc w:val="center"/>
                    <w:rPr>
                      <w:rFonts w:hint="default" w:ascii="Times New Roman" w:hAnsi="Times New Roman" w:eastAsia="宋体" w:cs="Times New Roman"/>
                      <w:bCs/>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auto"/>
                      <w:sz w:val="18"/>
                      <w:szCs w:val="18"/>
                      <w:highlight w:val="none"/>
                      <w:lang w:val="en-US" w:eastAsia="zh-CN"/>
                    </w:rPr>
                    <w:t>25°31′43.06</w:t>
                  </w:r>
                  <w:r>
                    <w:rPr>
                      <w:rFonts w:hint="eastAsia" w:ascii="Times New Roman" w:hAnsi="Times New Roman" w:cs="Times New Roman"/>
                      <w:color w:val="auto"/>
                      <w:sz w:val="18"/>
                      <w:szCs w:val="18"/>
                      <w:highlight w:val="none"/>
                      <w:lang w:val="en-US" w:eastAsia="zh-CN"/>
                    </w:rPr>
                    <w:t>1</w:t>
                  </w:r>
                  <w:r>
                    <w:rPr>
                      <w:rFonts w:hint="default" w:ascii="Times New Roman" w:hAnsi="Times New Roman" w:eastAsia="宋体" w:cs="Times New Roman"/>
                      <w:color w:val="auto"/>
                      <w:sz w:val="18"/>
                      <w:szCs w:val="18"/>
                      <w:highlight w:val="none"/>
                      <w:lang w:val="en-US" w:eastAsia="zh-CN"/>
                    </w:rPr>
                    <w:t>″</w:t>
                  </w:r>
                </w:p>
              </w:tc>
              <w:tc>
                <w:tcPr>
                  <w:tcW w:w="230" w:type="pct"/>
                  <w:vMerge w:val="restart"/>
                  <w:shd w:val="clear" w:color="auto" w:fill="auto"/>
                  <w:noWrap w:val="0"/>
                  <w:vAlign w:val="center"/>
                </w:tcPr>
                <w:p w14:paraId="0F4D00AF">
                  <w:pPr>
                    <w:pStyle w:val="96"/>
                    <w:spacing w:line="240" w:lineRule="exact"/>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7920</w:t>
                  </w:r>
                </w:p>
              </w:tc>
              <w:tc>
                <w:tcPr>
                  <w:tcW w:w="347" w:type="pct"/>
                  <w:shd w:val="clear" w:color="auto" w:fill="auto"/>
                  <w:noWrap w:val="0"/>
                  <w:vAlign w:val="center"/>
                </w:tcPr>
                <w:p w14:paraId="1EC8CC72">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bCs/>
                      <w:color w:val="000000" w:themeColor="text1"/>
                      <w:sz w:val="18"/>
                      <w:szCs w:val="18"/>
                      <w14:textFill>
                        <w14:solidFill>
                          <w14:schemeClr w14:val="tx1"/>
                        </w14:solidFill>
                      </w14:textFill>
                    </w:rPr>
                    <w:t>6-9(无量纲)</w:t>
                  </w:r>
                </w:p>
              </w:tc>
            </w:tr>
            <w:tr w14:paraId="0A4907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425" w:hRule="atLeast"/>
                <w:jc w:val="center"/>
              </w:trPr>
              <w:tc>
                <w:tcPr>
                  <w:tcW w:w="152" w:type="pct"/>
                  <w:vMerge w:val="continue"/>
                  <w:shd w:val="clear" w:color="auto" w:fill="auto"/>
                  <w:noWrap w:val="0"/>
                  <w:vAlign w:val="center"/>
                </w:tcPr>
                <w:p w14:paraId="356B7ED4">
                  <w:pPr>
                    <w:pStyle w:val="96"/>
                    <w:spacing w:line="240" w:lineRule="exact"/>
                    <w:rPr>
                      <w:rFonts w:hint="default" w:ascii="Times New Roman" w:hAnsi="Times New Roman" w:cs="Times New Roman"/>
                      <w:bCs/>
                      <w:color w:val="000000" w:themeColor="text1"/>
                      <w:sz w:val="18"/>
                      <w:szCs w:val="18"/>
                      <w14:textFill>
                        <w14:solidFill>
                          <w14:schemeClr w14:val="tx1"/>
                        </w14:solidFill>
                      </w14:textFill>
                    </w:rPr>
                  </w:pPr>
                </w:p>
              </w:tc>
              <w:tc>
                <w:tcPr>
                  <w:tcW w:w="86" w:type="pct"/>
                  <w:vMerge w:val="continue"/>
                  <w:shd w:val="clear" w:color="auto" w:fill="auto"/>
                  <w:noWrap w:val="0"/>
                  <w:vAlign w:val="center"/>
                </w:tcPr>
                <w:p w14:paraId="7B551ABB">
                  <w:pPr>
                    <w:pStyle w:val="96"/>
                    <w:spacing w:line="240" w:lineRule="exact"/>
                    <w:rPr>
                      <w:rFonts w:hint="default" w:ascii="Times New Roman" w:hAnsi="Times New Roman" w:cs="Times New Roman"/>
                      <w:bCs/>
                      <w:color w:val="000000" w:themeColor="text1"/>
                      <w:sz w:val="18"/>
                      <w:szCs w:val="18"/>
                      <w14:textFill>
                        <w14:solidFill>
                          <w14:schemeClr w14:val="tx1"/>
                        </w14:solidFill>
                      </w14:textFill>
                    </w:rPr>
                  </w:pPr>
                </w:p>
              </w:tc>
              <w:tc>
                <w:tcPr>
                  <w:tcW w:w="257" w:type="pct"/>
                  <w:shd w:val="clear" w:color="auto" w:fill="auto"/>
                  <w:noWrap w:val="0"/>
                  <w:vAlign w:val="center"/>
                </w:tcPr>
                <w:p w14:paraId="7849FF2A">
                  <w:pPr>
                    <w:adjustRightInd w:val="0"/>
                    <w:snapToGrid w:val="0"/>
                    <w:jc w:val="center"/>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COD</w:t>
                  </w:r>
                  <w:r>
                    <w:rPr>
                      <w:rFonts w:hint="default" w:ascii="Times New Roman" w:hAnsi="Times New Roman" w:cs="Times New Roman"/>
                      <w:color w:val="000000" w:themeColor="text1"/>
                      <w:sz w:val="18"/>
                      <w:szCs w:val="18"/>
                      <w:vertAlign w:val="subscript"/>
                      <w14:textFill>
                        <w14:solidFill>
                          <w14:schemeClr w14:val="tx1"/>
                        </w14:solidFill>
                      </w14:textFill>
                    </w:rPr>
                    <w:t>C</w:t>
                  </w:r>
                  <w:r>
                    <w:rPr>
                      <w:rFonts w:hint="default" w:ascii="Times New Roman" w:hAnsi="Times New Roman" w:cs="Times New Roman"/>
                      <w:color w:val="000000" w:themeColor="text1"/>
                      <w:sz w:val="18"/>
                      <w:szCs w:val="18"/>
                      <w14:textFill>
                        <w14:solidFill>
                          <w14:schemeClr w14:val="tx1"/>
                        </w14:solidFill>
                      </w14:textFill>
                    </w:rPr>
                    <w:t>r</w:t>
                  </w:r>
                </w:p>
              </w:tc>
              <w:tc>
                <w:tcPr>
                  <w:tcW w:w="114" w:type="pct"/>
                  <w:vMerge w:val="continue"/>
                  <w:shd w:val="clear" w:color="auto" w:fill="auto"/>
                  <w:noWrap w:val="0"/>
                  <w:vAlign w:val="center"/>
                </w:tcPr>
                <w:p w14:paraId="562F0D14">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46" w:type="pct"/>
                  <w:vMerge w:val="continue"/>
                  <w:shd w:val="clear" w:color="auto" w:fill="auto"/>
                  <w:noWrap w:val="0"/>
                  <w:vAlign w:val="center"/>
                </w:tcPr>
                <w:p w14:paraId="2FD267E5">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194" w:type="pct"/>
                  <w:shd w:val="clear" w:color="auto" w:fill="auto"/>
                  <w:noWrap w:val="0"/>
                  <w:vAlign w:val="center"/>
                </w:tcPr>
                <w:p w14:paraId="0B4053B0">
                  <w:pPr>
                    <w:adjustRightInd w:val="0"/>
                    <w:snapToGrid w:val="0"/>
                    <w:jc w:val="center"/>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cs="Times New Roman"/>
                      <w:bCs/>
                      <w:color w:val="000000" w:themeColor="text1"/>
                      <w:sz w:val="18"/>
                      <w:szCs w:val="18"/>
                      <w14:textFill>
                        <w14:solidFill>
                          <w14:schemeClr w14:val="tx1"/>
                        </w14:solidFill>
                      </w14:textFill>
                    </w:rPr>
                    <w:t>340</w:t>
                  </w:r>
                </w:p>
              </w:tc>
              <w:tc>
                <w:tcPr>
                  <w:tcW w:w="247" w:type="pct"/>
                  <w:shd w:val="clear" w:color="auto" w:fill="auto"/>
                  <w:noWrap w:val="0"/>
                  <w:vAlign w:val="center"/>
                </w:tcPr>
                <w:p w14:paraId="38EBAEB8">
                  <w:pPr>
                    <w:keepNext w:val="0"/>
                    <w:keepLines w:val="0"/>
                    <w:widowControl/>
                    <w:suppressLineNumbers w:val="0"/>
                    <w:jc w:val="center"/>
                    <w:textAlignment w:val="center"/>
                    <w:rPr>
                      <w:rFonts w:hint="default" w:ascii="Times New Roman" w:hAnsi="Times New Roman" w:eastAsia="宋体" w:cs="Times New Roman"/>
                      <w:bCs/>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 xml:space="preserve">0.057 </w:t>
                  </w:r>
                </w:p>
              </w:tc>
              <w:tc>
                <w:tcPr>
                  <w:tcW w:w="210" w:type="pct"/>
                  <w:vMerge w:val="continue"/>
                  <w:shd w:val="clear" w:color="auto" w:fill="auto"/>
                  <w:noWrap w:val="0"/>
                  <w:vAlign w:val="center"/>
                </w:tcPr>
                <w:p w14:paraId="4CA9F47F">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35" w:type="pct"/>
                  <w:shd w:val="clear" w:color="auto" w:fill="auto"/>
                  <w:noWrap w:val="0"/>
                  <w:vAlign w:val="center"/>
                </w:tcPr>
                <w:p w14:paraId="16302396">
                  <w:pPr>
                    <w:adjustRightInd w:val="0"/>
                    <w:snapToGrid w:val="0"/>
                    <w:jc w:val="center"/>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40</w:t>
                  </w:r>
                  <w:r>
                    <w:rPr>
                      <w:rFonts w:hint="default" w:ascii="Times New Roman" w:hAnsi="Times New Roman" w:cs="Times New Roman"/>
                      <w:color w:val="000000" w:themeColor="text1"/>
                      <w:sz w:val="18"/>
                      <w:szCs w:val="18"/>
                      <w14:textFill>
                        <w14:solidFill>
                          <w14:schemeClr w14:val="tx1"/>
                        </w14:solidFill>
                      </w14:textFill>
                    </w:rPr>
                    <w:t>%</w:t>
                  </w:r>
                </w:p>
              </w:tc>
              <w:tc>
                <w:tcPr>
                  <w:tcW w:w="193" w:type="pct"/>
                  <w:vMerge w:val="continue"/>
                  <w:shd w:val="clear" w:color="auto" w:fill="auto"/>
                  <w:noWrap w:val="0"/>
                  <w:vAlign w:val="center"/>
                </w:tcPr>
                <w:p w14:paraId="4272EFAF">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47" w:type="pct"/>
                  <w:vMerge w:val="continue"/>
                  <w:shd w:val="clear" w:color="auto" w:fill="auto"/>
                  <w:noWrap w:val="0"/>
                  <w:vAlign w:val="center"/>
                </w:tcPr>
                <w:p w14:paraId="01E1FD9B">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23" w:type="pct"/>
                  <w:shd w:val="clear" w:color="auto" w:fill="auto"/>
                  <w:noWrap w:val="0"/>
                  <w:vAlign w:val="center"/>
                </w:tcPr>
                <w:p w14:paraId="09E77298">
                  <w:pPr>
                    <w:keepNext w:val="0"/>
                    <w:keepLines w:val="0"/>
                    <w:widowControl/>
                    <w:suppressLineNumbers w:val="0"/>
                    <w:jc w:val="center"/>
                    <w:textAlignment w:val="center"/>
                    <w:rPr>
                      <w:rFonts w:hint="default" w:ascii="Times New Roman" w:hAnsi="Times New Roman" w:eastAsia="宋体" w:cs="Times New Roman"/>
                      <w:bCs/>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204</w:t>
                  </w:r>
                </w:p>
              </w:tc>
              <w:tc>
                <w:tcPr>
                  <w:tcW w:w="223" w:type="pct"/>
                  <w:shd w:val="clear" w:color="auto" w:fill="auto"/>
                  <w:noWrap w:val="0"/>
                  <w:vAlign w:val="center"/>
                </w:tcPr>
                <w:p w14:paraId="618E5B9B">
                  <w:pPr>
                    <w:keepNext w:val="0"/>
                    <w:keepLines w:val="0"/>
                    <w:widowControl/>
                    <w:suppressLineNumbers w:val="0"/>
                    <w:jc w:val="center"/>
                    <w:textAlignment w:val="center"/>
                    <w:rPr>
                      <w:rFonts w:hint="default" w:ascii="Times New Roman" w:hAnsi="Times New Roman" w:eastAsia="宋体" w:cs="Times New Roman"/>
                      <w:bCs/>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 xml:space="preserve">0.034 </w:t>
                  </w:r>
                </w:p>
              </w:tc>
              <w:tc>
                <w:tcPr>
                  <w:tcW w:w="172" w:type="pct"/>
                  <w:vMerge w:val="continue"/>
                  <w:shd w:val="clear" w:color="auto" w:fill="auto"/>
                  <w:noWrap w:val="0"/>
                  <w:vAlign w:val="center"/>
                </w:tcPr>
                <w:p w14:paraId="6BC868FA">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321" w:type="pct"/>
                  <w:vMerge w:val="continue"/>
                  <w:shd w:val="clear" w:color="auto" w:fill="auto"/>
                  <w:noWrap w:val="0"/>
                  <w:vAlign w:val="center"/>
                </w:tcPr>
                <w:p w14:paraId="10E731F5">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172" w:type="pct"/>
                  <w:vMerge w:val="continue"/>
                  <w:shd w:val="clear" w:color="auto" w:fill="auto"/>
                  <w:noWrap w:val="0"/>
                  <w:vAlign w:val="center"/>
                </w:tcPr>
                <w:p w14:paraId="19EE22DA">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352" w:type="pct"/>
                  <w:vMerge w:val="continue"/>
                  <w:shd w:val="clear" w:color="auto" w:fill="auto"/>
                  <w:noWrap w:val="0"/>
                  <w:vAlign w:val="center"/>
                </w:tcPr>
                <w:p w14:paraId="1F0D6B31">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41" w:type="pct"/>
                  <w:vMerge w:val="continue"/>
                  <w:shd w:val="clear" w:color="auto" w:fill="auto"/>
                  <w:noWrap w:val="0"/>
                  <w:vAlign w:val="center"/>
                </w:tcPr>
                <w:p w14:paraId="34B33321">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528" w:type="pct"/>
                  <w:vMerge w:val="continue"/>
                  <w:shd w:val="clear" w:color="auto" w:fill="auto"/>
                  <w:noWrap w:val="0"/>
                  <w:vAlign w:val="center"/>
                </w:tcPr>
                <w:p w14:paraId="1E320305">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30" w:type="pct"/>
                  <w:vMerge w:val="continue"/>
                  <w:shd w:val="clear" w:color="auto" w:fill="auto"/>
                  <w:noWrap w:val="0"/>
                  <w:vAlign w:val="center"/>
                </w:tcPr>
                <w:p w14:paraId="10F2BB6A">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347" w:type="pct"/>
                  <w:shd w:val="clear" w:color="auto" w:fill="auto"/>
                  <w:noWrap w:val="0"/>
                  <w:vAlign w:val="center"/>
                </w:tcPr>
                <w:p w14:paraId="3E178CD9">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500</w:t>
                  </w:r>
                </w:p>
              </w:tc>
            </w:tr>
            <w:tr w14:paraId="780231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152" w:type="pct"/>
                  <w:vMerge w:val="continue"/>
                  <w:shd w:val="clear" w:color="auto" w:fill="auto"/>
                  <w:noWrap w:val="0"/>
                  <w:vAlign w:val="center"/>
                </w:tcPr>
                <w:p w14:paraId="42D8929C">
                  <w:pPr>
                    <w:pStyle w:val="96"/>
                    <w:spacing w:line="240" w:lineRule="exact"/>
                    <w:rPr>
                      <w:rFonts w:hint="default" w:ascii="Times New Roman" w:hAnsi="Times New Roman" w:cs="Times New Roman"/>
                      <w:bCs/>
                      <w:color w:val="000000" w:themeColor="text1"/>
                      <w:sz w:val="18"/>
                      <w:szCs w:val="18"/>
                      <w14:textFill>
                        <w14:solidFill>
                          <w14:schemeClr w14:val="tx1"/>
                        </w14:solidFill>
                      </w14:textFill>
                    </w:rPr>
                  </w:pPr>
                </w:p>
              </w:tc>
              <w:tc>
                <w:tcPr>
                  <w:tcW w:w="86" w:type="pct"/>
                  <w:vMerge w:val="continue"/>
                  <w:shd w:val="clear" w:color="auto" w:fill="auto"/>
                  <w:noWrap w:val="0"/>
                  <w:vAlign w:val="center"/>
                </w:tcPr>
                <w:p w14:paraId="1C5065CB">
                  <w:pPr>
                    <w:pStyle w:val="96"/>
                    <w:spacing w:line="240" w:lineRule="exact"/>
                    <w:rPr>
                      <w:rFonts w:hint="default" w:ascii="Times New Roman" w:hAnsi="Times New Roman" w:cs="Times New Roman"/>
                      <w:bCs/>
                      <w:color w:val="000000" w:themeColor="text1"/>
                      <w:sz w:val="18"/>
                      <w:szCs w:val="18"/>
                      <w14:textFill>
                        <w14:solidFill>
                          <w14:schemeClr w14:val="tx1"/>
                        </w14:solidFill>
                      </w14:textFill>
                    </w:rPr>
                  </w:pPr>
                </w:p>
              </w:tc>
              <w:tc>
                <w:tcPr>
                  <w:tcW w:w="257" w:type="pct"/>
                  <w:shd w:val="clear" w:color="auto" w:fill="auto"/>
                  <w:noWrap w:val="0"/>
                  <w:vAlign w:val="center"/>
                </w:tcPr>
                <w:p w14:paraId="3CC19FE0">
                  <w:pPr>
                    <w:adjustRightInd w:val="0"/>
                    <w:snapToGrid w:val="0"/>
                    <w:jc w:val="center"/>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BOD</w:t>
                  </w:r>
                  <w:r>
                    <w:rPr>
                      <w:rFonts w:hint="default" w:ascii="Times New Roman" w:hAnsi="Times New Roman" w:cs="Times New Roman"/>
                      <w:color w:val="000000" w:themeColor="text1"/>
                      <w:sz w:val="18"/>
                      <w:szCs w:val="18"/>
                      <w:vertAlign w:val="subscript"/>
                      <w14:textFill>
                        <w14:solidFill>
                          <w14:schemeClr w14:val="tx1"/>
                        </w14:solidFill>
                      </w14:textFill>
                    </w:rPr>
                    <w:t>5</w:t>
                  </w:r>
                </w:p>
              </w:tc>
              <w:tc>
                <w:tcPr>
                  <w:tcW w:w="114" w:type="pct"/>
                  <w:vMerge w:val="continue"/>
                  <w:shd w:val="clear" w:color="auto" w:fill="auto"/>
                  <w:noWrap w:val="0"/>
                  <w:vAlign w:val="center"/>
                </w:tcPr>
                <w:p w14:paraId="2AA718AE">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46" w:type="pct"/>
                  <w:vMerge w:val="continue"/>
                  <w:shd w:val="clear" w:color="auto" w:fill="auto"/>
                  <w:noWrap w:val="0"/>
                  <w:vAlign w:val="center"/>
                </w:tcPr>
                <w:p w14:paraId="06D12816">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194" w:type="pct"/>
                  <w:shd w:val="clear" w:color="auto" w:fill="auto"/>
                  <w:noWrap w:val="0"/>
                  <w:vAlign w:val="center"/>
                </w:tcPr>
                <w:p w14:paraId="665336B0">
                  <w:pPr>
                    <w:adjustRightInd w:val="0"/>
                    <w:snapToGrid w:val="0"/>
                    <w:jc w:val="center"/>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cs="Times New Roman"/>
                      <w:bCs/>
                      <w:color w:val="000000" w:themeColor="text1"/>
                      <w:sz w:val="18"/>
                      <w:szCs w:val="18"/>
                      <w14:textFill>
                        <w14:solidFill>
                          <w14:schemeClr w14:val="tx1"/>
                        </w14:solidFill>
                      </w14:textFill>
                    </w:rPr>
                    <w:t>200</w:t>
                  </w:r>
                </w:p>
              </w:tc>
              <w:tc>
                <w:tcPr>
                  <w:tcW w:w="247" w:type="pct"/>
                  <w:shd w:val="clear" w:color="auto" w:fill="auto"/>
                  <w:noWrap w:val="0"/>
                  <w:vAlign w:val="center"/>
                </w:tcPr>
                <w:p w14:paraId="54C1FD0D">
                  <w:pPr>
                    <w:keepNext w:val="0"/>
                    <w:keepLines w:val="0"/>
                    <w:widowControl/>
                    <w:suppressLineNumbers w:val="0"/>
                    <w:jc w:val="center"/>
                    <w:textAlignment w:val="center"/>
                    <w:rPr>
                      <w:rFonts w:hint="default" w:ascii="Times New Roman" w:hAnsi="Times New Roman" w:eastAsia="宋体" w:cs="Times New Roman"/>
                      <w:bCs/>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 xml:space="preserve">0.034 </w:t>
                  </w:r>
                </w:p>
              </w:tc>
              <w:tc>
                <w:tcPr>
                  <w:tcW w:w="210" w:type="pct"/>
                  <w:vMerge w:val="continue"/>
                  <w:shd w:val="clear" w:color="auto" w:fill="auto"/>
                  <w:noWrap w:val="0"/>
                  <w:vAlign w:val="center"/>
                </w:tcPr>
                <w:p w14:paraId="41EBAF6F">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35" w:type="pct"/>
                  <w:shd w:val="clear" w:color="auto" w:fill="auto"/>
                  <w:noWrap w:val="0"/>
                  <w:vAlign w:val="center"/>
                </w:tcPr>
                <w:p w14:paraId="02A1EFB4">
                  <w:pPr>
                    <w:adjustRightInd w:val="0"/>
                    <w:snapToGrid w:val="0"/>
                    <w:jc w:val="center"/>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cs="Times New Roman"/>
                      <w:bCs/>
                      <w:color w:val="000000" w:themeColor="text1"/>
                      <w:sz w:val="18"/>
                      <w:szCs w:val="18"/>
                      <w:lang w:val="en-US" w:eastAsia="zh-CN"/>
                      <w14:textFill>
                        <w14:solidFill>
                          <w14:schemeClr w14:val="tx1"/>
                        </w14:solidFill>
                      </w14:textFill>
                    </w:rPr>
                    <w:t>22</w:t>
                  </w:r>
                  <w:r>
                    <w:rPr>
                      <w:rFonts w:hint="default" w:ascii="Times New Roman" w:hAnsi="Times New Roman" w:cs="Times New Roman"/>
                      <w:bCs/>
                      <w:color w:val="000000" w:themeColor="text1"/>
                      <w:sz w:val="18"/>
                      <w:szCs w:val="18"/>
                      <w14:textFill>
                        <w14:solidFill>
                          <w14:schemeClr w14:val="tx1"/>
                        </w14:solidFill>
                      </w14:textFill>
                    </w:rPr>
                    <w:t>%</w:t>
                  </w:r>
                </w:p>
              </w:tc>
              <w:tc>
                <w:tcPr>
                  <w:tcW w:w="193" w:type="pct"/>
                  <w:vMerge w:val="continue"/>
                  <w:shd w:val="clear" w:color="auto" w:fill="auto"/>
                  <w:noWrap w:val="0"/>
                  <w:vAlign w:val="center"/>
                </w:tcPr>
                <w:p w14:paraId="4B5DF53B">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47" w:type="pct"/>
                  <w:vMerge w:val="continue"/>
                  <w:shd w:val="clear" w:color="auto" w:fill="auto"/>
                  <w:noWrap w:val="0"/>
                  <w:vAlign w:val="center"/>
                </w:tcPr>
                <w:p w14:paraId="2983AD4D">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23" w:type="pct"/>
                  <w:shd w:val="clear" w:color="auto" w:fill="auto"/>
                  <w:noWrap w:val="0"/>
                  <w:vAlign w:val="center"/>
                </w:tcPr>
                <w:p w14:paraId="576C0C34">
                  <w:pPr>
                    <w:keepNext w:val="0"/>
                    <w:keepLines w:val="0"/>
                    <w:widowControl/>
                    <w:suppressLineNumbers w:val="0"/>
                    <w:jc w:val="center"/>
                    <w:textAlignment w:val="center"/>
                    <w:rPr>
                      <w:rFonts w:hint="default" w:ascii="Times New Roman" w:hAnsi="Times New Roman" w:eastAsia="宋体" w:cs="Times New Roman"/>
                      <w:bCs/>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156</w:t>
                  </w:r>
                </w:p>
              </w:tc>
              <w:tc>
                <w:tcPr>
                  <w:tcW w:w="223" w:type="pct"/>
                  <w:shd w:val="clear" w:color="auto" w:fill="auto"/>
                  <w:noWrap w:val="0"/>
                  <w:vAlign w:val="center"/>
                </w:tcPr>
                <w:p w14:paraId="0FBABBF4">
                  <w:pPr>
                    <w:keepNext w:val="0"/>
                    <w:keepLines w:val="0"/>
                    <w:widowControl/>
                    <w:suppressLineNumbers w:val="0"/>
                    <w:jc w:val="center"/>
                    <w:textAlignment w:val="center"/>
                    <w:rPr>
                      <w:rFonts w:hint="default" w:ascii="Times New Roman" w:hAnsi="Times New Roman" w:eastAsia="宋体" w:cs="Times New Roman"/>
                      <w:bCs/>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 xml:space="preserve">0.027 </w:t>
                  </w:r>
                </w:p>
              </w:tc>
              <w:tc>
                <w:tcPr>
                  <w:tcW w:w="172" w:type="pct"/>
                  <w:vMerge w:val="continue"/>
                  <w:shd w:val="clear" w:color="auto" w:fill="auto"/>
                  <w:noWrap w:val="0"/>
                  <w:vAlign w:val="center"/>
                </w:tcPr>
                <w:p w14:paraId="0D1EE9EE">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321" w:type="pct"/>
                  <w:vMerge w:val="continue"/>
                  <w:shd w:val="clear" w:color="auto" w:fill="auto"/>
                  <w:noWrap w:val="0"/>
                  <w:vAlign w:val="center"/>
                </w:tcPr>
                <w:p w14:paraId="62CC555F">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172" w:type="pct"/>
                  <w:vMerge w:val="continue"/>
                  <w:shd w:val="clear" w:color="auto" w:fill="auto"/>
                  <w:noWrap w:val="0"/>
                  <w:vAlign w:val="center"/>
                </w:tcPr>
                <w:p w14:paraId="5E0EAA87">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352" w:type="pct"/>
                  <w:vMerge w:val="continue"/>
                  <w:shd w:val="clear" w:color="auto" w:fill="auto"/>
                  <w:noWrap w:val="0"/>
                  <w:vAlign w:val="center"/>
                </w:tcPr>
                <w:p w14:paraId="23B5B0EC">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41" w:type="pct"/>
                  <w:vMerge w:val="continue"/>
                  <w:shd w:val="clear" w:color="auto" w:fill="auto"/>
                  <w:noWrap w:val="0"/>
                  <w:vAlign w:val="center"/>
                </w:tcPr>
                <w:p w14:paraId="35E1A844">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528" w:type="pct"/>
                  <w:vMerge w:val="continue"/>
                  <w:shd w:val="clear" w:color="auto" w:fill="auto"/>
                  <w:noWrap w:val="0"/>
                  <w:vAlign w:val="center"/>
                </w:tcPr>
                <w:p w14:paraId="12C9C952">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30" w:type="pct"/>
                  <w:vMerge w:val="continue"/>
                  <w:shd w:val="clear" w:color="auto" w:fill="auto"/>
                  <w:noWrap w:val="0"/>
                  <w:vAlign w:val="center"/>
                </w:tcPr>
                <w:p w14:paraId="2363F519">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347" w:type="pct"/>
                  <w:shd w:val="clear" w:color="auto" w:fill="auto"/>
                  <w:noWrap w:val="0"/>
                  <w:vAlign w:val="center"/>
                </w:tcPr>
                <w:p w14:paraId="0B2897B8">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300</w:t>
                  </w:r>
                </w:p>
              </w:tc>
            </w:tr>
            <w:tr w14:paraId="7F67A7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74" w:hRule="atLeast"/>
                <w:jc w:val="center"/>
              </w:trPr>
              <w:tc>
                <w:tcPr>
                  <w:tcW w:w="152" w:type="pct"/>
                  <w:vMerge w:val="continue"/>
                  <w:shd w:val="clear" w:color="auto" w:fill="auto"/>
                  <w:noWrap w:val="0"/>
                  <w:vAlign w:val="center"/>
                </w:tcPr>
                <w:p w14:paraId="5E29AC14">
                  <w:pPr>
                    <w:pStyle w:val="96"/>
                    <w:spacing w:line="240" w:lineRule="exact"/>
                    <w:rPr>
                      <w:rFonts w:hint="default" w:ascii="Times New Roman" w:hAnsi="Times New Roman" w:cs="Times New Roman"/>
                      <w:bCs/>
                      <w:color w:val="000000" w:themeColor="text1"/>
                      <w:sz w:val="18"/>
                      <w:szCs w:val="18"/>
                      <w14:textFill>
                        <w14:solidFill>
                          <w14:schemeClr w14:val="tx1"/>
                        </w14:solidFill>
                      </w14:textFill>
                    </w:rPr>
                  </w:pPr>
                </w:p>
              </w:tc>
              <w:tc>
                <w:tcPr>
                  <w:tcW w:w="86" w:type="pct"/>
                  <w:vMerge w:val="continue"/>
                  <w:shd w:val="clear" w:color="auto" w:fill="auto"/>
                  <w:noWrap w:val="0"/>
                  <w:vAlign w:val="center"/>
                </w:tcPr>
                <w:p w14:paraId="7C8A6F83">
                  <w:pPr>
                    <w:pStyle w:val="96"/>
                    <w:spacing w:line="240" w:lineRule="exact"/>
                    <w:rPr>
                      <w:rFonts w:hint="default" w:ascii="Times New Roman" w:hAnsi="Times New Roman" w:cs="Times New Roman"/>
                      <w:bCs/>
                      <w:color w:val="000000" w:themeColor="text1"/>
                      <w:sz w:val="18"/>
                      <w:szCs w:val="18"/>
                      <w14:textFill>
                        <w14:solidFill>
                          <w14:schemeClr w14:val="tx1"/>
                        </w14:solidFill>
                      </w14:textFill>
                    </w:rPr>
                  </w:pPr>
                </w:p>
              </w:tc>
              <w:tc>
                <w:tcPr>
                  <w:tcW w:w="257" w:type="pct"/>
                  <w:shd w:val="clear" w:color="auto" w:fill="auto"/>
                  <w:noWrap w:val="0"/>
                  <w:vAlign w:val="center"/>
                </w:tcPr>
                <w:p w14:paraId="2986959C">
                  <w:pPr>
                    <w:adjustRightInd w:val="0"/>
                    <w:snapToGrid w:val="0"/>
                    <w:jc w:val="center"/>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SS</w:t>
                  </w:r>
                </w:p>
              </w:tc>
              <w:tc>
                <w:tcPr>
                  <w:tcW w:w="114" w:type="pct"/>
                  <w:vMerge w:val="continue"/>
                  <w:shd w:val="clear" w:color="auto" w:fill="auto"/>
                  <w:noWrap w:val="0"/>
                  <w:vAlign w:val="center"/>
                </w:tcPr>
                <w:p w14:paraId="720DD28D">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46" w:type="pct"/>
                  <w:vMerge w:val="continue"/>
                  <w:shd w:val="clear" w:color="auto" w:fill="auto"/>
                  <w:noWrap w:val="0"/>
                  <w:vAlign w:val="center"/>
                </w:tcPr>
                <w:p w14:paraId="3D02DFA9">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194" w:type="pct"/>
                  <w:shd w:val="clear" w:color="auto" w:fill="auto"/>
                  <w:noWrap w:val="0"/>
                  <w:vAlign w:val="center"/>
                </w:tcPr>
                <w:p w14:paraId="500FA318">
                  <w:pPr>
                    <w:adjustRightInd w:val="0"/>
                    <w:snapToGrid w:val="0"/>
                    <w:jc w:val="center"/>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cs="Times New Roman"/>
                      <w:bCs/>
                      <w:color w:val="000000" w:themeColor="text1"/>
                      <w:sz w:val="18"/>
                      <w:szCs w:val="18"/>
                      <w14:textFill>
                        <w14:solidFill>
                          <w14:schemeClr w14:val="tx1"/>
                        </w14:solidFill>
                      </w14:textFill>
                    </w:rPr>
                    <w:t>220</w:t>
                  </w:r>
                </w:p>
              </w:tc>
              <w:tc>
                <w:tcPr>
                  <w:tcW w:w="247" w:type="pct"/>
                  <w:shd w:val="clear" w:color="auto" w:fill="auto"/>
                  <w:noWrap w:val="0"/>
                  <w:vAlign w:val="center"/>
                </w:tcPr>
                <w:p w14:paraId="47BD5E22">
                  <w:pPr>
                    <w:keepNext w:val="0"/>
                    <w:keepLines w:val="0"/>
                    <w:widowControl/>
                    <w:suppressLineNumbers w:val="0"/>
                    <w:jc w:val="center"/>
                    <w:textAlignment w:val="center"/>
                    <w:rPr>
                      <w:rFonts w:hint="default" w:ascii="Times New Roman" w:hAnsi="Times New Roman" w:eastAsia="宋体" w:cs="Times New Roman"/>
                      <w:bCs/>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 xml:space="preserve">0.037 </w:t>
                  </w:r>
                </w:p>
              </w:tc>
              <w:tc>
                <w:tcPr>
                  <w:tcW w:w="210" w:type="pct"/>
                  <w:vMerge w:val="continue"/>
                  <w:shd w:val="clear" w:color="auto" w:fill="auto"/>
                  <w:noWrap w:val="0"/>
                  <w:vAlign w:val="center"/>
                </w:tcPr>
                <w:p w14:paraId="2E55FC7C">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35" w:type="pct"/>
                  <w:shd w:val="clear" w:color="auto" w:fill="auto"/>
                  <w:noWrap w:val="0"/>
                  <w:vAlign w:val="center"/>
                </w:tcPr>
                <w:p w14:paraId="33C632A4">
                  <w:pPr>
                    <w:adjustRightInd w:val="0"/>
                    <w:snapToGrid w:val="0"/>
                    <w:jc w:val="center"/>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cs="Times New Roman"/>
                      <w:bCs/>
                      <w:color w:val="000000" w:themeColor="text1"/>
                      <w:sz w:val="18"/>
                      <w:szCs w:val="18"/>
                      <w:lang w:val="en-US" w:eastAsia="zh-CN"/>
                      <w14:textFill>
                        <w14:solidFill>
                          <w14:schemeClr w14:val="tx1"/>
                        </w14:solidFill>
                      </w14:textFill>
                    </w:rPr>
                    <w:t>60</w:t>
                  </w:r>
                  <w:r>
                    <w:rPr>
                      <w:rFonts w:hint="default" w:ascii="Times New Roman" w:hAnsi="Times New Roman" w:cs="Times New Roman"/>
                      <w:bCs/>
                      <w:color w:val="000000" w:themeColor="text1"/>
                      <w:sz w:val="18"/>
                      <w:szCs w:val="18"/>
                      <w14:textFill>
                        <w14:solidFill>
                          <w14:schemeClr w14:val="tx1"/>
                        </w14:solidFill>
                      </w14:textFill>
                    </w:rPr>
                    <w:t>%</w:t>
                  </w:r>
                </w:p>
              </w:tc>
              <w:tc>
                <w:tcPr>
                  <w:tcW w:w="193" w:type="pct"/>
                  <w:vMerge w:val="continue"/>
                  <w:shd w:val="clear" w:color="auto" w:fill="auto"/>
                  <w:noWrap w:val="0"/>
                  <w:vAlign w:val="center"/>
                </w:tcPr>
                <w:p w14:paraId="69280AFC">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47" w:type="pct"/>
                  <w:vMerge w:val="continue"/>
                  <w:shd w:val="clear" w:color="auto" w:fill="auto"/>
                  <w:noWrap w:val="0"/>
                  <w:vAlign w:val="center"/>
                </w:tcPr>
                <w:p w14:paraId="1B2C0E5E">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23" w:type="pct"/>
                  <w:shd w:val="clear" w:color="auto" w:fill="auto"/>
                  <w:noWrap w:val="0"/>
                  <w:vAlign w:val="center"/>
                </w:tcPr>
                <w:p w14:paraId="79A08C35">
                  <w:pPr>
                    <w:keepNext w:val="0"/>
                    <w:keepLines w:val="0"/>
                    <w:widowControl/>
                    <w:suppressLineNumbers w:val="0"/>
                    <w:jc w:val="center"/>
                    <w:textAlignment w:val="center"/>
                    <w:rPr>
                      <w:rFonts w:hint="default" w:ascii="Times New Roman" w:hAnsi="Times New Roman" w:eastAsia="宋体" w:cs="Times New Roman"/>
                      <w:bCs/>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88</w:t>
                  </w:r>
                </w:p>
              </w:tc>
              <w:tc>
                <w:tcPr>
                  <w:tcW w:w="223" w:type="pct"/>
                  <w:shd w:val="clear" w:color="auto" w:fill="auto"/>
                  <w:noWrap w:val="0"/>
                  <w:vAlign w:val="center"/>
                </w:tcPr>
                <w:p w14:paraId="113874C3">
                  <w:pPr>
                    <w:keepNext w:val="0"/>
                    <w:keepLines w:val="0"/>
                    <w:widowControl/>
                    <w:suppressLineNumbers w:val="0"/>
                    <w:jc w:val="center"/>
                    <w:textAlignment w:val="center"/>
                    <w:rPr>
                      <w:rFonts w:hint="default" w:ascii="Times New Roman" w:hAnsi="Times New Roman" w:eastAsia="宋体" w:cs="Times New Roman"/>
                      <w:bCs/>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 xml:space="preserve">0.015 </w:t>
                  </w:r>
                </w:p>
              </w:tc>
              <w:tc>
                <w:tcPr>
                  <w:tcW w:w="172" w:type="pct"/>
                  <w:vMerge w:val="continue"/>
                  <w:shd w:val="clear" w:color="auto" w:fill="auto"/>
                  <w:noWrap w:val="0"/>
                  <w:vAlign w:val="center"/>
                </w:tcPr>
                <w:p w14:paraId="1F770B54">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321" w:type="pct"/>
                  <w:vMerge w:val="continue"/>
                  <w:shd w:val="clear" w:color="auto" w:fill="auto"/>
                  <w:noWrap w:val="0"/>
                  <w:vAlign w:val="center"/>
                </w:tcPr>
                <w:p w14:paraId="321502C0">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172" w:type="pct"/>
                  <w:vMerge w:val="continue"/>
                  <w:shd w:val="clear" w:color="auto" w:fill="auto"/>
                  <w:noWrap w:val="0"/>
                  <w:vAlign w:val="center"/>
                </w:tcPr>
                <w:p w14:paraId="0C07352A">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352" w:type="pct"/>
                  <w:vMerge w:val="continue"/>
                  <w:shd w:val="clear" w:color="auto" w:fill="auto"/>
                  <w:noWrap w:val="0"/>
                  <w:vAlign w:val="center"/>
                </w:tcPr>
                <w:p w14:paraId="168045EA">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41" w:type="pct"/>
                  <w:vMerge w:val="continue"/>
                  <w:shd w:val="clear" w:color="auto" w:fill="auto"/>
                  <w:noWrap w:val="0"/>
                  <w:vAlign w:val="center"/>
                </w:tcPr>
                <w:p w14:paraId="2069A334">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528" w:type="pct"/>
                  <w:vMerge w:val="continue"/>
                  <w:shd w:val="clear" w:color="auto" w:fill="auto"/>
                  <w:noWrap w:val="0"/>
                  <w:vAlign w:val="center"/>
                </w:tcPr>
                <w:p w14:paraId="66950496">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30" w:type="pct"/>
                  <w:vMerge w:val="continue"/>
                  <w:shd w:val="clear" w:color="auto" w:fill="auto"/>
                  <w:noWrap w:val="0"/>
                  <w:vAlign w:val="center"/>
                </w:tcPr>
                <w:p w14:paraId="6B593587">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347" w:type="pct"/>
                  <w:shd w:val="clear" w:color="auto" w:fill="auto"/>
                  <w:noWrap w:val="0"/>
                  <w:vAlign w:val="center"/>
                </w:tcPr>
                <w:p w14:paraId="37371F63">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400</w:t>
                  </w:r>
                </w:p>
              </w:tc>
            </w:tr>
            <w:tr w14:paraId="31EE7E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152" w:type="pct"/>
                  <w:vMerge w:val="continue"/>
                  <w:shd w:val="clear" w:color="auto" w:fill="auto"/>
                  <w:noWrap w:val="0"/>
                  <w:vAlign w:val="center"/>
                </w:tcPr>
                <w:p w14:paraId="0D7DEDA3">
                  <w:pPr>
                    <w:pStyle w:val="96"/>
                    <w:spacing w:line="240" w:lineRule="exact"/>
                    <w:rPr>
                      <w:rFonts w:hint="default" w:ascii="Times New Roman" w:hAnsi="Times New Roman" w:cs="Times New Roman"/>
                      <w:bCs/>
                      <w:color w:val="000000" w:themeColor="text1"/>
                      <w:sz w:val="18"/>
                      <w:szCs w:val="18"/>
                      <w14:textFill>
                        <w14:solidFill>
                          <w14:schemeClr w14:val="tx1"/>
                        </w14:solidFill>
                      </w14:textFill>
                    </w:rPr>
                  </w:pPr>
                </w:p>
              </w:tc>
              <w:tc>
                <w:tcPr>
                  <w:tcW w:w="86" w:type="pct"/>
                  <w:vMerge w:val="continue"/>
                  <w:shd w:val="clear" w:color="auto" w:fill="auto"/>
                  <w:noWrap w:val="0"/>
                  <w:vAlign w:val="center"/>
                </w:tcPr>
                <w:p w14:paraId="628694C9">
                  <w:pPr>
                    <w:pStyle w:val="96"/>
                    <w:spacing w:line="240" w:lineRule="exact"/>
                    <w:rPr>
                      <w:rFonts w:hint="default" w:ascii="Times New Roman" w:hAnsi="Times New Roman" w:cs="Times New Roman"/>
                      <w:bCs/>
                      <w:color w:val="000000" w:themeColor="text1"/>
                      <w:sz w:val="18"/>
                      <w:szCs w:val="18"/>
                      <w14:textFill>
                        <w14:solidFill>
                          <w14:schemeClr w14:val="tx1"/>
                        </w14:solidFill>
                      </w14:textFill>
                    </w:rPr>
                  </w:pPr>
                </w:p>
              </w:tc>
              <w:tc>
                <w:tcPr>
                  <w:tcW w:w="257" w:type="pct"/>
                  <w:shd w:val="clear" w:color="auto" w:fill="auto"/>
                  <w:noWrap w:val="0"/>
                  <w:vAlign w:val="center"/>
                </w:tcPr>
                <w:p w14:paraId="7895B5FD">
                  <w:pPr>
                    <w:adjustRightInd w:val="0"/>
                    <w:snapToGrid w:val="0"/>
                    <w:jc w:val="center"/>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NH</w:t>
                  </w:r>
                  <w:r>
                    <w:rPr>
                      <w:rFonts w:hint="default" w:ascii="Times New Roman" w:hAnsi="Times New Roman" w:cs="Times New Roman"/>
                      <w:color w:val="000000" w:themeColor="text1"/>
                      <w:sz w:val="18"/>
                      <w:szCs w:val="18"/>
                      <w:vertAlign w:val="subscript"/>
                      <w14:textFill>
                        <w14:solidFill>
                          <w14:schemeClr w14:val="tx1"/>
                        </w14:solidFill>
                      </w14:textFill>
                    </w:rPr>
                    <w:t>3</w:t>
                  </w:r>
                  <w:r>
                    <w:rPr>
                      <w:rFonts w:hint="default" w:ascii="Times New Roman" w:hAnsi="Times New Roman" w:cs="Times New Roman"/>
                      <w:color w:val="000000" w:themeColor="text1"/>
                      <w:sz w:val="18"/>
                      <w:szCs w:val="18"/>
                      <w14:textFill>
                        <w14:solidFill>
                          <w14:schemeClr w14:val="tx1"/>
                        </w14:solidFill>
                      </w14:textFill>
                    </w:rPr>
                    <w:t>-N</w:t>
                  </w:r>
                </w:p>
              </w:tc>
              <w:tc>
                <w:tcPr>
                  <w:tcW w:w="114" w:type="pct"/>
                  <w:vMerge w:val="continue"/>
                  <w:shd w:val="clear" w:color="auto" w:fill="auto"/>
                  <w:noWrap w:val="0"/>
                  <w:vAlign w:val="center"/>
                </w:tcPr>
                <w:p w14:paraId="7E4AA800">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46" w:type="pct"/>
                  <w:vMerge w:val="continue"/>
                  <w:shd w:val="clear" w:color="auto" w:fill="auto"/>
                  <w:noWrap w:val="0"/>
                  <w:vAlign w:val="center"/>
                </w:tcPr>
                <w:p w14:paraId="799C553A">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194" w:type="pct"/>
                  <w:shd w:val="clear" w:color="auto" w:fill="auto"/>
                  <w:noWrap w:val="0"/>
                  <w:vAlign w:val="center"/>
                </w:tcPr>
                <w:p w14:paraId="3DC7F6FA">
                  <w:pPr>
                    <w:adjustRightInd w:val="0"/>
                    <w:snapToGrid w:val="0"/>
                    <w:jc w:val="center"/>
                    <w:rPr>
                      <w:rFonts w:hint="default" w:ascii="Times New Roman" w:hAnsi="Times New Roman" w:eastAsia="宋体" w:cs="Times New Roman"/>
                      <w:bCs/>
                      <w:color w:val="000000" w:themeColor="text1"/>
                      <w:sz w:val="18"/>
                      <w:szCs w:val="18"/>
                      <w:lang w:eastAsia="zh-CN"/>
                      <w14:textFill>
                        <w14:solidFill>
                          <w14:schemeClr w14:val="tx1"/>
                        </w14:solidFill>
                      </w14:textFill>
                    </w:rPr>
                  </w:pPr>
                  <w:r>
                    <w:rPr>
                      <w:rFonts w:hint="default" w:ascii="Times New Roman" w:hAnsi="Times New Roman" w:cs="Times New Roman"/>
                      <w:bCs/>
                      <w:color w:val="000000" w:themeColor="text1"/>
                      <w:sz w:val="18"/>
                      <w:szCs w:val="18"/>
                      <w14:textFill>
                        <w14:solidFill>
                          <w14:schemeClr w14:val="tx1"/>
                        </w14:solidFill>
                      </w14:textFill>
                    </w:rPr>
                    <w:t>32.</w:t>
                  </w:r>
                  <w:r>
                    <w:rPr>
                      <w:rFonts w:hint="default" w:ascii="Times New Roman" w:hAnsi="Times New Roman" w:cs="Times New Roman"/>
                      <w:bCs/>
                      <w:color w:val="000000" w:themeColor="text1"/>
                      <w:sz w:val="18"/>
                      <w:szCs w:val="18"/>
                      <w:lang w:val="en-US" w:eastAsia="zh-CN"/>
                      <w14:textFill>
                        <w14:solidFill>
                          <w14:schemeClr w14:val="tx1"/>
                        </w14:solidFill>
                      </w14:textFill>
                    </w:rPr>
                    <w:t>6</w:t>
                  </w:r>
                </w:p>
              </w:tc>
              <w:tc>
                <w:tcPr>
                  <w:tcW w:w="247" w:type="pct"/>
                  <w:shd w:val="clear" w:color="auto" w:fill="auto"/>
                  <w:noWrap w:val="0"/>
                  <w:vAlign w:val="center"/>
                </w:tcPr>
                <w:p w14:paraId="700BA003">
                  <w:pPr>
                    <w:keepNext w:val="0"/>
                    <w:keepLines w:val="0"/>
                    <w:widowControl/>
                    <w:suppressLineNumbers w:val="0"/>
                    <w:jc w:val="center"/>
                    <w:textAlignment w:val="center"/>
                    <w:rPr>
                      <w:rFonts w:hint="default" w:ascii="Times New Roman" w:hAnsi="Times New Roman" w:eastAsia="宋体" w:cs="Times New Roman"/>
                      <w:bCs/>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 xml:space="preserve">0.005 </w:t>
                  </w:r>
                </w:p>
              </w:tc>
              <w:tc>
                <w:tcPr>
                  <w:tcW w:w="210" w:type="pct"/>
                  <w:vMerge w:val="continue"/>
                  <w:shd w:val="clear" w:color="auto" w:fill="auto"/>
                  <w:noWrap w:val="0"/>
                  <w:vAlign w:val="center"/>
                </w:tcPr>
                <w:p w14:paraId="330DDB4E">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35" w:type="pct"/>
                  <w:shd w:val="clear" w:color="auto" w:fill="auto"/>
                  <w:noWrap w:val="0"/>
                  <w:vAlign w:val="center"/>
                </w:tcPr>
                <w:p w14:paraId="60A5F900">
                  <w:pPr>
                    <w:adjustRightInd w:val="0"/>
                    <w:snapToGrid w:val="0"/>
                    <w:jc w:val="center"/>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cs="Times New Roman"/>
                      <w:bCs/>
                      <w:color w:val="000000" w:themeColor="text1"/>
                      <w:sz w:val="18"/>
                      <w:szCs w:val="18"/>
                      <w:lang w:val="en-US" w:eastAsia="zh-CN"/>
                      <w14:textFill>
                        <w14:solidFill>
                          <w14:schemeClr w14:val="tx1"/>
                        </w14:solidFill>
                      </w14:textFill>
                    </w:rPr>
                    <w:t>10</w:t>
                  </w:r>
                  <w:r>
                    <w:rPr>
                      <w:rFonts w:hint="default" w:ascii="Times New Roman" w:hAnsi="Times New Roman" w:cs="Times New Roman"/>
                      <w:bCs/>
                      <w:color w:val="000000" w:themeColor="text1"/>
                      <w:sz w:val="18"/>
                      <w:szCs w:val="18"/>
                      <w14:textFill>
                        <w14:solidFill>
                          <w14:schemeClr w14:val="tx1"/>
                        </w14:solidFill>
                      </w14:textFill>
                    </w:rPr>
                    <w:t>%</w:t>
                  </w:r>
                </w:p>
              </w:tc>
              <w:tc>
                <w:tcPr>
                  <w:tcW w:w="193" w:type="pct"/>
                  <w:vMerge w:val="continue"/>
                  <w:shd w:val="clear" w:color="auto" w:fill="auto"/>
                  <w:noWrap w:val="0"/>
                  <w:vAlign w:val="center"/>
                </w:tcPr>
                <w:p w14:paraId="2C9B7704">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47" w:type="pct"/>
                  <w:vMerge w:val="continue"/>
                  <w:shd w:val="clear" w:color="auto" w:fill="auto"/>
                  <w:noWrap w:val="0"/>
                  <w:vAlign w:val="center"/>
                </w:tcPr>
                <w:p w14:paraId="745F9587">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23" w:type="pct"/>
                  <w:shd w:val="clear" w:color="auto" w:fill="auto"/>
                  <w:noWrap w:val="0"/>
                  <w:vAlign w:val="center"/>
                </w:tcPr>
                <w:p w14:paraId="1B7F5DDA">
                  <w:pPr>
                    <w:keepNext w:val="0"/>
                    <w:keepLines w:val="0"/>
                    <w:widowControl/>
                    <w:suppressLineNumbers w:val="0"/>
                    <w:jc w:val="center"/>
                    <w:textAlignment w:val="center"/>
                    <w:rPr>
                      <w:rFonts w:hint="default" w:ascii="Times New Roman" w:hAnsi="Times New Roman" w:eastAsia="宋体" w:cs="Times New Roman"/>
                      <w:bCs/>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29.34</w:t>
                  </w:r>
                </w:p>
              </w:tc>
              <w:tc>
                <w:tcPr>
                  <w:tcW w:w="223" w:type="pct"/>
                  <w:shd w:val="clear" w:color="auto" w:fill="auto"/>
                  <w:noWrap w:val="0"/>
                  <w:vAlign w:val="center"/>
                </w:tcPr>
                <w:p w14:paraId="6C90B968">
                  <w:pPr>
                    <w:keepNext w:val="0"/>
                    <w:keepLines w:val="0"/>
                    <w:widowControl/>
                    <w:suppressLineNumbers w:val="0"/>
                    <w:jc w:val="center"/>
                    <w:textAlignment w:val="center"/>
                    <w:rPr>
                      <w:rFonts w:hint="default" w:ascii="Times New Roman" w:hAnsi="Times New Roman" w:eastAsia="宋体" w:cs="Times New Roman"/>
                      <w:bCs/>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 xml:space="preserve">0.005 </w:t>
                  </w:r>
                </w:p>
              </w:tc>
              <w:tc>
                <w:tcPr>
                  <w:tcW w:w="172" w:type="pct"/>
                  <w:vMerge w:val="continue"/>
                  <w:shd w:val="clear" w:color="auto" w:fill="auto"/>
                  <w:noWrap w:val="0"/>
                  <w:vAlign w:val="center"/>
                </w:tcPr>
                <w:p w14:paraId="3FF043F9">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321" w:type="pct"/>
                  <w:vMerge w:val="continue"/>
                  <w:shd w:val="clear" w:color="auto" w:fill="auto"/>
                  <w:noWrap w:val="0"/>
                  <w:vAlign w:val="center"/>
                </w:tcPr>
                <w:p w14:paraId="4604F44A">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172" w:type="pct"/>
                  <w:vMerge w:val="continue"/>
                  <w:shd w:val="clear" w:color="auto" w:fill="auto"/>
                  <w:noWrap w:val="0"/>
                  <w:vAlign w:val="center"/>
                </w:tcPr>
                <w:p w14:paraId="51573CFB">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352" w:type="pct"/>
                  <w:vMerge w:val="continue"/>
                  <w:shd w:val="clear" w:color="auto" w:fill="auto"/>
                  <w:noWrap w:val="0"/>
                  <w:vAlign w:val="center"/>
                </w:tcPr>
                <w:p w14:paraId="4C838CB2">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41" w:type="pct"/>
                  <w:vMerge w:val="continue"/>
                  <w:shd w:val="clear" w:color="auto" w:fill="auto"/>
                  <w:noWrap w:val="0"/>
                  <w:vAlign w:val="center"/>
                </w:tcPr>
                <w:p w14:paraId="02845B6F">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528" w:type="pct"/>
                  <w:vMerge w:val="continue"/>
                  <w:shd w:val="clear" w:color="auto" w:fill="auto"/>
                  <w:noWrap w:val="0"/>
                  <w:vAlign w:val="center"/>
                </w:tcPr>
                <w:p w14:paraId="3D02581A">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30" w:type="pct"/>
                  <w:vMerge w:val="continue"/>
                  <w:shd w:val="clear" w:color="auto" w:fill="auto"/>
                  <w:noWrap w:val="0"/>
                  <w:vAlign w:val="center"/>
                </w:tcPr>
                <w:p w14:paraId="452B3C6D">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347" w:type="pct"/>
                  <w:shd w:val="clear" w:color="auto" w:fill="auto"/>
                  <w:noWrap w:val="0"/>
                  <w:vAlign w:val="center"/>
                </w:tcPr>
                <w:p w14:paraId="549EF3C0">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45</w:t>
                  </w:r>
                </w:p>
              </w:tc>
            </w:tr>
            <w:tr w14:paraId="4FE497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152" w:type="pct"/>
                  <w:vMerge w:val="restart"/>
                  <w:shd w:val="clear" w:color="auto" w:fill="auto"/>
                  <w:noWrap w:val="0"/>
                  <w:vAlign w:val="center"/>
                </w:tcPr>
                <w:p w14:paraId="1578B4F1">
                  <w:pPr>
                    <w:pStyle w:val="96"/>
                    <w:spacing w:line="240" w:lineRule="exact"/>
                    <w:rPr>
                      <w:rFonts w:hint="default" w:ascii="Times New Roman" w:hAnsi="Times New Roman" w:eastAsia="宋体" w:cs="Times New Roman"/>
                      <w:bCs/>
                      <w:color w:val="000000" w:themeColor="text1"/>
                      <w:sz w:val="18"/>
                      <w:szCs w:val="18"/>
                      <w:lang w:val="en-US" w:eastAsia="zh-CN"/>
                      <w14:textFill>
                        <w14:solidFill>
                          <w14:schemeClr w14:val="tx1"/>
                        </w14:solidFill>
                      </w14:textFill>
                    </w:rPr>
                  </w:pPr>
                  <w:r>
                    <w:rPr>
                      <w:rFonts w:hint="default" w:ascii="Times New Roman" w:hAnsi="Times New Roman" w:cs="Times New Roman"/>
                      <w:bCs/>
                      <w:color w:val="000000" w:themeColor="text1"/>
                      <w:sz w:val="18"/>
                      <w:szCs w:val="18"/>
                      <w:lang w:val="en-US" w:eastAsia="zh-CN"/>
                      <w14:textFill>
                        <w14:solidFill>
                          <w14:schemeClr w14:val="tx1"/>
                        </w14:solidFill>
                      </w14:textFill>
                    </w:rPr>
                    <w:t>破碎、清洗</w:t>
                  </w:r>
                </w:p>
              </w:tc>
              <w:tc>
                <w:tcPr>
                  <w:tcW w:w="86" w:type="pct"/>
                  <w:vMerge w:val="restart"/>
                  <w:shd w:val="clear" w:color="auto" w:fill="auto"/>
                  <w:noWrap w:val="0"/>
                  <w:vAlign w:val="center"/>
                </w:tcPr>
                <w:p w14:paraId="707587AD">
                  <w:pPr>
                    <w:pStyle w:val="96"/>
                    <w:spacing w:line="240" w:lineRule="exact"/>
                    <w:rPr>
                      <w:rFonts w:hint="default" w:ascii="Times New Roman" w:hAnsi="Times New Roman" w:eastAsia="宋体" w:cs="Times New Roman"/>
                      <w:bCs/>
                      <w:color w:val="000000" w:themeColor="text1"/>
                      <w:sz w:val="18"/>
                      <w:szCs w:val="18"/>
                      <w:lang w:val="en-US" w:eastAsia="zh-CN"/>
                      <w14:textFill>
                        <w14:solidFill>
                          <w14:schemeClr w14:val="tx1"/>
                        </w14:solidFill>
                      </w14:textFill>
                    </w:rPr>
                  </w:pPr>
                  <w:r>
                    <w:rPr>
                      <w:rFonts w:hint="default" w:ascii="Times New Roman" w:hAnsi="Times New Roman" w:cs="Times New Roman"/>
                      <w:bCs/>
                      <w:color w:val="000000" w:themeColor="text1"/>
                      <w:sz w:val="18"/>
                      <w:szCs w:val="18"/>
                      <w:lang w:val="en-US" w:eastAsia="zh-CN"/>
                      <w14:textFill>
                        <w14:solidFill>
                          <w14:schemeClr w14:val="tx1"/>
                        </w14:solidFill>
                      </w14:textFill>
                    </w:rPr>
                    <w:t>生产废水</w:t>
                  </w:r>
                </w:p>
              </w:tc>
              <w:tc>
                <w:tcPr>
                  <w:tcW w:w="257" w:type="pct"/>
                  <w:shd w:val="clear" w:color="auto" w:fill="auto"/>
                  <w:noWrap w:val="0"/>
                  <w:vAlign w:val="center"/>
                </w:tcPr>
                <w:p w14:paraId="29D759CF">
                  <w:pPr>
                    <w:pStyle w:val="134"/>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eastAsia="宋体" w:cs="Times New Roman"/>
                      <w:spacing w:val="0"/>
                      <w:sz w:val="18"/>
                      <w:szCs w:val="18"/>
                      <w:vertAlign w:val="baseline"/>
                      <w:lang w:val="en-US" w:eastAsia="zh-CN"/>
                    </w:rPr>
                    <w:t>COD</w:t>
                  </w:r>
                </w:p>
              </w:tc>
              <w:tc>
                <w:tcPr>
                  <w:tcW w:w="114" w:type="pct"/>
                  <w:vMerge w:val="restart"/>
                  <w:shd w:val="clear" w:color="auto" w:fill="auto"/>
                  <w:noWrap w:val="0"/>
                  <w:vAlign w:val="center"/>
                </w:tcPr>
                <w:p w14:paraId="1F0C8E3B">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产污系数法</w:t>
                  </w:r>
                </w:p>
              </w:tc>
              <w:tc>
                <w:tcPr>
                  <w:tcW w:w="246" w:type="pct"/>
                  <w:vMerge w:val="restart"/>
                  <w:shd w:val="clear" w:color="auto" w:fill="auto"/>
                  <w:noWrap w:val="0"/>
                  <w:vAlign w:val="center"/>
                </w:tcPr>
                <w:p w14:paraId="3632AF8C">
                  <w:pPr>
                    <w:pStyle w:val="96"/>
                    <w:spacing w:line="240" w:lineRule="exact"/>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10480</w:t>
                  </w:r>
                </w:p>
              </w:tc>
              <w:tc>
                <w:tcPr>
                  <w:tcW w:w="194" w:type="pct"/>
                  <w:shd w:val="clear" w:color="auto" w:fill="auto"/>
                  <w:noWrap w:val="0"/>
                  <w:vAlign w:val="center"/>
                </w:tcPr>
                <w:p w14:paraId="4C908572">
                  <w:pPr>
                    <w:keepNext w:val="0"/>
                    <w:keepLines w:val="0"/>
                    <w:widowControl/>
                    <w:suppressLineNumbers w:val="0"/>
                    <w:jc w:val="center"/>
                    <w:textAlignment w:val="center"/>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418</w:t>
                  </w:r>
                </w:p>
              </w:tc>
              <w:tc>
                <w:tcPr>
                  <w:tcW w:w="247" w:type="pct"/>
                  <w:shd w:val="clear" w:color="auto" w:fill="auto"/>
                  <w:noWrap w:val="0"/>
                  <w:vAlign w:val="center"/>
                </w:tcPr>
                <w:p w14:paraId="599190D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4.377</w:t>
                  </w:r>
                </w:p>
              </w:tc>
              <w:tc>
                <w:tcPr>
                  <w:tcW w:w="210" w:type="pct"/>
                  <w:vMerge w:val="restart"/>
                  <w:shd w:val="clear" w:color="auto" w:fill="auto"/>
                  <w:noWrap w:val="0"/>
                  <w:vAlign w:val="center"/>
                </w:tcPr>
                <w:p w14:paraId="54E2AD70">
                  <w:pPr>
                    <w:pStyle w:val="96"/>
                    <w:spacing w:line="240" w:lineRule="exact"/>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40m</w:t>
                  </w:r>
                  <w:r>
                    <w:rPr>
                      <w:rFonts w:hint="default" w:ascii="Times New Roman" w:hAnsi="Times New Roman" w:cs="Times New Roman"/>
                      <w:color w:val="000000" w:themeColor="text1"/>
                      <w:sz w:val="18"/>
                      <w:szCs w:val="18"/>
                      <w:vertAlign w:val="superscript"/>
                      <w:lang w:val="en-US" w:eastAsia="zh-CN"/>
                      <w14:textFill>
                        <w14:solidFill>
                          <w14:schemeClr w14:val="tx1"/>
                        </w14:solidFill>
                      </w14:textFill>
                    </w:rPr>
                    <w:t>3</w:t>
                  </w:r>
                  <w:r>
                    <w:rPr>
                      <w:rFonts w:hint="default" w:ascii="Times New Roman" w:hAnsi="Times New Roman" w:cs="Times New Roman"/>
                      <w:color w:val="000000" w:themeColor="text1"/>
                      <w:sz w:val="18"/>
                      <w:szCs w:val="18"/>
                      <w:lang w:val="en-US" w:eastAsia="zh-CN"/>
                      <w14:textFill>
                        <w14:solidFill>
                          <w14:schemeClr w14:val="tx1"/>
                        </w14:solidFill>
                      </w14:textFill>
                    </w:rPr>
                    <w:t>/d</w:t>
                  </w:r>
                </w:p>
              </w:tc>
              <w:tc>
                <w:tcPr>
                  <w:tcW w:w="235" w:type="pct"/>
                  <w:shd w:val="clear" w:color="auto" w:fill="auto"/>
                  <w:noWrap w:val="0"/>
                  <w:vAlign w:val="center"/>
                </w:tcPr>
                <w:p w14:paraId="17BC3CF7">
                  <w:pPr>
                    <w:adjustRightInd w:val="0"/>
                    <w:snapToGrid w:val="0"/>
                    <w:jc w:val="center"/>
                    <w:rPr>
                      <w:rFonts w:hint="default" w:ascii="Times New Roman" w:hAnsi="Times New Roman" w:cs="Times New Roman"/>
                      <w:bCs/>
                      <w:color w:val="000000" w:themeColor="text1"/>
                      <w:sz w:val="18"/>
                      <w:szCs w:val="18"/>
                      <w:lang w:val="en-US" w:eastAsia="zh-CN"/>
                      <w14:textFill>
                        <w14:solidFill>
                          <w14:schemeClr w14:val="tx1"/>
                        </w14:solidFill>
                      </w14:textFill>
                    </w:rPr>
                  </w:pPr>
                  <w:r>
                    <w:rPr>
                      <w:rFonts w:hint="default" w:ascii="Times New Roman" w:hAnsi="Times New Roman" w:cs="Times New Roman"/>
                      <w:bCs/>
                      <w:color w:val="000000" w:themeColor="text1"/>
                      <w:sz w:val="18"/>
                      <w:szCs w:val="18"/>
                      <w:lang w:val="en-US" w:eastAsia="zh-CN"/>
                      <w14:textFill>
                        <w14:solidFill>
                          <w14:schemeClr w14:val="tx1"/>
                        </w14:solidFill>
                      </w14:textFill>
                    </w:rPr>
                    <w:t>90%</w:t>
                  </w:r>
                </w:p>
              </w:tc>
              <w:tc>
                <w:tcPr>
                  <w:tcW w:w="193" w:type="pct"/>
                  <w:vMerge w:val="restart"/>
                  <w:shd w:val="clear" w:color="auto" w:fill="auto"/>
                  <w:noWrap w:val="0"/>
                  <w:vAlign w:val="center"/>
                </w:tcPr>
                <w:p w14:paraId="41EF2377">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是</w:t>
                  </w:r>
                </w:p>
              </w:tc>
              <w:tc>
                <w:tcPr>
                  <w:tcW w:w="247" w:type="pct"/>
                  <w:vMerge w:val="restart"/>
                  <w:shd w:val="clear" w:color="auto" w:fill="auto"/>
                  <w:noWrap w:val="0"/>
                  <w:vAlign w:val="center"/>
                </w:tcPr>
                <w:p w14:paraId="47F80871">
                  <w:pPr>
                    <w:pStyle w:val="96"/>
                    <w:spacing w:line="240" w:lineRule="exact"/>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4192</w:t>
                  </w:r>
                </w:p>
              </w:tc>
              <w:tc>
                <w:tcPr>
                  <w:tcW w:w="609" w:type="dxa"/>
                  <w:shd w:val="clear" w:color="auto" w:fill="auto"/>
                  <w:noWrap w:val="0"/>
                  <w:vAlign w:val="center"/>
                </w:tcPr>
                <w:p w14:paraId="2C931AC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41.800 </w:t>
                  </w:r>
                </w:p>
              </w:tc>
              <w:tc>
                <w:tcPr>
                  <w:tcW w:w="611" w:type="dxa"/>
                  <w:shd w:val="clear" w:color="auto" w:fill="auto"/>
                  <w:noWrap w:val="0"/>
                  <w:vAlign w:val="center"/>
                </w:tcPr>
                <w:p w14:paraId="7908849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0.175 </w:t>
                  </w:r>
                </w:p>
              </w:tc>
              <w:tc>
                <w:tcPr>
                  <w:tcW w:w="172" w:type="pct"/>
                  <w:vMerge w:val="continue"/>
                  <w:shd w:val="clear" w:color="auto" w:fill="auto"/>
                  <w:noWrap w:val="0"/>
                  <w:vAlign w:val="center"/>
                </w:tcPr>
                <w:p w14:paraId="302A0B03">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321" w:type="pct"/>
                  <w:vMerge w:val="continue"/>
                  <w:shd w:val="clear" w:color="auto" w:fill="auto"/>
                  <w:noWrap w:val="0"/>
                  <w:vAlign w:val="center"/>
                </w:tcPr>
                <w:p w14:paraId="6704A679">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172" w:type="pct"/>
                  <w:vMerge w:val="continue"/>
                  <w:shd w:val="clear" w:color="auto" w:fill="auto"/>
                  <w:noWrap w:val="0"/>
                  <w:vAlign w:val="center"/>
                </w:tcPr>
                <w:p w14:paraId="62835084">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352" w:type="pct"/>
                  <w:vMerge w:val="continue"/>
                  <w:shd w:val="clear" w:color="auto" w:fill="auto"/>
                  <w:noWrap w:val="0"/>
                  <w:vAlign w:val="center"/>
                </w:tcPr>
                <w:p w14:paraId="7B255992">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41" w:type="pct"/>
                  <w:vMerge w:val="continue"/>
                  <w:shd w:val="clear" w:color="auto" w:fill="auto"/>
                  <w:noWrap w:val="0"/>
                  <w:vAlign w:val="center"/>
                </w:tcPr>
                <w:p w14:paraId="341DABAA">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528" w:type="pct"/>
                  <w:vMerge w:val="continue"/>
                  <w:shd w:val="clear" w:color="auto" w:fill="auto"/>
                  <w:noWrap w:val="0"/>
                  <w:vAlign w:val="center"/>
                </w:tcPr>
                <w:p w14:paraId="7A577810">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30" w:type="pct"/>
                  <w:vMerge w:val="continue"/>
                  <w:shd w:val="clear" w:color="auto" w:fill="auto"/>
                  <w:noWrap w:val="0"/>
                  <w:vAlign w:val="center"/>
                </w:tcPr>
                <w:p w14:paraId="1E006EC6">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947" w:type="dxa"/>
                  <w:shd w:val="clear" w:color="auto" w:fill="auto"/>
                  <w:noWrap w:val="0"/>
                  <w:vAlign w:val="center"/>
                </w:tcPr>
                <w:p w14:paraId="03FA7107">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500</w:t>
                  </w:r>
                </w:p>
              </w:tc>
            </w:tr>
            <w:tr w14:paraId="29D7F9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152" w:type="pct"/>
                  <w:vMerge w:val="continue"/>
                  <w:shd w:val="clear" w:color="auto" w:fill="auto"/>
                  <w:noWrap w:val="0"/>
                  <w:vAlign w:val="center"/>
                </w:tcPr>
                <w:p w14:paraId="6DC422D9">
                  <w:pPr>
                    <w:pStyle w:val="96"/>
                    <w:spacing w:line="240" w:lineRule="exact"/>
                    <w:rPr>
                      <w:rFonts w:hint="default" w:ascii="Times New Roman" w:hAnsi="Times New Roman" w:cs="Times New Roman"/>
                      <w:bCs/>
                      <w:color w:val="000000" w:themeColor="text1"/>
                      <w:sz w:val="18"/>
                      <w:szCs w:val="18"/>
                      <w14:textFill>
                        <w14:solidFill>
                          <w14:schemeClr w14:val="tx1"/>
                        </w14:solidFill>
                      </w14:textFill>
                    </w:rPr>
                  </w:pPr>
                </w:p>
              </w:tc>
              <w:tc>
                <w:tcPr>
                  <w:tcW w:w="86" w:type="pct"/>
                  <w:vMerge w:val="continue"/>
                  <w:shd w:val="clear" w:color="auto" w:fill="auto"/>
                  <w:noWrap w:val="0"/>
                  <w:vAlign w:val="center"/>
                </w:tcPr>
                <w:p w14:paraId="72D0B9AE">
                  <w:pPr>
                    <w:pStyle w:val="96"/>
                    <w:spacing w:line="240" w:lineRule="exact"/>
                    <w:rPr>
                      <w:rFonts w:hint="default" w:ascii="Times New Roman" w:hAnsi="Times New Roman" w:cs="Times New Roman"/>
                      <w:bCs/>
                      <w:color w:val="000000" w:themeColor="text1"/>
                      <w:sz w:val="18"/>
                      <w:szCs w:val="18"/>
                      <w14:textFill>
                        <w14:solidFill>
                          <w14:schemeClr w14:val="tx1"/>
                        </w14:solidFill>
                      </w14:textFill>
                    </w:rPr>
                  </w:pPr>
                </w:p>
              </w:tc>
              <w:tc>
                <w:tcPr>
                  <w:tcW w:w="257" w:type="pct"/>
                  <w:shd w:val="clear" w:color="auto" w:fill="auto"/>
                  <w:noWrap w:val="0"/>
                  <w:vAlign w:val="center"/>
                </w:tcPr>
                <w:p w14:paraId="39B971DE">
                  <w:pPr>
                    <w:pStyle w:val="134"/>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eastAsia="宋体" w:cs="Times New Roman"/>
                      <w:spacing w:val="0"/>
                      <w:sz w:val="18"/>
                      <w:szCs w:val="18"/>
                      <w:vertAlign w:val="baseline"/>
                      <w:lang w:val="en-US" w:eastAsia="zh-CN"/>
                    </w:rPr>
                  </w:pPr>
                  <w:r>
                    <w:rPr>
                      <w:rFonts w:hint="default" w:ascii="Times New Roman" w:hAnsi="Times New Roman" w:eastAsia="宋体" w:cs="Times New Roman"/>
                      <w:spacing w:val="0"/>
                      <w:sz w:val="21"/>
                      <w:szCs w:val="21"/>
                      <w:lang w:val="en-US" w:eastAsia="zh-CN"/>
                    </w:rPr>
                    <w:t>BOD</w:t>
                  </w:r>
                  <w:r>
                    <w:rPr>
                      <w:rFonts w:hint="default" w:ascii="Times New Roman" w:hAnsi="Times New Roman" w:eastAsia="宋体" w:cs="Times New Roman"/>
                      <w:spacing w:val="0"/>
                      <w:sz w:val="21"/>
                      <w:szCs w:val="21"/>
                      <w:vertAlign w:val="subscript"/>
                      <w:lang w:val="en-US" w:eastAsia="zh-CN"/>
                    </w:rPr>
                    <w:t>5</w:t>
                  </w:r>
                </w:p>
              </w:tc>
              <w:tc>
                <w:tcPr>
                  <w:tcW w:w="114" w:type="pct"/>
                  <w:vMerge w:val="continue"/>
                  <w:shd w:val="clear" w:color="auto" w:fill="auto"/>
                  <w:noWrap w:val="0"/>
                  <w:vAlign w:val="center"/>
                </w:tcPr>
                <w:p w14:paraId="7F733281">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46" w:type="pct"/>
                  <w:vMerge w:val="continue"/>
                  <w:shd w:val="clear" w:color="auto" w:fill="auto"/>
                  <w:noWrap w:val="0"/>
                  <w:vAlign w:val="center"/>
                </w:tcPr>
                <w:p w14:paraId="6BD8D00F">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194" w:type="pct"/>
                  <w:shd w:val="clear" w:color="auto" w:fill="auto"/>
                  <w:noWrap w:val="0"/>
                  <w:vAlign w:val="center"/>
                </w:tcPr>
                <w:p w14:paraId="57F9FC7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60</w:t>
                  </w:r>
                </w:p>
              </w:tc>
              <w:tc>
                <w:tcPr>
                  <w:tcW w:w="247" w:type="pct"/>
                  <w:shd w:val="clear" w:color="auto" w:fill="auto"/>
                  <w:noWrap w:val="0"/>
                  <w:vAlign w:val="center"/>
                </w:tcPr>
                <w:p w14:paraId="0AF1695A">
                  <w:pPr>
                    <w:pStyle w:val="134"/>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spacing w:val="0"/>
                      <w:sz w:val="18"/>
                      <w:szCs w:val="18"/>
                      <w:vertAlign w:val="baseline"/>
                      <w:lang w:val="en-US" w:eastAsia="zh-CN"/>
                    </w:rPr>
                    <w:t>0.629</w:t>
                  </w:r>
                </w:p>
              </w:tc>
              <w:tc>
                <w:tcPr>
                  <w:tcW w:w="210" w:type="pct"/>
                  <w:vMerge w:val="continue"/>
                  <w:shd w:val="clear" w:color="auto" w:fill="auto"/>
                  <w:noWrap w:val="0"/>
                  <w:vAlign w:val="center"/>
                </w:tcPr>
                <w:p w14:paraId="75870933">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35" w:type="pct"/>
                  <w:shd w:val="clear" w:color="auto" w:fill="auto"/>
                  <w:noWrap w:val="0"/>
                  <w:vAlign w:val="center"/>
                </w:tcPr>
                <w:p w14:paraId="0397B297">
                  <w:pPr>
                    <w:adjustRightInd w:val="0"/>
                    <w:snapToGrid w:val="0"/>
                    <w:jc w:val="center"/>
                    <w:rPr>
                      <w:rFonts w:hint="default" w:ascii="Times New Roman" w:hAnsi="Times New Roman" w:cs="Times New Roman"/>
                      <w:bCs/>
                      <w:color w:val="000000" w:themeColor="text1"/>
                      <w:sz w:val="18"/>
                      <w:szCs w:val="18"/>
                      <w:lang w:val="en-US" w:eastAsia="zh-CN"/>
                      <w14:textFill>
                        <w14:solidFill>
                          <w14:schemeClr w14:val="tx1"/>
                        </w14:solidFill>
                      </w14:textFill>
                    </w:rPr>
                  </w:pPr>
                  <w:r>
                    <w:rPr>
                      <w:rFonts w:hint="default" w:ascii="Times New Roman" w:hAnsi="Times New Roman" w:cs="Times New Roman"/>
                      <w:bCs/>
                      <w:color w:val="000000" w:themeColor="text1"/>
                      <w:sz w:val="18"/>
                      <w:szCs w:val="18"/>
                      <w:lang w:val="en-US" w:eastAsia="zh-CN"/>
                      <w14:textFill>
                        <w14:solidFill>
                          <w14:schemeClr w14:val="tx1"/>
                        </w14:solidFill>
                      </w14:textFill>
                    </w:rPr>
                    <w:t>80%</w:t>
                  </w:r>
                </w:p>
              </w:tc>
              <w:tc>
                <w:tcPr>
                  <w:tcW w:w="193" w:type="pct"/>
                  <w:vMerge w:val="continue"/>
                  <w:shd w:val="clear" w:color="auto" w:fill="auto"/>
                  <w:noWrap w:val="0"/>
                  <w:vAlign w:val="center"/>
                </w:tcPr>
                <w:p w14:paraId="6FB61CB4">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47" w:type="pct"/>
                  <w:vMerge w:val="continue"/>
                  <w:shd w:val="clear" w:color="auto" w:fill="auto"/>
                  <w:noWrap w:val="0"/>
                  <w:vAlign w:val="center"/>
                </w:tcPr>
                <w:p w14:paraId="1D573EAF">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609" w:type="dxa"/>
                  <w:shd w:val="clear" w:color="auto" w:fill="auto"/>
                  <w:noWrap w:val="0"/>
                  <w:vAlign w:val="center"/>
                </w:tcPr>
                <w:p w14:paraId="7A8564B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12.000 </w:t>
                  </w:r>
                </w:p>
              </w:tc>
              <w:tc>
                <w:tcPr>
                  <w:tcW w:w="611" w:type="dxa"/>
                  <w:shd w:val="clear" w:color="auto" w:fill="auto"/>
                  <w:noWrap w:val="0"/>
                  <w:vAlign w:val="center"/>
                </w:tcPr>
                <w:p w14:paraId="400B1CB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0.050 </w:t>
                  </w:r>
                </w:p>
              </w:tc>
              <w:tc>
                <w:tcPr>
                  <w:tcW w:w="172" w:type="pct"/>
                  <w:vMerge w:val="continue"/>
                  <w:shd w:val="clear" w:color="auto" w:fill="auto"/>
                  <w:noWrap w:val="0"/>
                  <w:vAlign w:val="center"/>
                </w:tcPr>
                <w:p w14:paraId="351E5D93">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321" w:type="pct"/>
                  <w:vMerge w:val="continue"/>
                  <w:shd w:val="clear" w:color="auto" w:fill="auto"/>
                  <w:noWrap w:val="0"/>
                  <w:vAlign w:val="center"/>
                </w:tcPr>
                <w:p w14:paraId="294DC0D1">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172" w:type="pct"/>
                  <w:vMerge w:val="continue"/>
                  <w:shd w:val="clear" w:color="auto" w:fill="auto"/>
                  <w:noWrap w:val="0"/>
                  <w:vAlign w:val="center"/>
                </w:tcPr>
                <w:p w14:paraId="63CCA306">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352" w:type="pct"/>
                  <w:vMerge w:val="continue"/>
                  <w:shd w:val="clear" w:color="auto" w:fill="auto"/>
                  <w:noWrap w:val="0"/>
                  <w:vAlign w:val="center"/>
                </w:tcPr>
                <w:p w14:paraId="341A8DF0">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41" w:type="pct"/>
                  <w:vMerge w:val="continue"/>
                  <w:shd w:val="clear" w:color="auto" w:fill="auto"/>
                  <w:noWrap w:val="0"/>
                  <w:vAlign w:val="center"/>
                </w:tcPr>
                <w:p w14:paraId="0C1587C6">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528" w:type="pct"/>
                  <w:vMerge w:val="continue"/>
                  <w:shd w:val="clear" w:color="auto" w:fill="auto"/>
                  <w:noWrap w:val="0"/>
                  <w:vAlign w:val="center"/>
                </w:tcPr>
                <w:p w14:paraId="7A246B49">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30" w:type="pct"/>
                  <w:vMerge w:val="continue"/>
                  <w:shd w:val="clear" w:color="auto" w:fill="auto"/>
                  <w:noWrap w:val="0"/>
                  <w:vAlign w:val="center"/>
                </w:tcPr>
                <w:p w14:paraId="569147D4">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947" w:type="dxa"/>
                  <w:shd w:val="clear" w:color="auto" w:fill="auto"/>
                  <w:noWrap w:val="0"/>
                  <w:vAlign w:val="center"/>
                </w:tcPr>
                <w:p w14:paraId="4D252574">
                  <w:pPr>
                    <w:pStyle w:val="96"/>
                    <w:spacing w:line="240" w:lineRule="exact"/>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300</w:t>
                  </w:r>
                </w:p>
              </w:tc>
            </w:tr>
            <w:tr w14:paraId="45D292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152" w:type="pct"/>
                  <w:vMerge w:val="continue"/>
                  <w:shd w:val="clear" w:color="auto" w:fill="auto"/>
                  <w:noWrap w:val="0"/>
                  <w:vAlign w:val="center"/>
                </w:tcPr>
                <w:p w14:paraId="1C106927">
                  <w:pPr>
                    <w:pStyle w:val="96"/>
                    <w:spacing w:line="240" w:lineRule="exact"/>
                    <w:rPr>
                      <w:rFonts w:hint="default" w:ascii="Times New Roman" w:hAnsi="Times New Roman" w:cs="Times New Roman"/>
                      <w:bCs/>
                      <w:color w:val="000000" w:themeColor="text1"/>
                      <w:sz w:val="18"/>
                      <w:szCs w:val="18"/>
                      <w14:textFill>
                        <w14:solidFill>
                          <w14:schemeClr w14:val="tx1"/>
                        </w14:solidFill>
                      </w14:textFill>
                    </w:rPr>
                  </w:pPr>
                </w:p>
              </w:tc>
              <w:tc>
                <w:tcPr>
                  <w:tcW w:w="86" w:type="pct"/>
                  <w:vMerge w:val="continue"/>
                  <w:shd w:val="clear" w:color="auto" w:fill="auto"/>
                  <w:noWrap w:val="0"/>
                  <w:vAlign w:val="center"/>
                </w:tcPr>
                <w:p w14:paraId="7D77FDC2">
                  <w:pPr>
                    <w:pStyle w:val="96"/>
                    <w:spacing w:line="240" w:lineRule="exact"/>
                    <w:rPr>
                      <w:rFonts w:hint="default" w:ascii="Times New Roman" w:hAnsi="Times New Roman" w:cs="Times New Roman"/>
                      <w:bCs/>
                      <w:color w:val="000000" w:themeColor="text1"/>
                      <w:sz w:val="18"/>
                      <w:szCs w:val="18"/>
                      <w14:textFill>
                        <w14:solidFill>
                          <w14:schemeClr w14:val="tx1"/>
                        </w14:solidFill>
                      </w14:textFill>
                    </w:rPr>
                  </w:pPr>
                </w:p>
              </w:tc>
              <w:tc>
                <w:tcPr>
                  <w:tcW w:w="257" w:type="pct"/>
                  <w:shd w:val="clear" w:color="auto" w:fill="auto"/>
                  <w:noWrap w:val="0"/>
                  <w:vAlign w:val="center"/>
                </w:tcPr>
                <w:p w14:paraId="34672BC2">
                  <w:pPr>
                    <w:pStyle w:val="134"/>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eastAsia="宋体" w:cs="Times New Roman"/>
                      <w:spacing w:val="0"/>
                      <w:sz w:val="18"/>
                      <w:szCs w:val="18"/>
                      <w:vertAlign w:val="baseline"/>
                      <w:lang w:val="en-US" w:eastAsia="zh-CN"/>
                    </w:rPr>
                  </w:pPr>
                  <w:r>
                    <w:rPr>
                      <w:rFonts w:hint="default" w:ascii="Times New Roman" w:hAnsi="Times New Roman" w:eastAsia="宋体" w:cs="Times New Roman"/>
                      <w:spacing w:val="0"/>
                      <w:sz w:val="21"/>
                      <w:szCs w:val="21"/>
                      <w:vertAlign w:val="baseline"/>
                      <w:lang w:val="en-US" w:eastAsia="zh-CN"/>
                    </w:rPr>
                    <w:t>SS</w:t>
                  </w:r>
                </w:p>
              </w:tc>
              <w:tc>
                <w:tcPr>
                  <w:tcW w:w="114" w:type="pct"/>
                  <w:vMerge w:val="continue"/>
                  <w:shd w:val="clear" w:color="auto" w:fill="auto"/>
                  <w:noWrap w:val="0"/>
                  <w:vAlign w:val="center"/>
                </w:tcPr>
                <w:p w14:paraId="5B617031">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46" w:type="pct"/>
                  <w:vMerge w:val="continue"/>
                  <w:shd w:val="clear" w:color="auto" w:fill="auto"/>
                  <w:noWrap w:val="0"/>
                  <w:vAlign w:val="center"/>
                </w:tcPr>
                <w:p w14:paraId="30D9F091">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194" w:type="pct"/>
                  <w:shd w:val="clear" w:color="auto" w:fill="auto"/>
                  <w:noWrap w:val="0"/>
                  <w:vAlign w:val="center"/>
                </w:tcPr>
                <w:p w14:paraId="1C70B99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50</w:t>
                  </w:r>
                </w:p>
              </w:tc>
              <w:tc>
                <w:tcPr>
                  <w:tcW w:w="247" w:type="pct"/>
                  <w:shd w:val="clear" w:color="auto" w:fill="auto"/>
                  <w:noWrap w:val="0"/>
                  <w:vAlign w:val="center"/>
                </w:tcPr>
                <w:p w14:paraId="669830E7">
                  <w:pPr>
                    <w:pStyle w:val="134"/>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spacing w:val="0"/>
                      <w:sz w:val="18"/>
                      <w:szCs w:val="18"/>
                      <w:vertAlign w:val="baseline"/>
                      <w:lang w:val="en-US" w:eastAsia="zh-CN"/>
                    </w:rPr>
                    <w:t>0.524</w:t>
                  </w:r>
                </w:p>
              </w:tc>
              <w:tc>
                <w:tcPr>
                  <w:tcW w:w="210" w:type="pct"/>
                  <w:vMerge w:val="continue"/>
                  <w:shd w:val="clear" w:color="auto" w:fill="auto"/>
                  <w:noWrap w:val="0"/>
                  <w:vAlign w:val="center"/>
                </w:tcPr>
                <w:p w14:paraId="25A467CD">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35" w:type="pct"/>
                  <w:shd w:val="clear" w:color="auto" w:fill="auto"/>
                  <w:noWrap w:val="0"/>
                  <w:vAlign w:val="center"/>
                </w:tcPr>
                <w:p w14:paraId="5C49939B">
                  <w:pPr>
                    <w:adjustRightInd w:val="0"/>
                    <w:snapToGrid w:val="0"/>
                    <w:jc w:val="center"/>
                    <w:rPr>
                      <w:rFonts w:hint="default" w:ascii="Times New Roman" w:hAnsi="Times New Roman" w:cs="Times New Roman"/>
                      <w:bCs/>
                      <w:color w:val="000000" w:themeColor="text1"/>
                      <w:sz w:val="18"/>
                      <w:szCs w:val="18"/>
                      <w:lang w:val="en-US" w:eastAsia="zh-CN"/>
                      <w14:textFill>
                        <w14:solidFill>
                          <w14:schemeClr w14:val="tx1"/>
                        </w14:solidFill>
                      </w14:textFill>
                    </w:rPr>
                  </w:pPr>
                  <w:r>
                    <w:rPr>
                      <w:rFonts w:hint="default" w:ascii="Times New Roman" w:hAnsi="Times New Roman" w:cs="Times New Roman"/>
                      <w:bCs/>
                      <w:color w:val="000000" w:themeColor="text1"/>
                      <w:sz w:val="18"/>
                      <w:szCs w:val="18"/>
                      <w:lang w:val="en-US" w:eastAsia="zh-CN"/>
                      <w14:textFill>
                        <w14:solidFill>
                          <w14:schemeClr w14:val="tx1"/>
                        </w14:solidFill>
                      </w14:textFill>
                    </w:rPr>
                    <w:t>90%</w:t>
                  </w:r>
                </w:p>
              </w:tc>
              <w:tc>
                <w:tcPr>
                  <w:tcW w:w="193" w:type="pct"/>
                  <w:vMerge w:val="continue"/>
                  <w:shd w:val="clear" w:color="auto" w:fill="auto"/>
                  <w:noWrap w:val="0"/>
                  <w:vAlign w:val="center"/>
                </w:tcPr>
                <w:p w14:paraId="05843133">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47" w:type="pct"/>
                  <w:vMerge w:val="continue"/>
                  <w:shd w:val="clear" w:color="auto" w:fill="auto"/>
                  <w:noWrap w:val="0"/>
                  <w:vAlign w:val="center"/>
                </w:tcPr>
                <w:p w14:paraId="3907DDD0">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609" w:type="dxa"/>
                  <w:shd w:val="clear" w:color="auto" w:fill="auto"/>
                  <w:noWrap w:val="0"/>
                  <w:vAlign w:val="center"/>
                </w:tcPr>
                <w:p w14:paraId="291658E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5.000 </w:t>
                  </w:r>
                </w:p>
              </w:tc>
              <w:tc>
                <w:tcPr>
                  <w:tcW w:w="611" w:type="dxa"/>
                  <w:shd w:val="clear" w:color="auto" w:fill="auto"/>
                  <w:noWrap w:val="0"/>
                  <w:vAlign w:val="center"/>
                </w:tcPr>
                <w:p w14:paraId="1500E30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0.021 </w:t>
                  </w:r>
                </w:p>
              </w:tc>
              <w:tc>
                <w:tcPr>
                  <w:tcW w:w="172" w:type="pct"/>
                  <w:vMerge w:val="continue"/>
                  <w:shd w:val="clear" w:color="auto" w:fill="auto"/>
                  <w:noWrap w:val="0"/>
                  <w:vAlign w:val="center"/>
                </w:tcPr>
                <w:p w14:paraId="31BE8E3D">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321" w:type="pct"/>
                  <w:vMerge w:val="continue"/>
                  <w:shd w:val="clear" w:color="auto" w:fill="auto"/>
                  <w:noWrap w:val="0"/>
                  <w:vAlign w:val="center"/>
                </w:tcPr>
                <w:p w14:paraId="69E67BC5">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172" w:type="pct"/>
                  <w:vMerge w:val="continue"/>
                  <w:shd w:val="clear" w:color="auto" w:fill="auto"/>
                  <w:noWrap w:val="0"/>
                  <w:vAlign w:val="center"/>
                </w:tcPr>
                <w:p w14:paraId="7CD53EE2">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352" w:type="pct"/>
                  <w:vMerge w:val="continue"/>
                  <w:shd w:val="clear" w:color="auto" w:fill="auto"/>
                  <w:noWrap w:val="0"/>
                  <w:vAlign w:val="center"/>
                </w:tcPr>
                <w:p w14:paraId="75D9428B">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41" w:type="pct"/>
                  <w:vMerge w:val="continue"/>
                  <w:shd w:val="clear" w:color="auto" w:fill="auto"/>
                  <w:noWrap w:val="0"/>
                  <w:vAlign w:val="center"/>
                </w:tcPr>
                <w:p w14:paraId="565B0F1B">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528" w:type="pct"/>
                  <w:vMerge w:val="continue"/>
                  <w:shd w:val="clear" w:color="auto" w:fill="auto"/>
                  <w:noWrap w:val="0"/>
                  <w:vAlign w:val="center"/>
                </w:tcPr>
                <w:p w14:paraId="5370AC68">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30" w:type="pct"/>
                  <w:vMerge w:val="continue"/>
                  <w:shd w:val="clear" w:color="auto" w:fill="auto"/>
                  <w:noWrap w:val="0"/>
                  <w:vAlign w:val="center"/>
                </w:tcPr>
                <w:p w14:paraId="12E658E0">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947" w:type="dxa"/>
                  <w:shd w:val="clear" w:color="auto" w:fill="auto"/>
                  <w:noWrap w:val="0"/>
                  <w:vAlign w:val="center"/>
                </w:tcPr>
                <w:p w14:paraId="49723227">
                  <w:pPr>
                    <w:pStyle w:val="96"/>
                    <w:spacing w:line="240" w:lineRule="exact"/>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400</w:t>
                  </w:r>
                </w:p>
              </w:tc>
            </w:tr>
            <w:tr w14:paraId="431968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152" w:type="pct"/>
                  <w:vMerge w:val="continue"/>
                  <w:shd w:val="clear" w:color="auto" w:fill="auto"/>
                  <w:noWrap w:val="0"/>
                  <w:vAlign w:val="center"/>
                </w:tcPr>
                <w:p w14:paraId="1C786372">
                  <w:pPr>
                    <w:pStyle w:val="96"/>
                    <w:spacing w:line="240" w:lineRule="exact"/>
                    <w:rPr>
                      <w:rFonts w:hint="default" w:ascii="Times New Roman" w:hAnsi="Times New Roman" w:cs="Times New Roman"/>
                      <w:bCs/>
                      <w:color w:val="000000" w:themeColor="text1"/>
                      <w:sz w:val="18"/>
                      <w:szCs w:val="18"/>
                      <w14:textFill>
                        <w14:solidFill>
                          <w14:schemeClr w14:val="tx1"/>
                        </w14:solidFill>
                      </w14:textFill>
                    </w:rPr>
                  </w:pPr>
                </w:p>
              </w:tc>
              <w:tc>
                <w:tcPr>
                  <w:tcW w:w="86" w:type="pct"/>
                  <w:vMerge w:val="continue"/>
                  <w:shd w:val="clear" w:color="auto" w:fill="auto"/>
                  <w:noWrap w:val="0"/>
                  <w:vAlign w:val="center"/>
                </w:tcPr>
                <w:p w14:paraId="5AC791AA">
                  <w:pPr>
                    <w:pStyle w:val="96"/>
                    <w:spacing w:line="240" w:lineRule="exact"/>
                    <w:rPr>
                      <w:rFonts w:hint="default" w:ascii="Times New Roman" w:hAnsi="Times New Roman" w:cs="Times New Roman"/>
                      <w:bCs/>
                      <w:color w:val="000000" w:themeColor="text1"/>
                      <w:sz w:val="18"/>
                      <w:szCs w:val="18"/>
                      <w14:textFill>
                        <w14:solidFill>
                          <w14:schemeClr w14:val="tx1"/>
                        </w14:solidFill>
                      </w14:textFill>
                    </w:rPr>
                  </w:pPr>
                </w:p>
              </w:tc>
              <w:tc>
                <w:tcPr>
                  <w:tcW w:w="257" w:type="pct"/>
                  <w:shd w:val="clear" w:color="auto" w:fill="auto"/>
                  <w:noWrap w:val="0"/>
                  <w:vAlign w:val="center"/>
                </w:tcPr>
                <w:p w14:paraId="143E5442">
                  <w:pPr>
                    <w:pStyle w:val="134"/>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eastAsia="宋体" w:cs="Times New Roman"/>
                      <w:spacing w:val="0"/>
                      <w:sz w:val="18"/>
                      <w:szCs w:val="18"/>
                      <w:vertAlign w:val="baseline"/>
                      <w:lang w:val="en-US" w:eastAsia="zh-CN"/>
                    </w:rPr>
                    <w:t>NH</w:t>
                  </w:r>
                  <w:r>
                    <w:rPr>
                      <w:rFonts w:hint="default" w:ascii="Times New Roman" w:hAnsi="Times New Roman" w:eastAsia="宋体" w:cs="Times New Roman"/>
                      <w:spacing w:val="0"/>
                      <w:sz w:val="18"/>
                      <w:szCs w:val="18"/>
                      <w:vertAlign w:val="subscript"/>
                      <w:lang w:val="en-US" w:eastAsia="zh-CN"/>
                    </w:rPr>
                    <w:t>3</w:t>
                  </w:r>
                  <w:r>
                    <w:rPr>
                      <w:rFonts w:hint="default" w:ascii="Times New Roman" w:hAnsi="Times New Roman" w:eastAsia="宋体" w:cs="Times New Roman"/>
                      <w:spacing w:val="0"/>
                      <w:sz w:val="18"/>
                      <w:szCs w:val="18"/>
                      <w:vertAlign w:val="baseline"/>
                      <w:lang w:val="en-US" w:eastAsia="zh-CN"/>
                    </w:rPr>
                    <w:t>-N</w:t>
                  </w:r>
                </w:p>
              </w:tc>
              <w:tc>
                <w:tcPr>
                  <w:tcW w:w="114" w:type="pct"/>
                  <w:vMerge w:val="continue"/>
                  <w:shd w:val="clear" w:color="auto" w:fill="auto"/>
                  <w:noWrap w:val="0"/>
                  <w:vAlign w:val="center"/>
                </w:tcPr>
                <w:p w14:paraId="1964A5BD">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46" w:type="pct"/>
                  <w:vMerge w:val="continue"/>
                  <w:shd w:val="clear" w:color="auto" w:fill="auto"/>
                  <w:noWrap w:val="0"/>
                  <w:vAlign w:val="center"/>
                </w:tcPr>
                <w:p w14:paraId="11F475A4">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194" w:type="pct"/>
                  <w:shd w:val="clear" w:color="auto" w:fill="auto"/>
                  <w:noWrap w:val="0"/>
                  <w:vAlign w:val="center"/>
                </w:tcPr>
                <w:p w14:paraId="00F971AB">
                  <w:pPr>
                    <w:keepNext w:val="0"/>
                    <w:keepLines w:val="0"/>
                    <w:widowControl/>
                    <w:suppressLineNumbers w:val="0"/>
                    <w:jc w:val="center"/>
                    <w:textAlignment w:val="center"/>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23</w:t>
                  </w:r>
                </w:p>
              </w:tc>
              <w:tc>
                <w:tcPr>
                  <w:tcW w:w="247" w:type="pct"/>
                  <w:shd w:val="clear" w:color="auto" w:fill="auto"/>
                  <w:noWrap w:val="0"/>
                  <w:vAlign w:val="center"/>
                </w:tcPr>
                <w:p w14:paraId="59A71C5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0.242</w:t>
                  </w:r>
                </w:p>
              </w:tc>
              <w:tc>
                <w:tcPr>
                  <w:tcW w:w="210" w:type="pct"/>
                  <w:vMerge w:val="continue"/>
                  <w:shd w:val="clear" w:color="auto" w:fill="auto"/>
                  <w:noWrap w:val="0"/>
                  <w:vAlign w:val="center"/>
                </w:tcPr>
                <w:p w14:paraId="094ECFB5">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35" w:type="pct"/>
                  <w:shd w:val="clear" w:color="auto" w:fill="auto"/>
                  <w:noWrap w:val="0"/>
                  <w:vAlign w:val="center"/>
                </w:tcPr>
                <w:p w14:paraId="063946EE">
                  <w:pPr>
                    <w:adjustRightInd w:val="0"/>
                    <w:snapToGrid w:val="0"/>
                    <w:jc w:val="center"/>
                    <w:rPr>
                      <w:rFonts w:hint="default" w:ascii="Times New Roman" w:hAnsi="Times New Roman" w:cs="Times New Roman"/>
                      <w:bCs/>
                      <w:color w:val="000000" w:themeColor="text1"/>
                      <w:sz w:val="18"/>
                      <w:szCs w:val="18"/>
                      <w:lang w:val="en-US" w:eastAsia="zh-CN"/>
                      <w14:textFill>
                        <w14:solidFill>
                          <w14:schemeClr w14:val="tx1"/>
                        </w14:solidFill>
                      </w14:textFill>
                    </w:rPr>
                  </w:pPr>
                  <w:r>
                    <w:rPr>
                      <w:rFonts w:hint="default" w:ascii="Times New Roman" w:hAnsi="Times New Roman" w:cs="Times New Roman"/>
                      <w:bCs/>
                      <w:color w:val="000000" w:themeColor="text1"/>
                      <w:sz w:val="18"/>
                      <w:szCs w:val="18"/>
                      <w:lang w:val="en-US" w:eastAsia="zh-CN"/>
                      <w14:textFill>
                        <w14:solidFill>
                          <w14:schemeClr w14:val="tx1"/>
                        </w14:solidFill>
                      </w14:textFill>
                    </w:rPr>
                    <w:t>80%</w:t>
                  </w:r>
                </w:p>
              </w:tc>
              <w:tc>
                <w:tcPr>
                  <w:tcW w:w="193" w:type="pct"/>
                  <w:vMerge w:val="continue"/>
                  <w:shd w:val="clear" w:color="auto" w:fill="auto"/>
                  <w:noWrap w:val="0"/>
                  <w:vAlign w:val="center"/>
                </w:tcPr>
                <w:p w14:paraId="5A7E22C7">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47" w:type="pct"/>
                  <w:vMerge w:val="continue"/>
                  <w:shd w:val="clear" w:color="auto" w:fill="auto"/>
                  <w:noWrap w:val="0"/>
                  <w:vAlign w:val="center"/>
                </w:tcPr>
                <w:p w14:paraId="56F2FD8B">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609" w:type="dxa"/>
                  <w:shd w:val="clear" w:color="auto" w:fill="auto"/>
                  <w:noWrap w:val="0"/>
                  <w:vAlign w:val="center"/>
                </w:tcPr>
                <w:p w14:paraId="7245E1F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4.600 </w:t>
                  </w:r>
                </w:p>
              </w:tc>
              <w:tc>
                <w:tcPr>
                  <w:tcW w:w="611" w:type="dxa"/>
                  <w:shd w:val="clear" w:color="auto" w:fill="auto"/>
                  <w:noWrap w:val="0"/>
                  <w:vAlign w:val="center"/>
                </w:tcPr>
                <w:p w14:paraId="129B90A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0.019 </w:t>
                  </w:r>
                </w:p>
              </w:tc>
              <w:tc>
                <w:tcPr>
                  <w:tcW w:w="172" w:type="pct"/>
                  <w:vMerge w:val="continue"/>
                  <w:shd w:val="clear" w:color="auto" w:fill="auto"/>
                  <w:noWrap w:val="0"/>
                  <w:vAlign w:val="center"/>
                </w:tcPr>
                <w:p w14:paraId="0B7CC07F">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321" w:type="pct"/>
                  <w:vMerge w:val="continue"/>
                  <w:shd w:val="clear" w:color="auto" w:fill="auto"/>
                  <w:noWrap w:val="0"/>
                  <w:vAlign w:val="center"/>
                </w:tcPr>
                <w:p w14:paraId="42D8DD0C">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172" w:type="pct"/>
                  <w:vMerge w:val="continue"/>
                  <w:shd w:val="clear" w:color="auto" w:fill="auto"/>
                  <w:noWrap w:val="0"/>
                  <w:vAlign w:val="center"/>
                </w:tcPr>
                <w:p w14:paraId="78CB8408">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352" w:type="pct"/>
                  <w:vMerge w:val="continue"/>
                  <w:shd w:val="clear" w:color="auto" w:fill="auto"/>
                  <w:noWrap w:val="0"/>
                  <w:vAlign w:val="center"/>
                </w:tcPr>
                <w:p w14:paraId="67D92326">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41" w:type="pct"/>
                  <w:vMerge w:val="continue"/>
                  <w:shd w:val="clear" w:color="auto" w:fill="auto"/>
                  <w:noWrap w:val="0"/>
                  <w:vAlign w:val="center"/>
                </w:tcPr>
                <w:p w14:paraId="3BB73E4F">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528" w:type="pct"/>
                  <w:vMerge w:val="continue"/>
                  <w:shd w:val="clear" w:color="auto" w:fill="auto"/>
                  <w:noWrap w:val="0"/>
                  <w:vAlign w:val="center"/>
                </w:tcPr>
                <w:p w14:paraId="115241B6">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30" w:type="pct"/>
                  <w:vMerge w:val="continue"/>
                  <w:shd w:val="clear" w:color="auto" w:fill="auto"/>
                  <w:noWrap w:val="0"/>
                  <w:vAlign w:val="center"/>
                </w:tcPr>
                <w:p w14:paraId="0E0C8F8C">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947" w:type="dxa"/>
                  <w:shd w:val="clear" w:color="auto" w:fill="auto"/>
                  <w:noWrap w:val="0"/>
                  <w:vAlign w:val="center"/>
                </w:tcPr>
                <w:p w14:paraId="7E26A615">
                  <w:pPr>
                    <w:pStyle w:val="96"/>
                    <w:spacing w:line="240" w:lineRule="exact"/>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45</w:t>
                  </w:r>
                </w:p>
              </w:tc>
            </w:tr>
            <w:tr w14:paraId="4EF941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152" w:type="pct"/>
                  <w:vMerge w:val="continue"/>
                  <w:shd w:val="clear" w:color="auto" w:fill="auto"/>
                  <w:noWrap w:val="0"/>
                  <w:vAlign w:val="center"/>
                </w:tcPr>
                <w:p w14:paraId="6E1549B6">
                  <w:pPr>
                    <w:pStyle w:val="96"/>
                    <w:spacing w:line="240" w:lineRule="exact"/>
                    <w:rPr>
                      <w:rFonts w:hint="default" w:ascii="Times New Roman" w:hAnsi="Times New Roman" w:cs="Times New Roman"/>
                      <w:bCs/>
                      <w:color w:val="000000" w:themeColor="text1"/>
                      <w:sz w:val="18"/>
                      <w:szCs w:val="18"/>
                      <w14:textFill>
                        <w14:solidFill>
                          <w14:schemeClr w14:val="tx1"/>
                        </w14:solidFill>
                      </w14:textFill>
                    </w:rPr>
                  </w:pPr>
                </w:p>
              </w:tc>
              <w:tc>
                <w:tcPr>
                  <w:tcW w:w="86" w:type="pct"/>
                  <w:vMerge w:val="continue"/>
                  <w:shd w:val="clear" w:color="auto" w:fill="auto"/>
                  <w:noWrap w:val="0"/>
                  <w:vAlign w:val="center"/>
                </w:tcPr>
                <w:p w14:paraId="13F5FBF0">
                  <w:pPr>
                    <w:pStyle w:val="96"/>
                    <w:spacing w:line="240" w:lineRule="exact"/>
                    <w:rPr>
                      <w:rFonts w:hint="default" w:ascii="Times New Roman" w:hAnsi="Times New Roman" w:cs="Times New Roman"/>
                      <w:bCs/>
                      <w:color w:val="000000" w:themeColor="text1"/>
                      <w:sz w:val="18"/>
                      <w:szCs w:val="18"/>
                      <w14:textFill>
                        <w14:solidFill>
                          <w14:schemeClr w14:val="tx1"/>
                        </w14:solidFill>
                      </w14:textFill>
                    </w:rPr>
                  </w:pPr>
                </w:p>
              </w:tc>
              <w:tc>
                <w:tcPr>
                  <w:tcW w:w="257" w:type="pct"/>
                  <w:shd w:val="clear" w:color="auto" w:fill="auto"/>
                  <w:noWrap w:val="0"/>
                  <w:vAlign w:val="center"/>
                </w:tcPr>
                <w:p w14:paraId="353824DA">
                  <w:pPr>
                    <w:pStyle w:val="134"/>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eastAsia="宋体" w:cs="Times New Roman"/>
                      <w:spacing w:val="0"/>
                      <w:sz w:val="18"/>
                      <w:szCs w:val="18"/>
                      <w:vertAlign w:val="baseline"/>
                      <w:lang w:val="en-US" w:eastAsia="zh-CN"/>
                    </w:rPr>
                    <w:t>石油类</w:t>
                  </w:r>
                </w:p>
              </w:tc>
              <w:tc>
                <w:tcPr>
                  <w:tcW w:w="114" w:type="pct"/>
                  <w:vMerge w:val="continue"/>
                  <w:shd w:val="clear" w:color="auto" w:fill="auto"/>
                  <w:noWrap w:val="0"/>
                  <w:vAlign w:val="center"/>
                </w:tcPr>
                <w:p w14:paraId="34BBFF05">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46" w:type="pct"/>
                  <w:vMerge w:val="continue"/>
                  <w:shd w:val="clear" w:color="auto" w:fill="auto"/>
                  <w:noWrap w:val="0"/>
                  <w:vAlign w:val="center"/>
                </w:tcPr>
                <w:p w14:paraId="37227556">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194" w:type="pct"/>
                  <w:shd w:val="clear" w:color="auto" w:fill="auto"/>
                  <w:noWrap w:val="0"/>
                  <w:vAlign w:val="center"/>
                </w:tcPr>
                <w:p w14:paraId="6E28370C">
                  <w:pPr>
                    <w:keepNext w:val="0"/>
                    <w:keepLines w:val="0"/>
                    <w:widowControl/>
                    <w:suppressLineNumbers w:val="0"/>
                    <w:jc w:val="center"/>
                    <w:textAlignment w:val="center"/>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247" w:type="pct"/>
                  <w:shd w:val="clear" w:color="auto" w:fill="auto"/>
                  <w:noWrap w:val="0"/>
                  <w:vAlign w:val="center"/>
                </w:tcPr>
                <w:p w14:paraId="02E85D3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0.192</w:t>
                  </w:r>
                </w:p>
              </w:tc>
              <w:tc>
                <w:tcPr>
                  <w:tcW w:w="210" w:type="pct"/>
                  <w:vMerge w:val="continue"/>
                  <w:shd w:val="clear" w:color="auto" w:fill="auto"/>
                  <w:noWrap w:val="0"/>
                  <w:vAlign w:val="center"/>
                </w:tcPr>
                <w:p w14:paraId="7FFF1C31">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35" w:type="pct"/>
                  <w:shd w:val="clear" w:color="auto" w:fill="auto"/>
                  <w:noWrap w:val="0"/>
                  <w:vAlign w:val="center"/>
                </w:tcPr>
                <w:p w14:paraId="6F07B308">
                  <w:pPr>
                    <w:adjustRightInd w:val="0"/>
                    <w:snapToGrid w:val="0"/>
                    <w:jc w:val="center"/>
                    <w:rPr>
                      <w:rFonts w:hint="default" w:ascii="Times New Roman" w:hAnsi="Times New Roman" w:cs="Times New Roman"/>
                      <w:bCs/>
                      <w:color w:val="000000" w:themeColor="text1"/>
                      <w:sz w:val="18"/>
                      <w:szCs w:val="18"/>
                      <w:lang w:val="en-US" w:eastAsia="zh-CN"/>
                      <w14:textFill>
                        <w14:solidFill>
                          <w14:schemeClr w14:val="tx1"/>
                        </w14:solidFill>
                      </w14:textFill>
                    </w:rPr>
                  </w:pPr>
                  <w:r>
                    <w:rPr>
                      <w:rFonts w:hint="default" w:ascii="Times New Roman" w:hAnsi="Times New Roman" w:cs="Times New Roman"/>
                      <w:bCs/>
                      <w:color w:val="000000" w:themeColor="text1"/>
                      <w:sz w:val="18"/>
                      <w:szCs w:val="18"/>
                      <w:lang w:val="en-US" w:eastAsia="zh-CN"/>
                      <w14:textFill>
                        <w14:solidFill>
                          <w14:schemeClr w14:val="tx1"/>
                        </w14:solidFill>
                      </w14:textFill>
                    </w:rPr>
                    <w:t>95%</w:t>
                  </w:r>
                </w:p>
              </w:tc>
              <w:tc>
                <w:tcPr>
                  <w:tcW w:w="193" w:type="pct"/>
                  <w:vMerge w:val="continue"/>
                  <w:shd w:val="clear" w:color="auto" w:fill="auto"/>
                  <w:noWrap w:val="0"/>
                  <w:vAlign w:val="center"/>
                </w:tcPr>
                <w:p w14:paraId="4BD2B42C">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47" w:type="pct"/>
                  <w:vMerge w:val="continue"/>
                  <w:shd w:val="clear" w:color="auto" w:fill="auto"/>
                  <w:noWrap w:val="0"/>
                  <w:vAlign w:val="center"/>
                </w:tcPr>
                <w:p w14:paraId="1215F084">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609" w:type="dxa"/>
                  <w:shd w:val="clear" w:color="auto" w:fill="auto"/>
                  <w:noWrap w:val="0"/>
                  <w:vAlign w:val="center"/>
                </w:tcPr>
                <w:p w14:paraId="0560292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0.900 </w:t>
                  </w:r>
                </w:p>
              </w:tc>
              <w:tc>
                <w:tcPr>
                  <w:tcW w:w="611" w:type="dxa"/>
                  <w:shd w:val="clear" w:color="auto" w:fill="auto"/>
                  <w:noWrap w:val="0"/>
                  <w:vAlign w:val="center"/>
                </w:tcPr>
                <w:p w14:paraId="4671AD2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0.004 </w:t>
                  </w:r>
                </w:p>
              </w:tc>
              <w:tc>
                <w:tcPr>
                  <w:tcW w:w="172" w:type="pct"/>
                  <w:vMerge w:val="continue"/>
                  <w:shd w:val="clear" w:color="auto" w:fill="auto"/>
                  <w:noWrap w:val="0"/>
                  <w:vAlign w:val="center"/>
                </w:tcPr>
                <w:p w14:paraId="1B534E0F">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321" w:type="pct"/>
                  <w:vMerge w:val="continue"/>
                  <w:shd w:val="clear" w:color="auto" w:fill="auto"/>
                  <w:noWrap w:val="0"/>
                  <w:vAlign w:val="center"/>
                </w:tcPr>
                <w:p w14:paraId="20F04822">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172" w:type="pct"/>
                  <w:vMerge w:val="continue"/>
                  <w:shd w:val="clear" w:color="auto" w:fill="auto"/>
                  <w:noWrap w:val="0"/>
                  <w:vAlign w:val="center"/>
                </w:tcPr>
                <w:p w14:paraId="3F0DBA62">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352" w:type="pct"/>
                  <w:vMerge w:val="continue"/>
                  <w:shd w:val="clear" w:color="auto" w:fill="auto"/>
                  <w:noWrap w:val="0"/>
                  <w:vAlign w:val="center"/>
                </w:tcPr>
                <w:p w14:paraId="0AE50C38">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41" w:type="pct"/>
                  <w:vMerge w:val="continue"/>
                  <w:shd w:val="clear" w:color="auto" w:fill="auto"/>
                  <w:noWrap w:val="0"/>
                  <w:vAlign w:val="center"/>
                </w:tcPr>
                <w:p w14:paraId="3D06865C">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528" w:type="pct"/>
                  <w:vMerge w:val="continue"/>
                  <w:shd w:val="clear" w:color="auto" w:fill="auto"/>
                  <w:noWrap w:val="0"/>
                  <w:vAlign w:val="center"/>
                </w:tcPr>
                <w:p w14:paraId="5639A54E">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30" w:type="pct"/>
                  <w:vMerge w:val="continue"/>
                  <w:shd w:val="clear" w:color="auto" w:fill="auto"/>
                  <w:noWrap w:val="0"/>
                  <w:vAlign w:val="center"/>
                </w:tcPr>
                <w:p w14:paraId="510458E0">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347" w:type="pct"/>
                  <w:shd w:val="clear" w:color="auto" w:fill="auto"/>
                  <w:noWrap w:val="0"/>
                  <w:vAlign w:val="center"/>
                </w:tcPr>
                <w:p w14:paraId="2BABA03D">
                  <w:pPr>
                    <w:pStyle w:val="96"/>
                    <w:spacing w:line="240" w:lineRule="exact"/>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20</w:t>
                  </w:r>
                </w:p>
              </w:tc>
            </w:tr>
            <w:tr w14:paraId="2DB0EB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152" w:type="pct"/>
                  <w:vMerge w:val="continue"/>
                  <w:shd w:val="clear" w:color="auto" w:fill="auto"/>
                  <w:noWrap w:val="0"/>
                  <w:vAlign w:val="center"/>
                </w:tcPr>
                <w:p w14:paraId="171DA4F5">
                  <w:pPr>
                    <w:pStyle w:val="96"/>
                    <w:spacing w:line="240" w:lineRule="exact"/>
                    <w:rPr>
                      <w:rFonts w:hint="default" w:ascii="Times New Roman" w:hAnsi="Times New Roman" w:cs="Times New Roman"/>
                      <w:bCs/>
                      <w:color w:val="000000" w:themeColor="text1"/>
                      <w:sz w:val="18"/>
                      <w:szCs w:val="18"/>
                      <w14:textFill>
                        <w14:solidFill>
                          <w14:schemeClr w14:val="tx1"/>
                        </w14:solidFill>
                      </w14:textFill>
                    </w:rPr>
                  </w:pPr>
                </w:p>
              </w:tc>
              <w:tc>
                <w:tcPr>
                  <w:tcW w:w="86" w:type="pct"/>
                  <w:vMerge w:val="continue"/>
                  <w:shd w:val="clear" w:color="auto" w:fill="auto"/>
                  <w:noWrap w:val="0"/>
                  <w:vAlign w:val="center"/>
                </w:tcPr>
                <w:p w14:paraId="6678059C">
                  <w:pPr>
                    <w:pStyle w:val="96"/>
                    <w:spacing w:line="240" w:lineRule="exact"/>
                    <w:rPr>
                      <w:rFonts w:hint="default" w:ascii="Times New Roman" w:hAnsi="Times New Roman" w:cs="Times New Roman"/>
                      <w:bCs/>
                      <w:color w:val="000000" w:themeColor="text1"/>
                      <w:sz w:val="18"/>
                      <w:szCs w:val="18"/>
                      <w14:textFill>
                        <w14:solidFill>
                          <w14:schemeClr w14:val="tx1"/>
                        </w14:solidFill>
                      </w14:textFill>
                    </w:rPr>
                  </w:pPr>
                </w:p>
              </w:tc>
              <w:tc>
                <w:tcPr>
                  <w:tcW w:w="257" w:type="pct"/>
                  <w:shd w:val="clear" w:color="auto" w:fill="auto"/>
                  <w:noWrap w:val="0"/>
                  <w:vAlign w:val="center"/>
                </w:tcPr>
                <w:p w14:paraId="30749C9F">
                  <w:pPr>
                    <w:pStyle w:val="134"/>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eastAsia="宋体" w:cs="Times New Roman"/>
                      <w:spacing w:val="0"/>
                      <w:sz w:val="18"/>
                      <w:szCs w:val="18"/>
                      <w:vertAlign w:val="baseline"/>
                      <w:lang w:val="en-US" w:eastAsia="zh-CN"/>
                    </w:rPr>
                    <w:t>TN</w:t>
                  </w:r>
                </w:p>
              </w:tc>
              <w:tc>
                <w:tcPr>
                  <w:tcW w:w="114" w:type="pct"/>
                  <w:vMerge w:val="continue"/>
                  <w:shd w:val="clear" w:color="auto" w:fill="auto"/>
                  <w:noWrap w:val="0"/>
                  <w:vAlign w:val="center"/>
                </w:tcPr>
                <w:p w14:paraId="0B65B6A8">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46" w:type="pct"/>
                  <w:vMerge w:val="continue"/>
                  <w:shd w:val="clear" w:color="auto" w:fill="auto"/>
                  <w:noWrap w:val="0"/>
                  <w:vAlign w:val="center"/>
                </w:tcPr>
                <w:p w14:paraId="45D77A2A">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194" w:type="pct"/>
                  <w:shd w:val="clear" w:color="auto" w:fill="auto"/>
                  <w:noWrap w:val="0"/>
                  <w:vAlign w:val="center"/>
                </w:tcPr>
                <w:p w14:paraId="12510AFD">
                  <w:pPr>
                    <w:keepNext w:val="0"/>
                    <w:keepLines w:val="0"/>
                    <w:widowControl/>
                    <w:suppressLineNumbers w:val="0"/>
                    <w:jc w:val="center"/>
                    <w:textAlignment w:val="center"/>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247" w:type="pct"/>
                  <w:shd w:val="clear" w:color="auto" w:fill="auto"/>
                  <w:noWrap w:val="0"/>
                  <w:vAlign w:val="center"/>
                </w:tcPr>
                <w:p w14:paraId="3D66502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0.38</w:t>
                  </w:r>
                </w:p>
              </w:tc>
              <w:tc>
                <w:tcPr>
                  <w:tcW w:w="210" w:type="pct"/>
                  <w:vMerge w:val="continue"/>
                  <w:shd w:val="clear" w:color="auto" w:fill="auto"/>
                  <w:noWrap w:val="0"/>
                  <w:vAlign w:val="center"/>
                </w:tcPr>
                <w:p w14:paraId="425FE18C">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35" w:type="pct"/>
                  <w:shd w:val="clear" w:color="auto" w:fill="auto"/>
                  <w:noWrap w:val="0"/>
                  <w:vAlign w:val="center"/>
                </w:tcPr>
                <w:p w14:paraId="674B5BB1">
                  <w:pPr>
                    <w:adjustRightInd w:val="0"/>
                    <w:snapToGrid w:val="0"/>
                    <w:jc w:val="center"/>
                    <w:rPr>
                      <w:rFonts w:hint="default" w:ascii="Times New Roman" w:hAnsi="Times New Roman" w:cs="Times New Roman"/>
                      <w:bCs/>
                      <w:color w:val="000000" w:themeColor="text1"/>
                      <w:sz w:val="18"/>
                      <w:szCs w:val="18"/>
                      <w:lang w:val="en-US" w:eastAsia="zh-CN"/>
                      <w14:textFill>
                        <w14:solidFill>
                          <w14:schemeClr w14:val="tx1"/>
                        </w14:solidFill>
                      </w14:textFill>
                    </w:rPr>
                  </w:pPr>
                  <w:r>
                    <w:rPr>
                      <w:rFonts w:hint="default" w:ascii="Times New Roman" w:hAnsi="Times New Roman" w:cs="Times New Roman"/>
                      <w:bCs/>
                      <w:color w:val="000000" w:themeColor="text1"/>
                      <w:sz w:val="18"/>
                      <w:szCs w:val="18"/>
                      <w:lang w:val="en-US" w:eastAsia="zh-CN"/>
                      <w14:textFill>
                        <w14:solidFill>
                          <w14:schemeClr w14:val="tx1"/>
                        </w14:solidFill>
                      </w14:textFill>
                    </w:rPr>
                    <w:t>60%</w:t>
                  </w:r>
                </w:p>
              </w:tc>
              <w:tc>
                <w:tcPr>
                  <w:tcW w:w="193" w:type="pct"/>
                  <w:vMerge w:val="continue"/>
                  <w:shd w:val="clear" w:color="auto" w:fill="auto"/>
                  <w:noWrap w:val="0"/>
                  <w:vAlign w:val="center"/>
                </w:tcPr>
                <w:p w14:paraId="24B16158">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47" w:type="pct"/>
                  <w:vMerge w:val="continue"/>
                  <w:shd w:val="clear" w:color="auto" w:fill="auto"/>
                  <w:noWrap w:val="0"/>
                  <w:vAlign w:val="center"/>
                </w:tcPr>
                <w:p w14:paraId="740A79E4">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609" w:type="dxa"/>
                  <w:shd w:val="clear" w:color="auto" w:fill="auto"/>
                  <w:noWrap w:val="0"/>
                  <w:vAlign w:val="center"/>
                </w:tcPr>
                <w:p w14:paraId="5DF8085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14.400 </w:t>
                  </w:r>
                </w:p>
              </w:tc>
              <w:tc>
                <w:tcPr>
                  <w:tcW w:w="611" w:type="dxa"/>
                  <w:shd w:val="clear" w:color="auto" w:fill="auto"/>
                  <w:noWrap w:val="0"/>
                  <w:vAlign w:val="center"/>
                </w:tcPr>
                <w:p w14:paraId="066E838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0.060 </w:t>
                  </w:r>
                </w:p>
              </w:tc>
              <w:tc>
                <w:tcPr>
                  <w:tcW w:w="172" w:type="pct"/>
                  <w:vMerge w:val="continue"/>
                  <w:shd w:val="clear" w:color="auto" w:fill="auto"/>
                  <w:noWrap w:val="0"/>
                  <w:vAlign w:val="center"/>
                </w:tcPr>
                <w:p w14:paraId="6A25E538">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321" w:type="pct"/>
                  <w:vMerge w:val="continue"/>
                  <w:shd w:val="clear" w:color="auto" w:fill="auto"/>
                  <w:noWrap w:val="0"/>
                  <w:vAlign w:val="center"/>
                </w:tcPr>
                <w:p w14:paraId="017452B5">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172" w:type="pct"/>
                  <w:vMerge w:val="continue"/>
                  <w:shd w:val="clear" w:color="auto" w:fill="auto"/>
                  <w:noWrap w:val="0"/>
                  <w:vAlign w:val="center"/>
                </w:tcPr>
                <w:p w14:paraId="3573A2D5">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352" w:type="pct"/>
                  <w:vMerge w:val="continue"/>
                  <w:shd w:val="clear" w:color="auto" w:fill="auto"/>
                  <w:noWrap w:val="0"/>
                  <w:vAlign w:val="center"/>
                </w:tcPr>
                <w:p w14:paraId="67C87D73">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41" w:type="pct"/>
                  <w:vMerge w:val="continue"/>
                  <w:shd w:val="clear" w:color="auto" w:fill="auto"/>
                  <w:noWrap w:val="0"/>
                  <w:vAlign w:val="center"/>
                </w:tcPr>
                <w:p w14:paraId="53C86E88">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528" w:type="pct"/>
                  <w:vMerge w:val="continue"/>
                  <w:shd w:val="clear" w:color="auto" w:fill="auto"/>
                  <w:noWrap w:val="0"/>
                  <w:vAlign w:val="center"/>
                </w:tcPr>
                <w:p w14:paraId="1591F34E">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30" w:type="pct"/>
                  <w:vMerge w:val="continue"/>
                  <w:shd w:val="clear" w:color="auto" w:fill="auto"/>
                  <w:noWrap w:val="0"/>
                  <w:vAlign w:val="center"/>
                </w:tcPr>
                <w:p w14:paraId="0AEAC5A5">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347" w:type="pct"/>
                  <w:shd w:val="clear" w:color="auto" w:fill="auto"/>
                  <w:noWrap w:val="0"/>
                  <w:vAlign w:val="center"/>
                </w:tcPr>
                <w:p w14:paraId="7396BE1A">
                  <w:pPr>
                    <w:pStyle w:val="96"/>
                    <w:spacing w:line="240" w:lineRule="exact"/>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70</w:t>
                  </w:r>
                </w:p>
              </w:tc>
            </w:tr>
            <w:tr w14:paraId="638DB3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97" w:hRule="atLeast"/>
                <w:jc w:val="center"/>
              </w:trPr>
              <w:tc>
                <w:tcPr>
                  <w:tcW w:w="152" w:type="pct"/>
                  <w:vMerge w:val="continue"/>
                  <w:shd w:val="clear" w:color="auto" w:fill="auto"/>
                  <w:noWrap w:val="0"/>
                  <w:vAlign w:val="center"/>
                </w:tcPr>
                <w:p w14:paraId="1849AD2C">
                  <w:pPr>
                    <w:pStyle w:val="96"/>
                    <w:spacing w:line="240" w:lineRule="exact"/>
                    <w:rPr>
                      <w:rFonts w:hint="default" w:ascii="Times New Roman" w:hAnsi="Times New Roman" w:cs="Times New Roman"/>
                      <w:bCs/>
                      <w:color w:val="000000" w:themeColor="text1"/>
                      <w:sz w:val="18"/>
                      <w:szCs w:val="18"/>
                      <w14:textFill>
                        <w14:solidFill>
                          <w14:schemeClr w14:val="tx1"/>
                        </w14:solidFill>
                      </w14:textFill>
                    </w:rPr>
                  </w:pPr>
                </w:p>
              </w:tc>
              <w:tc>
                <w:tcPr>
                  <w:tcW w:w="86" w:type="pct"/>
                  <w:vMerge w:val="continue"/>
                  <w:shd w:val="clear" w:color="auto" w:fill="auto"/>
                  <w:noWrap w:val="0"/>
                  <w:vAlign w:val="center"/>
                </w:tcPr>
                <w:p w14:paraId="20528A1E">
                  <w:pPr>
                    <w:pStyle w:val="96"/>
                    <w:spacing w:line="240" w:lineRule="exact"/>
                    <w:rPr>
                      <w:rFonts w:hint="default" w:ascii="Times New Roman" w:hAnsi="Times New Roman" w:cs="Times New Roman"/>
                      <w:bCs/>
                      <w:color w:val="000000" w:themeColor="text1"/>
                      <w:sz w:val="18"/>
                      <w:szCs w:val="18"/>
                      <w14:textFill>
                        <w14:solidFill>
                          <w14:schemeClr w14:val="tx1"/>
                        </w14:solidFill>
                      </w14:textFill>
                    </w:rPr>
                  </w:pPr>
                </w:p>
              </w:tc>
              <w:tc>
                <w:tcPr>
                  <w:tcW w:w="257" w:type="pct"/>
                  <w:shd w:val="clear" w:color="auto" w:fill="auto"/>
                  <w:noWrap w:val="0"/>
                  <w:vAlign w:val="center"/>
                </w:tcPr>
                <w:p w14:paraId="3195576A">
                  <w:pPr>
                    <w:pStyle w:val="134"/>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eastAsia="宋体" w:cs="Times New Roman"/>
                      <w:spacing w:val="0"/>
                      <w:sz w:val="18"/>
                      <w:szCs w:val="18"/>
                      <w:vertAlign w:val="baseline"/>
                      <w:lang w:val="en-US" w:eastAsia="zh-CN"/>
                    </w:rPr>
                    <w:t>TP</w:t>
                  </w:r>
                </w:p>
              </w:tc>
              <w:tc>
                <w:tcPr>
                  <w:tcW w:w="114" w:type="pct"/>
                  <w:vMerge w:val="continue"/>
                  <w:shd w:val="clear" w:color="auto" w:fill="auto"/>
                  <w:noWrap w:val="0"/>
                  <w:vAlign w:val="center"/>
                </w:tcPr>
                <w:p w14:paraId="41BECE1F">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46" w:type="pct"/>
                  <w:vMerge w:val="continue"/>
                  <w:shd w:val="clear" w:color="auto" w:fill="auto"/>
                  <w:noWrap w:val="0"/>
                  <w:vAlign w:val="center"/>
                </w:tcPr>
                <w:p w14:paraId="16738DD3">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194" w:type="pct"/>
                  <w:shd w:val="clear" w:color="auto" w:fill="auto"/>
                  <w:noWrap w:val="0"/>
                  <w:vAlign w:val="center"/>
                </w:tcPr>
                <w:p w14:paraId="72C2C122">
                  <w:pPr>
                    <w:keepNext w:val="0"/>
                    <w:keepLines w:val="0"/>
                    <w:widowControl/>
                    <w:suppressLineNumbers w:val="0"/>
                    <w:jc w:val="center"/>
                    <w:textAlignment w:val="center"/>
                    <w:rPr>
                      <w:rFonts w:hint="default" w:ascii="Times New Roman" w:hAnsi="Times New Roman" w:cs="Times New Roman"/>
                      <w:bCs/>
                      <w:color w:val="000000" w:themeColor="text1"/>
                      <w:sz w:val="18"/>
                      <w:szCs w:val="18"/>
                      <w14:textFill>
                        <w14:solidFill>
                          <w14:schemeClr w14:val="tx1"/>
                        </w14:solidFill>
                      </w14:textFill>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47" w:type="pct"/>
                  <w:shd w:val="clear" w:color="auto" w:fill="auto"/>
                  <w:noWrap w:val="0"/>
                  <w:vAlign w:val="center"/>
                </w:tcPr>
                <w:p w14:paraId="731D6AC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0.007</w:t>
                  </w:r>
                </w:p>
              </w:tc>
              <w:tc>
                <w:tcPr>
                  <w:tcW w:w="210" w:type="pct"/>
                  <w:vMerge w:val="continue"/>
                  <w:shd w:val="clear" w:color="auto" w:fill="auto"/>
                  <w:noWrap w:val="0"/>
                  <w:vAlign w:val="center"/>
                </w:tcPr>
                <w:p w14:paraId="235F13A3">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35" w:type="pct"/>
                  <w:shd w:val="clear" w:color="auto" w:fill="auto"/>
                  <w:noWrap w:val="0"/>
                  <w:vAlign w:val="center"/>
                </w:tcPr>
                <w:p w14:paraId="6C7078F1">
                  <w:pPr>
                    <w:adjustRightInd w:val="0"/>
                    <w:snapToGrid w:val="0"/>
                    <w:jc w:val="center"/>
                    <w:rPr>
                      <w:rFonts w:hint="default" w:ascii="Times New Roman" w:hAnsi="Times New Roman" w:cs="Times New Roman"/>
                      <w:bCs/>
                      <w:color w:val="000000" w:themeColor="text1"/>
                      <w:sz w:val="18"/>
                      <w:szCs w:val="18"/>
                      <w:lang w:val="en-US" w:eastAsia="zh-CN"/>
                      <w14:textFill>
                        <w14:solidFill>
                          <w14:schemeClr w14:val="tx1"/>
                        </w14:solidFill>
                      </w14:textFill>
                    </w:rPr>
                  </w:pPr>
                  <w:r>
                    <w:rPr>
                      <w:rFonts w:hint="default" w:ascii="Times New Roman" w:hAnsi="Times New Roman" w:cs="Times New Roman"/>
                      <w:bCs/>
                      <w:color w:val="000000" w:themeColor="text1"/>
                      <w:sz w:val="18"/>
                      <w:szCs w:val="18"/>
                      <w:lang w:val="en-US" w:eastAsia="zh-CN"/>
                      <w14:textFill>
                        <w14:solidFill>
                          <w14:schemeClr w14:val="tx1"/>
                        </w14:solidFill>
                      </w14:textFill>
                    </w:rPr>
                    <w:t>50%</w:t>
                  </w:r>
                </w:p>
              </w:tc>
              <w:tc>
                <w:tcPr>
                  <w:tcW w:w="193" w:type="pct"/>
                  <w:vMerge w:val="continue"/>
                  <w:shd w:val="clear" w:color="auto" w:fill="auto"/>
                  <w:noWrap w:val="0"/>
                  <w:vAlign w:val="center"/>
                </w:tcPr>
                <w:p w14:paraId="5F39EB94">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47" w:type="pct"/>
                  <w:vMerge w:val="continue"/>
                  <w:shd w:val="clear" w:color="auto" w:fill="auto"/>
                  <w:noWrap w:val="0"/>
                  <w:vAlign w:val="center"/>
                </w:tcPr>
                <w:p w14:paraId="6B7E26A7">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609" w:type="dxa"/>
                  <w:shd w:val="clear" w:color="auto" w:fill="auto"/>
                  <w:noWrap w:val="0"/>
                  <w:vAlign w:val="center"/>
                </w:tcPr>
                <w:p w14:paraId="07CE499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0.500 </w:t>
                  </w:r>
                </w:p>
              </w:tc>
              <w:tc>
                <w:tcPr>
                  <w:tcW w:w="611" w:type="dxa"/>
                  <w:shd w:val="clear" w:color="auto" w:fill="auto"/>
                  <w:noWrap w:val="0"/>
                  <w:vAlign w:val="center"/>
                </w:tcPr>
                <w:p w14:paraId="0FAC79B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w:t>
                  </w:r>
                  <w:r>
                    <w:rPr>
                      <w:rFonts w:hint="eastAsia" w:ascii="Times New Roman" w:hAnsi="Times New Roman" w:eastAsia="宋体" w:cs="Times New Roman"/>
                      <w:i w:val="0"/>
                      <w:iCs w:val="0"/>
                      <w:color w:val="000000"/>
                      <w:kern w:val="0"/>
                      <w:sz w:val="18"/>
                      <w:szCs w:val="18"/>
                      <w:u w:val="none"/>
                      <w:lang w:val="en-US" w:eastAsia="zh-CN" w:bidi="ar"/>
                    </w:rPr>
                    <w:t>2</w:t>
                  </w:r>
                  <w:r>
                    <w:rPr>
                      <w:rFonts w:hint="default" w:ascii="Times New Roman" w:hAnsi="Times New Roman" w:eastAsia="宋体" w:cs="Times New Roman"/>
                      <w:i w:val="0"/>
                      <w:iCs w:val="0"/>
                      <w:color w:val="000000"/>
                      <w:kern w:val="0"/>
                      <w:sz w:val="18"/>
                      <w:szCs w:val="18"/>
                      <w:u w:val="none"/>
                      <w:lang w:val="en-US" w:eastAsia="zh-CN" w:bidi="ar"/>
                    </w:rPr>
                    <w:t xml:space="preserve"> </w:t>
                  </w:r>
                </w:p>
              </w:tc>
              <w:tc>
                <w:tcPr>
                  <w:tcW w:w="172" w:type="pct"/>
                  <w:vMerge w:val="continue"/>
                  <w:shd w:val="clear" w:color="auto" w:fill="auto"/>
                  <w:noWrap w:val="0"/>
                  <w:vAlign w:val="center"/>
                </w:tcPr>
                <w:p w14:paraId="7207D34C">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321" w:type="pct"/>
                  <w:vMerge w:val="continue"/>
                  <w:shd w:val="clear" w:color="auto" w:fill="auto"/>
                  <w:noWrap w:val="0"/>
                  <w:vAlign w:val="center"/>
                </w:tcPr>
                <w:p w14:paraId="7942BBBD">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172" w:type="pct"/>
                  <w:vMerge w:val="continue"/>
                  <w:shd w:val="clear" w:color="auto" w:fill="auto"/>
                  <w:noWrap w:val="0"/>
                  <w:vAlign w:val="center"/>
                </w:tcPr>
                <w:p w14:paraId="5EED3F47">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352" w:type="pct"/>
                  <w:vMerge w:val="continue"/>
                  <w:shd w:val="clear" w:color="auto" w:fill="auto"/>
                  <w:noWrap w:val="0"/>
                  <w:vAlign w:val="center"/>
                </w:tcPr>
                <w:p w14:paraId="396B3EB2">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41" w:type="pct"/>
                  <w:vMerge w:val="continue"/>
                  <w:shd w:val="clear" w:color="auto" w:fill="auto"/>
                  <w:noWrap w:val="0"/>
                  <w:vAlign w:val="center"/>
                </w:tcPr>
                <w:p w14:paraId="24C0E0A4">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528" w:type="pct"/>
                  <w:vMerge w:val="continue"/>
                  <w:shd w:val="clear" w:color="auto" w:fill="auto"/>
                  <w:noWrap w:val="0"/>
                  <w:vAlign w:val="center"/>
                </w:tcPr>
                <w:p w14:paraId="0F28D9C0">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230" w:type="pct"/>
                  <w:vMerge w:val="continue"/>
                  <w:shd w:val="clear" w:color="auto" w:fill="auto"/>
                  <w:noWrap w:val="0"/>
                  <w:vAlign w:val="center"/>
                </w:tcPr>
                <w:p w14:paraId="47F029F0">
                  <w:pPr>
                    <w:pStyle w:val="96"/>
                    <w:spacing w:line="240" w:lineRule="exact"/>
                    <w:rPr>
                      <w:rFonts w:hint="default" w:ascii="Times New Roman" w:hAnsi="Times New Roman" w:cs="Times New Roman"/>
                      <w:color w:val="000000" w:themeColor="text1"/>
                      <w:sz w:val="18"/>
                      <w:szCs w:val="18"/>
                      <w14:textFill>
                        <w14:solidFill>
                          <w14:schemeClr w14:val="tx1"/>
                        </w14:solidFill>
                      </w14:textFill>
                    </w:rPr>
                  </w:pPr>
                </w:p>
              </w:tc>
              <w:tc>
                <w:tcPr>
                  <w:tcW w:w="347" w:type="pct"/>
                  <w:shd w:val="clear" w:color="auto" w:fill="auto"/>
                  <w:noWrap w:val="0"/>
                  <w:vAlign w:val="center"/>
                </w:tcPr>
                <w:p w14:paraId="703D65BB">
                  <w:pPr>
                    <w:pStyle w:val="96"/>
                    <w:spacing w:line="240" w:lineRule="exact"/>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80</w:t>
                  </w:r>
                </w:p>
              </w:tc>
            </w:tr>
          </w:tbl>
          <w:p w14:paraId="418203FC">
            <w:pPr>
              <w:pStyle w:val="125"/>
              <w:bidi w:val="0"/>
              <w:rPr>
                <w:rFonts w:hint="default" w:ascii="Times New Roman" w:hAnsi="Times New Roman" w:cs="Times New Roman"/>
                <w:color w:val="000000" w:themeColor="text1"/>
                <w14:textFill>
                  <w14:solidFill>
                    <w14:schemeClr w14:val="tx1"/>
                  </w14:solidFill>
                </w14:textFill>
              </w:rPr>
            </w:pPr>
          </w:p>
          <w:p w14:paraId="6FD35572">
            <w:pPr>
              <w:pStyle w:val="125"/>
              <w:bidi w:val="0"/>
              <w:rPr>
                <w:rFonts w:hint="default" w:ascii="Times New Roman" w:hAnsi="Times New Roman" w:cs="Times New Roman"/>
                <w:color w:val="000000" w:themeColor="text1"/>
                <w14:textFill>
                  <w14:solidFill>
                    <w14:schemeClr w14:val="tx1"/>
                  </w14:solidFill>
                </w14:textFill>
              </w:rPr>
            </w:pPr>
          </w:p>
          <w:p w14:paraId="67C23F42">
            <w:pPr>
              <w:pStyle w:val="125"/>
              <w:bidi w:val="0"/>
              <w:rPr>
                <w:rFonts w:hint="default" w:ascii="Times New Roman" w:hAnsi="Times New Roman" w:cs="Times New Roman"/>
                <w:color w:val="000000" w:themeColor="text1"/>
                <w14:textFill>
                  <w14:solidFill>
                    <w14:schemeClr w14:val="tx1"/>
                  </w14:solidFill>
                </w14:textFill>
              </w:rPr>
            </w:pPr>
          </w:p>
          <w:p w14:paraId="64181DA0">
            <w:pPr>
              <w:pStyle w:val="125"/>
              <w:bidi w:val="0"/>
              <w:rPr>
                <w:rFonts w:hint="default" w:ascii="Times New Roman" w:hAnsi="Times New Roman" w:cs="Times New Roman"/>
                <w:color w:val="000000" w:themeColor="text1"/>
                <w14:textFill>
                  <w14:solidFill>
                    <w14:schemeClr w14:val="tx1"/>
                  </w14:solidFill>
                </w14:textFill>
              </w:rPr>
            </w:pPr>
          </w:p>
          <w:p w14:paraId="772927DD">
            <w:pPr>
              <w:pStyle w:val="13"/>
              <w:jc w:val="both"/>
              <w:rPr>
                <w:rFonts w:hint="default" w:ascii="Times New Roman" w:hAnsi="Times New Roman" w:cs="Times New Roman"/>
                <w:color w:val="000000" w:themeColor="text1"/>
                <w14:textFill>
                  <w14:solidFill>
                    <w14:schemeClr w14:val="tx1"/>
                  </w14:solidFill>
                </w14:textFill>
              </w:rPr>
            </w:pPr>
          </w:p>
        </w:tc>
      </w:tr>
    </w:tbl>
    <w:p w14:paraId="6F9CC093">
      <w:pPr>
        <w:pStyle w:val="2"/>
        <w:outlineLvl w:val="9"/>
        <w:rPr>
          <w:rFonts w:hint="default" w:ascii="Times New Roman" w:hAnsi="Times New Roman" w:cs="Times New Roman"/>
          <w:color w:val="000000" w:themeColor="text1"/>
          <w14:textFill>
            <w14:solidFill>
              <w14:schemeClr w14:val="tx1"/>
            </w14:solidFill>
          </w14:textFill>
        </w:rPr>
        <w:sectPr>
          <w:pgSz w:w="16840" w:h="11907" w:orient="landscape"/>
          <w:pgMar w:top="1134" w:right="1134" w:bottom="1134" w:left="1134"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8"/>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19"/>
        <w:gridCol w:w="8562"/>
      </w:tblGrid>
      <w:tr w14:paraId="0865E7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54" w:hRule="atLeast"/>
          <w:jc w:val="center"/>
        </w:trPr>
        <w:tc>
          <w:tcPr>
            <w:tcW w:w="419" w:type="dxa"/>
            <w:noWrap w:val="0"/>
            <w:tcMar>
              <w:left w:w="28" w:type="dxa"/>
              <w:right w:w="28" w:type="dxa"/>
            </w:tcMar>
            <w:vAlign w:val="center"/>
          </w:tcPr>
          <w:p w14:paraId="647BEBDB">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运营</w:t>
            </w:r>
          </w:p>
          <w:p w14:paraId="169FD965">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期环</w:t>
            </w:r>
          </w:p>
          <w:p w14:paraId="7B54C0F7">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境影</w:t>
            </w:r>
          </w:p>
          <w:p w14:paraId="39D2BF7C">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响和</w:t>
            </w:r>
          </w:p>
          <w:p w14:paraId="2ECACB3E">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保护</w:t>
            </w:r>
          </w:p>
          <w:p w14:paraId="40AF6A5B">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措施</w:t>
            </w:r>
          </w:p>
        </w:tc>
        <w:tc>
          <w:tcPr>
            <w:tcW w:w="8562" w:type="dxa"/>
            <w:noWrap w:val="0"/>
            <w:vAlign w:val="top"/>
          </w:tcPr>
          <w:p w14:paraId="3629CEF4">
            <w:pPr>
              <w:pStyle w:val="4"/>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4.</w:t>
            </w:r>
            <w:r>
              <w:rPr>
                <w:rFonts w:hint="default" w:ascii="Times New Roman" w:hAnsi="Times New Roman" w:eastAsia="宋体" w:cs="Times New Roman"/>
                <w:b/>
                <w:color w:val="000000" w:themeColor="text1"/>
                <w:sz w:val="24"/>
                <w:lang w:val="en-US" w:eastAsia="zh-CN"/>
                <w14:textFill>
                  <w14:solidFill>
                    <w14:schemeClr w14:val="tx1"/>
                  </w14:solidFill>
                </w14:textFill>
              </w:rPr>
              <w:t>3</w:t>
            </w:r>
            <w:r>
              <w:rPr>
                <w:rFonts w:hint="default" w:ascii="Times New Roman" w:hAnsi="Times New Roman" w:eastAsia="宋体" w:cs="Times New Roman"/>
                <w:b/>
                <w:color w:val="000000" w:themeColor="text1"/>
                <w:sz w:val="24"/>
                <w14:textFill>
                  <w14:solidFill>
                    <w14:schemeClr w14:val="tx1"/>
                  </w14:solidFill>
                </w14:textFill>
              </w:rPr>
              <w:t>.2</w:t>
            </w:r>
            <w:r>
              <w:rPr>
                <w:rFonts w:hint="eastAsia" w:ascii="Times New Roman" w:hAnsi="Times New Roman" w:cs="Times New Roman"/>
                <w:b/>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14:textFill>
                  <w14:solidFill>
                    <w14:schemeClr w14:val="tx1"/>
                  </w14:solidFill>
                </w14:textFill>
              </w:rPr>
              <w:t>运营期水环境影响及污染防治措施可行性分析</w:t>
            </w:r>
          </w:p>
          <w:p w14:paraId="7E845192">
            <w:pPr>
              <w:keepLines w:val="0"/>
              <w:pageBreakBefore w:val="0"/>
              <w:widowControl w:val="0"/>
              <w:kinsoku/>
              <w:wordWrap/>
              <w:topLinePunct w:val="0"/>
              <w:autoSpaceDE/>
              <w:autoSpaceDN/>
              <w:bidi w:val="0"/>
              <w:spacing w:line="360" w:lineRule="auto"/>
              <w:ind w:firstLine="480" w:firstLineChars="200"/>
              <w:textAlignment w:val="auto"/>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项目</w:t>
            </w:r>
            <w:r>
              <w:rPr>
                <w:rFonts w:hint="default" w:ascii="Times New Roman" w:hAnsi="Times New Roman" w:cs="Times New Roman"/>
                <w:color w:val="000000" w:themeColor="text1"/>
                <w:sz w:val="24"/>
                <w:szCs w:val="24"/>
                <w:lang w:val="en-US" w:eastAsia="zh-CN"/>
                <w14:textFill>
                  <w14:solidFill>
                    <w14:schemeClr w14:val="tx1"/>
                  </w14:solidFill>
                </w14:textFill>
              </w:rPr>
              <w:t>生产废水、</w:t>
            </w:r>
            <w:r>
              <w:rPr>
                <w:rFonts w:hint="default" w:ascii="Times New Roman" w:hAnsi="Times New Roman" w:cs="Times New Roman"/>
                <w:color w:val="000000" w:themeColor="text1"/>
                <w:sz w:val="24"/>
                <w:szCs w:val="24"/>
                <w:lang w:eastAsia="zh-CN"/>
                <w14:textFill>
                  <w14:solidFill>
                    <w14:schemeClr w14:val="tx1"/>
                  </w14:solidFill>
                </w14:textFill>
              </w:rPr>
              <w:t>生活污水经处理达标后通过厂区污水总排放口排入市政污水管网，送往江镜华侨农场污水处理厂集中处理，属于间接排放，根据《建设项目环境影响报告表编制技术指南</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污染影响类</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试行</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环办环评〔2020〕33号</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要求，废水间接排放的建设项目应从处理能力、处理工艺、设计进出水水质等方面，分析依托集中污水处理厂的可行性。</w:t>
            </w:r>
          </w:p>
          <w:p w14:paraId="6E2B2BC4">
            <w:pPr>
              <w:pStyle w:val="13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4.3.2.1</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废水</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处理可行性分析</w:t>
            </w:r>
          </w:p>
          <w:p w14:paraId="609E2723">
            <w:pPr>
              <w:pStyle w:val="124"/>
              <w:numPr>
                <w:ilvl w:val="0"/>
                <w:numId w:val="11"/>
              </w:numPr>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生活污水</w:t>
            </w:r>
          </w:p>
          <w:p w14:paraId="49FC5078">
            <w:pPr>
              <w:pStyle w:val="124"/>
              <w:keepNext/>
              <w:keepLines/>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(1)化粪池治理措施可行性分析</w:t>
            </w:r>
          </w:p>
          <w:p w14:paraId="0627F89D">
            <w:pPr>
              <w:pStyle w:val="124"/>
              <w:bidi w:val="0"/>
              <w:rPr>
                <w:rFonts w:hint="default" w:ascii="Times New Roman" w:hAnsi="Times New Roman" w:eastAsia="宋体" w:cs="Times New Roman"/>
                <w:b w:val="0"/>
                <w:bCs w:val="0"/>
                <w:snapToGrid w:val="0"/>
                <w:color w:val="000000" w:themeColor="text1"/>
                <w:spacing w:val="0"/>
                <w:kern w:val="2"/>
                <w:sz w:val="24"/>
                <w:szCs w:val="20"/>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三级化粪池原理：新鲜粪便由进粪口进入第一池，池内粪便开始发酵分解、因比重不同粪液可自然分为三层，上层为糊状粪皮，下层为块状或颗状粪渣，中层为比较澄清的粪液。在上层粪皮和下层粪渣中含细菌和寄生虫卵最多，中层含虫卵最少，初步发酵的中层粪液经过粪管溢流至第二池，而将大部分未经充分发酵的粪皮和粪渣阻留在第一池内继续发酵。流入第二池的粪液进一步发酵分解，虫卵继续下沉，病原体逐渐死亡，粪液得到进一步无害化，产生的粪皮和粪厚度比第一池显著减少。流入第三池的粪液一般已经腐熟，其中病菌和寄生虫卵已基本杀灭。第三池功能主要起储存已基本无害化的粪液作用。</w:t>
            </w:r>
          </w:p>
          <w:p w14:paraId="5CF551F5">
            <w:pPr>
              <w:pStyle w:val="124"/>
              <w:bidi w:val="0"/>
              <w:rPr>
                <w:rFonts w:hint="default" w:ascii="Times New Roman" w:hAnsi="Times New Roman" w:eastAsia="宋体" w:cs="Times New Roman"/>
                <w:b w:val="0"/>
                <w:bCs w:val="0"/>
                <w:snapToGrid w:val="0"/>
                <w:color w:val="000000" w:themeColor="text1"/>
                <w:spacing w:val="0"/>
                <w:kern w:val="2"/>
                <w:sz w:val="24"/>
                <w:szCs w:val="20"/>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(2)化粪池容量</w:t>
            </w:r>
            <w:r>
              <w:rPr>
                <w:rFonts w:hint="default" w:ascii="Times New Roman" w:hAnsi="Times New Roman" w:cs="Times New Roman"/>
                <w:color w:val="000000" w:themeColor="text1"/>
                <w:highlight w:val="none"/>
                <w:lang w:val="en-US" w:eastAsia="zh-CN" w:bidi="he-IL"/>
                <w14:textFill>
                  <w14:solidFill>
                    <w14:schemeClr w14:val="tx1"/>
                  </w14:solidFill>
                </w14:textFill>
              </w:rPr>
              <w:t>负荷</w:t>
            </w:r>
            <w:r>
              <w:rPr>
                <w:rFonts w:hint="default" w:ascii="Times New Roman" w:hAnsi="Times New Roman" w:cs="Times New Roman"/>
                <w:color w:val="000000" w:themeColor="text1"/>
                <w:highlight w:val="none"/>
                <w:lang w:val="en-US" w:eastAsia="zh-CN"/>
                <w14:textFill>
                  <w14:solidFill>
                    <w14:schemeClr w14:val="tx1"/>
                  </w14:solidFill>
                </w14:textFill>
              </w:rPr>
              <w:t>分析</w:t>
            </w:r>
          </w:p>
          <w:p w14:paraId="20C524A2">
            <w:pPr>
              <w:pStyle w:val="124"/>
              <w:bidi w:val="0"/>
              <w:rPr>
                <w:rFonts w:hint="default" w:ascii="Times New Roman" w:hAnsi="Times New Roman" w:eastAsia="宋体" w:cs="Times New Roman"/>
                <w:b w:val="0"/>
                <w:bCs w:val="0"/>
                <w:snapToGrid w:val="0"/>
                <w:color w:val="000000" w:themeColor="text1"/>
                <w:spacing w:val="0"/>
                <w:kern w:val="2"/>
                <w:sz w:val="24"/>
                <w:szCs w:val="20"/>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2"/>
                <w:sz w:val="24"/>
                <w:szCs w:val="20"/>
                <w:lang w:val="en-US" w:eastAsia="zh-CN" w:bidi="ar-SA"/>
                <w14:textFill>
                  <w14:solidFill>
                    <w14:schemeClr w14:val="tx1"/>
                  </w14:solidFill>
                </w14:textFill>
              </w:rPr>
              <w:t>项目生活污水经出租方化粪池预处理后排入园区污水管网送往</w:t>
            </w:r>
            <w:r>
              <w:rPr>
                <w:rFonts w:hint="default" w:ascii="Times New Roman" w:hAnsi="Times New Roman" w:cs="Times New Roman"/>
                <w:b w:val="0"/>
                <w:bCs w:val="0"/>
                <w:snapToGrid w:val="0"/>
                <w:color w:val="000000" w:themeColor="text1"/>
                <w:spacing w:val="0"/>
                <w:kern w:val="2"/>
                <w:sz w:val="24"/>
                <w:szCs w:val="20"/>
                <w:lang w:val="en-US" w:eastAsia="zh-CN" w:bidi="ar-SA"/>
                <w14:textFill>
                  <w14:solidFill>
                    <w14:schemeClr w14:val="tx1"/>
                  </w14:solidFill>
                </w14:textFill>
              </w:rPr>
              <w:t>江镜华侨农场污水处理厂</w:t>
            </w:r>
            <w:r>
              <w:rPr>
                <w:rFonts w:hint="default" w:ascii="Times New Roman" w:hAnsi="Times New Roman" w:eastAsia="宋体" w:cs="Times New Roman"/>
                <w:b w:val="0"/>
                <w:bCs w:val="0"/>
                <w:snapToGrid w:val="0"/>
                <w:color w:val="000000" w:themeColor="text1"/>
                <w:spacing w:val="0"/>
                <w:kern w:val="2"/>
                <w:sz w:val="24"/>
                <w:szCs w:val="20"/>
                <w:lang w:val="en-US" w:eastAsia="zh-CN" w:bidi="ar-SA"/>
                <w14:textFill>
                  <w14:solidFill>
                    <w14:schemeClr w14:val="tx1"/>
                  </w14:solidFill>
                </w14:textFill>
              </w:rPr>
              <w:t>集中处理。根据现场</w:t>
            </w:r>
            <w:r>
              <w:rPr>
                <w:rFonts w:hint="default" w:ascii="Times New Roman" w:hAnsi="Times New Roman" w:cs="Times New Roman"/>
                <w:b w:val="0"/>
                <w:bCs w:val="0"/>
                <w:snapToGrid w:val="0"/>
                <w:color w:val="000000" w:themeColor="text1"/>
                <w:spacing w:val="0"/>
                <w:kern w:val="2"/>
                <w:sz w:val="24"/>
                <w:szCs w:val="20"/>
                <w:lang w:val="en-US" w:eastAsia="zh-CN" w:bidi="ar-SA"/>
                <w14:textFill>
                  <w14:solidFill>
                    <w14:schemeClr w14:val="tx1"/>
                  </w14:solidFill>
                </w14:textFill>
              </w:rPr>
              <w:t>调查</w:t>
            </w:r>
            <w:r>
              <w:rPr>
                <w:rFonts w:hint="default" w:ascii="Times New Roman" w:hAnsi="Times New Roman" w:eastAsia="宋体" w:cs="Times New Roman"/>
                <w:b w:val="0"/>
                <w:bCs w:val="0"/>
                <w:snapToGrid w:val="0"/>
                <w:color w:val="000000" w:themeColor="text1"/>
                <w:spacing w:val="0"/>
                <w:kern w:val="2"/>
                <w:sz w:val="24"/>
                <w:szCs w:val="20"/>
                <w:lang w:val="en-US" w:eastAsia="zh-CN" w:bidi="ar-SA"/>
                <w14:textFill>
                  <w14:solidFill>
                    <w14:schemeClr w14:val="tx1"/>
                  </w14:solidFill>
                </w14:textFill>
              </w:rPr>
              <w:t>，</w:t>
            </w:r>
            <w:r>
              <w:rPr>
                <w:rFonts w:hint="default" w:ascii="Times New Roman" w:hAnsi="Times New Roman" w:cs="Times New Roman"/>
                <w:b w:val="0"/>
                <w:bCs w:val="0"/>
                <w:snapToGrid w:val="0"/>
                <w:color w:val="000000" w:themeColor="text1"/>
                <w:spacing w:val="0"/>
                <w:kern w:val="2"/>
                <w:sz w:val="24"/>
                <w:szCs w:val="20"/>
                <w:lang w:val="en-US" w:eastAsia="zh-CN" w:bidi="ar-SA"/>
                <w14:textFill>
                  <w14:solidFill>
                    <w14:schemeClr w14:val="tx1"/>
                  </w14:solidFill>
                </w14:textFill>
              </w:rPr>
              <w:t>B37厂房</w:t>
            </w:r>
            <w:r>
              <w:rPr>
                <w:rFonts w:hint="default" w:ascii="Times New Roman" w:hAnsi="Times New Roman" w:eastAsia="宋体" w:cs="Times New Roman"/>
                <w:b w:val="0"/>
                <w:bCs w:val="0"/>
                <w:snapToGrid w:val="0"/>
                <w:color w:val="000000" w:themeColor="text1"/>
                <w:spacing w:val="0"/>
                <w:kern w:val="2"/>
                <w:sz w:val="24"/>
                <w:szCs w:val="20"/>
                <w:lang w:val="en-US" w:eastAsia="zh-CN" w:bidi="ar-SA"/>
                <w14:textFill>
                  <w14:solidFill>
                    <w14:schemeClr w14:val="tx1"/>
                  </w14:solidFill>
                </w14:textFill>
              </w:rPr>
              <w:t>已建设了容积为3m</w:t>
            </w:r>
            <w:r>
              <w:rPr>
                <w:rFonts w:hint="default" w:ascii="Times New Roman" w:hAnsi="Times New Roman" w:eastAsia="宋体" w:cs="Times New Roman"/>
                <w:b w:val="0"/>
                <w:bCs w:val="0"/>
                <w:snapToGrid w:val="0"/>
                <w:color w:val="000000" w:themeColor="text1"/>
                <w:spacing w:val="0"/>
                <w:kern w:val="2"/>
                <w:sz w:val="24"/>
                <w:szCs w:val="20"/>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snapToGrid w:val="0"/>
                <w:color w:val="000000" w:themeColor="text1"/>
                <w:spacing w:val="0"/>
                <w:kern w:val="2"/>
                <w:sz w:val="24"/>
                <w:szCs w:val="20"/>
                <w:lang w:val="en-US" w:eastAsia="zh-CN" w:bidi="ar-SA"/>
                <w14:textFill>
                  <w14:solidFill>
                    <w14:schemeClr w14:val="tx1"/>
                  </w14:solidFill>
                </w14:textFill>
              </w:rPr>
              <w:t>的化粪池，</w:t>
            </w:r>
            <w:r>
              <w:rPr>
                <w:rFonts w:hint="default" w:ascii="Times New Roman" w:hAnsi="Times New Roman" w:cs="Times New Roman"/>
                <w:b w:val="0"/>
                <w:bCs w:val="0"/>
                <w:snapToGrid w:val="0"/>
                <w:color w:val="000000" w:themeColor="text1"/>
                <w:spacing w:val="0"/>
                <w:kern w:val="2"/>
                <w:sz w:val="24"/>
                <w:szCs w:val="20"/>
                <w:lang w:val="en-US" w:eastAsia="zh-CN" w:bidi="ar-SA"/>
                <w14:textFill>
                  <w14:solidFill>
                    <w14:schemeClr w14:val="tx1"/>
                  </w14:solidFill>
                </w14:textFill>
              </w:rPr>
              <w:t>该化粪池仅</w:t>
            </w:r>
            <w:r>
              <w:rPr>
                <w:rFonts w:hint="default" w:ascii="Times New Roman" w:hAnsi="Times New Roman" w:eastAsia="宋体" w:cs="Times New Roman"/>
                <w:b w:val="0"/>
                <w:bCs w:val="0"/>
                <w:snapToGrid w:val="0"/>
                <w:color w:val="000000" w:themeColor="text1"/>
                <w:spacing w:val="0"/>
                <w:kern w:val="2"/>
                <w:sz w:val="24"/>
                <w:szCs w:val="20"/>
                <w:lang w:val="en-US" w:eastAsia="zh-CN" w:bidi="ar-SA"/>
                <w14:textFill>
                  <w14:solidFill>
                    <w14:schemeClr w14:val="tx1"/>
                  </w14:solidFill>
                </w14:textFill>
              </w:rPr>
              <w:t>供给</w:t>
            </w:r>
            <w:r>
              <w:rPr>
                <w:rFonts w:hint="default" w:ascii="Times New Roman" w:hAnsi="Times New Roman" w:cs="Times New Roman"/>
                <w:b w:val="0"/>
                <w:bCs w:val="0"/>
                <w:snapToGrid w:val="0"/>
                <w:color w:val="000000" w:themeColor="text1"/>
                <w:spacing w:val="0"/>
                <w:kern w:val="2"/>
                <w:sz w:val="24"/>
                <w:szCs w:val="20"/>
                <w:lang w:val="en-US" w:eastAsia="zh-CN" w:bidi="ar-SA"/>
                <w14:textFill>
                  <w14:solidFill>
                    <w14:schemeClr w14:val="tx1"/>
                  </w14:solidFill>
                </w14:textFill>
              </w:rPr>
              <w:t>B37厂房单独</w:t>
            </w:r>
            <w:r>
              <w:rPr>
                <w:rFonts w:hint="default" w:ascii="Times New Roman" w:hAnsi="Times New Roman" w:eastAsia="宋体" w:cs="Times New Roman"/>
                <w:b w:val="0"/>
                <w:bCs w:val="0"/>
                <w:snapToGrid w:val="0"/>
                <w:color w:val="000000" w:themeColor="text1"/>
                <w:spacing w:val="0"/>
                <w:kern w:val="2"/>
                <w:sz w:val="24"/>
                <w:szCs w:val="20"/>
                <w:lang w:val="en-US" w:eastAsia="zh-CN" w:bidi="ar-SA"/>
                <w14:textFill>
                  <w14:solidFill>
                    <w14:schemeClr w14:val="tx1"/>
                  </w14:solidFill>
                </w14:textFill>
              </w:rPr>
              <w:t>使用，目前</w:t>
            </w:r>
            <w:r>
              <w:rPr>
                <w:rFonts w:hint="default" w:ascii="Times New Roman" w:hAnsi="Times New Roman" w:cs="Times New Roman"/>
                <w:b w:val="0"/>
                <w:bCs w:val="0"/>
                <w:snapToGrid w:val="0"/>
                <w:color w:val="000000" w:themeColor="text1"/>
                <w:spacing w:val="0"/>
                <w:kern w:val="2"/>
                <w:sz w:val="24"/>
                <w:szCs w:val="20"/>
                <w:lang w:val="en-US" w:eastAsia="zh-CN" w:bidi="ar-SA"/>
                <w14:textFill>
                  <w14:solidFill>
                    <w14:schemeClr w14:val="tx1"/>
                  </w14:solidFill>
                </w14:textFill>
              </w:rPr>
              <w:t>B37厂房为空置状态，</w:t>
            </w:r>
            <w:r>
              <w:rPr>
                <w:rFonts w:hint="default" w:ascii="Times New Roman" w:hAnsi="Times New Roman" w:eastAsia="宋体" w:cs="Times New Roman"/>
                <w:b w:val="0"/>
                <w:bCs w:val="0"/>
                <w:snapToGrid w:val="0"/>
                <w:color w:val="000000" w:themeColor="text1"/>
                <w:spacing w:val="0"/>
                <w:kern w:val="2"/>
                <w:sz w:val="24"/>
                <w:szCs w:val="20"/>
                <w:lang w:val="en-US" w:eastAsia="zh-CN" w:bidi="ar-SA"/>
                <w14:textFill>
                  <w14:solidFill>
                    <w14:schemeClr w14:val="tx1"/>
                  </w14:solidFill>
                </w14:textFill>
              </w:rPr>
              <w:t>未入驻企业，本项目生活污水排放量约为</w:t>
            </w:r>
            <w:r>
              <w:rPr>
                <w:rFonts w:hint="default" w:ascii="Times New Roman" w:hAnsi="Times New Roman" w:cs="Times New Roman"/>
                <w:b w:val="0"/>
                <w:bCs w:val="0"/>
                <w:snapToGrid w:val="0"/>
                <w:color w:val="000000" w:themeColor="text1"/>
                <w:spacing w:val="0"/>
                <w:kern w:val="2"/>
                <w:sz w:val="24"/>
                <w:szCs w:val="20"/>
                <w:lang w:val="en-US" w:eastAsia="zh-CN" w:bidi="ar-SA"/>
                <w14:textFill>
                  <w14:solidFill>
                    <w14:schemeClr w14:val="tx1"/>
                  </w14:solidFill>
                </w14:textFill>
              </w:rPr>
              <w:t>0.51</w:t>
            </w:r>
            <w:r>
              <w:rPr>
                <w:rFonts w:hint="default" w:ascii="Times New Roman" w:hAnsi="Times New Roman" w:eastAsia="宋体" w:cs="Times New Roman"/>
                <w:b w:val="0"/>
                <w:bCs w:val="0"/>
                <w:snapToGrid w:val="0"/>
                <w:color w:val="000000" w:themeColor="text1"/>
                <w:spacing w:val="0"/>
                <w:kern w:val="2"/>
                <w:sz w:val="24"/>
                <w:szCs w:val="20"/>
                <w:lang w:val="en-US" w:eastAsia="zh-CN" w:bidi="ar-SA"/>
                <w14:textFill>
                  <w14:solidFill>
                    <w14:schemeClr w14:val="tx1"/>
                  </w14:solidFill>
                </w14:textFill>
              </w:rPr>
              <w:t>t/d，占化粪池容积的</w:t>
            </w:r>
            <w:r>
              <w:rPr>
                <w:rFonts w:hint="default" w:ascii="Times New Roman" w:hAnsi="Times New Roman" w:cs="Times New Roman"/>
                <w:b w:val="0"/>
                <w:bCs w:val="0"/>
                <w:snapToGrid w:val="0"/>
                <w:color w:val="000000" w:themeColor="text1"/>
                <w:spacing w:val="0"/>
                <w:kern w:val="2"/>
                <w:sz w:val="24"/>
                <w:szCs w:val="20"/>
                <w:lang w:val="en-US" w:eastAsia="zh-CN" w:bidi="ar-SA"/>
                <w14:textFill>
                  <w14:solidFill>
                    <w14:schemeClr w14:val="tx1"/>
                  </w14:solidFill>
                </w14:textFill>
              </w:rPr>
              <w:t>17</w:t>
            </w:r>
            <w:r>
              <w:rPr>
                <w:rFonts w:hint="default" w:ascii="Times New Roman" w:hAnsi="Times New Roman" w:eastAsia="宋体" w:cs="Times New Roman"/>
                <w:b w:val="0"/>
                <w:bCs w:val="0"/>
                <w:snapToGrid w:val="0"/>
                <w:color w:val="000000" w:themeColor="text1"/>
                <w:spacing w:val="0"/>
                <w:kern w:val="2"/>
                <w:sz w:val="24"/>
                <w:szCs w:val="20"/>
                <w:lang w:val="en-US" w:eastAsia="zh-CN" w:bidi="ar-SA"/>
                <w14:textFill>
                  <w14:solidFill>
                    <w14:schemeClr w14:val="tx1"/>
                  </w14:solidFill>
                </w14:textFill>
              </w:rPr>
              <w:t>%，由此可知，项目生活污水排入该化粪池，不会对化粪池处理负荷造成冲击</w:t>
            </w:r>
            <w:r>
              <w:rPr>
                <w:rFonts w:hint="eastAsia" w:cs="Times New Roman"/>
                <w:b w:val="0"/>
                <w:bCs w:val="0"/>
                <w:snapToGrid w:val="0"/>
                <w:color w:val="000000" w:themeColor="text1"/>
                <w:spacing w:val="0"/>
                <w:kern w:val="2"/>
                <w:sz w:val="24"/>
                <w:szCs w:val="20"/>
                <w:lang w:val="en-US" w:eastAsia="zh-CN" w:bidi="ar-SA"/>
                <w14:textFill>
                  <w14:solidFill>
                    <w14:schemeClr w14:val="tx1"/>
                  </w14:solidFill>
                </w14:textFill>
              </w:rPr>
              <w:t>且</w:t>
            </w:r>
            <w:r>
              <w:rPr>
                <w:rFonts w:hint="default" w:ascii="Times New Roman" w:hAnsi="Times New Roman" w:eastAsia="宋体" w:cs="Times New Roman"/>
                <w:b w:val="0"/>
                <w:bCs w:val="0"/>
                <w:snapToGrid w:val="0"/>
                <w:color w:val="000000" w:themeColor="text1"/>
                <w:spacing w:val="0"/>
                <w:kern w:val="2"/>
                <w:sz w:val="24"/>
                <w:szCs w:val="20"/>
                <w:lang w:val="en-US" w:eastAsia="zh-CN" w:bidi="ar-SA"/>
                <w14:textFill>
                  <w14:solidFill>
                    <w14:schemeClr w14:val="tx1"/>
                  </w14:solidFill>
                </w14:textFill>
              </w:rPr>
              <w:t>出租方厂区已建化粪池容积可满足污水停留时间不低于12h，由此可知，出租方已建化粪池可以处理本项目产生的生活污水。根据现场勘查，目前</w:t>
            </w:r>
            <w:r>
              <w:rPr>
                <w:rFonts w:hint="default" w:ascii="Times New Roman" w:hAnsi="Times New Roman" w:cs="Times New Roman"/>
                <w:b w:val="0"/>
                <w:bCs w:val="0"/>
                <w:snapToGrid w:val="0"/>
                <w:color w:val="000000" w:themeColor="text1"/>
                <w:spacing w:val="0"/>
                <w:kern w:val="2"/>
                <w:sz w:val="24"/>
                <w:szCs w:val="20"/>
                <w:lang w:val="en-US" w:eastAsia="zh-CN" w:bidi="ar-SA"/>
                <w14:textFill>
                  <w14:solidFill>
                    <w14:schemeClr w14:val="tx1"/>
                  </w14:solidFill>
                </w14:textFill>
              </w:rPr>
              <w:t>B37厂房</w:t>
            </w:r>
            <w:r>
              <w:rPr>
                <w:rFonts w:hint="default" w:ascii="Times New Roman" w:hAnsi="Times New Roman" w:eastAsia="宋体" w:cs="Times New Roman"/>
                <w:b w:val="0"/>
                <w:bCs w:val="0"/>
                <w:snapToGrid w:val="0"/>
                <w:color w:val="000000" w:themeColor="text1"/>
                <w:spacing w:val="0"/>
                <w:kern w:val="2"/>
                <w:sz w:val="24"/>
                <w:szCs w:val="20"/>
                <w:lang w:val="en-US" w:eastAsia="zh-CN" w:bidi="ar-SA"/>
                <w14:textFill>
                  <w14:solidFill>
                    <w14:schemeClr w14:val="tx1"/>
                  </w14:solidFill>
                </w14:textFill>
              </w:rPr>
              <w:t>污水管网已经接入园区污水管网。</w:t>
            </w:r>
          </w:p>
          <w:p w14:paraId="3651FFE1">
            <w:pPr>
              <w:pStyle w:val="124"/>
              <w:numPr>
                <w:ilvl w:val="0"/>
                <w:numId w:val="11"/>
              </w:numPr>
              <w:bidi w:val="0"/>
              <w:ind w:left="0" w:leftChars="0" w:firstLine="480" w:firstLineChars="200"/>
              <w:rPr>
                <w:rFonts w:hint="default" w:ascii="Times New Roman" w:hAnsi="Times New Roman" w:cs="Times New Roman"/>
                <w:b w:val="0"/>
                <w:bCs w:val="0"/>
                <w:snapToGrid w:val="0"/>
                <w:color w:val="000000" w:themeColor="text1"/>
                <w:spacing w:val="0"/>
                <w:kern w:val="2"/>
                <w:sz w:val="24"/>
                <w:szCs w:val="20"/>
                <w:lang w:val="en-US" w:eastAsia="zh-CN" w:bidi="ar-SA"/>
                <w14:textFill>
                  <w14:solidFill>
                    <w14:schemeClr w14:val="tx1"/>
                  </w14:solidFill>
                </w14:textFill>
              </w:rPr>
            </w:pPr>
            <w:r>
              <w:rPr>
                <w:rFonts w:hint="default" w:ascii="Times New Roman" w:hAnsi="Times New Roman" w:cs="Times New Roman"/>
                <w:b w:val="0"/>
                <w:bCs w:val="0"/>
                <w:snapToGrid w:val="0"/>
                <w:color w:val="000000" w:themeColor="text1"/>
                <w:spacing w:val="0"/>
                <w:kern w:val="2"/>
                <w:sz w:val="24"/>
                <w:szCs w:val="20"/>
                <w:lang w:val="en-US" w:eastAsia="zh-CN" w:bidi="ar-SA"/>
                <w14:textFill>
                  <w14:solidFill>
                    <w14:schemeClr w14:val="tx1"/>
                  </w14:solidFill>
                </w14:textFill>
              </w:rPr>
              <w:t>生产废水</w:t>
            </w:r>
          </w:p>
          <w:p w14:paraId="29A3F8C7">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本项目运营期生产废水主要为</w:t>
            </w:r>
            <w:r>
              <w:rPr>
                <w:rFonts w:hint="default" w:ascii="Times New Roman" w:hAnsi="Times New Roman" w:cs="Times New Roman"/>
                <w:color w:val="000000"/>
                <w:sz w:val="24"/>
                <w:highlight w:val="none"/>
                <w:lang w:val="en-US" w:eastAsia="zh-CN"/>
              </w:rPr>
              <w:t>破碎、清洗</w:t>
            </w:r>
            <w:r>
              <w:rPr>
                <w:rFonts w:hint="default" w:ascii="Times New Roman" w:hAnsi="Times New Roman" w:cs="Times New Roman"/>
                <w:color w:val="000000"/>
                <w:sz w:val="24"/>
                <w:highlight w:val="none"/>
                <w:lang w:eastAsia="zh-CN"/>
              </w:rPr>
              <w:t>废水</w:t>
            </w:r>
            <w:r>
              <w:rPr>
                <w:rFonts w:hint="default" w:ascii="Times New Roman" w:hAnsi="Times New Roman" w:cs="Times New Roman"/>
                <w:color w:val="000000"/>
                <w:sz w:val="24"/>
                <w:highlight w:val="none"/>
              </w:rPr>
              <w:t>，</w:t>
            </w:r>
            <w:r>
              <w:rPr>
                <w:rFonts w:hint="default" w:ascii="Times New Roman" w:hAnsi="Times New Roman" w:cs="Times New Roman"/>
                <w:color w:val="000000"/>
                <w:sz w:val="24"/>
                <w:highlight w:val="none"/>
                <w:lang w:eastAsia="zh-CN"/>
              </w:rPr>
              <w:t>生产废水</w:t>
            </w:r>
            <w:r>
              <w:rPr>
                <w:rFonts w:hint="eastAsia" w:cs="Times New Roman"/>
                <w:color w:val="000000"/>
                <w:sz w:val="24"/>
                <w:highlight w:val="none"/>
                <w:lang w:eastAsia="zh-CN"/>
              </w:rPr>
              <w:t>主要</w:t>
            </w:r>
            <w:r>
              <w:rPr>
                <w:rFonts w:hint="default" w:ascii="Times New Roman" w:hAnsi="Times New Roman" w:cs="Times New Roman"/>
                <w:color w:val="000000"/>
                <w:sz w:val="24"/>
                <w:szCs w:val="24"/>
                <w:highlight w:val="none"/>
                <w:lang w:eastAsia="zh-CN"/>
              </w:rPr>
              <w:t>污染物</w:t>
            </w:r>
            <w:r>
              <w:rPr>
                <w:rFonts w:hint="default" w:ascii="Times New Roman" w:hAnsi="Times New Roman" w:cs="Times New Roman"/>
                <w:color w:val="000000"/>
                <w:kern w:val="0"/>
                <w:sz w:val="24"/>
                <w:szCs w:val="24"/>
                <w:highlight w:val="none"/>
                <w:lang w:val="en-US" w:eastAsia="zh-CN"/>
              </w:rPr>
              <w:t>p</w:t>
            </w:r>
            <w:r>
              <w:rPr>
                <w:rFonts w:hint="default" w:ascii="Times New Roman" w:hAnsi="Times New Roman" w:cs="Times New Roman"/>
                <w:color w:val="000000"/>
                <w:kern w:val="0"/>
                <w:sz w:val="24"/>
                <w:szCs w:val="24"/>
                <w:highlight w:val="none"/>
              </w:rPr>
              <w:t>H值、CODcr、</w:t>
            </w:r>
            <w:r>
              <w:rPr>
                <w:rFonts w:hint="default" w:ascii="Times New Roman" w:hAnsi="Times New Roman" w:cs="Times New Roman"/>
                <w:color w:val="000000"/>
                <w:kern w:val="0"/>
                <w:sz w:val="24"/>
                <w:szCs w:val="24"/>
                <w:highlight w:val="none"/>
                <w:lang w:val="en-US" w:eastAsia="zh-CN"/>
              </w:rPr>
              <w:t>SS、</w:t>
            </w:r>
            <w:r>
              <w:rPr>
                <w:rFonts w:hint="default" w:ascii="Times New Roman" w:hAnsi="Times New Roman" w:cs="Times New Roman"/>
                <w:color w:val="000000"/>
                <w:kern w:val="0"/>
                <w:sz w:val="24"/>
                <w:szCs w:val="24"/>
                <w:highlight w:val="none"/>
              </w:rPr>
              <w:t>BOD</w:t>
            </w:r>
            <w:r>
              <w:rPr>
                <w:rFonts w:hint="default" w:ascii="Times New Roman" w:hAnsi="Times New Roman" w:cs="Times New Roman"/>
                <w:color w:val="000000"/>
                <w:kern w:val="0"/>
                <w:sz w:val="24"/>
                <w:szCs w:val="24"/>
                <w:highlight w:val="none"/>
                <w:vertAlign w:val="subscript"/>
              </w:rPr>
              <w:t>5</w:t>
            </w:r>
            <w:r>
              <w:rPr>
                <w:rFonts w:hint="default" w:ascii="Times New Roman" w:hAnsi="Times New Roman" w:cs="Times New Roman"/>
                <w:color w:val="000000"/>
                <w:sz w:val="24"/>
                <w:szCs w:val="24"/>
                <w:highlight w:val="none"/>
              </w:rPr>
              <w:t>等。</w:t>
            </w:r>
            <w:r>
              <w:rPr>
                <w:rFonts w:hint="default" w:ascii="Times New Roman" w:hAnsi="Times New Roman" w:cs="Times New Roman"/>
                <w:color w:val="000000"/>
                <w:sz w:val="24"/>
              </w:rPr>
              <w:t>根据设计单位提供的资料，</w:t>
            </w:r>
            <w:r>
              <w:rPr>
                <w:rFonts w:hint="default" w:ascii="Times New Roman" w:hAnsi="Times New Roman" w:cs="Times New Roman"/>
                <w:color w:val="000000"/>
                <w:sz w:val="24"/>
                <w:lang w:eastAsia="zh-CN"/>
              </w:rPr>
              <w:t>项目采用</w:t>
            </w:r>
            <w:r>
              <w:rPr>
                <w:rFonts w:hint="default" w:ascii="Times New Roman" w:hAnsi="Times New Roman" w:cs="Times New Roman"/>
                <w:color w:val="000000"/>
                <w:sz w:val="24"/>
              </w:rPr>
              <w:t>“混凝</w:t>
            </w:r>
            <w:r>
              <w:rPr>
                <w:rFonts w:hint="default" w:ascii="Times New Roman" w:hAnsi="Times New Roman" w:cs="Times New Roman"/>
                <w:color w:val="000000"/>
                <w:sz w:val="24"/>
                <w:lang w:val="en-US" w:eastAsia="zh-CN"/>
              </w:rPr>
              <w:t>+</w:t>
            </w:r>
            <w:r>
              <w:rPr>
                <w:rFonts w:hint="default" w:ascii="Times New Roman" w:hAnsi="Times New Roman" w:cs="Times New Roman"/>
                <w:color w:val="000000"/>
                <w:sz w:val="24"/>
                <w:lang w:eastAsia="zh-CN"/>
              </w:rPr>
              <w:t>沉淀</w:t>
            </w:r>
            <w:r>
              <w:rPr>
                <w:rFonts w:hint="default" w:ascii="Times New Roman" w:hAnsi="Times New Roman" w:cs="Times New Roman"/>
                <w:color w:val="000000"/>
                <w:sz w:val="24"/>
                <w:lang w:val="en-US" w:eastAsia="zh-CN"/>
              </w:rPr>
              <w:t>+生物接触氧化</w:t>
            </w:r>
            <w:r>
              <w:rPr>
                <w:rFonts w:hint="default" w:ascii="Times New Roman" w:hAnsi="Times New Roman" w:cs="Times New Roman"/>
                <w:color w:val="000000"/>
                <w:sz w:val="24"/>
              </w:rPr>
              <w:t>”</w:t>
            </w:r>
            <w:r>
              <w:rPr>
                <w:rFonts w:hint="default" w:ascii="Times New Roman" w:hAnsi="Times New Roman" w:cs="Times New Roman"/>
                <w:color w:val="000000"/>
                <w:sz w:val="24"/>
                <w:lang w:eastAsia="zh-CN"/>
              </w:rPr>
              <w:t>废水工艺</w:t>
            </w:r>
            <w:r>
              <w:rPr>
                <w:rFonts w:hint="default" w:ascii="Times New Roman" w:hAnsi="Times New Roman" w:cs="Times New Roman"/>
                <w:color w:val="000000"/>
                <w:sz w:val="24"/>
                <w:highlight w:val="none"/>
              </w:rPr>
              <w:t>。</w:t>
            </w:r>
          </w:p>
          <w:p w14:paraId="58EEA934">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textAlignment w:val="auto"/>
              <w:outlineLvl w:val="9"/>
              <w:rPr>
                <w:rFonts w:hint="default" w:ascii="Times New Roman" w:hAnsi="Times New Roman" w:eastAsia="宋体" w:cs="Times New Roman"/>
                <w:b w:val="0"/>
                <w:bCs w:val="0"/>
                <w:color w:val="000000"/>
                <w:kern w:val="2"/>
                <w:sz w:val="24"/>
                <w:szCs w:val="24"/>
                <w:highlight w:val="none"/>
                <w:lang w:val="en-US" w:eastAsia="zh-CN" w:bidi="ar-SA"/>
              </w:rPr>
            </w:pPr>
            <w:r>
              <w:rPr>
                <w:rFonts w:hint="default" w:ascii="Times New Roman" w:hAnsi="Times New Roman" w:cs="Times New Roman"/>
                <w:color w:val="000000"/>
                <w:sz w:val="24"/>
              </w:rPr>
              <mc:AlternateContent>
                <mc:Choice Requires="wpg">
                  <w:drawing>
                    <wp:anchor distT="0" distB="0" distL="114300" distR="114300" simplePos="0" relativeHeight="251666432" behindDoc="0" locked="0" layoutInCell="1" allowOverlap="1">
                      <wp:simplePos x="0" y="0"/>
                      <wp:positionH relativeFrom="column">
                        <wp:posOffset>591820</wp:posOffset>
                      </wp:positionH>
                      <wp:positionV relativeFrom="paragraph">
                        <wp:posOffset>62230</wp:posOffset>
                      </wp:positionV>
                      <wp:extent cx="4067175" cy="3056890"/>
                      <wp:effectExtent l="0" t="0" r="0" b="0"/>
                      <wp:wrapNone/>
                      <wp:docPr id="345" name="组合 345"/>
                      <wp:cNvGraphicFramePr/>
                      <a:graphic xmlns:a="http://schemas.openxmlformats.org/drawingml/2006/main">
                        <a:graphicData uri="http://schemas.microsoft.com/office/word/2010/wordprocessingGroup">
                          <wpg:wgp>
                            <wpg:cNvGrpSpPr/>
                            <wpg:grpSpPr>
                              <a:xfrm>
                                <a:off x="0" y="0"/>
                                <a:ext cx="4067175" cy="3056890"/>
                                <a:chOff x="3020" y="765897"/>
                                <a:chExt cx="6405" cy="4814"/>
                              </a:xfrm>
                            </wpg:grpSpPr>
                            <wps:wsp>
                              <wps:cNvPr id="324" name="矩形 324"/>
                              <wps:cNvSpPr/>
                              <wps:spPr>
                                <a:xfrm>
                                  <a:off x="5112" y="766570"/>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0F335B">
                                    <w:pPr>
                                      <w:jc w:val="center"/>
                                      <w:rPr>
                                        <w:rFonts w:hint="eastAsia" w:eastAsia="宋体"/>
                                        <w:szCs w:val="21"/>
                                        <w:lang w:eastAsia="zh-CN"/>
                                      </w:rPr>
                                    </w:pPr>
                                    <w:r>
                                      <w:rPr>
                                        <w:rFonts w:hint="eastAsia"/>
                                        <w:szCs w:val="21"/>
                                        <w:lang w:eastAsia="zh-CN"/>
                                      </w:rPr>
                                      <w:t>混凝反应池</w:t>
                                    </w:r>
                                  </w:p>
                                  <w:p w14:paraId="551BFD81">
                                    <w:pPr>
                                      <w:rPr>
                                        <w:rFonts w:hint="eastAsia"/>
                                        <w:lang w:val="en-US" w:eastAsia="zh-CN"/>
                                      </w:rPr>
                                    </w:pPr>
                                  </w:p>
                                </w:txbxContent>
                              </wps:txbx>
                              <wps:bodyPr upright="1"/>
                            </wps:wsp>
                            <wps:wsp>
                              <wps:cNvPr id="325" name="矩形 325"/>
                              <wps:cNvSpPr/>
                              <wps:spPr>
                                <a:xfrm>
                                  <a:off x="5273" y="765897"/>
                                  <a:ext cx="1411" cy="468"/>
                                </a:xfrm>
                                <a:prstGeom prst="rect">
                                  <a:avLst/>
                                </a:prstGeom>
                                <a:noFill/>
                                <a:ln>
                                  <a:noFill/>
                                </a:ln>
                              </wps:spPr>
                              <wps:txbx>
                                <w:txbxContent>
                                  <w:p w14:paraId="52B48B6E">
                                    <w:pPr>
                                      <w:ind w:firstLine="105" w:firstLineChars="50"/>
                                      <w:jc w:val="center"/>
                                      <w:rPr>
                                        <w:rFonts w:hint="eastAsia"/>
                                        <w:b w:val="0"/>
                                        <w:bCs/>
                                        <w:szCs w:val="21"/>
                                      </w:rPr>
                                    </w:pPr>
                                    <w:r>
                                      <w:rPr>
                                        <w:rFonts w:hint="eastAsia"/>
                                        <w:b w:val="0"/>
                                        <w:bCs/>
                                        <w:szCs w:val="21"/>
                                        <w:lang w:eastAsia="zh-CN"/>
                                      </w:rPr>
                                      <w:t>生产</w:t>
                                    </w:r>
                                    <w:r>
                                      <w:rPr>
                                        <w:rFonts w:hint="eastAsia"/>
                                        <w:b w:val="0"/>
                                        <w:bCs/>
                                        <w:szCs w:val="21"/>
                                      </w:rPr>
                                      <w:t>废水</w:t>
                                    </w:r>
                                  </w:p>
                                </w:txbxContent>
                              </wps:txbx>
                              <wps:bodyPr upright="1"/>
                            </wps:wsp>
                            <wps:wsp>
                              <wps:cNvPr id="326" name="直接连接符 326"/>
                              <wps:cNvCnPr/>
                              <wps:spPr>
                                <a:xfrm>
                                  <a:off x="5990" y="766206"/>
                                  <a:ext cx="1" cy="364"/>
                                </a:xfrm>
                                <a:prstGeom prst="line">
                                  <a:avLst/>
                                </a:prstGeom>
                                <a:ln w="9525" cap="flat" cmpd="sng">
                                  <a:solidFill>
                                    <a:srgbClr val="000000"/>
                                  </a:solidFill>
                                  <a:prstDash val="solid"/>
                                  <a:headEnd type="none" w="med" len="med"/>
                                  <a:tailEnd type="triangle" w="med" len="med"/>
                                </a:ln>
                              </wps:spPr>
                              <wps:bodyPr upright="1"/>
                            </wps:wsp>
                            <wps:wsp>
                              <wps:cNvPr id="327" name="矩形 327"/>
                              <wps:cNvSpPr/>
                              <wps:spPr>
                                <a:xfrm>
                                  <a:off x="5090" y="767418"/>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93936A">
                                    <w:pPr>
                                      <w:jc w:val="center"/>
                                      <w:rPr>
                                        <w:rFonts w:hint="eastAsia"/>
                                        <w:lang w:eastAsia="zh-CN"/>
                                      </w:rPr>
                                    </w:pPr>
                                    <w:r>
                                      <w:rPr>
                                        <w:rFonts w:hint="eastAsia"/>
                                        <w:szCs w:val="21"/>
                                        <w:lang w:eastAsia="zh-CN"/>
                                      </w:rPr>
                                      <w:t>絮凝沉淀池</w:t>
                                    </w:r>
                                  </w:p>
                                </w:txbxContent>
                              </wps:txbx>
                              <wps:bodyPr upright="1"/>
                            </wps:wsp>
                            <wps:wsp>
                              <wps:cNvPr id="328" name="矩形 328"/>
                              <wps:cNvSpPr/>
                              <wps:spPr>
                                <a:xfrm>
                                  <a:off x="5102" y="769055"/>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D37585">
                                    <w:pPr>
                                      <w:jc w:val="center"/>
                                      <w:rPr>
                                        <w:rFonts w:hint="eastAsia" w:eastAsia="宋体"/>
                                        <w:szCs w:val="21"/>
                                        <w:lang w:eastAsia="zh-CN"/>
                                      </w:rPr>
                                    </w:pPr>
                                    <w:r>
                                      <w:rPr>
                                        <w:rFonts w:hint="eastAsia"/>
                                        <w:szCs w:val="21"/>
                                        <w:lang w:eastAsia="zh-CN"/>
                                      </w:rPr>
                                      <w:t>回用水池</w:t>
                                    </w:r>
                                  </w:p>
                                </w:txbxContent>
                              </wps:txbx>
                              <wps:bodyPr upright="1"/>
                            </wps:wsp>
                            <wps:wsp>
                              <wps:cNvPr id="329" name="矩形 329"/>
                              <wps:cNvSpPr/>
                              <wps:spPr>
                                <a:xfrm>
                                  <a:off x="5098" y="768247"/>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7F62EA">
                                    <w:pPr>
                                      <w:jc w:val="center"/>
                                      <w:rPr>
                                        <w:rFonts w:hint="default" w:eastAsia="宋体"/>
                                        <w:szCs w:val="21"/>
                                        <w:lang w:val="en-US" w:eastAsia="zh-CN"/>
                                      </w:rPr>
                                    </w:pPr>
                                    <w:r>
                                      <w:rPr>
                                        <w:rFonts w:hint="eastAsia" w:eastAsia="宋体"/>
                                        <w:szCs w:val="21"/>
                                        <w:lang w:val="en-US" w:eastAsia="zh-CN"/>
                                      </w:rPr>
                                      <w:t>接触氧化池</w:t>
                                    </w:r>
                                  </w:p>
                                </w:txbxContent>
                              </wps:txbx>
                              <wps:bodyPr upright="1"/>
                            </wps:wsp>
                            <wps:wsp>
                              <wps:cNvPr id="330" name="直接连接符 330"/>
                              <wps:cNvCnPr/>
                              <wps:spPr>
                                <a:xfrm>
                                  <a:off x="3696" y="768724"/>
                                  <a:ext cx="1" cy="386"/>
                                </a:xfrm>
                                <a:prstGeom prst="line">
                                  <a:avLst/>
                                </a:prstGeom>
                                <a:ln w="9525" cap="flat" cmpd="sng">
                                  <a:solidFill>
                                    <a:srgbClr val="000000"/>
                                  </a:solidFill>
                                  <a:prstDash val="dash"/>
                                  <a:headEnd type="none" w="med" len="med"/>
                                  <a:tailEnd type="triangle" w="med" len="med"/>
                                </a:ln>
                              </wps:spPr>
                              <wps:bodyPr upright="1"/>
                            </wps:wsp>
                            <wps:wsp>
                              <wps:cNvPr id="331" name="直接连接符 331"/>
                              <wps:cNvCnPr/>
                              <wps:spPr>
                                <a:xfrm flipH="1">
                                  <a:off x="6901" y="767670"/>
                                  <a:ext cx="663" cy="1"/>
                                </a:xfrm>
                                <a:prstGeom prst="line">
                                  <a:avLst/>
                                </a:prstGeom>
                                <a:ln w="9525" cap="flat" cmpd="sng">
                                  <a:solidFill>
                                    <a:srgbClr val="000000"/>
                                  </a:solidFill>
                                  <a:prstDash val="solid"/>
                                  <a:headEnd type="none" w="med" len="med"/>
                                  <a:tailEnd type="triangle" w="med" len="med"/>
                                </a:ln>
                              </wps:spPr>
                              <wps:bodyPr upright="1"/>
                            </wps:wsp>
                            <wps:wsp>
                              <wps:cNvPr id="332" name="直接连接符 332"/>
                              <wps:cNvCnPr/>
                              <wps:spPr>
                                <a:xfrm>
                                  <a:off x="4211" y="768486"/>
                                  <a:ext cx="900" cy="0"/>
                                </a:xfrm>
                                <a:prstGeom prst="line">
                                  <a:avLst/>
                                </a:prstGeom>
                                <a:ln w="9525" cap="flat" cmpd="sng">
                                  <a:solidFill>
                                    <a:srgbClr val="000000"/>
                                  </a:solidFill>
                                  <a:prstDash val="dash"/>
                                  <a:headEnd type="triangle" w="med" len="med"/>
                                  <a:tailEnd type="none" w="med" len="med"/>
                                </a:ln>
                              </wps:spPr>
                              <wps:bodyPr upright="1"/>
                            </wps:wsp>
                            <wps:wsp>
                              <wps:cNvPr id="333" name="矩形 333"/>
                              <wps:cNvSpPr/>
                              <wps:spPr>
                                <a:xfrm>
                                  <a:off x="3134" y="768240"/>
                                  <a:ext cx="1080" cy="468"/>
                                </a:xfrm>
                                <a:prstGeom prst="rect">
                                  <a:avLst/>
                                </a:prstGeom>
                                <a:noFill/>
                                <a:ln w="9525" cap="flat" cmpd="sng">
                                  <a:solidFill>
                                    <a:srgbClr val="000000"/>
                                  </a:solidFill>
                                  <a:prstDash val="solid"/>
                                  <a:miter/>
                                  <a:headEnd type="none" w="med" len="med"/>
                                  <a:tailEnd type="none" w="med" len="med"/>
                                </a:ln>
                              </wps:spPr>
                              <wps:txbx>
                                <w:txbxContent>
                                  <w:p w14:paraId="6129AB8D">
                                    <w:pPr>
                                      <w:jc w:val="center"/>
                                      <w:rPr>
                                        <w:szCs w:val="21"/>
                                      </w:rPr>
                                    </w:pPr>
                                    <w:r>
                                      <w:rPr>
                                        <w:rFonts w:hint="eastAsia"/>
                                        <w:szCs w:val="21"/>
                                      </w:rPr>
                                      <w:t>贮泥池</w:t>
                                    </w:r>
                                  </w:p>
                                  <w:p w14:paraId="2FDEF8DC">
                                    <w:pPr>
                                      <w:jc w:val="center"/>
                                      <w:rPr>
                                        <w:szCs w:val="21"/>
                                      </w:rPr>
                                    </w:pPr>
                                  </w:p>
                                </w:txbxContent>
                              </wps:txbx>
                              <wps:bodyPr upright="1"/>
                            </wps:wsp>
                            <wps:wsp>
                              <wps:cNvPr id="334" name="矩形 334"/>
                              <wps:cNvSpPr/>
                              <wps:spPr>
                                <a:xfrm>
                                  <a:off x="3020" y="769068"/>
                                  <a:ext cx="1440" cy="468"/>
                                </a:xfrm>
                                <a:prstGeom prst="rect">
                                  <a:avLst/>
                                </a:prstGeom>
                                <a:noFill/>
                                <a:ln>
                                  <a:noFill/>
                                </a:ln>
                              </wps:spPr>
                              <wps:txbx>
                                <w:txbxContent>
                                  <w:p w14:paraId="141B994A">
                                    <w:pPr>
                                      <w:jc w:val="center"/>
                                      <w:rPr>
                                        <w:rFonts w:hint="eastAsia" w:eastAsia="宋体"/>
                                        <w:szCs w:val="21"/>
                                        <w:lang w:eastAsia="zh-CN"/>
                                      </w:rPr>
                                    </w:pPr>
                                    <w:r>
                                      <w:rPr>
                                        <w:rFonts w:hint="eastAsia"/>
                                        <w:szCs w:val="21"/>
                                        <w:lang w:eastAsia="zh-CN"/>
                                      </w:rPr>
                                      <w:t>污泥</w:t>
                                    </w:r>
                                  </w:p>
                                  <w:p w14:paraId="1CFEF97D">
                                    <w:pPr>
                                      <w:jc w:val="center"/>
                                      <w:rPr>
                                        <w:szCs w:val="21"/>
                                      </w:rPr>
                                    </w:pPr>
                                  </w:p>
                                </w:txbxContent>
                              </wps:txbx>
                              <wps:bodyPr upright="1"/>
                            </wps:wsp>
                            <wps:wsp>
                              <wps:cNvPr id="335" name="矩形 335"/>
                              <wps:cNvSpPr/>
                              <wps:spPr>
                                <a:xfrm>
                                  <a:off x="5329" y="769866"/>
                                  <a:ext cx="1440" cy="468"/>
                                </a:xfrm>
                                <a:prstGeom prst="rect">
                                  <a:avLst/>
                                </a:prstGeom>
                                <a:noFill/>
                                <a:ln>
                                  <a:noFill/>
                                </a:ln>
                              </wps:spPr>
                              <wps:txbx>
                                <w:txbxContent>
                                  <w:p w14:paraId="7FCF6414">
                                    <w:pPr>
                                      <w:jc w:val="center"/>
                                      <w:rPr>
                                        <w:rFonts w:hint="eastAsia" w:eastAsia="宋体"/>
                                        <w:szCs w:val="21"/>
                                        <w:lang w:eastAsia="zh-CN"/>
                                      </w:rPr>
                                    </w:pPr>
                                    <w:r>
                                      <w:rPr>
                                        <w:rFonts w:hint="eastAsia"/>
                                        <w:szCs w:val="21"/>
                                      </w:rPr>
                                      <w:t>回用于</w:t>
                                    </w:r>
                                    <w:r>
                                      <w:rPr>
                                        <w:rFonts w:hint="eastAsia"/>
                                        <w:szCs w:val="21"/>
                                        <w:lang w:val="en-US" w:eastAsia="zh-CN"/>
                                      </w:rPr>
                                      <w:t>生产</w:t>
                                    </w:r>
                                  </w:p>
                                  <w:p w14:paraId="6130CC79">
                                    <w:pPr>
                                      <w:jc w:val="center"/>
                                      <w:rPr>
                                        <w:szCs w:val="21"/>
                                      </w:rPr>
                                    </w:pPr>
                                  </w:p>
                                </w:txbxContent>
                              </wps:txbx>
                              <wps:bodyPr upright="1"/>
                            </wps:wsp>
                            <wps:wsp>
                              <wps:cNvPr id="336" name="矩形 336"/>
                              <wps:cNvSpPr/>
                              <wps:spPr>
                                <a:xfrm>
                                  <a:off x="7558" y="767451"/>
                                  <a:ext cx="1703" cy="468"/>
                                </a:xfrm>
                                <a:prstGeom prst="rect">
                                  <a:avLst/>
                                </a:prstGeom>
                                <a:noFill/>
                                <a:ln>
                                  <a:noFill/>
                                </a:ln>
                              </wps:spPr>
                              <wps:txbx>
                                <w:txbxContent>
                                  <w:p w14:paraId="65B241A5">
                                    <w:pPr>
                                      <w:jc w:val="center"/>
                                      <w:rPr>
                                        <w:rFonts w:hint="eastAsia" w:eastAsia="宋体"/>
                                        <w:szCs w:val="21"/>
                                        <w:lang w:eastAsia="zh-CN"/>
                                      </w:rPr>
                                    </w:pPr>
                                    <w:r>
                                      <w:rPr>
                                        <w:b w:val="0"/>
                                        <w:bCs w:val="0"/>
                                        <w:color w:val="000000"/>
                                        <w:u w:val="none"/>
                                      </w:rPr>
                                      <w:t>PAM</w:t>
                                    </w:r>
                                    <w:r>
                                      <w:rPr>
                                        <w:rFonts w:hint="eastAsia"/>
                                        <w:b w:val="0"/>
                                        <w:bCs w:val="0"/>
                                        <w:color w:val="000000"/>
                                        <w:u w:val="none"/>
                                        <w:lang w:eastAsia="zh-CN"/>
                                      </w:rPr>
                                      <w:t>（</w:t>
                                    </w:r>
                                    <w:r>
                                      <w:rPr>
                                        <w:rFonts w:hint="eastAsia"/>
                                        <w:b w:val="0"/>
                                        <w:bCs w:val="0"/>
                                        <w:color w:val="000000"/>
                                        <w:u w:val="none"/>
                                        <w:lang w:val="en-US" w:eastAsia="zh-CN"/>
                                      </w:rPr>
                                      <w:t>100ppm</w:t>
                                    </w:r>
                                    <w:r>
                                      <w:rPr>
                                        <w:rFonts w:hint="eastAsia"/>
                                        <w:b w:val="0"/>
                                        <w:bCs w:val="0"/>
                                        <w:color w:val="000000"/>
                                        <w:u w:val="none"/>
                                        <w:lang w:eastAsia="zh-CN"/>
                                      </w:rPr>
                                      <w:t>）</w:t>
                                    </w:r>
                                  </w:p>
                                </w:txbxContent>
                              </wps:txbx>
                              <wps:bodyPr upright="1"/>
                            </wps:wsp>
                            <wps:wsp>
                              <wps:cNvPr id="337" name="直接连接符 337"/>
                              <wps:cNvCnPr/>
                              <wps:spPr>
                                <a:xfrm flipH="1">
                                  <a:off x="6927" y="766816"/>
                                  <a:ext cx="570" cy="1"/>
                                </a:xfrm>
                                <a:prstGeom prst="line">
                                  <a:avLst/>
                                </a:prstGeom>
                                <a:ln w="9525" cap="flat" cmpd="sng">
                                  <a:solidFill>
                                    <a:srgbClr val="000000"/>
                                  </a:solidFill>
                                  <a:prstDash val="solid"/>
                                  <a:headEnd type="none" w="med" len="med"/>
                                  <a:tailEnd type="triangle" w="med" len="med"/>
                                </a:ln>
                              </wps:spPr>
                              <wps:bodyPr upright="1"/>
                            </wps:wsp>
                            <wps:wsp>
                              <wps:cNvPr id="338" name="矩形 338"/>
                              <wps:cNvSpPr/>
                              <wps:spPr>
                                <a:xfrm>
                                  <a:off x="7468" y="766587"/>
                                  <a:ext cx="1957" cy="468"/>
                                </a:xfrm>
                                <a:prstGeom prst="rect">
                                  <a:avLst/>
                                </a:prstGeom>
                                <a:noFill/>
                                <a:ln>
                                  <a:noFill/>
                                </a:ln>
                              </wps:spPr>
                              <wps:txbx>
                                <w:txbxContent>
                                  <w:p w14:paraId="667E2B7C">
                                    <w:pPr>
                                      <w:jc w:val="center"/>
                                      <w:rPr>
                                        <w:rFonts w:hint="eastAsia" w:eastAsia="宋体"/>
                                        <w:szCs w:val="21"/>
                                        <w:lang w:eastAsia="zh-CN"/>
                                      </w:rPr>
                                    </w:pPr>
                                    <w:r>
                                      <w:rPr>
                                        <w:b w:val="0"/>
                                        <w:bCs w:val="0"/>
                                        <w:color w:val="000000"/>
                                        <w:u w:val="none"/>
                                      </w:rPr>
                                      <w:t>PAC</w:t>
                                    </w:r>
                                    <w:r>
                                      <w:rPr>
                                        <w:rFonts w:hint="eastAsia"/>
                                        <w:b w:val="0"/>
                                        <w:bCs w:val="0"/>
                                        <w:color w:val="000000"/>
                                        <w:u w:val="none"/>
                                        <w:lang w:eastAsia="zh-CN"/>
                                      </w:rPr>
                                      <w:t>（</w:t>
                                    </w:r>
                                    <w:r>
                                      <w:rPr>
                                        <w:rFonts w:hint="eastAsia"/>
                                        <w:b w:val="0"/>
                                        <w:bCs w:val="0"/>
                                        <w:color w:val="000000"/>
                                        <w:u w:val="none"/>
                                        <w:lang w:val="en-US" w:eastAsia="zh-CN"/>
                                      </w:rPr>
                                      <w:t>1000ppm</w:t>
                                    </w:r>
                                    <w:r>
                                      <w:rPr>
                                        <w:rFonts w:hint="eastAsia"/>
                                        <w:b w:val="0"/>
                                        <w:bCs w:val="0"/>
                                        <w:color w:val="000000"/>
                                        <w:u w:val="none"/>
                                        <w:lang w:eastAsia="zh-CN"/>
                                      </w:rPr>
                                      <w:t>）</w:t>
                                    </w:r>
                                  </w:p>
                                </w:txbxContent>
                              </wps:txbx>
                              <wps:bodyPr upright="1"/>
                            </wps:wsp>
                            <wps:wsp>
                              <wps:cNvPr id="339" name="直接连接符 339"/>
                              <wps:cNvCnPr/>
                              <wps:spPr>
                                <a:xfrm>
                                  <a:off x="5990" y="767049"/>
                                  <a:ext cx="1" cy="364"/>
                                </a:xfrm>
                                <a:prstGeom prst="line">
                                  <a:avLst/>
                                </a:prstGeom>
                                <a:ln w="9525" cap="flat" cmpd="sng">
                                  <a:solidFill>
                                    <a:srgbClr val="000000"/>
                                  </a:solidFill>
                                  <a:prstDash val="solid"/>
                                  <a:headEnd type="none" w="med" len="med"/>
                                  <a:tailEnd type="triangle" w="med" len="med"/>
                                </a:ln>
                              </wps:spPr>
                              <wps:bodyPr upright="1"/>
                            </wps:wsp>
                            <wps:wsp>
                              <wps:cNvPr id="340" name="直接连接符 340"/>
                              <wps:cNvCnPr/>
                              <wps:spPr>
                                <a:xfrm>
                                  <a:off x="6001" y="767891"/>
                                  <a:ext cx="1" cy="364"/>
                                </a:xfrm>
                                <a:prstGeom prst="line">
                                  <a:avLst/>
                                </a:prstGeom>
                                <a:ln w="9525" cap="flat" cmpd="sng">
                                  <a:solidFill>
                                    <a:srgbClr val="000000"/>
                                  </a:solidFill>
                                  <a:prstDash val="solid"/>
                                  <a:headEnd type="none" w="med" len="med"/>
                                  <a:tailEnd type="triangle" w="med" len="med"/>
                                </a:ln>
                              </wps:spPr>
                              <wps:bodyPr upright="1"/>
                            </wps:wsp>
                            <wps:wsp>
                              <wps:cNvPr id="341" name="直接连接符 341"/>
                              <wps:cNvCnPr/>
                              <wps:spPr>
                                <a:xfrm>
                                  <a:off x="6001" y="768711"/>
                                  <a:ext cx="1" cy="364"/>
                                </a:xfrm>
                                <a:prstGeom prst="line">
                                  <a:avLst/>
                                </a:prstGeom>
                                <a:ln w="9525" cap="flat" cmpd="sng">
                                  <a:solidFill>
                                    <a:srgbClr val="000000"/>
                                  </a:solidFill>
                                  <a:prstDash val="solid"/>
                                  <a:headEnd type="none" w="med" len="med"/>
                                  <a:tailEnd type="triangle" w="med" len="med"/>
                                </a:ln>
                              </wps:spPr>
                              <wps:bodyPr upright="1"/>
                            </wps:wsp>
                            <wps:wsp>
                              <wps:cNvPr id="342" name="直接连接符 342"/>
                              <wps:cNvCnPr/>
                              <wps:spPr>
                                <a:xfrm>
                                  <a:off x="6001" y="769519"/>
                                  <a:ext cx="1" cy="364"/>
                                </a:xfrm>
                                <a:prstGeom prst="line">
                                  <a:avLst/>
                                </a:prstGeom>
                                <a:ln w="9525" cap="flat" cmpd="sng">
                                  <a:solidFill>
                                    <a:srgbClr val="000000"/>
                                  </a:solidFill>
                                  <a:prstDash val="solid"/>
                                  <a:headEnd type="none" w="med" len="med"/>
                                  <a:tailEnd type="triangle" w="med" len="med"/>
                                </a:ln>
                              </wps:spPr>
                              <wps:bodyPr upright="1"/>
                            </wps:wsp>
                            <wps:wsp>
                              <wps:cNvPr id="343" name="矩形 343"/>
                              <wps:cNvSpPr/>
                              <wps:spPr>
                                <a:xfrm>
                                  <a:off x="3938" y="770243"/>
                                  <a:ext cx="4238" cy="468"/>
                                </a:xfrm>
                                <a:prstGeom prst="rect">
                                  <a:avLst/>
                                </a:prstGeom>
                                <a:noFill/>
                                <a:ln>
                                  <a:noFill/>
                                </a:ln>
                              </wps:spPr>
                              <wps:txbx>
                                <w:txbxContent>
                                  <w:p w14:paraId="412F8E53">
                                    <w:pPr>
                                      <w:jc w:val="center"/>
                                      <w:rPr>
                                        <w:rFonts w:hint="default" w:ascii="Times New Roman" w:hAnsi="Times New Roman" w:eastAsia="黑体" w:cs="Times New Roman"/>
                                        <w:sz w:val="24"/>
                                        <w:lang w:val="en-US" w:eastAsia="zh-CN"/>
                                      </w:rPr>
                                    </w:pPr>
                                    <w:r>
                                      <w:rPr>
                                        <w:rFonts w:hint="eastAsia" w:ascii="Times New Roman" w:hAnsi="Times New Roman" w:eastAsia="黑体" w:cs="Times New Roman"/>
                                        <w:sz w:val="24"/>
                                        <w:lang w:eastAsia="zh-CN"/>
                                      </w:rPr>
                                      <w:t>图</w:t>
                                    </w:r>
                                    <w:r>
                                      <w:rPr>
                                        <w:rFonts w:hint="eastAsia" w:ascii="Times New Roman" w:hAnsi="Times New Roman" w:eastAsia="黑体" w:cs="Times New Roman"/>
                                        <w:sz w:val="24"/>
                                        <w:lang w:val="en-US" w:eastAsia="zh-CN"/>
                                      </w:rPr>
                                      <w:t>4.3-1  生产废水处理工艺流程图</w:t>
                                    </w:r>
                                  </w:p>
                                </w:txbxContent>
                              </wps:txbx>
                              <wps:bodyPr upright="1"/>
                            </wps:wsp>
                          </wpg:wgp>
                        </a:graphicData>
                      </a:graphic>
                    </wp:anchor>
                  </w:drawing>
                </mc:Choice>
                <mc:Fallback>
                  <w:pict>
                    <v:group id="_x0000_s1026" o:spid="_x0000_s1026" o:spt="203" style="position:absolute;left:0pt;margin-left:46.6pt;margin-top:4.9pt;height:240.7pt;width:320.25pt;z-index:251666432;mso-width-relative:page;mso-height-relative:page;" coordorigin="3020,765897" coordsize="6405,4814" o:gfxdata="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">
                      <o:lock v:ext="edit" aspectratio="f"/>
                      <v:rect id="_x0000_s1026" o:spid="_x0000_s1026" o:spt="1" style="position:absolute;left:5112;top:766570;height:468;width:1800;" fillcolor="#FFFFFF" filled="t" stroked="t" coordsize="21600,21600" o:gfxdata="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u0yd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00F335B">
                              <w:pPr>
                                <w:jc w:val="center"/>
                                <w:rPr>
                                  <w:rFonts w:hint="eastAsia" w:eastAsia="宋体"/>
                                  <w:szCs w:val="21"/>
                                  <w:lang w:eastAsia="zh-CN"/>
                                </w:rPr>
                              </w:pPr>
                              <w:r>
                                <w:rPr>
                                  <w:rFonts w:hint="eastAsia"/>
                                  <w:szCs w:val="21"/>
                                  <w:lang w:eastAsia="zh-CN"/>
                                </w:rPr>
                                <w:t>混凝反应池</w:t>
                              </w:r>
                            </w:p>
                            <w:p w14:paraId="551BFD81">
                              <w:pPr>
                                <w:rPr>
                                  <w:rFonts w:hint="eastAsia"/>
                                  <w:lang w:val="en-US" w:eastAsia="zh-CN"/>
                                </w:rPr>
                              </w:pPr>
                            </w:p>
                          </w:txbxContent>
                        </v:textbox>
                      </v:rect>
                      <v:rect id="_x0000_s1026" o:spid="_x0000_s1026" o:spt="1" style="position:absolute;left:5273;top:765897;height:468;width:1411;" filled="f" stroked="f" coordsize="21600,21600" o:gfxdata="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oNh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2B48B6E">
                              <w:pPr>
                                <w:ind w:firstLine="105" w:firstLineChars="50"/>
                                <w:jc w:val="center"/>
                                <w:rPr>
                                  <w:rFonts w:hint="eastAsia"/>
                                  <w:b w:val="0"/>
                                  <w:bCs/>
                                  <w:szCs w:val="21"/>
                                </w:rPr>
                              </w:pPr>
                              <w:r>
                                <w:rPr>
                                  <w:rFonts w:hint="eastAsia"/>
                                  <w:b w:val="0"/>
                                  <w:bCs/>
                                  <w:szCs w:val="21"/>
                                  <w:lang w:eastAsia="zh-CN"/>
                                </w:rPr>
                                <w:t>生产</w:t>
                              </w:r>
                              <w:r>
                                <w:rPr>
                                  <w:rFonts w:hint="eastAsia"/>
                                  <w:b w:val="0"/>
                                  <w:bCs/>
                                  <w:szCs w:val="21"/>
                                </w:rPr>
                                <w:t>废水</w:t>
                              </w:r>
                            </w:p>
                          </w:txbxContent>
                        </v:textbox>
                      </v:rect>
                      <v:line id="_x0000_s1026" o:spid="_x0000_s1026" o:spt="20" style="position:absolute;left:5990;top:766206;height:364;width:1;" filled="f" stroked="t" coordsize="21600,21600" o:gfxdata="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p8d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5090;top:767418;height:468;width:1800;" fillcolor="#FFFFFF" filled="t" stroked="t" coordsize="21600,21600" o:gfxdata="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adLq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293936A">
                              <w:pPr>
                                <w:jc w:val="center"/>
                                <w:rPr>
                                  <w:rFonts w:hint="eastAsia"/>
                                  <w:lang w:eastAsia="zh-CN"/>
                                </w:rPr>
                              </w:pPr>
                              <w:r>
                                <w:rPr>
                                  <w:rFonts w:hint="eastAsia"/>
                                  <w:szCs w:val="21"/>
                                  <w:lang w:eastAsia="zh-CN"/>
                                </w:rPr>
                                <w:t>絮凝沉淀池</w:t>
                              </w:r>
                            </w:p>
                          </w:txbxContent>
                        </v:textbox>
                      </v:rect>
                      <v:rect id="_x0000_s1026" o:spid="_x0000_s1026" o:spt="1" style="position:absolute;left:5102;top:769055;height:468;width:1800;" fillcolor="#FFFFFF" filled="t" stroked="t" coordsize="21600,21600" o:gfxdata="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j2Rp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4ED37585">
                              <w:pPr>
                                <w:jc w:val="center"/>
                                <w:rPr>
                                  <w:rFonts w:hint="eastAsia" w:eastAsia="宋体"/>
                                  <w:szCs w:val="21"/>
                                  <w:lang w:eastAsia="zh-CN"/>
                                </w:rPr>
                              </w:pPr>
                              <w:r>
                                <w:rPr>
                                  <w:rFonts w:hint="eastAsia"/>
                                  <w:szCs w:val="21"/>
                                  <w:lang w:eastAsia="zh-CN"/>
                                </w:rPr>
                                <w:t>回用水池</w:t>
                              </w:r>
                            </w:p>
                          </w:txbxContent>
                        </v:textbox>
                      </v:rect>
                      <v:rect id="_x0000_s1026" o:spid="_x0000_s1026" o:spt="1" style="position:absolute;left:5098;top:768247;height:468;width:1800;" fillcolor="#FFFFFF" filled="t" stroked="t" coordsize="21600,21600" o:gfxdata="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7rjA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C7F62EA">
                              <w:pPr>
                                <w:jc w:val="center"/>
                                <w:rPr>
                                  <w:rFonts w:hint="default" w:eastAsia="宋体"/>
                                  <w:szCs w:val="21"/>
                                  <w:lang w:val="en-US" w:eastAsia="zh-CN"/>
                                </w:rPr>
                              </w:pPr>
                              <w:r>
                                <w:rPr>
                                  <w:rFonts w:hint="eastAsia" w:eastAsia="宋体"/>
                                  <w:szCs w:val="21"/>
                                  <w:lang w:val="en-US" w:eastAsia="zh-CN"/>
                                </w:rPr>
                                <w:t>接触氧化池</w:t>
                              </w:r>
                            </w:p>
                          </w:txbxContent>
                        </v:textbox>
                      </v:rect>
                      <v:line id="_x0000_s1026" o:spid="_x0000_s1026" o:spt="20" style="position:absolute;left:3696;top:768724;height:386;width:1;" filled="f" stroked="t" coordsize="21600,21600" o:gfxdata="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Qwir4A&#10;AADc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line>
                      <v:line id="_x0000_s1026" o:spid="_x0000_s1026" o:spt="20" style="position:absolute;left:6901;top:767670;flip:x;height:1;width:663;" filled="f" stroked="t" coordsize="21600,21600" o:gfxdata="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5/P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211;top:768486;height:0;width:900;" filled="f" stroked="t" coordsize="21600,21600" o:gfxdata="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3de6/&#10;AAAA3AAAAA8AAAAAAAAAAQAgAAAAIgAAAGRycy9kb3ducmV2LnhtbFBLAQIUABQAAAAIAIdO4kAz&#10;LwWeOwAAADkAAAAQAAAAAAAAAAEAIAAAAA4BAABkcnMvc2hhcGV4bWwueG1sUEsFBgAAAAAGAAYA&#10;WwEAALgDAAAAAA==&#10;">
                        <v:fill on="f" focussize="0,0"/>
                        <v:stroke color="#000000" joinstyle="round" dashstyle="dash" startarrow="block"/>
                        <v:imagedata o:title=""/>
                        <o:lock v:ext="edit" aspectratio="f"/>
                      </v:line>
                      <v:rect id="_x0000_s1026" o:spid="_x0000_s1026" o:spt="1" style="position:absolute;left:3134;top:768240;height:468;width:1080;" filled="f" stroked="t" coordsize="21600,21600" o:gfxdata="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1eE5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6129AB8D">
                              <w:pPr>
                                <w:jc w:val="center"/>
                                <w:rPr>
                                  <w:szCs w:val="21"/>
                                </w:rPr>
                              </w:pPr>
                              <w:r>
                                <w:rPr>
                                  <w:rFonts w:hint="eastAsia"/>
                                  <w:szCs w:val="21"/>
                                </w:rPr>
                                <w:t>贮泥池</w:t>
                              </w:r>
                            </w:p>
                            <w:p w14:paraId="2FDEF8DC">
                              <w:pPr>
                                <w:jc w:val="center"/>
                                <w:rPr>
                                  <w:szCs w:val="21"/>
                                </w:rPr>
                              </w:pPr>
                            </w:p>
                          </w:txbxContent>
                        </v:textbox>
                      </v:rect>
                      <v:rect id="_x0000_s1026" o:spid="_x0000_s1026" o:spt="1" style="position:absolute;left:3020;top:769068;height:468;width:1440;" filled="f" stroked="f" coordsize="21600,21600" o:gfxdata="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PsC/&#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141B994A">
                              <w:pPr>
                                <w:jc w:val="center"/>
                                <w:rPr>
                                  <w:rFonts w:hint="eastAsia" w:eastAsia="宋体"/>
                                  <w:szCs w:val="21"/>
                                  <w:lang w:eastAsia="zh-CN"/>
                                </w:rPr>
                              </w:pPr>
                              <w:r>
                                <w:rPr>
                                  <w:rFonts w:hint="eastAsia"/>
                                  <w:szCs w:val="21"/>
                                  <w:lang w:eastAsia="zh-CN"/>
                                </w:rPr>
                                <w:t>污泥</w:t>
                              </w:r>
                            </w:p>
                            <w:p w14:paraId="1CFEF97D">
                              <w:pPr>
                                <w:jc w:val="center"/>
                                <w:rPr>
                                  <w:szCs w:val="21"/>
                                </w:rPr>
                              </w:pPr>
                            </w:p>
                          </w:txbxContent>
                        </v:textbox>
                      </v:rect>
                      <v:rect id="_x0000_s1026" o:spid="_x0000_s1026" o:spt="1" style="position:absolute;left:5329;top:769866;height:468;width:1440;" filled="f" stroked="f" coordsize="21600,21600" o:gfxdata="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zm1u/&#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7FCF6414">
                              <w:pPr>
                                <w:jc w:val="center"/>
                                <w:rPr>
                                  <w:rFonts w:hint="eastAsia" w:eastAsia="宋体"/>
                                  <w:szCs w:val="21"/>
                                  <w:lang w:eastAsia="zh-CN"/>
                                </w:rPr>
                              </w:pPr>
                              <w:r>
                                <w:rPr>
                                  <w:rFonts w:hint="eastAsia"/>
                                  <w:szCs w:val="21"/>
                                </w:rPr>
                                <w:t>回用于</w:t>
                              </w:r>
                              <w:r>
                                <w:rPr>
                                  <w:rFonts w:hint="eastAsia"/>
                                  <w:szCs w:val="21"/>
                                  <w:lang w:val="en-US" w:eastAsia="zh-CN"/>
                                </w:rPr>
                                <w:t>生产</w:t>
                              </w:r>
                            </w:p>
                            <w:p w14:paraId="6130CC79">
                              <w:pPr>
                                <w:jc w:val="center"/>
                                <w:rPr>
                                  <w:szCs w:val="21"/>
                                </w:rPr>
                              </w:pPr>
                            </w:p>
                          </w:txbxContent>
                        </v:textbox>
                      </v:rect>
                      <v:rect id="_x0000_s1026" o:spid="_x0000_s1026" o:spt="1" style="position:absolute;left:7558;top:767451;height:468;width:1703;" filled="f" stroked="f" coordsize="21600,21600" o:gfxdata="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IQUs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5B241A5">
                              <w:pPr>
                                <w:jc w:val="center"/>
                                <w:rPr>
                                  <w:rFonts w:hint="eastAsia" w:eastAsia="宋体"/>
                                  <w:szCs w:val="21"/>
                                  <w:lang w:eastAsia="zh-CN"/>
                                </w:rPr>
                              </w:pPr>
                              <w:r>
                                <w:rPr>
                                  <w:b w:val="0"/>
                                  <w:bCs w:val="0"/>
                                  <w:color w:val="000000"/>
                                  <w:u w:val="none"/>
                                </w:rPr>
                                <w:t>PAM</w:t>
                              </w:r>
                              <w:r>
                                <w:rPr>
                                  <w:rFonts w:hint="eastAsia"/>
                                  <w:b w:val="0"/>
                                  <w:bCs w:val="0"/>
                                  <w:color w:val="000000"/>
                                  <w:u w:val="none"/>
                                  <w:lang w:eastAsia="zh-CN"/>
                                </w:rPr>
                                <w:t>（</w:t>
                              </w:r>
                              <w:r>
                                <w:rPr>
                                  <w:rFonts w:hint="eastAsia"/>
                                  <w:b w:val="0"/>
                                  <w:bCs w:val="0"/>
                                  <w:color w:val="000000"/>
                                  <w:u w:val="none"/>
                                  <w:lang w:val="en-US" w:eastAsia="zh-CN"/>
                                </w:rPr>
                                <w:t>100ppm</w:t>
                              </w:r>
                              <w:r>
                                <w:rPr>
                                  <w:rFonts w:hint="eastAsia"/>
                                  <w:b w:val="0"/>
                                  <w:bCs w:val="0"/>
                                  <w:color w:val="000000"/>
                                  <w:u w:val="none"/>
                                  <w:lang w:eastAsia="zh-CN"/>
                                </w:rPr>
                                <w:t>）</w:t>
                              </w:r>
                            </w:p>
                          </w:txbxContent>
                        </v:textbox>
                      </v:rect>
                      <v:line id="_x0000_s1026" o:spid="_x0000_s1026" o:spt="20" style="position:absolute;left:6927;top:766816;flip:x;height:1;width:570;" filled="f" stroked="t" coordsize="21600,21600" o:gfxdata="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Qs4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7468;top:766587;height:468;width:1957;" filled="f" stroked="f" coordsize="21600,21600" o:gfxdata="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8jTF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667E2B7C">
                              <w:pPr>
                                <w:jc w:val="center"/>
                                <w:rPr>
                                  <w:rFonts w:hint="eastAsia" w:eastAsia="宋体"/>
                                  <w:szCs w:val="21"/>
                                  <w:lang w:eastAsia="zh-CN"/>
                                </w:rPr>
                              </w:pPr>
                              <w:r>
                                <w:rPr>
                                  <w:b w:val="0"/>
                                  <w:bCs w:val="0"/>
                                  <w:color w:val="000000"/>
                                  <w:u w:val="none"/>
                                </w:rPr>
                                <w:t>PAC</w:t>
                              </w:r>
                              <w:r>
                                <w:rPr>
                                  <w:rFonts w:hint="eastAsia"/>
                                  <w:b w:val="0"/>
                                  <w:bCs w:val="0"/>
                                  <w:color w:val="000000"/>
                                  <w:u w:val="none"/>
                                  <w:lang w:eastAsia="zh-CN"/>
                                </w:rPr>
                                <w:t>（</w:t>
                              </w:r>
                              <w:r>
                                <w:rPr>
                                  <w:rFonts w:hint="eastAsia"/>
                                  <w:b w:val="0"/>
                                  <w:bCs w:val="0"/>
                                  <w:color w:val="000000"/>
                                  <w:u w:val="none"/>
                                  <w:lang w:val="en-US" w:eastAsia="zh-CN"/>
                                </w:rPr>
                                <w:t>1000ppm</w:t>
                              </w:r>
                              <w:r>
                                <w:rPr>
                                  <w:rFonts w:hint="eastAsia"/>
                                  <w:b w:val="0"/>
                                  <w:bCs w:val="0"/>
                                  <w:color w:val="000000"/>
                                  <w:u w:val="none"/>
                                  <w:lang w:eastAsia="zh-CN"/>
                                </w:rPr>
                                <w:t>）</w:t>
                              </w:r>
                            </w:p>
                          </w:txbxContent>
                        </v:textbox>
                      </v:rect>
                      <v:line id="_x0000_s1026" o:spid="_x0000_s1026" o:spt="20" style="position:absolute;left:5990;top:767049;height:364;width:1;" filled="f" stroked="t" coordsize="21600,21600" o:gfxdata="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L/N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001;top:767891;height:364;width:1;" filled="f" stroked="t" coordsize="21600,21600" o:gfxdata="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Eym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001;top:768711;height:364;width:1;" filled="f" stroked="t" coordsize="21600,21600" o:gfxdata="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X4w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001;top:769519;height:364;width:1;" filled="f" stroked="t" coordsize="21600,21600" o:gfxdata="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jRJ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3938;top:770243;height:468;width:4238;" filled="f" stroked="f" coordsize="21600,21600" o:gfxdata="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Q1cm/&#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412F8E53">
                              <w:pPr>
                                <w:jc w:val="center"/>
                                <w:rPr>
                                  <w:rFonts w:hint="default" w:ascii="Times New Roman" w:hAnsi="Times New Roman" w:eastAsia="黑体" w:cs="Times New Roman"/>
                                  <w:sz w:val="24"/>
                                  <w:lang w:val="en-US" w:eastAsia="zh-CN"/>
                                </w:rPr>
                              </w:pPr>
                              <w:r>
                                <w:rPr>
                                  <w:rFonts w:hint="eastAsia" w:ascii="Times New Roman" w:hAnsi="Times New Roman" w:eastAsia="黑体" w:cs="Times New Roman"/>
                                  <w:sz w:val="24"/>
                                  <w:lang w:eastAsia="zh-CN"/>
                                </w:rPr>
                                <w:t>图</w:t>
                              </w:r>
                              <w:r>
                                <w:rPr>
                                  <w:rFonts w:hint="eastAsia" w:ascii="Times New Roman" w:hAnsi="Times New Roman" w:eastAsia="黑体" w:cs="Times New Roman"/>
                                  <w:sz w:val="24"/>
                                  <w:lang w:val="en-US" w:eastAsia="zh-CN"/>
                                </w:rPr>
                                <w:t>4.3-1  生产废水处理工艺流程图</w:t>
                              </w:r>
                            </w:p>
                          </w:txbxContent>
                        </v:textbox>
                      </v:rect>
                    </v:group>
                  </w:pict>
                </mc:Fallback>
              </mc:AlternateContent>
            </w:r>
          </w:p>
          <w:p w14:paraId="50104EB3">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textAlignment w:val="auto"/>
              <w:outlineLvl w:val="9"/>
              <w:rPr>
                <w:rFonts w:hint="default" w:ascii="Times New Roman" w:hAnsi="Times New Roman" w:eastAsia="宋体" w:cs="Times New Roman"/>
                <w:b w:val="0"/>
                <w:bCs w:val="0"/>
                <w:color w:val="000000"/>
                <w:kern w:val="2"/>
                <w:sz w:val="24"/>
                <w:szCs w:val="24"/>
                <w:highlight w:val="none"/>
                <w:lang w:val="en-US" w:eastAsia="zh-CN" w:bidi="ar-SA"/>
              </w:rPr>
            </w:pPr>
          </w:p>
          <w:p w14:paraId="5C40C584">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textAlignment w:val="auto"/>
              <w:outlineLvl w:val="9"/>
              <w:rPr>
                <w:rFonts w:hint="default" w:ascii="Times New Roman" w:hAnsi="Times New Roman" w:eastAsia="宋体" w:cs="Times New Roman"/>
                <w:b w:val="0"/>
                <w:bCs w:val="0"/>
                <w:color w:val="000000"/>
                <w:kern w:val="2"/>
                <w:sz w:val="24"/>
                <w:szCs w:val="24"/>
                <w:highlight w:val="none"/>
                <w:lang w:val="en-US" w:eastAsia="zh-CN" w:bidi="ar-SA"/>
              </w:rPr>
            </w:pPr>
          </w:p>
          <w:p w14:paraId="35B4B516">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textAlignment w:val="auto"/>
              <w:outlineLvl w:val="9"/>
              <w:rPr>
                <w:rFonts w:hint="default" w:ascii="Times New Roman" w:hAnsi="Times New Roman" w:eastAsia="宋体" w:cs="Times New Roman"/>
                <w:b w:val="0"/>
                <w:bCs w:val="0"/>
                <w:color w:val="000000"/>
                <w:kern w:val="2"/>
                <w:sz w:val="24"/>
                <w:szCs w:val="24"/>
                <w:highlight w:val="none"/>
                <w:lang w:val="en-US" w:eastAsia="zh-CN" w:bidi="ar-SA"/>
              </w:rPr>
            </w:pPr>
          </w:p>
          <w:p w14:paraId="530A90E6">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textAlignment w:val="auto"/>
              <w:outlineLvl w:val="9"/>
              <w:rPr>
                <w:rFonts w:hint="default" w:ascii="Times New Roman" w:hAnsi="Times New Roman" w:eastAsia="宋体" w:cs="Times New Roman"/>
                <w:b w:val="0"/>
                <w:bCs w:val="0"/>
                <w:color w:val="000000"/>
                <w:kern w:val="2"/>
                <w:sz w:val="24"/>
                <w:szCs w:val="24"/>
                <w:highlight w:val="none"/>
                <w:lang w:val="en-US" w:eastAsia="zh-CN" w:bidi="ar-SA"/>
              </w:rPr>
            </w:pPr>
          </w:p>
          <w:p w14:paraId="34825CE2">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textAlignment w:val="auto"/>
              <w:outlineLvl w:val="9"/>
              <w:rPr>
                <w:rFonts w:hint="default" w:ascii="Times New Roman" w:hAnsi="Times New Roman" w:eastAsia="宋体" w:cs="Times New Roman"/>
                <w:b w:val="0"/>
                <w:bCs w:val="0"/>
                <w:color w:val="000000"/>
                <w:kern w:val="2"/>
                <w:sz w:val="24"/>
                <w:szCs w:val="24"/>
                <w:highlight w:val="none"/>
                <w:lang w:val="en-US" w:eastAsia="zh-CN" w:bidi="ar-SA"/>
              </w:rPr>
            </w:pPr>
          </w:p>
          <w:p w14:paraId="078F31F7">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textAlignment w:val="auto"/>
              <w:outlineLvl w:val="9"/>
              <w:rPr>
                <w:rFonts w:hint="default" w:ascii="Times New Roman" w:hAnsi="Times New Roman" w:eastAsia="宋体" w:cs="Times New Roman"/>
                <w:b w:val="0"/>
                <w:bCs w:val="0"/>
                <w:color w:val="000000"/>
                <w:kern w:val="2"/>
                <w:sz w:val="24"/>
                <w:szCs w:val="24"/>
                <w:highlight w:val="none"/>
                <w:lang w:val="en-US" w:eastAsia="zh-CN" w:bidi="ar-SA"/>
              </w:rPr>
            </w:pPr>
          </w:p>
          <w:p w14:paraId="24DAC4B7">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textAlignment w:val="auto"/>
              <w:outlineLvl w:val="9"/>
              <w:rPr>
                <w:rFonts w:hint="default" w:ascii="Times New Roman" w:hAnsi="Times New Roman" w:eastAsia="宋体" w:cs="Times New Roman"/>
                <w:b w:val="0"/>
                <w:bCs w:val="0"/>
                <w:color w:val="000000"/>
                <w:kern w:val="2"/>
                <w:sz w:val="24"/>
                <w:szCs w:val="24"/>
                <w:highlight w:val="none"/>
                <w:lang w:val="en-US" w:eastAsia="zh-CN" w:bidi="ar-SA"/>
              </w:rPr>
            </w:pPr>
          </w:p>
          <w:p w14:paraId="75F589DD">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textAlignment w:val="auto"/>
              <w:outlineLvl w:val="9"/>
              <w:rPr>
                <w:rFonts w:hint="default" w:ascii="Times New Roman" w:hAnsi="Times New Roman" w:eastAsia="宋体" w:cs="Times New Roman"/>
                <w:b w:val="0"/>
                <w:bCs w:val="0"/>
                <w:color w:val="000000"/>
                <w:kern w:val="2"/>
                <w:sz w:val="24"/>
                <w:szCs w:val="24"/>
                <w:highlight w:val="none"/>
                <w:lang w:val="en-US" w:eastAsia="zh-CN" w:bidi="ar-SA"/>
              </w:rPr>
            </w:pPr>
          </w:p>
          <w:p w14:paraId="3083BCF1">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textAlignment w:val="auto"/>
              <w:outlineLvl w:val="9"/>
              <w:rPr>
                <w:rFonts w:hint="default" w:ascii="Times New Roman" w:hAnsi="Times New Roman" w:eastAsia="宋体" w:cs="Times New Roman"/>
                <w:b w:val="0"/>
                <w:bCs w:val="0"/>
                <w:color w:val="000000"/>
                <w:kern w:val="2"/>
                <w:sz w:val="24"/>
                <w:szCs w:val="24"/>
                <w:highlight w:val="none"/>
                <w:lang w:val="en-US" w:eastAsia="zh-CN" w:bidi="ar-SA"/>
              </w:rPr>
            </w:pPr>
          </w:p>
          <w:p w14:paraId="517D98CE">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textAlignment w:val="auto"/>
              <w:outlineLvl w:val="9"/>
              <w:rPr>
                <w:rFonts w:hint="default" w:ascii="Times New Roman" w:hAnsi="Times New Roman" w:eastAsia="宋体" w:cs="Times New Roman"/>
                <w:b w:val="0"/>
                <w:bCs w:val="0"/>
                <w:color w:val="000000"/>
                <w:kern w:val="2"/>
                <w:sz w:val="24"/>
                <w:szCs w:val="24"/>
                <w:highlight w:val="none"/>
                <w:lang w:val="en-US" w:eastAsia="zh-CN" w:bidi="ar-SA"/>
              </w:rPr>
            </w:pPr>
          </w:p>
          <w:p w14:paraId="78A6AE92">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textAlignment w:val="auto"/>
              <w:outlineLvl w:val="9"/>
              <w:rPr>
                <w:rFonts w:hint="default" w:ascii="Times New Roman" w:hAnsi="Times New Roman" w:eastAsia="宋体" w:cs="Times New Roman"/>
                <w:b w:val="0"/>
                <w:bCs w:val="0"/>
                <w:color w:val="000000"/>
                <w:kern w:val="2"/>
                <w:sz w:val="24"/>
                <w:szCs w:val="24"/>
                <w:highlight w:val="none"/>
                <w:lang w:val="en-US" w:eastAsia="zh-CN" w:bidi="ar-SA"/>
              </w:rPr>
            </w:pPr>
          </w:p>
          <w:p w14:paraId="1B6FBF78">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textAlignment w:val="auto"/>
              <w:outlineLvl w:val="9"/>
              <w:rPr>
                <w:rFonts w:hint="default" w:ascii="Times New Roman" w:hAnsi="Times New Roman" w:eastAsia="宋体" w:cs="Times New Roman"/>
                <w:b w:val="0"/>
                <w:bCs w:val="0"/>
                <w:color w:val="000000"/>
                <w:kern w:val="2"/>
                <w:sz w:val="24"/>
                <w:szCs w:val="24"/>
                <w:highlight w:val="none"/>
                <w:lang w:val="en-US" w:eastAsia="zh-CN" w:bidi="ar-SA"/>
              </w:rPr>
            </w:pPr>
          </w:p>
          <w:p w14:paraId="310345D3">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废水进入混凝反应池，池内投加PAC（</w:t>
            </w:r>
            <w:r>
              <w:rPr>
                <w:rFonts w:hint="default" w:ascii="Times New Roman" w:hAnsi="Times New Roman" w:cs="Times New Roman"/>
                <w:sz w:val="24"/>
                <w:szCs w:val="24"/>
                <w:lang w:val="en-US" w:eastAsia="zh-CN"/>
              </w:rPr>
              <w:t>1000ppm</w:t>
            </w:r>
            <w:r>
              <w:rPr>
                <w:rFonts w:hint="default" w:ascii="Times New Roman" w:hAnsi="Times New Roman" w:cs="Times New Roman"/>
                <w:sz w:val="24"/>
                <w:szCs w:val="24"/>
                <w:lang w:eastAsia="zh-CN"/>
              </w:rPr>
              <w:t>），使乳状油析放出来变成浮油，而后通过投加絮凝剂使浮油与其它悬浮物结合形成絮体，从而更换有利于分离。污水经混凝反应池后，在絮凝沉淀池内投加PAM（</w:t>
            </w:r>
            <w:r>
              <w:rPr>
                <w:rFonts w:hint="default" w:ascii="Times New Roman" w:hAnsi="Times New Roman" w:cs="Times New Roman"/>
                <w:sz w:val="24"/>
                <w:szCs w:val="24"/>
                <w:lang w:val="en-US" w:eastAsia="zh-CN"/>
              </w:rPr>
              <w:t>100ppm</w:t>
            </w:r>
            <w:r>
              <w:rPr>
                <w:rFonts w:hint="default" w:ascii="Times New Roman" w:hAnsi="Times New Roman" w:cs="Times New Roman"/>
                <w:sz w:val="24"/>
                <w:szCs w:val="24"/>
                <w:lang w:eastAsia="zh-CN"/>
              </w:rPr>
              <w:t>），经过沉淀后进</w:t>
            </w:r>
            <w:r>
              <w:rPr>
                <w:rFonts w:hint="default" w:ascii="Times New Roman" w:hAnsi="Times New Roman" w:cs="Times New Roman"/>
                <w:sz w:val="24"/>
                <w:szCs w:val="24"/>
                <w:lang w:val="en-US" w:eastAsia="zh-CN"/>
              </w:rPr>
              <w:t>入水解酸化池</w:t>
            </w:r>
            <w:r>
              <w:rPr>
                <w:rFonts w:hint="default" w:ascii="Times New Roman" w:hAnsi="Times New Roman" w:cs="Times New Roman"/>
                <w:sz w:val="24"/>
                <w:szCs w:val="24"/>
                <w:lang w:eastAsia="zh-CN"/>
              </w:rPr>
              <w:t>。</w:t>
            </w:r>
          </w:p>
          <w:p w14:paraId="71D34055">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生物接触氧化法是一种介于活性污泥法与生物滤池之间的生物膜法工艺，其特点是在池内设置填料，池底曝气对污水进行充氧，并使池体内污水处于流动状态，以保证污水与污水中的填料充分接触，避免生物接触氧化池中存在污水与填料接触不均的缺陷。其净化废水的基本原理与一般生物膜法相同，以生物膜吸附废水中的有机物，在有氧的条件下，有机物由微生物氧化分解，废水得到净化。</w:t>
            </w:r>
          </w:p>
          <w:p w14:paraId="3CEFC249">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textAlignment w:val="auto"/>
              <w:outlineLvl w:val="9"/>
              <w:rPr>
                <w:rFonts w:hint="default" w:ascii="Times New Roman" w:hAnsi="Times New Roman" w:eastAsia="宋体" w:cs="Times New Roman"/>
                <w:b w:val="0"/>
                <w:bCs w:val="0"/>
                <w:color w:val="000000"/>
                <w:kern w:val="2"/>
                <w:sz w:val="24"/>
                <w:szCs w:val="24"/>
                <w:highlight w:val="none"/>
                <w:lang w:val="en-US" w:eastAsia="zh-CN" w:bidi="ar-SA"/>
              </w:rPr>
            </w:pPr>
            <w:r>
              <w:rPr>
                <w:rFonts w:hint="default" w:ascii="Times New Roman" w:hAnsi="Times New Roman" w:eastAsia="宋体" w:cs="Times New Roman"/>
                <w:sz w:val="24"/>
                <w:szCs w:val="24"/>
                <w:lang w:val="en-US" w:eastAsia="zh-CN"/>
              </w:rPr>
              <w:t>本项目生产废水主要成分为细沙、泥土、标签等杂质，</w:t>
            </w:r>
            <w:r>
              <w:rPr>
                <w:rFonts w:hint="default" w:ascii="Times New Roman" w:hAnsi="Times New Roman" w:eastAsia="宋体" w:cs="Times New Roman"/>
                <w:b w:val="0"/>
                <w:bCs w:val="0"/>
                <w:color w:val="000000"/>
                <w:kern w:val="2"/>
                <w:sz w:val="24"/>
                <w:szCs w:val="24"/>
                <w:highlight w:val="none"/>
                <w:lang w:val="en-US" w:eastAsia="zh-CN" w:bidi="ar-SA"/>
              </w:rPr>
              <w:t>表4.3-1可知，生产废水经过</w:t>
            </w:r>
            <w:r>
              <w:rPr>
                <w:rFonts w:hint="default" w:ascii="Times New Roman" w:hAnsi="Times New Roman" w:cs="Times New Roman"/>
                <w:color w:val="000000"/>
                <w:sz w:val="24"/>
              </w:rPr>
              <w:t>混凝</w:t>
            </w:r>
            <w:r>
              <w:rPr>
                <w:rFonts w:hint="default" w:ascii="Times New Roman" w:hAnsi="Times New Roman" w:cs="Times New Roman"/>
                <w:color w:val="000000"/>
                <w:sz w:val="24"/>
                <w:lang w:val="en-US" w:eastAsia="zh-CN"/>
              </w:rPr>
              <w:t>+</w:t>
            </w:r>
            <w:r>
              <w:rPr>
                <w:rFonts w:hint="default" w:ascii="Times New Roman" w:hAnsi="Times New Roman" w:cs="Times New Roman"/>
                <w:color w:val="000000"/>
                <w:sz w:val="24"/>
                <w:lang w:eastAsia="zh-CN"/>
              </w:rPr>
              <w:t>沉淀</w:t>
            </w:r>
            <w:r>
              <w:rPr>
                <w:rFonts w:hint="default" w:ascii="Times New Roman" w:hAnsi="Times New Roman" w:cs="Times New Roman"/>
                <w:color w:val="000000"/>
                <w:sz w:val="24"/>
                <w:lang w:val="en-US" w:eastAsia="zh-CN"/>
              </w:rPr>
              <w:t>+生物接触氧化</w:t>
            </w:r>
            <w:r>
              <w:rPr>
                <w:rFonts w:hint="default" w:ascii="Times New Roman" w:hAnsi="Times New Roman" w:eastAsia="宋体" w:cs="Times New Roman"/>
                <w:b w:val="0"/>
                <w:bCs w:val="0"/>
                <w:color w:val="000000"/>
                <w:kern w:val="2"/>
                <w:sz w:val="24"/>
                <w:szCs w:val="24"/>
                <w:highlight w:val="none"/>
                <w:lang w:val="en-US" w:eastAsia="zh-CN" w:bidi="ar-SA"/>
              </w:rPr>
              <w:t>处理后，满足</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《城市污水再生利用 工业用水水质》（GB/T19923-2024）</w:t>
            </w:r>
            <w:r>
              <w:rPr>
                <w:rFonts w:hint="default" w:ascii="Times New Roman" w:hAnsi="Times New Roman" w:eastAsia="宋体" w:cs="Times New Roman"/>
                <w:b w:val="0"/>
                <w:bCs w:val="0"/>
                <w:color w:val="000000"/>
                <w:kern w:val="2"/>
                <w:sz w:val="24"/>
                <w:szCs w:val="24"/>
                <w:highlight w:val="none"/>
                <w:lang w:val="en-US" w:eastAsia="zh-CN" w:bidi="ar-SA"/>
              </w:rPr>
              <w:t>中“工艺用水”标准要求和《污水综合排放标准》（GB8978-1996）表4三级标准。</w:t>
            </w:r>
          </w:p>
          <w:p w14:paraId="6CDF90EC">
            <w:pPr>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Chars="0" w:firstLine="480" w:firstLineChars="200"/>
              <w:textAlignment w:val="auto"/>
              <w:outlineLvl w:val="9"/>
              <w:rPr>
                <w:rFonts w:hint="default" w:ascii="Times New Roman" w:hAnsi="Times New Roman" w:eastAsia="宋体" w:cs="Times New Roman"/>
                <w:b w:val="0"/>
                <w:bCs w:val="0"/>
                <w:color w:val="000000"/>
                <w:kern w:val="2"/>
                <w:sz w:val="24"/>
                <w:szCs w:val="24"/>
                <w:highlight w:val="none"/>
                <w:lang w:val="en-US" w:eastAsia="zh-CN" w:bidi="ar-SA"/>
              </w:rPr>
            </w:pPr>
            <w:r>
              <w:rPr>
                <w:rFonts w:hint="default" w:ascii="Times New Roman" w:hAnsi="Times New Roman" w:eastAsia="宋体" w:cs="Times New Roman"/>
                <w:b w:val="0"/>
                <w:bCs w:val="0"/>
                <w:color w:val="000000"/>
                <w:kern w:val="2"/>
                <w:sz w:val="24"/>
                <w:szCs w:val="24"/>
                <w:highlight w:val="none"/>
                <w:lang w:val="en-US" w:eastAsia="zh-CN" w:bidi="ar-SA"/>
              </w:rPr>
              <w:t>根据《排污许可证申请与核发技术规范-废弃资源加工工业》（HJ1034-2019）附表 A.2 废弃资源加工工业排污单位废水污染防治可行技术参考表中废塑料综合废水处理可行性技术中预处理：沉淀，气浮，混凝，调节；生化处理：活性污泥法，序批式活性污泥法(SBR)，缺氧/好氧法(A/O)，厌氧/缺氧/好氧法(A</w:t>
            </w:r>
            <w:r>
              <w:rPr>
                <w:rFonts w:hint="default" w:ascii="Times New Roman" w:hAnsi="Times New Roman" w:eastAsia="宋体" w:cs="Times New Roman"/>
                <w:b w:val="0"/>
                <w:bCs w:val="0"/>
                <w:color w:val="000000"/>
                <w:kern w:val="2"/>
                <w:sz w:val="24"/>
                <w:szCs w:val="24"/>
                <w:highlight w:val="none"/>
                <w:vertAlign w:val="superscript"/>
                <w:lang w:val="en-US" w:eastAsia="zh-CN" w:bidi="ar-SA"/>
              </w:rPr>
              <w:t>2</w:t>
            </w:r>
            <w:r>
              <w:rPr>
                <w:rFonts w:hint="default" w:ascii="Times New Roman" w:hAnsi="Times New Roman" w:eastAsia="宋体" w:cs="Times New Roman"/>
                <w:b w:val="0"/>
                <w:bCs w:val="0"/>
                <w:color w:val="000000"/>
                <w:kern w:val="2"/>
                <w:sz w:val="24"/>
                <w:szCs w:val="24"/>
                <w:highlight w:val="none"/>
                <w:lang w:val="en-US" w:eastAsia="zh-CN" w:bidi="ar-SA"/>
              </w:rPr>
              <w:t>/O)，膜生物法(MBR)，曝气生物滤池(BAF)，生物接触氧化法，周期循环活性污泥法(CASS)。本项目使用</w:t>
            </w:r>
            <w:r>
              <w:rPr>
                <w:rFonts w:hint="default" w:ascii="Times New Roman" w:hAnsi="Times New Roman" w:cs="Times New Roman"/>
                <w:color w:val="000000"/>
                <w:sz w:val="24"/>
              </w:rPr>
              <w:t>混凝</w:t>
            </w:r>
            <w:r>
              <w:rPr>
                <w:rFonts w:hint="default" w:ascii="Times New Roman" w:hAnsi="Times New Roman" w:cs="Times New Roman"/>
                <w:color w:val="000000"/>
                <w:sz w:val="24"/>
                <w:lang w:val="en-US" w:eastAsia="zh-CN"/>
              </w:rPr>
              <w:t>+</w:t>
            </w:r>
            <w:r>
              <w:rPr>
                <w:rFonts w:hint="default" w:ascii="Times New Roman" w:hAnsi="Times New Roman" w:cs="Times New Roman"/>
                <w:color w:val="000000"/>
                <w:sz w:val="24"/>
                <w:lang w:eastAsia="zh-CN"/>
              </w:rPr>
              <w:t>沉淀</w:t>
            </w:r>
            <w:r>
              <w:rPr>
                <w:rFonts w:hint="default" w:ascii="Times New Roman" w:hAnsi="Times New Roman" w:cs="Times New Roman"/>
                <w:color w:val="000000"/>
                <w:sz w:val="24"/>
                <w:lang w:val="en-US" w:eastAsia="zh-CN"/>
              </w:rPr>
              <w:t>+生物接触氧化</w:t>
            </w:r>
            <w:r>
              <w:rPr>
                <w:rFonts w:hint="default" w:ascii="Times New Roman" w:hAnsi="Times New Roman" w:eastAsia="宋体" w:cs="Times New Roman"/>
                <w:b w:val="0"/>
                <w:bCs w:val="0"/>
                <w:color w:val="000000"/>
                <w:kern w:val="2"/>
                <w:sz w:val="24"/>
                <w:szCs w:val="24"/>
                <w:highlight w:val="none"/>
                <w:lang w:val="en-US" w:eastAsia="zh-CN" w:bidi="ar-SA"/>
              </w:rPr>
              <w:t>的废水处理技术是可行的。</w:t>
            </w:r>
          </w:p>
          <w:p w14:paraId="48C9CF28">
            <w:pPr>
              <w:pStyle w:val="81"/>
              <w:ind w:firstLine="0" w:firstLineChars="0"/>
              <w:jc w:val="left"/>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4.</w:t>
            </w:r>
            <w:r>
              <w:rPr>
                <w:rFonts w:hint="default" w:ascii="Times New Roman" w:hAnsi="Times New Roman" w:cs="Times New Roman"/>
                <w:b/>
                <w:bCs/>
                <w:color w:val="000000" w:themeColor="text1"/>
                <w:lang w:val="en-US" w:eastAsia="zh-CN"/>
                <w14:textFill>
                  <w14:solidFill>
                    <w14:schemeClr w14:val="tx1"/>
                  </w14:solidFill>
                </w14:textFill>
              </w:rPr>
              <w:t>3</w:t>
            </w:r>
            <w:r>
              <w:rPr>
                <w:rFonts w:hint="default" w:ascii="Times New Roman" w:hAnsi="Times New Roman" w:cs="Times New Roman"/>
                <w:b/>
                <w:bCs/>
                <w:color w:val="000000" w:themeColor="text1"/>
                <w14:textFill>
                  <w14:solidFill>
                    <w14:schemeClr w14:val="tx1"/>
                  </w14:solidFill>
                </w14:textFill>
              </w:rPr>
              <w:t>.2.</w:t>
            </w:r>
            <w:r>
              <w:rPr>
                <w:rFonts w:hint="default" w:ascii="Times New Roman" w:hAnsi="Times New Roman" w:cs="Times New Roman"/>
                <w:b/>
                <w:bCs/>
                <w:color w:val="000000" w:themeColor="text1"/>
                <w:lang w:val="en-US" w:eastAsia="zh-CN"/>
                <w14:textFill>
                  <w14:solidFill>
                    <w14:schemeClr w14:val="tx1"/>
                  </w14:solidFill>
                </w14:textFill>
              </w:rPr>
              <w:t>2</w:t>
            </w:r>
            <w:r>
              <w:rPr>
                <w:rFonts w:hint="default" w:ascii="Times New Roman" w:hAnsi="Times New Roman" w:cs="Times New Roman"/>
                <w:b/>
                <w:bCs/>
                <w:color w:val="000000" w:themeColor="text1"/>
                <w14:textFill>
                  <w14:solidFill>
                    <w14:schemeClr w14:val="tx1"/>
                  </w14:solidFill>
                </w14:textFill>
              </w:rPr>
              <w:t xml:space="preserve"> 污水处理厂基本情况</w:t>
            </w:r>
          </w:p>
          <w:p w14:paraId="1885F64D">
            <w:pPr>
              <w:pStyle w:val="81"/>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江镜华侨农场污水处理厂基本情况</w:t>
            </w:r>
          </w:p>
          <w:p w14:paraId="53B4CF93">
            <w:pPr>
              <w:pStyle w:val="81"/>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①设计进出水水质</w:t>
            </w:r>
          </w:p>
          <w:p w14:paraId="09370B5D">
            <w:pPr>
              <w:bidi w:val="0"/>
              <w:spacing w:line="360" w:lineRule="auto"/>
              <w:ind w:firstLine="480" w:firstLineChars="200"/>
              <w:rPr>
                <w:rFonts w:hint="default" w:ascii="Times New Roman" w:hAnsi="Times New Roman" w:eastAsia="宋体" w:cs="Times New Roman"/>
                <w:color w:val="000000" w:themeColor="text1"/>
                <w:sz w:val="24"/>
                <w:szCs w:val="22"/>
                <w:highlight w:val="none"/>
                <w14:textFill>
                  <w14:solidFill>
                    <w14:schemeClr w14:val="tx1"/>
                  </w14:solidFill>
                </w14:textFill>
              </w:rPr>
            </w:pPr>
            <w:r>
              <w:rPr>
                <w:rFonts w:hint="default" w:ascii="Times New Roman" w:hAnsi="Times New Roman" w:eastAsia="宋体" w:cs="Times New Roman"/>
                <w:color w:val="000000" w:themeColor="text1"/>
                <w:sz w:val="24"/>
                <w:szCs w:val="22"/>
                <w:highlight w:val="none"/>
                <w14:textFill>
                  <w14:solidFill>
                    <w14:schemeClr w14:val="tx1"/>
                  </w14:solidFill>
                </w14:textFill>
              </w:rPr>
              <w:t>根据《江镜华侨农场污水处理厂一期（一组）工程建设项目环境影响评价报告书》可知，</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江镜华侨农场污水处理厂</w:t>
            </w:r>
            <w:r>
              <w:rPr>
                <w:rFonts w:hint="default" w:ascii="Times New Roman" w:hAnsi="Times New Roman" w:eastAsia="宋体" w:cs="Times New Roman"/>
                <w:color w:val="000000" w:themeColor="text1"/>
                <w:sz w:val="24"/>
                <w:szCs w:val="22"/>
                <w:highlight w:val="none"/>
                <w14:textFill>
                  <w14:solidFill>
                    <w14:schemeClr w14:val="tx1"/>
                  </w14:solidFill>
                </w14:textFill>
              </w:rPr>
              <w:t>进出水水质见表</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4.3-2</w:t>
            </w:r>
            <w:r>
              <w:rPr>
                <w:rFonts w:hint="default" w:ascii="Times New Roman" w:hAnsi="Times New Roman" w:eastAsia="宋体" w:cs="Times New Roman"/>
                <w:color w:val="000000" w:themeColor="text1"/>
                <w:sz w:val="24"/>
                <w:szCs w:val="22"/>
                <w:highlight w:val="none"/>
                <w14:textFill>
                  <w14:solidFill>
                    <w14:schemeClr w14:val="tx1"/>
                  </w14:solidFill>
                </w14:textFill>
              </w:rPr>
              <w:t>。</w:t>
            </w:r>
          </w:p>
          <w:p w14:paraId="2B8249EB">
            <w:pPr>
              <w:pStyle w:val="6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黑体" w:cs="Times New Roman"/>
                <w:b w:val="0"/>
                <w:bCs w:val="0"/>
                <w:color w:val="000000" w:themeColor="text1"/>
                <w:kern w:val="2"/>
                <w:sz w:val="24"/>
                <w:szCs w:val="28"/>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2"/>
                <w:sz w:val="24"/>
                <w:szCs w:val="28"/>
                <w:highlight w:val="none"/>
                <w:lang w:val="en-US" w:eastAsia="zh-CN" w:bidi="ar-SA"/>
                <w14:textFill>
                  <w14:solidFill>
                    <w14:schemeClr w14:val="tx1"/>
                  </w14:solidFill>
                </w14:textFill>
              </w:rPr>
              <w:t>表4.3-2 污水处理厂进出水水质标准(mg/L  pH除外)</w:t>
            </w:r>
          </w:p>
          <w:tbl>
            <w:tblPr>
              <w:tblStyle w:val="9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95"/>
              <w:gridCol w:w="1334"/>
              <w:gridCol w:w="1085"/>
              <w:gridCol w:w="982"/>
              <w:gridCol w:w="1047"/>
              <w:gridCol w:w="968"/>
              <w:gridCol w:w="969"/>
              <w:gridCol w:w="866"/>
            </w:tblGrid>
            <w:tr w14:paraId="02E6B8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6" w:type="pct"/>
                  <w:noWrap w:val="0"/>
                  <w:vAlign w:val="center"/>
                </w:tcPr>
                <w:p w14:paraId="7255F698">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水质指标</w:t>
                  </w:r>
                </w:p>
              </w:tc>
              <w:tc>
                <w:tcPr>
                  <w:tcW w:w="799" w:type="pct"/>
                  <w:noWrap w:val="0"/>
                  <w:vAlign w:val="center"/>
                </w:tcPr>
                <w:p w14:paraId="2919799D">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pH</w:t>
                  </w:r>
                </w:p>
              </w:tc>
              <w:tc>
                <w:tcPr>
                  <w:tcW w:w="650" w:type="pct"/>
                  <w:noWrap w:val="0"/>
                  <w:vAlign w:val="center"/>
                </w:tcPr>
                <w:p w14:paraId="701529E0">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COD</w:t>
                  </w:r>
                </w:p>
              </w:tc>
              <w:tc>
                <w:tcPr>
                  <w:tcW w:w="588" w:type="pct"/>
                  <w:noWrap w:val="0"/>
                  <w:vAlign w:val="center"/>
                </w:tcPr>
                <w:p w14:paraId="5BB1B68A">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BOD</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5</w:t>
                  </w:r>
                </w:p>
              </w:tc>
              <w:tc>
                <w:tcPr>
                  <w:tcW w:w="627" w:type="pct"/>
                  <w:noWrap w:val="0"/>
                  <w:vAlign w:val="center"/>
                </w:tcPr>
                <w:p w14:paraId="3744595F">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SS</w:t>
                  </w:r>
                </w:p>
              </w:tc>
              <w:tc>
                <w:tcPr>
                  <w:tcW w:w="580" w:type="pct"/>
                  <w:noWrap w:val="0"/>
                  <w:vAlign w:val="center"/>
                </w:tcPr>
                <w:p w14:paraId="3945E1EA">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NH</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-N</w:t>
                  </w:r>
                </w:p>
              </w:tc>
              <w:tc>
                <w:tcPr>
                  <w:tcW w:w="580" w:type="pct"/>
                  <w:noWrap w:val="0"/>
                  <w:vAlign w:val="center"/>
                </w:tcPr>
                <w:p w14:paraId="723A875F">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TN</w:t>
                  </w:r>
                </w:p>
              </w:tc>
              <w:tc>
                <w:tcPr>
                  <w:tcW w:w="518" w:type="pct"/>
                  <w:noWrap w:val="0"/>
                  <w:vAlign w:val="center"/>
                </w:tcPr>
                <w:p w14:paraId="74BCFD13">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TP</w:t>
                  </w:r>
                </w:p>
              </w:tc>
            </w:tr>
            <w:tr w14:paraId="6B8DB8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6" w:type="pct"/>
                  <w:noWrap w:val="0"/>
                  <w:vAlign w:val="center"/>
                </w:tcPr>
                <w:p w14:paraId="0E33F94E">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进水水质</w:t>
                  </w:r>
                </w:p>
              </w:tc>
              <w:tc>
                <w:tcPr>
                  <w:tcW w:w="799" w:type="pct"/>
                  <w:noWrap w:val="0"/>
                  <w:vAlign w:val="center"/>
                </w:tcPr>
                <w:p w14:paraId="442E9928">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6~9(无量纲)</w:t>
                  </w:r>
                </w:p>
              </w:tc>
              <w:tc>
                <w:tcPr>
                  <w:tcW w:w="650" w:type="pct"/>
                  <w:noWrap w:val="0"/>
                  <w:vAlign w:val="center"/>
                </w:tcPr>
                <w:p w14:paraId="4EA1942E">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≤400</w:t>
                  </w:r>
                </w:p>
              </w:tc>
              <w:tc>
                <w:tcPr>
                  <w:tcW w:w="588" w:type="pct"/>
                  <w:noWrap w:val="0"/>
                  <w:vAlign w:val="center"/>
                </w:tcPr>
                <w:p w14:paraId="52386993">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≤180</w:t>
                  </w:r>
                </w:p>
              </w:tc>
              <w:tc>
                <w:tcPr>
                  <w:tcW w:w="627" w:type="pct"/>
                  <w:noWrap w:val="0"/>
                  <w:vAlign w:val="center"/>
                </w:tcPr>
                <w:p w14:paraId="40404B8B">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≤300</w:t>
                  </w:r>
                </w:p>
              </w:tc>
              <w:tc>
                <w:tcPr>
                  <w:tcW w:w="580" w:type="pct"/>
                  <w:noWrap w:val="0"/>
                  <w:vAlign w:val="center"/>
                </w:tcPr>
                <w:p w14:paraId="1F2497C8">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≤35</w:t>
                  </w:r>
                </w:p>
              </w:tc>
              <w:tc>
                <w:tcPr>
                  <w:tcW w:w="580" w:type="pct"/>
                  <w:noWrap w:val="0"/>
                  <w:vAlign w:val="center"/>
                </w:tcPr>
                <w:p w14:paraId="05B50797">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≤45</w:t>
                  </w:r>
                </w:p>
              </w:tc>
              <w:tc>
                <w:tcPr>
                  <w:tcW w:w="518" w:type="pct"/>
                  <w:noWrap w:val="0"/>
                  <w:vAlign w:val="center"/>
                </w:tcPr>
                <w:p w14:paraId="2587C3AC">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w:t>
                  </w:r>
                </w:p>
              </w:tc>
            </w:tr>
            <w:tr w14:paraId="742286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6" w:type="pct"/>
                  <w:noWrap w:val="0"/>
                  <w:vAlign w:val="center"/>
                </w:tcPr>
                <w:p w14:paraId="232AC864">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出水标准</w:t>
                  </w:r>
                </w:p>
              </w:tc>
              <w:tc>
                <w:tcPr>
                  <w:tcW w:w="799" w:type="pct"/>
                  <w:noWrap w:val="0"/>
                  <w:vAlign w:val="center"/>
                </w:tcPr>
                <w:p w14:paraId="55BB8C7C">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6~9(无量纲)</w:t>
                  </w:r>
                </w:p>
              </w:tc>
              <w:tc>
                <w:tcPr>
                  <w:tcW w:w="650" w:type="pct"/>
                  <w:noWrap w:val="0"/>
                  <w:vAlign w:val="center"/>
                </w:tcPr>
                <w:p w14:paraId="1D329ADF">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≤50</w:t>
                  </w:r>
                </w:p>
              </w:tc>
              <w:tc>
                <w:tcPr>
                  <w:tcW w:w="588" w:type="pct"/>
                  <w:noWrap w:val="0"/>
                  <w:vAlign w:val="center"/>
                </w:tcPr>
                <w:p w14:paraId="657147E9">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c>
                <w:tcPr>
                  <w:tcW w:w="627" w:type="pct"/>
                  <w:noWrap w:val="0"/>
                  <w:vAlign w:val="center"/>
                </w:tcPr>
                <w:p w14:paraId="3E24F789">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c>
                <w:tcPr>
                  <w:tcW w:w="580" w:type="pct"/>
                  <w:noWrap w:val="0"/>
                  <w:vAlign w:val="center"/>
                </w:tcPr>
                <w:p w14:paraId="63F41805">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w:t>
                  </w:r>
                </w:p>
              </w:tc>
              <w:tc>
                <w:tcPr>
                  <w:tcW w:w="580" w:type="pct"/>
                  <w:noWrap w:val="0"/>
                  <w:vAlign w:val="center"/>
                </w:tcPr>
                <w:p w14:paraId="05C51E59">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≤15</w:t>
                  </w:r>
                </w:p>
              </w:tc>
              <w:tc>
                <w:tcPr>
                  <w:tcW w:w="518" w:type="pct"/>
                  <w:noWrap w:val="0"/>
                  <w:vAlign w:val="center"/>
                </w:tcPr>
                <w:p w14:paraId="1F9829B3">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≤0.5</w:t>
                  </w:r>
                </w:p>
              </w:tc>
            </w:tr>
          </w:tbl>
          <w:p w14:paraId="3364FD1A">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color w:val="000000" w:themeColor="text1"/>
                <w:sz w:val="24"/>
                <w:szCs w:val="22"/>
                <w:highlight w:val="none"/>
                <w14:textFill>
                  <w14:solidFill>
                    <w14:schemeClr w14:val="tx1"/>
                  </w14:solidFill>
                </w14:textFill>
              </w:rPr>
            </w:pP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②</w:t>
            </w:r>
            <w:r>
              <w:rPr>
                <w:rFonts w:hint="default" w:ascii="Times New Roman" w:hAnsi="Times New Roman" w:eastAsia="宋体" w:cs="Times New Roman"/>
                <w:color w:val="000000" w:themeColor="text1"/>
                <w:sz w:val="24"/>
                <w:szCs w:val="22"/>
                <w:highlight w:val="none"/>
                <w14:textFill>
                  <w14:solidFill>
                    <w14:schemeClr w14:val="tx1"/>
                  </w14:solidFill>
                </w14:textFill>
              </w:rPr>
              <w:t>处理工艺</w:t>
            </w:r>
          </w:p>
          <w:p w14:paraId="50047FBA">
            <w:pPr>
              <w:spacing w:line="360" w:lineRule="auto"/>
              <w:ind w:firstLine="480" w:firstLineChars="200"/>
              <w:rPr>
                <w:rFonts w:hint="default" w:ascii="Times New Roman" w:hAnsi="Times New Roman" w:eastAsia="宋体" w:cs="Times New Roman"/>
                <w:color w:val="000000" w:themeColor="text1"/>
                <w:sz w:val="24"/>
                <w:szCs w:val="22"/>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污水处理工艺流程详见图</w:t>
            </w:r>
            <w:r>
              <w:rPr>
                <w:rFonts w:hint="default" w:ascii="Times New Roman" w:hAnsi="Times New Roman" w:cs="Times New Roman"/>
                <w:color w:val="000000" w:themeColor="text1"/>
                <w:sz w:val="24"/>
                <w:highlight w:val="none"/>
                <w:lang w:val="en-US" w:eastAsia="zh-CN"/>
                <w14:textFill>
                  <w14:solidFill>
                    <w14:schemeClr w14:val="tx1"/>
                  </w14:solidFill>
                </w14:textFill>
              </w:rPr>
              <w:t>4.2-1</w:t>
            </w:r>
            <w:r>
              <w:rPr>
                <w:rFonts w:hint="default" w:ascii="Times New Roman" w:hAnsi="Times New Roman" w:eastAsia="宋体" w:cs="Times New Roman"/>
                <w:color w:val="000000" w:themeColor="text1"/>
                <w:sz w:val="24"/>
                <w:szCs w:val="22"/>
                <w:highlight w:val="none"/>
                <w14:textFill>
                  <w14:solidFill>
                    <w14:schemeClr w14:val="tx1"/>
                  </w14:solidFill>
                </w14:textFill>
              </w:rPr>
              <w:t>。</w:t>
            </w:r>
          </w:p>
          <w:p w14:paraId="501808B1">
            <w:pPr>
              <w:pStyle w:val="2"/>
              <w:outlineLvl w:val="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g">
                  <w:drawing>
                    <wp:inline distT="0" distB="0" distL="114300" distR="114300">
                      <wp:extent cx="5033010" cy="2715895"/>
                      <wp:effectExtent l="0" t="0" r="15240" b="0"/>
                      <wp:docPr id="168" name="组合 168"/>
                      <wp:cNvGraphicFramePr/>
                      <a:graphic xmlns:a="http://schemas.openxmlformats.org/drawingml/2006/main">
                        <a:graphicData uri="http://schemas.microsoft.com/office/word/2010/wordprocessingGroup">
                          <wpg:wgp>
                            <wpg:cNvGrpSpPr/>
                            <wpg:grpSpPr>
                              <a:xfrm>
                                <a:off x="0" y="0"/>
                                <a:ext cx="5033010" cy="2715895"/>
                                <a:chOff x="3153" y="598842"/>
                                <a:chExt cx="8170" cy="4712"/>
                              </a:xfrm>
                            </wpg:grpSpPr>
                            <wps:wsp>
                              <wps:cNvPr id="158" name="文本框 158"/>
                              <wps:cNvSpPr txBox="1"/>
                              <wps:spPr>
                                <a:xfrm>
                                  <a:off x="4452" y="603068"/>
                                  <a:ext cx="5538" cy="487"/>
                                </a:xfrm>
                                <a:prstGeom prst="rect">
                                  <a:avLst/>
                                </a:prstGeom>
                                <a:noFill/>
                                <a:ln w="15875">
                                  <a:noFill/>
                                </a:ln>
                              </wps:spPr>
                              <wps:txbx>
                                <w:txbxContent>
                                  <w:p w14:paraId="62F58F19">
                                    <w:pPr>
                                      <w:jc w:val="center"/>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图</w:t>
                                    </w:r>
                                    <w:r>
                                      <w:rPr>
                                        <w:rFonts w:hint="eastAsia" w:ascii="Times New Roman" w:hAnsi="Times New Roman" w:eastAsia="黑体" w:cs="Times New Roman"/>
                                        <w:sz w:val="24"/>
                                        <w:szCs w:val="24"/>
                                        <w:lang w:val="en-US" w:eastAsia="zh-CN"/>
                                      </w:rPr>
                                      <w:t xml:space="preserve">4.2-1 </w:t>
                                    </w:r>
                                    <w:r>
                                      <w:rPr>
                                        <w:rFonts w:hint="default" w:ascii="Times New Roman" w:hAnsi="Times New Roman" w:eastAsia="黑体" w:cs="Times New Roman"/>
                                        <w:sz w:val="24"/>
                                        <w:szCs w:val="24"/>
                                      </w:rPr>
                                      <w:t>污水处理厂处理工艺流程图</w:t>
                                    </w:r>
                                  </w:p>
                                </w:txbxContent>
                              </wps:txbx>
                              <wps:bodyPr upright="1"/>
                            </wps:wsp>
                            <pic:pic xmlns:pic="http://schemas.openxmlformats.org/drawingml/2006/picture">
                              <pic:nvPicPr>
                                <pic:cNvPr id="159" name="图片 19"/>
                                <pic:cNvPicPr/>
                              </pic:nvPicPr>
                              <pic:blipFill>
                                <a:blip r:embed="rId19"/>
                                <a:stretch>
                                  <a:fillRect/>
                                </a:stretch>
                              </pic:blipFill>
                              <pic:spPr>
                                <a:xfrm>
                                  <a:off x="3153" y="598842"/>
                                  <a:ext cx="8171" cy="4105"/>
                                </a:xfrm>
                                <a:prstGeom prst="rect">
                                  <a:avLst/>
                                </a:prstGeom>
                                <a:noFill/>
                                <a:ln>
                                  <a:noFill/>
                                </a:ln>
                              </pic:spPr>
                            </pic:pic>
                          </wpg:wgp>
                        </a:graphicData>
                      </a:graphic>
                    </wp:inline>
                  </w:drawing>
                </mc:Choice>
                <mc:Fallback>
                  <w:pict>
                    <v:group id="_x0000_s1026" o:spid="_x0000_s1026" o:spt="203" style="height:213.85pt;width:396.3pt;" coordorigin="3153,598842" coordsize="8170,4712" o:gfxdata="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">
                      <o:lock v:ext="edit" aspectratio="f"/>
                      <v:shape id="_x0000_s1026" o:spid="_x0000_s1026" o:spt="202" type="#_x0000_t202" style="position:absolute;left:4452;top:603068;height:487;width:5538;" filled="f" stroked="f" coordsize="21600,21600" o:gfxdata="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ou&#10;93nCAAAA3AAAAA8AAAAAAAAAAQAgAAAAIgAAAGRycy9kb3ducmV2LnhtbFBLAQIUABQAAAAIAIdO&#10;4kAzLwWeOwAAADkAAAAQAAAAAAAAAAEAIAAAABEBAABkcnMvc2hhcGV4bWwueG1sUEsFBgAAAAAG&#10;AAYAWwEAALsDAAAAAA==&#10;">
                        <v:fill on="f" focussize="0,0"/>
                        <v:stroke on="f" weight="1.25pt"/>
                        <v:imagedata o:title=""/>
                        <o:lock v:ext="edit" aspectratio="f"/>
                        <v:textbox>
                          <w:txbxContent>
                            <w:p w14:paraId="62F58F19">
                              <w:pPr>
                                <w:jc w:val="center"/>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图</w:t>
                              </w:r>
                              <w:r>
                                <w:rPr>
                                  <w:rFonts w:hint="eastAsia" w:ascii="Times New Roman" w:hAnsi="Times New Roman" w:eastAsia="黑体" w:cs="Times New Roman"/>
                                  <w:sz w:val="24"/>
                                  <w:szCs w:val="24"/>
                                  <w:lang w:val="en-US" w:eastAsia="zh-CN"/>
                                </w:rPr>
                                <w:t xml:space="preserve">4.2-1 </w:t>
                              </w:r>
                              <w:r>
                                <w:rPr>
                                  <w:rFonts w:hint="default" w:ascii="Times New Roman" w:hAnsi="Times New Roman" w:eastAsia="黑体" w:cs="Times New Roman"/>
                                  <w:sz w:val="24"/>
                                  <w:szCs w:val="24"/>
                                </w:rPr>
                                <w:t>污水处理厂处理工艺流程图</w:t>
                              </w:r>
                            </w:p>
                          </w:txbxContent>
                        </v:textbox>
                      </v:shape>
                      <v:shape id="图片 19" o:spid="_x0000_s1026" o:spt="75" type="#_x0000_t75" style="position:absolute;left:3153;top:598842;height:4105;width:8171;" filled="f" o:preferrelative="t" stroked="f" coordsize="21600,21600" o:gfxdata="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CRIvQAA&#10;ANwAAAAPAAAAAAAAAAEAIAAAACIAAABkcnMvZG93bnJldi54bWxQSwECFAAUAAAACACHTuJAMy8F&#10;njsAAAA5AAAAEAAAAAAAAAABACAAAAAMAQAAZHJzL3NoYXBleG1sLnhtbFBLBQYAAAAABgAGAFsB&#10;AAC2AwAAAAA=&#10;">
                        <v:fill on="f" focussize="0,0"/>
                        <v:stroke on="f"/>
                        <v:imagedata r:id="rId19" o:title=""/>
                        <o:lock v:ext="edit" aspectratio="f"/>
                      </v:shape>
                      <w10:wrap type="none"/>
                      <w10:anchorlock/>
                    </v:group>
                  </w:pict>
                </mc:Fallback>
              </mc:AlternateContent>
            </w:r>
          </w:p>
          <w:p w14:paraId="77145776">
            <w:pPr>
              <w:pStyle w:val="7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000000" w:themeColor="text1"/>
                <w:highlight w:val="none"/>
                <w:lang w:val="en-US" w:eastAsia="zh-CN" w:bidi="he-IL"/>
                <w14:textFill>
                  <w14:solidFill>
                    <w14:schemeClr w14:val="tx1"/>
                  </w14:solidFill>
                </w14:textFill>
              </w:rPr>
            </w:pPr>
            <w:r>
              <w:rPr>
                <w:rFonts w:hint="default" w:ascii="Times New Roman" w:hAnsi="Times New Roman" w:cs="Times New Roman"/>
                <w:color w:val="000000" w:themeColor="text1"/>
                <w:highlight w:val="none"/>
                <w:lang w:val="en-US" w:eastAsia="zh-CN" w:bidi="he-IL"/>
                <w14:textFill>
                  <w14:solidFill>
                    <w14:schemeClr w14:val="tx1"/>
                  </w14:solidFill>
                </w14:textFill>
              </w:rPr>
              <w:t>(2)依托可行性分析</w:t>
            </w:r>
          </w:p>
          <w:p w14:paraId="39E49BEC">
            <w:pPr>
              <w:pStyle w:val="72"/>
              <w:keepNext w:val="0"/>
              <w:keepLines w:val="0"/>
              <w:pageBreakBefore w:val="0"/>
              <w:widowControl w:val="0"/>
              <w:kinsoku/>
              <w:wordWrap/>
              <w:overflowPunct/>
              <w:topLinePunct w:val="0"/>
              <w:autoSpaceDE/>
              <w:autoSpaceDN/>
              <w:bidi w:val="0"/>
              <w:adjustRightInd w:val="0"/>
              <w:snapToGrid/>
              <w:textAlignment w:val="auto"/>
              <w:rPr>
                <w:rFonts w:hint="default" w:ascii="Times New Roman" w:hAnsi="Times New Roman" w:cs="Times New Roman"/>
                <w:color w:val="000000" w:themeColor="text1"/>
                <w:highlight w:val="none"/>
                <w:lang w:val="en-US" w:eastAsia="zh-CN" w:bidi="he-IL"/>
                <w14:textFill>
                  <w14:solidFill>
                    <w14:schemeClr w14:val="tx1"/>
                  </w14:solidFill>
                </w14:textFill>
              </w:rPr>
            </w:pPr>
            <w:r>
              <w:rPr>
                <w:rFonts w:hint="default" w:ascii="Times New Roman" w:hAnsi="Times New Roman" w:cs="Times New Roman"/>
                <w:b w:val="0"/>
                <w:bCs w:val="0"/>
                <w:color w:val="000000" w:themeColor="text1"/>
                <w:highlight w:val="none"/>
                <w:lang w:eastAsia="zh-CN" w:bidi="he-IL"/>
                <w14:textFill>
                  <w14:solidFill>
                    <w14:schemeClr w14:val="tx1"/>
                  </w14:solidFill>
                </w14:textFill>
              </w:rPr>
              <w:t>①接管可行性</w:t>
            </w:r>
          </w:p>
          <w:p w14:paraId="6D3D8EAA">
            <w:pPr>
              <w:pStyle w:val="81"/>
              <w:keepNext w:val="0"/>
              <w:keepLines w:val="0"/>
              <w:pageBreakBefore w:val="0"/>
              <w:widowControl w:val="0"/>
              <w:kinsoku/>
              <w:wordWrap/>
              <w:overflowPunct/>
              <w:topLinePunct w:val="0"/>
              <w:autoSpaceDE/>
              <w:autoSpaceDN/>
              <w:bidi w:val="0"/>
              <w:adjustRightInd w:val="0"/>
              <w:snapToGrid/>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shd w:val="clear" w:color="auto" w:fill="FFFFFF"/>
                <w:lang w:eastAsia="zh-CN"/>
                <w14:textFill>
                  <w14:solidFill>
                    <w14:schemeClr w14:val="tx1"/>
                  </w14:solidFill>
                </w14:textFill>
              </w:rPr>
              <w:t>污水处理厂</w:t>
            </w:r>
            <w:r>
              <w:rPr>
                <w:rFonts w:hint="default" w:ascii="Times New Roman" w:hAnsi="Times New Roman" w:cs="Times New Roman"/>
                <w:color w:val="000000" w:themeColor="text1"/>
                <w:shd w:val="clear" w:color="auto" w:fill="FFFFFF"/>
                <w14:textFill>
                  <w14:solidFill>
                    <w14:schemeClr w14:val="tx1"/>
                  </w14:solidFill>
                </w14:textFill>
              </w:rPr>
              <w:t>位于丰华湖东侧，滨海大道北侧交界处，近期占地面积约为66亩，远期总占地面积约277.95亩，主要服务范围为蓝色经济产业园总体规划范围，尾水排入</w:t>
            </w:r>
            <w:r>
              <w:rPr>
                <w:rFonts w:hint="default" w:ascii="Times New Roman" w:hAnsi="Times New Roman" w:cs="Times New Roman"/>
                <w:color w:val="000000" w:themeColor="text1"/>
                <w:shd w:val="clear" w:color="auto" w:fill="FFFFFF"/>
                <w:lang w:eastAsia="zh-CN"/>
                <w14:textFill>
                  <w14:solidFill>
                    <w14:schemeClr w14:val="tx1"/>
                  </w14:solidFill>
                </w14:textFill>
              </w:rPr>
              <w:t>污水处理厂</w:t>
            </w:r>
            <w:r>
              <w:rPr>
                <w:rFonts w:hint="default" w:ascii="Times New Roman" w:hAnsi="Times New Roman" w:cs="Times New Roman"/>
                <w:color w:val="000000" w:themeColor="text1"/>
                <w:shd w:val="clear" w:color="auto" w:fill="FFFFFF"/>
                <w14:textFill>
                  <w14:solidFill>
                    <w14:schemeClr w14:val="tx1"/>
                  </w14:solidFill>
                </w14:textFill>
              </w:rPr>
              <w:t>西侧现状河道。根据园区污水工程规划图，</w:t>
            </w:r>
            <w:r>
              <w:rPr>
                <w:rFonts w:hint="default" w:ascii="Times New Roman" w:hAnsi="Times New Roman" w:cs="Times New Roman"/>
                <w:color w:val="000000" w:themeColor="text1"/>
                <w:shd w:val="clear" w:color="auto" w:fill="FFFFFF"/>
                <w:lang w:eastAsia="zh-CN"/>
                <w14:textFill>
                  <w14:solidFill>
                    <w14:schemeClr w14:val="tx1"/>
                  </w14:solidFill>
                </w14:textFill>
              </w:rPr>
              <w:t>园区</w:t>
            </w:r>
            <w:r>
              <w:rPr>
                <w:rFonts w:hint="default" w:ascii="Times New Roman" w:hAnsi="Times New Roman" w:cs="Times New Roman"/>
                <w:color w:val="000000" w:themeColor="text1"/>
                <w:shd w:val="clear" w:color="auto" w:fill="FFFFFF"/>
                <w14:textFill>
                  <w14:solidFill>
                    <w14:schemeClr w14:val="tx1"/>
                  </w14:solidFill>
                </w14:textFill>
              </w:rPr>
              <w:t>地块</w:t>
            </w:r>
            <w:r>
              <w:rPr>
                <w:rFonts w:hint="default" w:ascii="Times New Roman" w:hAnsi="Times New Roman" w:cs="Times New Roman"/>
                <w:color w:val="000000" w:themeColor="text1"/>
                <w:shd w:val="clear" w:color="auto" w:fill="FFFFFF"/>
                <w:lang w:val="en-US" w:eastAsia="zh-CN"/>
                <w14:textFill>
                  <w14:solidFill>
                    <w14:schemeClr w14:val="tx1"/>
                  </w14:solidFill>
                </w14:textFill>
              </w:rPr>
              <w:t>西侧</w:t>
            </w:r>
            <w:r>
              <w:rPr>
                <w:rFonts w:hint="default" w:ascii="Times New Roman" w:hAnsi="Times New Roman" w:cs="Times New Roman"/>
                <w:color w:val="000000" w:themeColor="text1"/>
                <w:shd w:val="clear" w:color="auto" w:fill="FFFFFF"/>
                <w14:textFill>
                  <w14:solidFill>
                    <w14:schemeClr w14:val="tx1"/>
                  </w14:solidFill>
                </w14:textFill>
              </w:rPr>
              <w:t>有污水管网分布，本项目污水管网</w:t>
            </w:r>
            <w:r>
              <w:rPr>
                <w:rFonts w:hint="default" w:ascii="Times New Roman" w:hAnsi="Times New Roman" w:cs="Times New Roman"/>
                <w:color w:val="000000" w:themeColor="text1"/>
                <w:highlight w:val="none"/>
                <w:shd w:val="clear" w:color="auto" w:fill="FFFFFF"/>
                <w14:textFill>
                  <w14:solidFill>
                    <w14:schemeClr w14:val="tx1"/>
                  </w14:solidFill>
                </w14:textFill>
              </w:rPr>
              <w:t>能够接入园区管网</w:t>
            </w:r>
            <w:r>
              <w:rPr>
                <w:rFonts w:hint="default" w:ascii="Times New Roman" w:hAnsi="Times New Roman" w:cs="Times New Roman"/>
                <w:color w:val="000000" w:themeColor="text1"/>
                <w:highlight w:val="none"/>
                <w:shd w:val="clear" w:color="auto" w:fill="FFFFFF"/>
                <w:lang w:val="en-US" w:eastAsia="zh-CN"/>
                <w14:textFill>
                  <w14:solidFill>
                    <w14:schemeClr w14:val="tx1"/>
                  </w14:solidFill>
                </w14:textFill>
              </w:rPr>
              <w:t>(详见附件六)</w:t>
            </w:r>
            <w:r>
              <w:rPr>
                <w:rFonts w:hint="default" w:ascii="Times New Roman" w:hAnsi="Times New Roman" w:cs="Times New Roman"/>
                <w:color w:val="000000" w:themeColor="text1"/>
                <w:highlight w:val="none"/>
                <w:shd w:val="clear" w:color="auto" w:fill="FFFFFF"/>
                <w14:textFill>
                  <w14:solidFill>
                    <w14:schemeClr w14:val="tx1"/>
                  </w14:solidFill>
                </w14:textFill>
              </w:rPr>
              <w:t>。</w:t>
            </w:r>
            <w:r>
              <w:rPr>
                <w:rFonts w:hint="default" w:ascii="Times New Roman" w:hAnsi="Times New Roman" w:cs="Times New Roman"/>
                <w:color w:val="000000" w:themeColor="text1"/>
                <w:szCs w:val="24"/>
                <w:lang w:eastAsia="zh-CN"/>
                <w14:textFill>
                  <w14:solidFill>
                    <w14:schemeClr w14:val="tx1"/>
                  </w14:solidFill>
                </w14:textFill>
              </w:rPr>
              <w:t>江镜华侨农场污水处理厂</w:t>
            </w:r>
            <w:r>
              <w:rPr>
                <w:rFonts w:hint="default" w:ascii="Times New Roman" w:hAnsi="Times New Roman" w:cs="Times New Roman"/>
                <w:color w:val="000000" w:themeColor="text1"/>
                <w:shd w:val="clear" w:color="auto" w:fill="FFFFFF"/>
                <w14:textFill>
                  <w14:solidFill>
                    <w14:schemeClr w14:val="tx1"/>
                  </w14:solidFill>
                </w14:textFill>
              </w:rPr>
              <w:t>及其配套管网工程现已建成。</w:t>
            </w:r>
          </w:p>
          <w:p w14:paraId="7DA1C80B">
            <w:pPr>
              <w:pStyle w:val="81"/>
              <w:keepNext w:val="0"/>
              <w:keepLines w:val="0"/>
              <w:pageBreakBefore w:val="0"/>
              <w:widowControl w:val="0"/>
              <w:kinsoku/>
              <w:wordWrap/>
              <w:overflowPunct/>
              <w:topLinePunct w:val="0"/>
              <w:autoSpaceDE/>
              <w:autoSpaceDN/>
              <w:bidi w:val="0"/>
              <w:adjustRightInd w:val="0"/>
              <w:snapToGrid/>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②</w:t>
            </w:r>
            <w:r>
              <w:rPr>
                <w:rFonts w:hint="default" w:ascii="Times New Roman" w:hAnsi="Times New Roman" w:cs="Times New Roman"/>
                <w:color w:val="000000" w:themeColor="text1"/>
                <w:highlight w:val="none"/>
                <w:lang w:eastAsia="zh-CN"/>
                <w14:textFill>
                  <w14:solidFill>
                    <w14:schemeClr w14:val="tx1"/>
                  </w14:solidFill>
                </w14:textFill>
              </w:rPr>
              <w:t>水质负荷</w:t>
            </w:r>
          </w:p>
          <w:p w14:paraId="0E68BC37">
            <w:pPr>
              <w:pStyle w:val="81"/>
              <w:keepNext w:val="0"/>
              <w:keepLines w:val="0"/>
              <w:pageBreakBefore w:val="0"/>
              <w:widowControl w:val="0"/>
              <w:kinsoku/>
              <w:wordWrap/>
              <w:overflowPunct/>
              <w:topLinePunct w:val="0"/>
              <w:autoSpaceDE/>
              <w:autoSpaceDN/>
              <w:bidi w:val="0"/>
              <w:adjustRightInd w:val="0"/>
              <w:snapToGrid/>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lang w:bidi="he-IL"/>
                <w14:textFill>
                  <w14:solidFill>
                    <w14:schemeClr w14:val="tx1"/>
                  </w14:solidFill>
                </w14:textFill>
              </w:rPr>
              <w:t>本项目</w:t>
            </w:r>
            <w:r>
              <w:rPr>
                <w:rFonts w:hint="default" w:ascii="Times New Roman" w:hAnsi="Times New Roman" w:cs="Times New Roman"/>
                <w:color w:val="000000" w:themeColor="text1"/>
                <w:lang w:val="en-US" w:eastAsia="zh-CN" w:bidi="he-IL"/>
                <w14:textFill>
                  <w14:solidFill>
                    <w14:schemeClr w14:val="tx1"/>
                  </w14:solidFill>
                </w14:textFill>
              </w:rPr>
              <w:t>废水</w:t>
            </w:r>
            <w:r>
              <w:rPr>
                <w:rFonts w:hint="default" w:ascii="Times New Roman" w:hAnsi="Times New Roman" w:cs="Times New Roman"/>
                <w:color w:val="000000" w:themeColor="text1"/>
                <w:lang w:bidi="he-IL"/>
                <w14:textFill>
                  <w14:solidFill>
                    <w14:schemeClr w14:val="tx1"/>
                  </w14:solidFill>
                </w14:textFill>
              </w:rPr>
              <w:t>经处理后</w:t>
            </w:r>
            <w:r>
              <w:rPr>
                <w:rFonts w:hint="default" w:ascii="Times New Roman" w:hAnsi="Times New Roman" w:cs="Times New Roman"/>
                <w:color w:val="000000" w:themeColor="text1"/>
                <w:lang w:eastAsia="zh-CN" w:bidi="he-IL"/>
                <w14:textFill>
                  <w14:solidFill>
                    <w14:schemeClr w14:val="tx1"/>
                  </w14:solidFill>
                </w14:textFill>
              </w:rPr>
              <w:t>排入市政污水管网内</w:t>
            </w:r>
            <w:r>
              <w:rPr>
                <w:rFonts w:hint="default" w:ascii="Times New Roman" w:hAnsi="Times New Roman" w:cs="Times New Roman"/>
                <w:color w:val="000000" w:themeColor="text1"/>
                <w:lang w:bidi="he-IL"/>
                <w14:textFill>
                  <w14:solidFill>
                    <w14:schemeClr w14:val="tx1"/>
                  </w14:solidFill>
                </w14:textFill>
              </w:rPr>
              <w:t>污染物排放浓度情况表</w:t>
            </w:r>
            <w:r>
              <w:rPr>
                <w:rFonts w:hint="default"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lang w:eastAsia="zh-CN"/>
                <w14:textFill>
                  <w14:solidFill>
                    <w14:schemeClr w14:val="tx1"/>
                  </w14:solidFill>
                </w14:textFill>
              </w:rPr>
              <w:t>。</w:t>
            </w:r>
          </w:p>
          <w:p w14:paraId="30951F6D">
            <w:pPr>
              <w:widowControl/>
              <w:autoSpaceDE w:val="0"/>
              <w:autoSpaceDN w:val="0"/>
              <w:spacing w:before="162" w:beforeLines="50"/>
              <w:jc w:val="center"/>
              <w:textAlignment w:val="bottom"/>
              <w:rPr>
                <w:rFonts w:hint="default" w:ascii="Times New Roman" w:hAnsi="Times New Roman" w:eastAsia="黑体" w:cs="Times New Roman"/>
                <w:color w:val="000000" w:themeColor="text1"/>
                <w:kern w:val="0"/>
                <w:sz w:val="24"/>
                <w:szCs w:val="28"/>
                <w:highlight w:val="none"/>
                <w14:textFill>
                  <w14:solidFill>
                    <w14:schemeClr w14:val="tx1"/>
                  </w14:solidFill>
                </w14:textFill>
              </w:rPr>
            </w:pPr>
            <w:r>
              <w:rPr>
                <w:rFonts w:hint="default" w:ascii="Times New Roman" w:hAnsi="Times New Roman" w:eastAsia="黑体" w:cs="Times New Roman"/>
                <w:color w:val="000000" w:themeColor="text1"/>
                <w:kern w:val="0"/>
                <w:sz w:val="24"/>
                <w:szCs w:val="28"/>
                <w:highlight w:val="none"/>
                <w:lang w:val="en-US" w:eastAsia="zh-CN"/>
                <w14:textFill>
                  <w14:solidFill>
                    <w14:schemeClr w14:val="tx1"/>
                  </w14:solidFill>
                </w14:textFill>
              </w:rPr>
              <w:t>表4.3</w:t>
            </w:r>
            <w:r>
              <w:rPr>
                <w:rFonts w:hint="default" w:ascii="Times New Roman" w:hAnsi="Times New Roman" w:eastAsia="黑体" w:cs="Times New Roman"/>
                <w:color w:val="000000" w:themeColor="text1"/>
                <w:kern w:val="0"/>
                <w:sz w:val="24"/>
                <w:szCs w:val="28"/>
                <w:highlight w:val="none"/>
                <w14:textFill>
                  <w14:solidFill>
                    <w14:schemeClr w14:val="tx1"/>
                  </w14:solidFill>
                </w14:textFill>
              </w:rPr>
              <w:t>-</w:t>
            </w:r>
            <w:r>
              <w:rPr>
                <w:rFonts w:hint="default" w:ascii="Times New Roman" w:hAnsi="Times New Roman" w:eastAsia="黑体" w:cs="Times New Roman"/>
                <w:color w:val="000000" w:themeColor="text1"/>
                <w:kern w:val="0"/>
                <w:sz w:val="24"/>
                <w:szCs w:val="28"/>
                <w:highlight w:val="none"/>
                <w:lang w:val="en-US" w:eastAsia="zh-CN"/>
                <w14:textFill>
                  <w14:solidFill>
                    <w14:schemeClr w14:val="tx1"/>
                  </w14:solidFill>
                </w14:textFill>
              </w:rPr>
              <w:t>3</w:t>
            </w:r>
            <w:r>
              <w:rPr>
                <w:rFonts w:hint="default" w:ascii="Times New Roman" w:hAnsi="Times New Roman" w:eastAsia="黑体" w:cs="Times New Roman"/>
                <w:color w:val="000000" w:themeColor="text1"/>
                <w:kern w:val="0"/>
                <w:sz w:val="24"/>
                <w:szCs w:val="28"/>
                <w:highlight w:val="none"/>
                <w14:textFill>
                  <w14:solidFill>
                    <w14:schemeClr w14:val="tx1"/>
                  </w14:solidFill>
                </w14:textFill>
              </w:rPr>
              <w:t xml:space="preserve">  本项目</w:t>
            </w:r>
            <w:r>
              <w:rPr>
                <w:rFonts w:hint="default" w:ascii="Times New Roman" w:hAnsi="Times New Roman" w:eastAsia="黑体" w:cs="Times New Roman"/>
                <w:color w:val="000000" w:themeColor="text1"/>
                <w:kern w:val="0"/>
                <w:sz w:val="24"/>
                <w:szCs w:val="28"/>
                <w:highlight w:val="none"/>
                <w:lang w:eastAsia="zh-CN"/>
                <w14:textFill>
                  <w14:solidFill>
                    <w14:schemeClr w14:val="tx1"/>
                  </w14:solidFill>
                </w14:textFill>
              </w:rPr>
              <w:t>污水</w:t>
            </w:r>
            <w:r>
              <w:rPr>
                <w:rFonts w:hint="default" w:ascii="Times New Roman" w:hAnsi="Times New Roman" w:eastAsia="黑体" w:cs="Times New Roman"/>
                <w:color w:val="000000" w:themeColor="text1"/>
                <w:kern w:val="0"/>
                <w:sz w:val="24"/>
                <w:szCs w:val="28"/>
                <w:highlight w:val="none"/>
                <w14:textFill>
                  <w14:solidFill>
                    <w14:schemeClr w14:val="tx1"/>
                  </w14:solidFill>
                </w14:textFill>
              </w:rPr>
              <w:t xml:space="preserve">排放情况一览表 </w:t>
            </w:r>
            <w:r>
              <w:rPr>
                <w:rFonts w:hint="default" w:ascii="Times New Roman" w:hAnsi="Times New Roman" w:eastAsia="黑体" w:cs="Times New Roman"/>
                <w:color w:val="000000" w:themeColor="text1"/>
                <w:kern w:val="0"/>
                <w:sz w:val="24"/>
                <w:szCs w:val="28"/>
                <w:highlight w:val="none"/>
                <w:lang w:val="en-US" w:eastAsia="zh-CN"/>
                <w14:textFill>
                  <w14:solidFill>
                    <w14:schemeClr w14:val="tx1"/>
                  </w14:solidFill>
                </w14:textFill>
              </w:rPr>
              <w:t xml:space="preserve"> </w:t>
            </w:r>
            <w:r>
              <w:rPr>
                <w:rFonts w:hint="default" w:ascii="Times New Roman" w:hAnsi="Times New Roman" w:eastAsia="黑体" w:cs="Times New Roman"/>
                <w:color w:val="000000" w:themeColor="text1"/>
                <w:kern w:val="0"/>
                <w:sz w:val="24"/>
                <w:szCs w:val="28"/>
                <w:highlight w:val="none"/>
                <w14:textFill>
                  <w14:solidFill>
                    <w14:schemeClr w14:val="tx1"/>
                  </w14:solidFill>
                </w14:textFill>
              </w:rPr>
              <w:t>单位：mg/L(</w:t>
            </w:r>
            <w:r>
              <w:rPr>
                <w:rFonts w:hint="default" w:ascii="Times New Roman" w:hAnsi="Times New Roman" w:eastAsia="黑体" w:cs="Times New Roman"/>
                <w:color w:val="000000" w:themeColor="text1"/>
                <w:kern w:val="0"/>
                <w:sz w:val="24"/>
                <w:szCs w:val="28"/>
                <w:highlight w:val="none"/>
                <w:lang w:val="en-US" w:eastAsia="zh-CN"/>
                <w14:textFill>
                  <w14:solidFill>
                    <w14:schemeClr w14:val="tx1"/>
                  </w14:solidFill>
                </w14:textFill>
              </w:rPr>
              <w:t>pH</w:t>
            </w:r>
            <w:r>
              <w:rPr>
                <w:rFonts w:hint="default" w:ascii="Times New Roman" w:hAnsi="Times New Roman" w:eastAsia="黑体" w:cs="Times New Roman"/>
                <w:color w:val="000000" w:themeColor="text1"/>
                <w:kern w:val="0"/>
                <w:sz w:val="24"/>
                <w:szCs w:val="28"/>
                <w:highlight w:val="none"/>
                <w14:textFill>
                  <w14:solidFill>
                    <w14:schemeClr w14:val="tx1"/>
                  </w14:solidFill>
                </w14:textFill>
              </w:rPr>
              <w:t>除外)</w:t>
            </w:r>
          </w:p>
          <w:tbl>
            <w:tblPr>
              <w:tblStyle w:val="28"/>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36"/>
              <w:gridCol w:w="1336"/>
              <w:gridCol w:w="1125"/>
              <w:gridCol w:w="1125"/>
              <w:gridCol w:w="1125"/>
              <w:gridCol w:w="1496"/>
              <w:gridCol w:w="898"/>
            </w:tblGrid>
            <w:tr w14:paraId="6D2125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0" w:type="pct"/>
                  <w:tcBorders>
                    <w:tl2br w:val="single" w:color="auto" w:sz="4" w:space="0"/>
                  </w:tcBorders>
                  <w:noWrap w:val="0"/>
                  <w:vAlign w:val="center"/>
                </w:tcPr>
                <w:p w14:paraId="589297EE">
                  <w:pPr>
                    <w:widowControl/>
                    <w:autoSpaceDE w:val="0"/>
                    <w:autoSpaceDN w:val="0"/>
                    <w:snapToGrid w:val="0"/>
                    <w:spacing w:line="340" w:lineRule="exact"/>
                    <w:jc w:val="center"/>
                    <w:textAlignment w:val="bottom"/>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kern w:val="0"/>
                      <w:sz w:val="21"/>
                      <w:szCs w:val="21"/>
                      <w14:textFill>
                        <w14:solidFill>
                          <w14:schemeClr w14:val="tx1"/>
                        </w14:solidFill>
                      </w14:textFill>
                    </w:rPr>
                    <w:t>项目</w:t>
                  </w:r>
                </w:p>
                <w:p w14:paraId="0239A99E">
                  <w:pPr>
                    <w:widowControl/>
                    <w:autoSpaceDE w:val="0"/>
                    <w:autoSpaceDN w:val="0"/>
                    <w:spacing w:line="340" w:lineRule="exact"/>
                    <w:jc w:val="both"/>
                    <w:textAlignment w:val="bottom"/>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污染物</w:t>
                  </w:r>
                </w:p>
              </w:tc>
              <w:tc>
                <w:tcPr>
                  <w:tcW w:w="800" w:type="pct"/>
                  <w:noWrap w:val="0"/>
                  <w:vAlign w:val="center"/>
                </w:tcPr>
                <w:p w14:paraId="09B89C9D">
                  <w:pPr>
                    <w:widowControl/>
                    <w:autoSpaceDE w:val="0"/>
                    <w:autoSpaceDN w:val="0"/>
                    <w:spacing w:line="340" w:lineRule="exact"/>
                    <w:jc w:val="center"/>
                    <w:textAlignment w:val="bottom"/>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生活污水</w:t>
                  </w:r>
                  <w:r>
                    <w:rPr>
                      <w:rFonts w:hint="default" w:ascii="Times New Roman" w:hAnsi="Times New Roman" w:eastAsia="宋体" w:cs="Times New Roman"/>
                      <w:color w:val="000000" w:themeColor="text1"/>
                      <w:kern w:val="0"/>
                      <w:sz w:val="21"/>
                      <w:szCs w:val="21"/>
                      <w14:textFill>
                        <w14:solidFill>
                          <w14:schemeClr w14:val="tx1"/>
                        </w14:solidFill>
                      </w14:textFill>
                    </w:rPr>
                    <w:t>排放浓度</w:t>
                  </w:r>
                </w:p>
              </w:tc>
              <w:tc>
                <w:tcPr>
                  <w:tcW w:w="674" w:type="pct"/>
                  <w:noWrap w:val="0"/>
                  <w:vAlign w:val="center"/>
                </w:tcPr>
                <w:p w14:paraId="3CDCB3FE">
                  <w:pPr>
                    <w:widowControl/>
                    <w:autoSpaceDE w:val="0"/>
                    <w:autoSpaceDN w:val="0"/>
                    <w:spacing w:line="340" w:lineRule="exact"/>
                    <w:jc w:val="center"/>
                    <w:textAlignment w:val="bottom"/>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生产废水</w:t>
                  </w:r>
                  <w:r>
                    <w:rPr>
                      <w:rFonts w:hint="default" w:ascii="Times New Roman" w:hAnsi="Times New Roman" w:eastAsia="宋体" w:cs="Times New Roman"/>
                      <w:color w:val="000000" w:themeColor="text1"/>
                      <w:kern w:val="0"/>
                      <w:sz w:val="21"/>
                      <w:szCs w:val="21"/>
                      <w14:textFill>
                        <w14:solidFill>
                          <w14:schemeClr w14:val="tx1"/>
                        </w14:solidFill>
                      </w14:textFill>
                    </w:rPr>
                    <w:t>排放浓度</w:t>
                  </w:r>
                </w:p>
              </w:tc>
              <w:tc>
                <w:tcPr>
                  <w:tcW w:w="674" w:type="pct"/>
                  <w:noWrap w:val="0"/>
                  <w:vAlign w:val="center"/>
                </w:tcPr>
                <w:p w14:paraId="7EEEE961">
                  <w:pPr>
                    <w:widowControl/>
                    <w:autoSpaceDE w:val="0"/>
                    <w:autoSpaceDN w:val="0"/>
                    <w:spacing w:line="340" w:lineRule="exact"/>
                    <w:jc w:val="center"/>
                    <w:textAlignment w:val="bottom"/>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回用水标准</w:t>
                  </w:r>
                </w:p>
              </w:tc>
              <w:tc>
                <w:tcPr>
                  <w:tcW w:w="674" w:type="pct"/>
                  <w:noWrap w:val="0"/>
                  <w:vAlign w:val="center"/>
                </w:tcPr>
                <w:p w14:paraId="67123074">
                  <w:pPr>
                    <w:widowControl/>
                    <w:autoSpaceDE w:val="0"/>
                    <w:autoSpaceDN w:val="0"/>
                    <w:spacing w:line="340" w:lineRule="exact"/>
                    <w:jc w:val="center"/>
                    <w:textAlignment w:val="bottom"/>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排放标准限值</w:t>
                  </w:r>
                </w:p>
              </w:tc>
              <w:tc>
                <w:tcPr>
                  <w:tcW w:w="896" w:type="pct"/>
                  <w:noWrap w:val="0"/>
                  <w:vAlign w:val="center"/>
                </w:tcPr>
                <w:p w14:paraId="20A5AA4C">
                  <w:pPr>
                    <w:widowControl/>
                    <w:autoSpaceDE w:val="0"/>
                    <w:autoSpaceDN w:val="0"/>
                    <w:spacing w:line="340" w:lineRule="exact"/>
                    <w:jc w:val="center"/>
                    <w:textAlignment w:val="bottom"/>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污水处理厂进水浓度</w:t>
                  </w:r>
                </w:p>
              </w:tc>
              <w:tc>
                <w:tcPr>
                  <w:tcW w:w="537" w:type="pct"/>
                  <w:noWrap w:val="0"/>
                  <w:vAlign w:val="center"/>
                </w:tcPr>
                <w:p w14:paraId="6CD7EFD0">
                  <w:pPr>
                    <w:widowControl/>
                    <w:autoSpaceDE w:val="0"/>
                    <w:autoSpaceDN w:val="0"/>
                    <w:spacing w:line="340" w:lineRule="exact"/>
                    <w:jc w:val="center"/>
                    <w:textAlignment w:val="bottom"/>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达标</w:t>
                  </w:r>
                </w:p>
                <w:p w14:paraId="6FC7E4A1">
                  <w:pPr>
                    <w:widowControl/>
                    <w:autoSpaceDE w:val="0"/>
                    <w:autoSpaceDN w:val="0"/>
                    <w:spacing w:line="340" w:lineRule="exact"/>
                    <w:jc w:val="center"/>
                    <w:textAlignment w:val="bottom"/>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情况</w:t>
                  </w:r>
                </w:p>
              </w:tc>
            </w:tr>
            <w:tr w14:paraId="49DED2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0" w:type="pct"/>
                  <w:noWrap w:val="0"/>
                  <w:vAlign w:val="center"/>
                </w:tcPr>
                <w:p w14:paraId="01F4F72C">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pH(无量纲)</w:t>
                  </w:r>
                </w:p>
              </w:tc>
              <w:tc>
                <w:tcPr>
                  <w:tcW w:w="800" w:type="pct"/>
                  <w:noWrap w:val="0"/>
                  <w:vAlign w:val="center"/>
                </w:tcPr>
                <w:p w14:paraId="1F1691BF">
                  <w:pPr>
                    <w:widowControl/>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6～9</w:t>
                  </w:r>
                </w:p>
              </w:tc>
              <w:tc>
                <w:tcPr>
                  <w:tcW w:w="674" w:type="pct"/>
                  <w:noWrap w:val="0"/>
                  <w:vAlign w:val="center"/>
                </w:tcPr>
                <w:p w14:paraId="06AA4F34">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6～9</w:t>
                  </w:r>
                </w:p>
              </w:tc>
              <w:tc>
                <w:tcPr>
                  <w:tcW w:w="674" w:type="pct"/>
                  <w:noWrap w:val="0"/>
                  <w:vAlign w:val="center"/>
                </w:tcPr>
                <w:p w14:paraId="67AEB37D">
                  <w:pPr>
                    <w:spacing w:line="34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6～9</w:t>
                  </w:r>
                </w:p>
              </w:tc>
              <w:tc>
                <w:tcPr>
                  <w:tcW w:w="674" w:type="pct"/>
                  <w:noWrap w:val="0"/>
                  <w:vAlign w:val="center"/>
                </w:tcPr>
                <w:p w14:paraId="4B948659">
                  <w:pPr>
                    <w:spacing w:line="34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6～9</w:t>
                  </w:r>
                </w:p>
              </w:tc>
              <w:tc>
                <w:tcPr>
                  <w:tcW w:w="896" w:type="pct"/>
                  <w:noWrap w:val="0"/>
                  <w:vAlign w:val="center"/>
                </w:tcPr>
                <w:p w14:paraId="13310D15">
                  <w:pPr>
                    <w:spacing w:line="3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6～9</w:t>
                  </w:r>
                </w:p>
              </w:tc>
              <w:tc>
                <w:tcPr>
                  <w:tcW w:w="537" w:type="pct"/>
                  <w:noWrap w:val="0"/>
                  <w:vAlign w:val="center"/>
                </w:tcPr>
                <w:p w14:paraId="4160AF13">
                  <w:pPr>
                    <w:widowControl/>
                    <w:autoSpaceDE w:val="0"/>
                    <w:autoSpaceDN w:val="0"/>
                    <w:spacing w:line="340" w:lineRule="exact"/>
                    <w:jc w:val="center"/>
                    <w:textAlignment w:val="bottom"/>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达标</w:t>
                  </w:r>
                </w:p>
              </w:tc>
            </w:tr>
            <w:tr w14:paraId="247F9D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0" w:type="pct"/>
                  <w:noWrap w:val="0"/>
                  <w:vAlign w:val="center"/>
                </w:tcPr>
                <w:p w14:paraId="3DC6AA40">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COD</w:t>
                  </w:r>
                </w:p>
              </w:tc>
              <w:tc>
                <w:tcPr>
                  <w:tcW w:w="800" w:type="pct"/>
                  <w:noWrap w:val="0"/>
                  <w:vAlign w:val="center"/>
                </w:tcPr>
                <w:p w14:paraId="0FA0255A">
                  <w:pPr>
                    <w:adjustRightInd w:val="0"/>
                    <w:snapToGrid w:val="0"/>
                    <w:jc w:val="center"/>
                    <w:rPr>
                      <w:rFonts w:hint="default" w:ascii="Times New Roman" w:hAnsi="Times New Roman" w:eastAsia="宋体" w:cs="Times New Roman"/>
                      <w:color w:val="000000" w:themeColor="text1"/>
                      <w:kern w:val="0"/>
                      <w:sz w:val="21"/>
                      <w:szCs w:val="21"/>
                      <w:highlight w:val="red"/>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2</w:t>
                  </w:r>
                  <w:r>
                    <w:rPr>
                      <w:rFonts w:hint="default" w:ascii="Times New Roman" w:hAnsi="Times New Roman" w:cs="Times New Roman"/>
                      <w:bCs/>
                      <w:color w:val="000000" w:themeColor="text1"/>
                      <w:sz w:val="21"/>
                      <w:szCs w:val="21"/>
                      <w:lang w:val="en-US" w:eastAsia="zh-CN"/>
                      <w14:textFill>
                        <w14:solidFill>
                          <w14:schemeClr w14:val="tx1"/>
                        </w14:solidFill>
                      </w14:textFill>
                    </w:rPr>
                    <w:t>04</w:t>
                  </w:r>
                </w:p>
              </w:tc>
              <w:tc>
                <w:tcPr>
                  <w:tcW w:w="674" w:type="pct"/>
                  <w:noWrap w:val="0"/>
                  <w:vAlign w:val="center"/>
                </w:tcPr>
                <w:p w14:paraId="2DFABEB7">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41.800</w:t>
                  </w:r>
                </w:p>
              </w:tc>
              <w:tc>
                <w:tcPr>
                  <w:tcW w:w="674" w:type="pct"/>
                  <w:noWrap w:val="0"/>
                  <w:vAlign w:val="center"/>
                </w:tcPr>
                <w:p w14:paraId="615DCC0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50</w:t>
                  </w:r>
                </w:p>
              </w:tc>
              <w:tc>
                <w:tcPr>
                  <w:tcW w:w="674" w:type="pct"/>
                  <w:noWrap w:val="0"/>
                  <w:vAlign w:val="center"/>
                </w:tcPr>
                <w:p w14:paraId="74FACCD3">
                  <w:pPr>
                    <w:spacing w:line="34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500</w:t>
                  </w:r>
                </w:p>
              </w:tc>
              <w:tc>
                <w:tcPr>
                  <w:tcW w:w="896" w:type="pct"/>
                  <w:noWrap w:val="0"/>
                  <w:vAlign w:val="center"/>
                </w:tcPr>
                <w:p w14:paraId="27A87241">
                  <w:pPr>
                    <w:spacing w:line="34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400</w:t>
                  </w:r>
                </w:p>
              </w:tc>
              <w:tc>
                <w:tcPr>
                  <w:tcW w:w="537" w:type="pct"/>
                  <w:noWrap w:val="0"/>
                  <w:vAlign w:val="center"/>
                </w:tcPr>
                <w:p w14:paraId="216FAF73">
                  <w:pPr>
                    <w:widowControl/>
                    <w:autoSpaceDE w:val="0"/>
                    <w:autoSpaceDN w:val="0"/>
                    <w:spacing w:line="340" w:lineRule="exact"/>
                    <w:jc w:val="center"/>
                    <w:textAlignment w:val="bottom"/>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达标</w:t>
                  </w:r>
                </w:p>
              </w:tc>
            </w:tr>
            <w:tr w14:paraId="1141B0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0" w:type="pct"/>
                  <w:noWrap w:val="0"/>
                  <w:vAlign w:val="center"/>
                </w:tcPr>
                <w:p w14:paraId="34145B5D">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BOD</w:t>
                  </w:r>
                  <w:r>
                    <w:rPr>
                      <w:rFonts w:hint="default" w:ascii="Times New Roman" w:hAnsi="Times New Roman" w:eastAsia="宋体" w:cs="Times New Roman"/>
                      <w:color w:val="000000" w:themeColor="text1"/>
                      <w:sz w:val="21"/>
                      <w:szCs w:val="21"/>
                      <w:vertAlign w:val="subscript"/>
                      <w14:textFill>
                        <w14:solidFill>
                          <w14:schemeClr w14:val="tx1"/>
                        </w14:solidFill>
                      </w14:textFill>
                    </w:rPr>
                    <w:t>5</w:t>
                  </w:r>
                </w:p>
              </w:tc>
              <w:tc>
                <w:tcPr>
                  <w:tcW w:w="800" w:type="pct"/>
                  <w:noWrap w:val="0"/>
                  <w:vAlign w:val="center"/>
                </w:tcPr>
                <w:p w14:paraId="7DBB9786">
                  <w:pPr>
                    <w:adjustRightInd w:val="0"/>
                    <w:snapToGrid w:val="0"/>
                    <w:jc w:val="center"/>
                    <w:rPr>
                      <w:rFonts w:hint="default" w:ascii="Times New Roman" w:hAnsi="Times New Roman" w:eastAsia="宋体" w:cs="Times New Roman"/>
                      <w:color w:val="000000" w:themeColor="text1"/>
                      <w:kern w:val="0"/>
                      <w:sz w:val="21"/>
                      <w:szCs w:val="21"/>
                      <w:highlight w:val="red"/>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156</w:t>
                  </w:r>
                </w:p>
              </w:tc>
              <w:tc>
                <w:tcPr>
                  <w:tcW w:w="674" w:type="pct"/>
                  <w:noWrap w:val="0"/>
                  <w:vAlign w:val="center"/>
                </w:tcPr>
                <w:p w14:paraId="5E54B7AE">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12.000</w:t>
                  </w:r>
                </w:p>
              </w:tc>
              <w:tc>
                <w:tcPr>
                  <w:tcW w:w="674" w:type="pct"/>
                  <w:noWrap w:val="0"/>
                  <w:vAlign w:val="center"/>
                </w:tcPr>
                <w:p w14:paraId="69CD68E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w:t>
                  </w:r>
                </w:p>
              </w:tc>
              <w:tc>
                <w:tcPr>
                  <w:tcW w:w="674" w:type="pct"/>
                  <w:noWrap w:val="0"/>
                  <w:vAlign w:val="center"/>
                </w:tcPr>
                <w:p w14:paraId="7C4975D0">
                  <w:pPr>
                    <w:spacing w:line="34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300</w:t>
                  </w:r>
                </w:p>
              </w:tc>
              <w:tc>
                <w:tcPr>
                  <w:tcW w:w="896" w:type="pct"/>
                  <w:noWrap w:val="0"/>
                  <w:vAlign w:val="center"/>
                </w:tcPr>
                <w:p w14:paraId="59C0B39E">
                  <w:pPr>
                    <w:spacing w:line="34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180</w:t>
                  </w:r>
                </w:p>
              </w:tc>
              <w:tc>
                <w:tcPr>
                  <w:tcW w:w="537" w:type="pct"/>
                  <w:noWrap w:val="0"/>
                  <w:vAlign w:val="center"/>
                </w:tcPr>
                <w:p w14:paraId="127CDE5B">
                  <w:pPr>
                    <w:widowControl/>
                    <w:autoSpaceDE w:val="0"/>
                    <w:autoSpaceDN w:val="0"/>
                    <w:spacing w:line="340" w:lineRule="exact"/>
                    <w:jc w:val="center"/>
                    <w:textAlignment w:val="bottom"/>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达标</w:t>
                  </w:r>
                </w:p>
              </w:tc>
            </w:tr>
            <w:tr w14:paraId="587F77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0" w:type="pct"/>
                  <w:noWrap w:val="0"/>
                  <w:vAlign w:val="center"/>
                </w:tcPr>
                <w:p w14:paraId="2BD682F0">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SS</w:t>
                  </w:r>
                </w:p>
              </w:tc>
              <w:tc>
                <w:tcPr>
                  <w:tcW w:w="800" w:type="pct"/>
                  <w:noWrap w:val="0"/>
                  <w:vAlign w:val="center"/>
                </w:tcPr>
                <w:p w14:paraId="2C41FD58">
                  <w:pPr>
                    <w:adjustRightInd w:val="0"/>
                    <w:snapToGrid w:val="0"/>
                    <w:jc w:val="center"/>
                    <w:rPr>
                      <w:rFonts w:hint="default" w:ascii="Times New Roman" w:hAnsi="Times New Roman" w:eastAsia="宋体" w:cs="Times New Roman"/>
                      <w:color w:val="000000" w:themeColor="text1"/>
                      <w:kern w:val="0"/>
                      <w:sz w:val="21"/>
                      <w:szCs w:val="21"/>
                      <w:highlight w:val="red"/>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88</w:t>
                  </w:r>
                </w:p>
              </w:tc>
              <w:tc>
                <w:tcPr>
                  <w:tcW w:w="674" w:type="pct"/>
                  <w:noWrap w:val="0"/>
                  <w:vAlign w:val="center"/>
                </w:tcPr>
                <w:p w14:paraId="2E35B47B">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5.000</w:t>
                  </w:r>
                </w:p>
              </w:tc>
              <w:tc>
                <w:tcPr>
                  <w:tcW w:w="674" w:type="pct"/>
                  <w:noWrap w:val="0"/>
                  <w:vAlign w:val="center"/>
                </w:tcPr>
                <w:p w14:paraId="321D8A0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w:t>
                  </w:r>
                </w:p>
              </w:tc>
              <w:tc>
                <w:tcPr>
                  <w:tcW w:w="674" w:type="pct"/>
                  <w:noWrap w:val="0"/>
                  <w:vAlign w:val="center"/>
                </w:tcPr>
                <w:p w14:paraId="0034D013">
                  <w:pPr>
                    <w:spacing w:line="34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400</w:t>
                  </w:r>
                </w:p>
              </w:tc>
              <w:tc>
                <w:tcPr>
                  <w:tcW w:w="896" w:type="pct"/>
                  <w:noWrap w:val="0"/>
                  <w:vAlign w:val="center"/>
                </w:tcPr>
                <w:p w14:paraId="7D1E0914">
                  <w:pPr>
                    <w:spacing w:line="34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300</w:t>
                  </w:r>
                </w:p>
              </w:tc>
              <w:tc>
                <w:tcPr>
                  <w:tcW w:w="537" w:type="pct"/>
                  <w:noWrap w:val="0"/>
                  <w:vAlign w:val="center"/>
                </w:tcPr>
                <w:p w14:paraId="28DABBD0">
                  <w:pPr>
                    <w:widowControl/>
                    <w:autoSpaceDE w:val="0"/>
                    <w:autoSpaceDN w:val="0"/>
                    <w:spacing w:line="340" w:lineRule="exact"/>
                    <w:jc w:val="center"/>
                    <w:textAlignment w:val="bottom"/>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达标</w:t>
                  </w:r>
                </w:p>
              </w:tc>
            </w:tr>
            <w:tr w14:paraId="0D86D7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0" w:type="pct"/>
                  <w:noWrap w:val="0"/>
                  <w:vAlign w:val="center"/>
                </w:tcPr>
                <w:p w14:paraId="4DC978EE">
                  <w:pPr>
                    <w:spacing w:line="34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氨氮</w:t>
                  </w:r>
                </w:p>
              </w:tc>
              <w:tc>
                <w:tcPr>
                  <w:tcW w:w="800" w:type="pct"/>
                  <w:noWrap w:val="0"/>
                  <w:vAlign w:val="center"/>
                </w:tcPr>
                <w:p w14:paraId="3C0FC786">
                  <w:pPr>
                    <w:adjustRightInd w:val="0"/>
                    <w:snapToGrid w:val="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29.34</w:t>
                  </w:r>
                </w:p>
              </w:tc>
              <w:tc>
                <w:tcPr>
                  <w:tcW w:w="674" w:type="pct"/>
                  <w:noWrap w:val="0"/>
                  <w:vAlign w:val="center"/>
                </w:tcPr>
                <w:p w14:paraId="7202B8D3">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4.600</w:t>
                  </w:r>
                </w:p>
              </w:tc>
              <w:tc>
                <w:tcPr>
                  <w:tcW w:w="674" w:type="pct"/>
                  <w:noWrap w:val="0"/>
                  <w:vAlign w:val="center"/>
                </w:tcPr>
                <w:p w14:paraId="68DA261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5</w:t>
                  </w:r>
                </w:p>
              </w:tc>
              <w:tc>
                <w:tcPr>
                  <w:tcW w:w="674" w:type="pct"/>
                  <w:noWrap w:val="0"/>
                  <w:vAlign w:val="center"/>
                </w:tcPr>
                <w:p w14:paraId="65E44D44">
                  <w:pPr>
                    <w:spacing w:line="34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45</w:t>
                  </w:r>
                </w:p>
              </w:tc>
              <w:tc>
                <w:tcPr>
                  <w:tcW w:w="896" w:type="pct"/>
                  <w:noWrap w:val="0"/>
                  <w:vAlign w:val="center"/>
                </w:tcPr>
                <w:p w14:paraId="55F5797A">
                  <w:pPr>
                    <w:spacing w:line="34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35</w:t>
                  </w:r>
                </w:p>
              </w:tc>
              <w:tc>
                <w:tcPr>
                  <w:tcW w:w="537" w:type="pct"/>
                  <w:noWrap w:val="0"/>
                  <w:vAlign w:val="center"/>
                </w:tcPr>
                <w:p w14:paraId="19D645B1">
                  <w:pPr>
                    <w:widowControl/>
                    <w:autoSpaceDE w:val="0"/>
                    <w:autoSpaceDN w:val="0"/>
                    <w:spacing w:line="340" w:lineRule="exact"/>
                    <w:jc w:val="center"/>
                    <w:textAlignment w:val="bottom"/>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达标</w:t>
                  </w:r>
                </w:p>
              </w:tc>
            </w:tr>
            <w:tr w14:paraId="023FC9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0" w:type="pct"/>
                  <w:shd w:val="clear" w:color="auto" w:fill="auto"/>
                  <w:noWrap w:val="0"/>
                  <w:vAlign w:val="center"/>
                </w:tcPr>
                <w:p w14:paraId="58AA13CF">
                  <w:pPr>
                    <w:pStyle w:val="134"/>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spacing w:val="0"/>
                      <w:sz w:val="21"/>
                      <w:szCs w:val="21"/>
                      <w:vertAlign w:val="baseline"/>
                      <w:lang w:val="en-US" w:eastAsia="zh-CN"/>
                    </w:rPr>
                    <w:t>石油类</w:t>
                  </w:r>
                </w:p>
              </w:tc>
              <w:tc>
                <w:tcPr>
                  <w:tcW w:w="800" w:type="pct"/>
                  <w:noWrap w:val="0"/>
                  <w:vAlign w:val="center"/>
                </w:tcPr>
                <w:p w14:paraId="592DDEF0">
                  <w:pPr>
                    <w:adjustRightInd w:val="0"/>
                    <w:snapToGrid w:val="0"/>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w:t>
                  </w:r>
                </w:p>
              </w:tc>
              <w:tc>
                <w:tcPr>
                  <w:tcW w:w="674" w:type="pct"/>
                  <w:shd w:val="clear" w:color="auto" w:fill="auto"/>
                  <w:noWrap w:val="0"/>
                  <w:vAlign w:val="center"/>
                </w:tcPr>
                <w:p w14:paraId="0FD561A8">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0.900</w:t>
                  </w:r>
                </w:p>
              </w:tc>
              <w:tc>
                <w:tcPr>
                  <w:tcW w:w="674" w:type="pct"/>
                  <w:shd w:val="clear" w:color="auto" w:fill="auto"/>
                  <w:noWrap w:val="0"/>
                  <w:vAlign w:val="center"/>
                </w:tcPr>
                <w:p w14:paraId="5566DA9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w:t>
                  </w:r>
                </w:p>
              </w:tc>
              <w:tc>
                <w:tcPr>
                  <w:tcW w:w="674" w:type="pct"/>
                  <w:shd w:val="clear" w:color="auto" w:fill="auto"/>
                  <w:noWrap w:val="0"/>
                  <w:vAlign w:val="center"/>
                </w:tcPr>
                <w:p w14:paraId="7FD40E7F">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lang w:val="en-US" w:eastAsia="zh-CN" w:bidi="ar-SA"/>
                      <w14:textFill>
                        <w14:solidFill>
                          <w14:schemeClr w14:val="tx1"/>
                        </w14:solidFill>
                      </w14:textFill>
                    </w:rPr>
                    <w:t>20</w:t>
                  </w:r>
                </w:p>
              </w:tc>
              <w:tc>
                <w:tcPr>
                  <w:tcW w:w="896" w:type="pct"/>
                  <w:noWrap w:val="0"/>
                  <w:vAlign w:val="center"/>
                </w:tcPr>
                <w:p w14:paraId="52404504">
                  <w:pPr>
                    <w:spacing w:line="34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w:t>
                  </w:r>
                </w:p>
              </w:tc>
              <w:tc>
                <w:tcPr>
                  <w:tcW w:w="537" w:type="pct"/>
                  <w:noWrap w:val="0"/>
                  <w:vAlign w:val="center"/>
                </w:tcPr>
                <w:p w14:paraId="2B9B6591">
                  <w:pPr>
                    <w:widowControl/>
                    <w:autoSpaceDE w:val="0"/>
                    <w:autoSpaceDN w:val="0"/>
                    <w:spacing w:line="340" w:lineRule="exact"/>
                    <w:jc w:val="center"/>
                    <w:textAlignment w:val="bottom"/>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达标</w:t>
                  </w:r>
                </w:p>
              </w:tc>
            </w:tr>
            <w:tr w14:paraId="5D71C4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0" w:type="pct"/>
                  <w:shd w:val="clear" w:color="auto" w:fill="auto"/>
                  <w:noWrap w:val="0"/>
                  <w:vAlign w:val="center"/>
                </w:tcPr>
                <w:p w14:paraId="3658806C">
                  <w:pPr>
                    <w:pStyle w:val="134"/>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spacing w:val="0"/>
                      <w:sz w:val="21"/>
                      <w:szCs w:val="21"/>
                      <w:vertAlign w:val="baseline"/>
                      <w:lang w:val="en-US" w:eastAsia="zh-CN"/>
                    </w:rPr>
                    <w:t>TN</w:t>
                  </w:r>
                </w:p>
              </w:tc>
              <w:tc>
                <w:tcPr>
                  <w:tcW w:w="800" w:type="pct"/>
                  <w:noWrap w:val="0"/>
                  <w:vAlign w:val="center"/>
                </w:tcPr>
                <w:p w14:paraId="78767836">
                  <w:pPr>
                    <w:adjustRightInd w:val="0"/>
                    <w:snapToGrid w:val="0"/>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w:t>
                  </w:r>
                </w:p>
              </w:tc>
              <w:tc>
                <w:tcPr>
                  <w:tcW w:w="674" w:type="pct"/>
                  <w:shd w:val="clear" w:color="auto" w:fill="auto"/>
                  <w:noWrap w:val="0"/>
                  <w:vAlign w:val="center"/>
                </w:tcPr>
                <w:p w14:paraId="1A4D0AF4">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14.400</w:t>
                  </w:r>
                </w:p>
              </w:tc>
              <w:tc>
                <w:tcPr>
                  <w:tcW w:w="674" w:type="pct"/>
                  <w:shd w:val="clear" w:color="auto" w:fill="auto"/>
                  <w:noWrap w:val="0"/>
                  <w:vAlign w:val="center"/>
                </w:tcPr>
                <w:p w14:paraId="1C73A3D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15</w:t>
                  </w:r>
                </w:p>
              </w:tc>
              <w:tc>
                <w:tcPr>
                  <w:tcW w:w="674" w:type="pct"/>
                  <w:shd w:val="clear" w:color="auto" w:fill="auto"/>
                  <w:noWrap w:val="0"/>
                  <w:vAlign w:val="center"/>
                </w:tcPr>
                <w:p w14:paraId="7737AFA8">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lang w:val="en-US" w:eastAsia="zh-CN" w:bidi="ar-SA"/>
                      <w14:textFill>
                        <w14:solidFill>
                          <w14:schemeClr w14:val="tx1"/>
                        </w14:solidFill>
                      </w14:textFill>
                    </w:rPr>
                    <w:t>70</w:t>
                  </w:r>
                </w:p>
              </w:tc>
              <w:tc>
                <w:tcPr>
                  <w:tcW w:w="896" w:type="pct"/>
                  <w:noWrap w:val="0"/>
                  <w:vAlign w:val="center"/>
                </w:tcPr>
                <w:p w14:paraId="40537337">
                  <w:pPr>
                    <w:spacing w:line="34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45</w:t>
                  </w:r>
                </w:p>
              </w:tc>
              <w:tc>
                <w:tcPr>
                  <w:tcW w:w="537" w:type="pct"/>
                  <w:noWrap w:val="0"/>
                  <w:vAlign w:val="center"/>
                </w:tcPr>
                <w:p w14:paraId="51960BE8">
                  <w:pPr>
                    <w:widowControl/>
                    <w:autoSpaceDE w:val="0"/>
                    <w:autoSpaceDN w:val="0"/>
                    <w:spacing w:line="340" w:lineRule="exact"/>
                    <w:jc w:val="center"/>
                    <w:textAlignment w:val="bottom"/>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达标</w:t>
                  </w:r>
                </w:p>
              </w:tc>
            </w:tr>
            <w:tr w14:paraId="0D3B0C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0" w:type="pct"/>
                  <w:shd w:val="clear" w:color="auto" w:fill="auto"/>
                  <w:noWrap w:val="0"/>
                  <w:vAlign w:val="center"/>
                </w:tcPr>
                <w:p w14:paraId="7CEEACF3">
                  <w:pPr>
                    <w:pStyle w:val="134"/>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spacing w:val="0"/>
                      <w:sz w:val="21"/>
                      <w:szCs w:val="21"/>
                      <w:vertAlign w:val="baseline"/>
                      <w:lang w:val="en-US" w:eastAsia="zh-CN"/>
                    </w:rPr>
                    <w:t>TP</w:t>
                  </w:r>
                </w:p>
              </w:tc>
              <w:tc>
                <w:tcPr>
                  <w:tcW w:w="800" w:type="pct"/>
                  <w:noWrap w:val="0"/>
                  <w:vAlign w:val="center"/>
                </w:tcPr>
                <w:p w14:paraId="55F7CF4A">
                  <w:pPr>
                    <w:adjustRightInd w:val="0"/>
                    <w:snapToGrid w:val="0"/>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w:t>
                  </w:r>
                </w:p>
              </w:tc>
              <w:tc>
                <w:tcPr>
                  <w:tcW w:w="674" w:type="pct"/>
                  <w:shd w:val="clear" w:color="auto" w:fill="auto"/>
                  <w:noWrap w:val="0"/>
                  <w:vAlign w:val="center"/>
                </w:tcPr>
                <w:p w14:paraId="56E4C388">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0.500</w:t>
                  </w:r>
                </w:p>
              </w:tc>
              <w:tc>
                <w:tcPr>
                  <w:tcW w:w="674" w:type="pct"/>
                  <w:shd w:val="clear" w:color="auto" w:fill="auto"/>
                  <w:noWrap w:val="0"/>
                  <w:vAlign w:val="center"/>
                </w:tcPr>
                <w:p w14:paraId="562572F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0.5</w:t>
                  </w:r>
                </w:p>
              </w:tc>
              <w:tc>
                <w:tcPr>
                  <w:tcW w:w="674" w:type="pct"/>
                  <w:shd w:val="clear" w:color="auto" w:fill="auto"/>
                  <w:noWrap w:val="0"/>
                  <w:vAlign w:val="center"/>
                </w:tcPr>
                <w:p w14:paraId="5B0ED524">
                  <w:pPr>
                    <w:keepNext w:val="0"/>
                    <w:keepLines w:val="0"/>
                    <w:widowControl/>
                    <w:suppressLineNumbers w:val="0"/>
                    <w:jc w:val="center"/>
                    <w:textAlignment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1"/>
                      <w:lang w:val="en-US" w:eastAsia="zh-CN" w:bidi="ar-SA"/>
                      <w14:textFill>
                        <w14:solidFill>
                          <w14:schemeClr w14:val="tx1"/>
                        </w14:solidFill>
                      </w14:textFill>
                    </w:rPr>
                    <w:t>8</w:t>
                  </w:r>
                </w:p>
              </w:tc>
              <w:tc>
                <w:tcPr>
                  <w:tcW w:w="896" w:type="pct"/>
                  <w:noWrap w:val="0"/>
                  <w:vAlign w:val="center"/>
                </w:tcPr>
                <w:p w14:paraId="09A2C983">
                  <w:pPr>
                    <w:spacing w:line="34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5</w:t>
                  </w:r>
                </w:p>
              </w:tc>
              <w:tc>
                <w:tcPr>
                  <w:tcW w:w="537" w:type="pct"/>
                  <w:noWrap w:val="0"/>
                  <w:vAlign w:val="center"/>
                </w:tcPr>
                <w:p w14:paraId="11B9BB80">
                  <w:pPr>
                    <w:widowControl/>
                    <w:autoSpaceDE w:val="0"/>
                    <w:autoSpaceDN w:val="0"/>
                    <w:spacing w:line="340" w:lineRule="exact"/>
                    <w:jc w:val="center"/>
                    <w:textAlignment w:val="bottom"/>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达标</w:t>
                  </w:r>
                </w:p>
              </w:tc>
            </w:tr>
          </w:tbl>
          <w:p w14:paraId="512AB412">
            <w:pPr>
              <w:pStyle w:val="92"/>
              <w:keepNext w:val="0"/>
              <w:keepLines w:val="0"/>
              <w:pageBreakBefore w:val="0"/>
              <w:widowControl w:val="0"/>
              <w:kinsoku/>
              <w:wordWrap/>
              <w:overflowPunct/>
              <w:topLinePunct w:val="0"/>
              <w:autoSpaceDE/>
              <w:autoSpaceDN/>
              <w:bidi w:val="0"/>
              <w:adjustRightInd/>
              <w:snapToGrid/>
              <w:spacing w:before="157" w:beforeLines="50" w:after="0" w:line="360" w:lineRule="auto"/>
              <w:ind w:left="0" w:leftChars="0" w:firstLine="480"/>
              <w:textAlignment w:val="auto"/>
              <w:rPr>
                <w:rFonts w:hint="default" w:ascii="Times New Roman" w:hAnsi="Times New Roman" w:eastAsia="宋体" w:cs="Times New Roman"/>
                <w:color w:val="000000" w:themeColor="text1"/>
                <w:lang w:val="en-US" w:eastAsia="zh-CN" w:bidi="he-IL"/>
                <w14:textFill>
                  <w14:solidFill>
                    <w14:schemeClr w14:val="tx1"/>
                  </w14:solidFill>
                </w14:textFill>
              </w:rPr>
            </w:pPr>
            <w:r>
              <w:rPr>
                <w:rFonts w:hint="default" w:ascii="Times New Roman" w:hAnsi="Times New Roman" w:cs="Times New Roman"/>
                <w:color w:val="000000" w:themeColor="text1"/>
                <w:lang w:bidi="he-IL"/>
                <w14:textFill>
                  <w14:solidFill>
                    <w14:schemeClr w14:val="tx1"/>
                  </w14:solidFill>
                </w14:textFill>
              </w:rPr>
              <w:t>根据上表所列数据，本项目</w:t>
            </w:r>
            <w:r>
              <w:rPr>
                <w:rFonts w:hint="eastAsia" w:ascii="Times New Roman" w:hAnsi="Times New Roman" w:cs="Times New Roman"/>
                <w:color w:val="000000" w:themeColor="text1"/>
                <w:lang w:val="en-US" w:eastAsia="zh-CN" w:bidi="he-IL"/>
                <w14:textFill>
                  <w14:solidFill>
                    <w14:schemeClr w14:val="tx1"/>
                  </w14:solidFill>
                </w14:textFill>
              </w:rPr>
              <w:t>外排废水</w:t>
            </w:r>
            <w:r>
              <w:rPr>
                <w:rFonts w:hint="default" w:ascii="Times New Roman" w:hAnsi="Times New Roman" w:cs="Times New Roman"/>
                <w:color w:val="000000" w:themeColor="text1"/>
                <w:lang w:bidi="he-IL"/>
                <w14:textFill>
                  <w14:solidFill>
                    <w14:schemeClr w14:val="tx1"/>
                  </w14:solidFill>
                </w14:textFill>
              </w:rPr>
              <w:t>主要污染物排放浓度均能满足</w:t>
            </w:r>
            <w:r>
              <w:rPr>
                <w:rFonts w:hint="default" w:ascii="Times New Roman" w:hAnsi="Times New Roman" w:cs="Times New Roman"/>
                <w:color w:val="000000" w:themeColor="text1"/>
                <w:spacing w:val="4"/>
                <w14:textFill>
                  <w14:solidFill>
                    <w14:schemeClr w14:val="tx1"/>
                  </w14:solidFill>
                </w14:textFill>
              </w:rPr>
              <w:t>《污水综合排放标准》(GB8978-1996)表4三级标准</w:t>
            </w:r>
            <w:r>
              <w:rPr>
                <w:rFonts w:hint="default" w:ascii="Times New Roman" w:hAnsi="Times New Roman" w:cs="Times New Roman"/>
                <w:color w:val="000000" w:themeColor="text1"/>
                <w:lang w:eastAsia="zh-CN"/>
                <w14:textFill>
                  <w14:solidFill>
                    <w14:schemeClr w14:val="tx1"/>
                  </w14:solidFill>
                </w14:textFill>
              </w:rPr>
              <w:t>及</w:t>
            </w:r>
            <w:r>
              <w:rPr>
                <w:rFonts w:hint="default" w:ascii="Times New Roman" w:hAnsi="Times New Roman" w:cs="Times New Roman"/>
                <w:color w:val="000000" w:themeColor="text1"/>
                <w14:textFill>
                  <w14:solidFill>
                    <w14:schemeClr w14:val="tx1"/>
                  </w14:solidFill>
                </w14:textFill>
              </w:rPr>
              <w:t>《污水排入城镇下水道水质标准》(GB/T 31962-2015)表1中B级标准限值</w:t>
            </w:r>
            <w:r>
              <w:rPr>
                <w:rFonts w:hint="default" w:ascii="Times New Roman" w:hAnsi="Times New Roman" w:cs="Times New Roman"/>
                <w:color w:val="000000" w:themeColor="text1"/>
                <w:lang w:eastAsia="zh-CN"/>
                <w14:textFill>
                  <w14:solidFill>
                    <w14:schemeClr w14:val="tx1"/>
                  </w14:solidFill>
                </w14:textFill>
              </w:rPr>
              <w:t>，也可以符合污水处理厂进水水质</w:t>
            </w:r>
            <w:r>
              <w:rPr>
                <w:rFonts w:hint="default" w:ascii="Times New Roman" w:hAnsi="Times New Roman" w:cs="Times New Roman"/>
                <w:color w:val="000000" w:themeColor="text1"/>
                <w:lang w:bidi="he-IL"/>
                <w14:textFill>
                  <w14:solidFill>
                    <w14:schemeClr w14:val="tx1"/>
                  </w14:solidFill>
                </w14:textFill>
              </w:rPr>
              <w:t>。</w:t>
            </w:r>
            <w:r>
              <w:rPr>
                <w:rFonts w:hint="eastAsia" w:ascii="Times New Roman" w:hAnsi="Times New Roman" w:cs="Times New Roman"/>
                <w:color w:val="000000" w:themeColor="text1"/>
                <w:lang w:val="en-US" w:eastAsia="zh-CN" w:bidi="he-IL"/>
                <w14:textFill>
                  <w14:solidFill>
                    <w14:schemeClr w14:val="tx1"/>
                  </w14:solidFill>
                </w14:textFill>
              </w:rPr>
              <w:t>生产废水经处理后可满足</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《城市污水再生利用 工业用水水质》（GB/T19923-2024）标准</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p>
          <w:p w14:paraId="6C884D35">
            <w:pPr>
              <w:pStyle w:val="81"/>
              <w:keepNext w:val="0"/>
              <w:keepLines w:val="0"/>
              <w:pageBreakBefore w:val="0"/>
              <w:widowControl w:val="0"/>
              <w:kinsoku/>
              <w:wordWrap/>
              <w:overflowPunct/>
              <w:topLinePunct w:val="0"/>
              <w:autoSpaceDE/>
              <w:autoSpaceDN/>
              <w:bidi w:val="0"/>
              <w:adjustRightInd/>
              <w:snapToGrid/>
              <w:spacing w:before="0" w:after="0" w:line="360" w:lineRule="auto"/>
              <w:ind w:left="0" w:leftChars="0"/>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项目废水排放不涉及有毒有害污染物，不涉及持久性、重金属污染物，也</w:t>
            </w:r>
            <w:r>
              <w:rPr>
                <w:rFonts w:hint="default" w:ascii="Times New Roman" w:hAnsi="Times New Roman" w:cs="Times New Roman"/>
                <w:color w:val="000000" w:themeColor="text1"/>
                <w14:textFill>
                  <w14:solidFill>
                    <w14:schemeClr w14:val="tx1"/>
                  </w14:solidFill>
                </w14:textFill>
              </w:rPr>
              <w:t>不含有腐蚀成分</w:t>
            </w:r>
            <w:r>
              <w:rPr>
                <w:rFonts w:hint="default" w:ascii="Times New Roman" w:hAnsi="Times New Roman" w:cs="Times New Roman"/>
                <w:color w:val="000000" w:themeColor="text1"/>
                <w:lang w:eastAsia="zh-CN"/>
                <w14:textFill>
                  <w14:solidFill>
                    <w14:schemeClr w14:val="tx1"/>
                  </w14:solidFill>
                </w14:textFill>
              </w:rPr>
              <w:t>，因此，从水质方面分析，项目废水经处理达标后，江镜华侨农场污水处理厂可</w:t>
            </w:r>
            <w:r>
              <w:rPr>
                <w:rFonts w:hint="default" w:ascii="Times New Roman" w:hAnsi="Times New Roman" w:cs="Times New Roman"/>
                <w:color w:val="000000" w:themeColor="text1"/>
                <w14:textFill>
                  <w14:solidFill>
                    <w14:schemeClr w14:val="tx1"/>
                  </w14:solidFill>
                </w14:textFill>
              </w:rPr>
              <w:t>接纳项目</w:t>
            </w:r>
            <w:r>
              <w:rPr>
                <w:rFonts w:hint="default" w:ascii="Times New Roman" w:hAnsi="Times New Roman" w:cs="Times New Roman"/>
                <w:color w:val="000000" w:themeColor="text1"/>
                <w:lang w:eastAsia="zh-CN"/>
                <w14:textFill>
                  <w14:solidFill>
                    <w14:schemeClr w14:val="tx1"/>
                  </w14:solidFill>
                </w14:textFill>
              </w:rPr>
              <w:t>废水水质，不会对污水处理厂水质负荷造成冲击</w:t>
            </w:r>
            <w:r>
              <w:rPr>
                <w:rFonts w:hint="default" w:ascii="Times New Roman" w:hAnsi="Times New Roman" w:cs="Times New Roman"/>
                <w:color w:val="000000" w:themeColor="text1"/>
                <w14:textFill>
                  <w14:solidFill>
                    <w14:schemeClr w14:val="tx1"/>
                  </w14:solidFill>
                </w14:textFill>
              </w:rPr>
              <w:t>。</w:t>
            </w:r>
          </w:p>
          <w:p w14:paraId="45E192C8">
            <w:pPr>
              <w:pStyle w:val="81"/>
              <w:rPr>
                <w:rFonts w:hint="default" w:ascii="Times New Roman" w:hAnsi="Times New Roman" w:cs="Times New Roman"/>
                <w:color w:val="000000" w:themeColor="text1"/>
                <w:highlight w:val="none"/>
                <w:lang w:val="en-US" w:eastAsia="zh-CN" w:bidi="he-IL"/>
                <w14:textFill>
                  <w14:solidFill>
                    <w14:schemeClr w14:val="tx1"/>
                  </w14:solidFill>
                </w14:textFill>
              </w:rPr>
            </w:pPr>
            <w:r>
              <w:rPr>
                <w:rFonts w:hint="default" w:ascii="Times New Roman" w:hAnsi="Times New Roman" w:cs="Times New Roman"/>
                <w:color w:val="000000" w:themeColor="text1"/>
                <w:highlight w:val="none"/>
                <w:lang w:val="en-US" w:eastAsia="zh-CN" w:bidi="he-IL"/>
                <w14:textFill>
                  <w14:solidFill>
                    <w14:schemeClr w14:val="tx1"/>
                  </w14:solidFill>
                </w14:textFill>
              </w:rPr>
              <w:t>③水量负荷</w:t>
            </w:r>
          </w:p>
          <w:p w14:paraId="12B4D246">
            <w:pPr>
              <w:spacing w:line="360" w:lineRule="auto"/>
              <w:ind w:firstLine="480"/>
              <w:rPr>
                <w:rFonts w:hint="default"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根据业主提供的资料，厂房外已建设的化粪池大小为3m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，拟建污水处理设施处理能力为40</w:t>
            </w:r>
            <w:r>
              <w:rPr>
                <w:rFonts w:hint="default" w:ascii="Times New Roman" w:hAnsi="Times New Roman" w:cs="Times New Roman"/>
                <w:color w:val="000000" w:themeColor="text1"/>
                <w:sz w:val="24"/>
                <w:szCs w:val="24"/>
                <w:lang w:val="en-US" w:eastAsia="zh-CN"/>
                <w14:textFill>
                  <w14:solidFill>
                    <w14:schemeClr w14:val="tx1"/>
                  </w14:solidFill>
                </w14:textFill>
              </w:rPr>
              <w:t>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4"/>
                <w:lang w:val="en-US" w:eastAsia="zh-CN"/>
                <w14:textFill>
                  <w14:solidFill>
                    <w14:schemeClr w14:val="tx1"/>
                  </w14:solidFill>
                </w14:textFill>
              </w:rPr>
              <w:t>/d。本项目外排污水排放量为0.51m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4"/>
                <w:lang w:val="en-US" w:eastAsia="zh-CN"/>
                <w14:textFill>
                  <w14:solidFill>
                    <w14:schemeClr w14:val="tx1"/>
                  </w14:solidFill>
                </w14:textFill>
              </w:rPr>
              <w:t>/d，生产废水产生量为31.76m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4"/>
                <w:lang w:val="en-US" w:eastAsia="zh-CN"/>
                <w14:textFill>
                  <w14:solidFill>
                    <w14:schemeClr w14:val="tx1"/>
                  </w14:solidFill>
                </w14:textFill>
              </w:rPr>
              <w:t>/d，因此，化粪池可消纳本项目产生的生活污水，拟建的</w:t>
            </w:r>
            <w:r>
              <w:rPr>
                <w:rFonts w:hint="eastAsia" w:ascii="Times New Roman" w:hAnsi="Times New Roman" w:cs="Times New Roman"/>
                <w:color w:val="000000" w:themeColor="text1"/>
                <w:sz w:val="24"/>
                <w:szCs w:val="24"/>
                <w:lang w:val="en-US" w:eastAsia="zh-CN"/>
                <w14:textFill>
                  <w14:solidFill>
                    <w14:schemeClr w14:val="tx1"/>
                  </w14:solidFill>
                </w14:textFill>
              </w:rPr>
              <w:t>废水处理设施</w:t>
            </w:r>
            <w:r>
              <w:rPr>
                <w:rFonts w:hint="default" w:ascii="Times New Roman" w:hAnsi="Times New Roman" w:cs="Times New Roman"/>
                <w:color w:val="000000" w:themeColor="text1"/>
                <w:sz w:val="24"/>
                <w:szCs w:val="24"/>
                <w:lang w:val="en-US" w:eastAsia="zh-CN"/>
                <w14:textFill>
                  <w14:solidFill>
                    <w14:schemeClr w14:val="tx1"/>
                  </w14:solidFill>
                </w14:textFill>
              </w:rPr>
              <w:t>可</w:t>
            </w:r>
            <w:r>
              <w:rPr>
                <w:rFonts w:hint="eastAsia" w:ascii="Times New Roman" w:hAnsi="Times New Roman" w:cs="Times New Roman"/>
                <w:color w:val="000000" w:themeColor="text1"/>
                <w:sz w:val="24"/>
                <w:szCs w:val="24"/>
                <w:lang w:val="en-US" w:eastAsia="zh-CN"/>
                <w14:textFill>
                  <w14:solidFill>
                    <w14:schemeClr w14:val="tx1"/>
                  </w14:solidFill>
                </w14:textFill>
              </w:rPr>
              <w:t>满足生产负荷</w:t>
            </w:r>
            <w:r>
              <w:rPr>
                <w:rFonts w:hint="default" w:ascii="Times New Roman" w:hAnsi="Times New Roman" w:cs="Times New Roman"/>
                <w:color w:val="000000" w:themeColor="text1"/>
                <w:sz w:val="24"/>
                <w:szCs w:val="24"/>
                <w:lang w:val="en-US" w:eastAsia="zh-CN"/>
                <w14:textFill>
                  <w14:solidFill>
                    <w14:schemeClr w14:val="tx1"/>
                  </w14:solidFill>
                </w14:textFill>
              </w:rPr>
              <w:t>。</w:t>
            </w:r>
          </w:p>
          <w:p w14:paraId="029A9E0D">
            <w:pPr>
              <w:spacing w:line="360" w:lineRule="auto"/>
              <w:ind w:firstLine="480"/>
              <w:rPr>
                <w:rFonts w:hint="default"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江镜华侨农场污水处理厂</w:t>
            </w:r>
            <w:r>
              <w:rPr>
                <w:rFonts w:hint="default" w:ascii="Times New Roman" w:hAnsi="Times New Roman" w:cs="Times New Roman"/>
                <w:color w:val="000000" w:themeColor="text1"/>
                <w:sz w:val="24"/>
                <w:szCs w:val="24"/>
                <w:shd w:val="clear" w:color="auto" w:fill="FFFFFF"/>
                <w14:textFill>
                  <w14:solidFill>
                    <w14:schemeClr w14:val="tx1"/>
                  </w14:solidFill>
                </w14:textFill>
              </w:rPr>
              <w:t>投建一期一组1.25万m</w:t>
            </w:r>
            <w:r>
              <w:rPr>
                <w:rFonts w:hint="default" w:ascii="Times New Roman" w:hAnsi="Times New Roman" w:cs="Times New Roman"/>
                <w:color w:val="000000" w:themeColor="text1"/>
                <w:sz w:val="24"/>
                <w:szCs w:val="24"/>
                <w:shd w:val="clear" w:color="auto" w:fill="FFFFFF"/>
                <w:vertAlign w:val="superscript"/>
                <w14:textFill>
                  <w14:solidFill>
                    <w14:schemeClr w14:val="tx1"/>
                  </w14:solidFill>
                </w14:textFill>
              </w:rPr>
              <w:t>3</w:t>
            </w:r>
            <w:r>
              <w:rPr>
                <w:rFonts w:hint="default" w:ascii="Times New Roman" w:hAnsi="Times New Roman" w:cs="Times New Roman"/>
                <w:color w:val="000000" w:themeColor="text1"/>
                <w:sz w:val="24"/>
                <w:szCs w:val="24"/>
                <w:shd w:val="clear" w:color="auto" w:fill="FFFFFF"/>
                <w14:textFill>
                  <w14:solidFill>
                    <w14:schemeClr w14:val="tx1"/>
                  </w14:solidFill>
                </w14:textFill>
              </w:rPr>
              <w:t>/d，预留一期二组1.25万m</w:t>
            </w:r>
            <w:r>
              <w:rPr>
                <w:rFonts w:hint="default" w:ascii="Times New Roman" w:hAnsi="Times New Roman" w:cs="Times New Roman"/>
                <w:color w:val="000000" w:themeColor="text1"/>
                <w:sz w:val="24"/>
                <w:szCs w:val="24"/>
                <w:shd w:val="clear" w:color="auto" w:fill="FFFFFF"/>
                <w:vertAlign w:val="superscript"/>
                <w14:textFill>
                  <w14:solidFill>
                    <w14:schemeClr w14:val="tx1"/>
                  </w14:solidFill>
                </w14:textFill>
              </w:rPr>
              <w:t>3</w:t>
            </w:r>
            <w:r>
              <w:rPr>
                <w:rFonts w:hint="default" w:ascii="Times New Roman" w:hAnsi="Times New Roman" w:cs="Times New Roman"/>
                <w:color w:val="000000" w:themeColor="text1"/>
                <w:sz w:val="24"/>
                <w:szCs w:val="24"/>
                <w:shd w:val="clear" w:color="auto" w:fill="FFFFFF"/>
                <w14:textFill>
                  <w14:solidFill>
                    <w14:schemeClr w14:val="tx1"/>
                  </w14:solidFill>
                </w14:textFill>
              </w:rPr>
              <w:t>/d，远期2030年污水工程规模为15.0万m</w:t>
            </w:r>
            <w:r>
              <w:rPr>
                <w:rFonts w:hint="default" w:ascii="Times New Roman" w:hAnsi="Times New Roman" w:cs="Times New Roman"/>
                <w:color w:val="000000" w:themeColor="text1"/>
                <w:sz w:val="24"/>
                <w:szCs w:val="24"/>
                <w:shd w:val="clear" w:color="auto" w:fill="FFFFFF"/>
                <w:vertAlign w:val="superscript"/>
                <w14:textFill>
                  <w14:solidFill>
                    <w14:schemeClr w14:val="tx1"/>
                  </w14:solidFill>
                </w14:textFill>
              </w:rPr>
              <w:t>3</w:t>
            </w:r>
            <w:r>
              <w:rPr>
                <w:rFonts w:hint="default" w:ascii="Times New Roman" w:hAnsi="Times New Roman" w:cs="Times New Roman"/>
                <w:color w:val="000000" w:themeColor="text1"/>
                <w:sz w:val="24"/>
                <w:szCs w:val="24"/>
                <w:shd w:val="clear" w:color="auto" w:fill="FFFFFF"/>
                <w14:textFill>
                  <w14:solidFill>
                    <w14:schemeClr w14:val="tx1"/>
                  </w14:solidFill>
                </w14:textFill>
              </w:rPr>
              <w:t>/d。</w:t>
            </w:r>
            <w:r>
              <w:rPr>
                <w:rFonts w:hint="default" w:ascii="Times New Roman" w:hAnsi="Times New Roman" w:cs="Times New Roman"/>
                <w:color w:val="000000" w:themeColor="text1"/>
                <w:sz w:val="24"/>
                <w:szCs w:val="24"/>
                <w:lang w:eastAsia="zh-CN"/>
                <w14:textFill>
                  <w14:solidFill>
                    <w14:schemeClr w14:val="tx1"/>
                  </w14:solidFill>
                </w14:textFill>
              </w:rPr>
              <w:t>根据调查，</w:t>
            </w:r>
            <w:r>
              <w:rPr>
                <w:rFonts w:hint="default" w:ascii="Times New Roman" w:hAnsi="Times New Roman" w:cs="Times New Roman"/>
                <w:color w:val="000000" w:themeColor="text1"/>
                <w:sz w:val="24"/>
                <w:szCs w:val="24"/>
                <w14:textFill>
                  <w14:solidFill>
                    <w14:schemeClr w14:val="tx1"/>
                  </w14:solidFill>
                </w14:textFill>
              </w:rPr>
              <w:t>目前</w:t>
            </w:r>
            <w:r>
              <w:rPr>
                <w:rFonts w:hint="default" w:ascii="Times New Roman" w:hAnsi="Times New Roman" w:cs="Times New Roman"/>
                <w:color w:val="000000" w:themeColor="text1"/>
                <w:sz w:val="24"/>
                <w:szCs w:val="24"/>
                <w:lang w:eastAsia="zh-CN"/>
                <w14:textFill>
                  <w14:solidFill>
                    <w14:schemeClr w14:val="tx1"/>
                  </w14:solidFill>
                </w14:textFill>
              </w:rPr>
              <w:t>江镜华侨农场污水处理厂</w:t>
            </w:r>
            <w:r>
              <w:rPr>
                <w:rFonts w:hint="default" w:ascii="Times New Roman" w:hAnsi="Times New Roman" w:cs="Times New Roman"/>
                <w:color w:val="000000" w:themeColor="text1"/>
                <w:sz w:val="24"/>
                <w:szCs w:val="24"/>
                <w14:textFill>
                  <w14:solidFill>
                    <w14:schemeClr w14:val="tx1"/>
                  </w14:solidFill>
                </w14:textFill>
              </w:rPr>
              <w:t>实际</w:t>
            </w:r>
            <w:r>
              <w:rPr>
                <w:rFonts w:hint="default" w:ascii="Times New Roman" w:hAnsi="Times New Roman" w:cs="Times New Roman"/>
                <w:color w:val="000000" w:themeColor="text1"/>
                <w:sz w:val="24"/>
                <w:szCs w:val="24"/>
                <w:lang w:val="en-US" w:eastAsia="zh-CN"/>
                <w14:textFill>
                  <w14:solidFill>
                    <w14:schemeClr w14:val="tx1"/>
                  </w14:solidFill>
                </w14:textFill>
              </w:rPr>
              <w:t>日平均</w:t>
            </w:r>
            <w:r>
              <w:rPr>
                <w:rFonts w:hint="default" w:ascii="Times New Roman" w:hAnsi="Times New Roman" w:cs="Times New Roman"/>
                <w:color w:val="000000" w:themeColor="text1"/>
                <w:sz w:val="24"/>
                <w:szCs w:val="24"/>
                <w14:textFill>
                  <w14:solidFill>
                    <w14:schemeClr w14:val="tx1"/>
                  </w14:solidFill>
                </w14:textFill>
              </w:rPr>
              <w:t>处理量为</w:t>
            </w:r>
            <w:r>
              <w:rPr>
                <w:rFonts w:hint="default" w:ascii="Times New Roman" w:hAnsi="Times New Roman" w:cs="Times New Roman"/>
                <w:color w:val="000000" w:themeColor="text1"/>
                <w:sz w:val="24"/>
                <w:szCs w:val="24"/>
                <w:lang w:val="en-US" w:eastAsia="zh-CN"/>
                <w14:textFill>
                  <w14:solidFill>
                    <w14:schemeClr w14:val="tx1"/>
                  </w14:solidFill>
                </w14:textFill>
              </w:rPr>
              <w:t>2000</w:t>
            </w:r>
            <w:r>
              <w:rPr>
                <w:rFonts w:hint="default" w:ascii="Times New Roman" w:hAnsi="Times New Roman" w:cs="Times New Roman"/>
                <w:color w:val="000000" w:themeColor="text1"/>
                <w:sz w:val="24"/>
                <w:szCs w:val="24"/>
                <w14:textFill>
                  <w14:solidFill>
                    <w14:schemeClr w14:val="tx1"/>
                  </w14:solidFill>
                </w14:textFill>
              </w:rPr>
              <w:t>t/d，尚有余量</w:t>
            </w:r>
            <w:r>
              <w:rPr>
                <w:rFonts w:hint="default" w:ascii="Times New Roman" w:hAnsi="Times New Roman" w:cs="Times New Roman"/>
                <w:color w:val="000000" w:themeColor="text1"/>
                <w:sz w:val="24"/>
                <w:szCs w:val="24"/>
                <w:lang w:val="en-US" w:eastAsia="zh-CN"/>
                <w14:textFill>
                  <w14:solidFill>
                    <w14:schemeClr w14:val="tx1"/>
                  </w14:solidFill>
                </w14:textFill>
              </w:rPr>
              <w:t>10500</w:t>
            </w:r>
            <w:r>
              <w:rPr>
                <w:rFonts w:hint="default" w:ascii="Times New Roman" w:hAnsi="Times New Roman" w:cs="Times New Roman"/>
                <w:color w:val="000000" w:themeColor="text1"/>
                <w:sz w:val="24"/>
                <w:szCs w:val="24"/>
                <w14:textFill>
                  <w14:solidFill>
                    <w14:schemeClr w14:val="tx1"/>
                  </w14:solidFill>
                </w14:textFill>
              </w:rPr>
              <w:t>t/d。项目</w:t>
            </w:r>
            <w:r>
              <w:rPr>
                <w:rFonts w:hint="default" w:ascii="Times New Roman" w:hAnsi="Times New Roman" w:cs="Times New Roman"/>
                <w:color w:val="000000" w:themeColor="text1"/>
                <w:sz w:val="24"/>
                <w:szCs w:val="24"/>
                <w:lang w:val="en-US" w:eastAsia="zh-CN"/>
                <w14:textFill>
                  <w14:solidFill>
                    <w14:schemeClr w14:val="tx1"/>
                  </w14:solidFill>
                </w14:textFill>
              </w:rPr>
              <w:t>废水</w:t>
            </w:r>
            <w:r>
              <w:rPr>
                <w:rFonts w:hint="default" w:ascii="Times New Roman" w:hAnsi="Times New Roman" w:cs="Times New Roman"/>
                <w:color w:val="000000" w:themeColor="text1"/>
                <w:sz w:val="24"/>
                <w:szCs w:val="24"/>
                <w14:textFill>
                  <w14:solidFill>
                    <w14:schemeClr w14:val="tx1"/>
                  </w14:solidFill>
                </w14:textFill>
              </w:rPr>
              <w:t>排放量</w:t>
            </w:r>
            <w:r>
              <w:rPr>
                <w:rFonts w:hint="default" w:ascii="Times New Roman" w:hAnsi="Times New Roman" w:cs="Times New Roman"/>
                <w:color w:val="000000" w:themeColor="text1"/>
                <w:sz w:val="24"/>
                <w:szCs w:val="24"/>
                <w:lang w:val="en-US" w:eastAsia="zh-CN"/>
                <w14:textFill>
                  <w14:solidFill>
                    <w14:schemeClr w14:val="tx1"/>
                  </w14:solidFill>
                </w14:textFill>
              </w:rPr>
              <w:t>13.21</w:t>
            </w:r>
            <w:r>
              <w:rPr>
                <w:rFonts w:hint="default" w:ascii="Times New Roman" w:hAnsi="Times New Roman" w:cs="Times New Roman"/>
                <w:color w:val="000000" w:themeColor="text1"/>
                <w:sz w:val="24"/>
                <w:szCs w:val="24"/>
                <w14:textFill>
                  <w14:solidFill>
                    <w14:schemeClr w14:val="tx1"/>
                  </w14:solidFill>
                </w14:textFill>
              </w:rPr>
              <w:t>t/d，仅占</w:t>
            </w:r>
            <w:r>
              <w:rPr>
                <w:rFonts w:hint="default" w:ascii="Times New Roman" w:hAnsi="Times New Roman" w:cs="Times New Roman"/>
                <w:color w:val="000000" w:themeColor="text1"/>
                <w:sz w:val="24"/>
                <w:szCs w:val="24"/>
                <w:lang w:eastAsia="zh-CN"/>
                <w14:textFill>
                  <w14:solidFill>
                    <w14:schemeClr w14:val="tx1"/>
                  </w14:solidFill>
                </w14:textFill>
              </w:rPr>
              <w:t>江镜华侨农场污水处理厂</w:t>
            </w:r>
            <w:r>
              <w:rPr>
                <w:rFonts w:hint="default" w:ascii="Times New Roman" w:hAnsi="Times New Roman" w:cs="Times New Roman"/>
                <w:color w:val="000000" w:themeColor="text1"/>
                <w:sz w:val="24"/>
                <w:szCs w:val="24"/>
                <w14:textFill>
                  <w14:solidFill>
                    <w14:schemeClr w14:val="tx1"/>
                  </w14:solidFill>
                </w14:textFill>
              </w:rPr>
              <w:t>处理余量的</w:t>
            </w:r>
            <w:r>
              <w:rPr>
                <w:rFonts w:hint="default" w:ascii="Times New Roman" w:hAnsi="Times New Roman" w:cs="Times New Roman"/>
                <w:color w:val="000000" w:themeColor="text1"/>
                <w:sz w:val="24"/>
                <w:szCs w:val="24"/>
                <w:lang w:val="en-US" w:eastAsia="zh-CN"/>
                <w14:textFill>
                  <w14:solidFill>
                    <w14:schemeClr w14:val="tx1"/>
                  </w14:solidFill>
                </w14:textFill>
              </w:rPr>
              <w:t>0.13</w:t>
            </w:r>
            <w:r>
              <w:rPr>
                <w:rFonts w:hint="default" w:ascii="Times New Roman" w:hAnsi="Times New Roman" w:cs="Times New Roman"/>
                <w:color w:val="000000" w:themeColor="text1"/>
                <w:sz w:val="24"/>
                <w:szCs w:val="24"/>
                <w14:textFill>
                  <w14:solidFill>
                    <w14:schemeClr w14:val="tx1"/>
                  </w14:solidFill>
                </w14:textFill>
              </w:rPr>
              <w:t>%，从水量上而言，</w:t>
            </w:r>
            <w:r>
              <w:rPr>
                <w:rFonts w:hint="default" w:ascii="Times New Roman" w:hAnsi="Times New Roman" w:cs="Times New Roman"/>
                <w:color w:val="000000" w:themeColor="text1"/>
                <w:sz w:val="24"/>
                <w:szCs w:val="24"/>
                <w:lang w:eastAsia="zh-CN"/>
                <w14:textFill>
                  <w14:solidFill>
                    <w14:schemeClr w14:val="tx1"/>
                  </w14:solidFill>
                </w14:textFill>
              </w:rPr>
              <w:t>江镜华侨农场污水处理厂可</w:t>
            </w:r>
            <w:r>
              <w:rPr>
                <w:rFonts w:hint="default" w:ascii="Times New Roman" w:hAnsi="Times New Roman" w:cs="Times New Roman"/>
                <w:color w:val="000000" w:themeColor="text1"/>
                <w:sz w:val="24"/>
                <w:szCs w:val="24"/>
                <w14:textFill>
                  <w14:solidFill>
                    <w14:schemeClr w14:val="tx1"/>
                  </w14:solidFill>
                </w14:textFill>
              </w:rPr>
              <w:t>接纳项目</w:t>
            </w:r>
            <w:r>
              <w:rPr>
                <w:rFonts w:hint="default" w:ascii="Times New Roman" w:hAnsi="Times New Roman" w:cs="Times New Roman"/>
                <w:color w:val="000000" w:themeColor="text1"/>
                <w:sz w:val="24"/>
                <w:szCs w:val="24"/>
                <w:lang w:eastAsia="zh-CN"/>
                <w14:textFill>
                  <w14:solidFill>
                    <w14:schemeClr w14:val="tx1"/>
                  </w14:solidFill>
                </w14:textFill>
              </w:rPr>
              <w:t>废水排放量，不会对污水处理厂水量负荷造成冲击</w:t>
            </w:r>
            <w:r>
              <w:rPr>
                <w:rFonts w:hint="default" w:ascii="Times New Roman" w:hAnsi="Times New Roman" w:cs="Times New Roman"/>
                <w:color w:val="000000" w:themeColor="text1"/>
                <w:sz w:val="24"/>
                <w:szCs w:val="24"/>
                <w14:textFill>
                  <w14:solidFill>
                    <w14:schemeClr w14:val="tx1"/>
                  </w14:solidFill>
                </w14:textFill>
              </w:rPr>
              <w:t>。</w:t>
            </w:r>
          </w:p>
          <w:p w14:paraId="71337444">
            <w:pPr>
              <w:adjustRightInd w:val="0"/>
              <w:snapToGrid w:val="0"/>
              <w:spacing w:line="360" w:lineRule="auto"/>
              <w:rPr>
                <w:rFonts w:hint="default" w:ascii="Times New Roman" w:hAnsi="Times New Roman" w:eastAsia="黑体" w:cs="Times New Roman"/>
                <w:b/>
                <w:bCs/>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kern w:val="0"/>
                <w:sz w:val="24"/>
                <w14:textFill>
                  <w14:solidFill>
                    <w14:schemeClr w14:val="tx1"/>
                  </w14:solidFill>
                </w14:textFill>
              </w:rPr>
              <w:t>4.</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3</w:t>
            </w:r>
            <w:r>
              <w:rPr>
                <w:rFonts w:hint="default" w:ascii="Times New Roman" w:hAnsi="Times New Roman" w:eastAsia="宋体" w:cs="Times New Roman"/>
                <w:b/>
                <w:bCs/>
                <w:color w:val="000000" w:themeColor="text1"/>
                <w:kern w:val="0"/>
                <w:sz w:val="24"/>
                <w14:textFill>
                  <w14:solidFill>
                    <w14:schemeClr w14:val="tx1"/>
                  </w14:solidFill>
                </w14:textFill>
              </w:rPr>
              <w:t>.3 自行监测计划</w:t>
            </w:r>
          </w:p>
          <w:p w14:paraId="2EEFB335">
            <w:pPr>
              <w:pStyle w:val="79"/>
              <w:adjustRightInd w:val="0"/>
              <w:snapToGrid w:val="0"/>
              <w:ind w:firstLine="480"/>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本项目实行排污许可</w:t>
            </w:r>
            <w:r>
              <w:rPr>
                <w:rFonts w:hint="default" w:ascii="Times New Roman" w:hAnsi="Times New Roman" w:cs="Times New Roman"/>
                <w:color w:val="000000" w:themeColor="text1"/>
                <w:lang w:eastAsia="zh-CN"/>
                <w14:textFill>
                  <w14:solidFill>
                    <w14:schemeClr w14:val="tx1"/>
                  </w14:solidFill>
                </w14:textFill>
              </w:rPr>
              <w:t>简化管理</w:t>
            </w:r>
            <w:r>
              <w:rPr>
                <w:rFonts w:hint="default" w:ascii="Times New Roman" w:hAnsi="Times New Roman" w:cs="Times New Roman"/>
                <w:color w:val="000000" w:themeColor="text1"/>
                <w14:textFill>
                  <w14:solidFill>
                    <w14:schemeClr w14:val="tx1"/>
                  </w14:solidFill>
                </w14:textFill>
              </w:rPr>
              <w:t>，项目废水经预处理后排入市政管网，送往</w:t>
            </w:r>
            <w:r>
              <w:rPr>
                <w:rFonts w:hint="default" w:ascii="Times New Roman" w:hAnsi="Times New Roman" w:cs="Times New Roman"/>
                <w:color w:val="000000" w:themeColor="text1"/>
                <w:lang w:eastAsia="zh-CN"/>
                <w14:textFill>
                  <w14:solidFill>
                    <w14:schemeClr w14:val="tx1"/>
                  </w14:solidFill>
                </w14:textFill>
              </w:rPr>
              <w:t>江镜华侨农场污水处理厂</w:t>
            </w:r>
            <w:r>
              <w:rPr>
                <w:rFonts w:hint="default" w:ascii="Times New Roman" w:hAnsi="Times New Roman" w:cs="Times New Roman"/>
                <w:color w:val="000000" w:themeColor="text1"/>
                <w14:textFill>
                  <w14:solidFill>
                    <w14:schemeClr w14:val="tx1"/>
                  </w14:solidFill>
                </w14:textFill>
              </w:rPr>
              <w:t>集中处理，属于间接排放，</w:t>
            </w:r>
            <w:r>
              <w:rPr>
                <w:rFonts w:hint="default" w:ascii="Times New Roman" w:hAnsi="Times New Roman" w:cs="Times New Roman"/>
                <w:bCs/>
                <w:color w:val="000000" w:themeColor="text1"/>
                <w14:textFill>
                  <w14:solidFill>
                    <w14:schemeClr w14:val="tx1"/>
                  </w14:solidFill>
                </w14:textFill>
              </w:rPr>
              <w:t>本评价参照</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lang w:eastAsia="zh-CN"/>
                <w14:textFill>
                  <w14:solidFill>
                    <w14:schemeClr w14:val="tx1"/>
                  </w14:solidFill>
                </w14:textFill>
              </w:rPr>
              <w:t>排污许可证申请与核发技术规范</w:t>
            </w:r>
            <w:r>
              <w:rPr>
                <w:rFonts w:hint="default" w:ascii="Times New Roman" w:hAnsi="Times New Roman" w:cs="Times New Roman"/>
                <w:bCs/>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bCs/>
                <w:color w:val="000000" w:themeColor="text1"/>
                <w:sz w:val="24"/>
                <w:lang w:eastAsia="zh-CN"/>
                <w14:textFill>
                  <w14:solidFill>
                    <w14:schemeClr w14:val="tx1"/>
                  </w14:solidFill>
                </w14:textFill>
              </w:rPr>
              <w:t>废弃资源加工工业</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lang w:eastAsia="zh-CN"/>
                <w14:textFill>
                  <w14:solidFill>
                    <w14:schemeClr w14:val="tx1"/>
                  </w14:solidFill>
                </w14:textFill>
              </w:rPr>
              <w:t>（HJ 1</w:t>
            </w:r>
            <w:r>
              <w:rPr>
                <w:rFonts w:hint="default" w:ascii="Times New Roman" w:hAnsi="Times New Roman" w:cs="Times New Roman"/>
                <w:bCs/>
                <w:color w:val="000000" w:themeColor="text1"/>
                <w:sz w:val="24"/>
                <w:lang w:val="en-US" w:eastAsia="zh-CN"/>
                <w14:textFill>
                  <w14:solidFill>
                    <w14:schemeClr w14:val="tx1"/>
                  </w14:solidFill>
                </w14:textFill>
              </w:rPr>
              <w:t>034</w:t>
            </w:r>
            <w:r>
              <w:rPr>
                <w:rFonts w:hint="default" w:ascii="Times New Roman" w:hAnsi="Times New Roman" w:eastAsia="宋体" w:cs="Times New Roman"/>
                <w:bCs/>
                <w:color w:val="000000" w:themeColor="text1"/>
                <w:sz w:val="24"/>
                <w:lang w:eastAsia="zh-CN"/>
                <w14:textFill>
                  <w14:solidFill>
                    <w14:schemeClr w14:val="tx1"/>
                  </w14:solidFill>
                </w14:textFill>
              </w:rPr>
              <w:t>—20</w:t>
            </w:r>
            <w:r>
              <w:rPr>
                <w:rFonts w:hint="default" w:ascii="Times New Roman" w:hAnsi="Times New Roman" w:cs="Times New Roman"/>
                <w:bCs/>
                <w:color w:val="000000" w:themeColor="text1"/>
                <w:sz w:val="24"/>
                <w:lang w:val="en-US" w:eastAsia="zh-CN"/>
                <w14:textFill>
                  <w14:solidFill>
                    <w14:schemeClr w14:val="tx1"/>
                  </w14:solidFill>
                </w14:textFill>
              </w:rPr>
              <w:t>19</w:t>
            </w:r>
            <w:r>
              <w:rPr>
                <w:rFonts w:hint="default" w:ascii="Times New Roman" w:hAnsi="Times New Roman" w:eastAsia="宋体"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lang w:eastAsia="zh-CN"/>
                <w14:textFill>
                  <w14:solidFill>
                    <w14:schemeClr w14:val="tx1"/>
                  </w14:solidFill>
                </w14:textFill>
              </w:rPr>
              <w:t>的</w:t>
            </w:r>
            <w:r>
              <w:rPr>
                <w:rFonts w:hint="default" w:ascii="Times New Roman" w:hAnsi="Times New Roman" w:cs="Times New Roman"/>
                <w:bCs/>
                <w:color w:val="000000" w:themeColor="text1"/>
                <w14:textFill>
                  <w14:solidFill>
                    <w14:schemeClr w14:val="tx1"/>
                  </w14:solidFill>
                </w14:textFill>
              </w:rPr>
              <w:t>要求，提出项目运营期废水自行监测计划，</w:t>
            </w:r>
            <w:r>
              <w:rPr>
                <w:rFonts w:hint="default" w:ascii="Times New Roman" w:hAnsi="Times New Roman" w:cs="Times New Roman"/>
                <w:bCs/>
                <w:color w:val="000000" w:themeColor="text1"/>
                <w:lang w:eastAsia="zh-CN"/>
                <w14:textFill>
                  <w14:solidFill>
                    <w14:schemeClr w14:val="tx1"/>
                  </w14:solidFill>
                </w14:textFill>
              </w:rPr>
              <w:t>具体情况</w:t>
            </w:r>
            <w:r>
              <w:rPr>
                <w:rFonts w:hint="default" w:ascii="Times New Roman" w:hAnsi="Times New Roman" w:cs="Times New Roman"/>
                <w:bCs/>
                <w:color w:val="000000" w:themeColor="text1"/>
                <w14:textFill>
                  <w14:solidFill>
                    <w14:schemeClr w14:val="tx1"/>
                  </w14:solidFill>
                </w14:textFill>
              </w:rPr>
              <w:t>详见表4.</w:t>
            </w:r>
            <w:r>
              <w:rPr>
                <w:rFonts w:hint="default" w:ascii="Times New Roman" w:hAnsi="Times New Roman" w:cs="Times New Roman"/>
                <w:bCs/>
                <w:color w:val="000000" w:themeColor="text1"/>
                <w:lang w:val="en-US" w:eastAsia="zh-CN"/>
                <w14:textFill>
                  <w14:solidFill>
                    <w14:schemeClr w14:val="tx1"/>
                  </w14:solidFill>
                </w14:textFill>
              </w:rPr>
              <w:t>3</w:t>
            </w:r>
            <w:r>
              <w:rPr>
                <w:rFonts w:hint="default" w:ascii="Times New Roman" w:hAnsi="Times New Roman" w:cs="Times New Roman"/>
                <w:bCs/>
                <w:color w:val="000000" w:themeColor="text1"/>
                <w14:textFill>
                  <w14:solidFill>
                    <w14:schemeClr w14:val="tx1"/>
                  </w14:solidFill>
                </w14:textFill>
              </w:rPr>
              <w:t>-4。</w:t>
            </w:r>
          </w:p>
          <w:p w14:paraId="6AEA56E0">
            <w:pPr>
              <w:pStyle w:val="79"/>
              <w:adjustRightInd w:val="0"/>
              <w:snapToGrid w:val="0"/>
              <w:spacing w:before="120" w:beforeLines="50" w:line="240" w:lineRule="auto"/>
              <w:ind w:firstLine="0" w:firstLineChars="0"/>
              <w:jc w:val="center"/>
              <w:rPr>
                <w:rFonts w:hint="default" w:ascii="Times New Roman" w:hAnsi="Times New Roman" w:eastAsia="黑体" w:cs="Times New Roman"/>
                <w:color w:val="000000" w:themeColor="text1"/>
                <w14:textFill>
                  <w14:solidFill>
                    <w14:schemeClr w14:val="tx1"/>
                  </w14:solidFill>
                </w14:textFill>
              </w:rPr>
            </w:pPr>
            <w:r>
              <w:rPr>
                <w:rFonts w:hint="default" w:ascii="Times New Roman" w:hAnsi="Times New Roman" w:eastAsia="黑体" w:cs="Times New Roman"/>
                <w:color w:val="000000" w:themeColor="text1"/>
                <w:kern w:val="0"/>
                <w14:textFill>
                  <w14:solidFill>
                    <w14:schemeClr w14:val="tx1"/>
                  </w14:solidFill>
                </w14:textFill>
              </w:rPr>
              <w:t>表4.</w:t>
            </w:r>
            <w:r>
              <w:rPr>
                <w:rFonts w:hint="default" w:ascii="Times New Roman" w:hAnsi="Times New Roman" w:eastAsia="黑体" w:cs="Times New Roman"/>
                <w:color w:val="000000" w:themeColor="text1"/>
                <w:kern w:val="0"/>
                <w:lang w:val="en-US" w:eastAsia="zh-CN"/>
                <w14:textFill>
                  <w14:solidFill>
                    <w14:schemeClr w14:val="tx1"/>
                  </w14:solidFill>
                </w14:textFill>
              </w:rPr>
              <w:t>3</w:t>
            </w:r>
            <w:r>
              <w:rPr>
                <w:rFonts w:hint="default" w:ascii="Times New Roman" w:hAnsi="Times New Roman" w:eastAsia="黑体" w:cs="Times New Roman"/>
                <w:color w:val="000000" w:themeColor="text1"/>
                <w:kern w:val="0"/>
                <w14:textFill>
                  <w14:solidFill>
                    <w14:schemeClr w14:val="tx1"/>
                  </w14:solidFill>
                </w14:textFill>
              </w:rPr>
              <w:t>-4 项目废水自行监测计划</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2013"/>
              <w:gridCol w:w="3539"/>
              <w:gridCol w:w="1946"/>
            </w:tblGrid>
            <w:tr w14:paraId="4F988F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6" w:type="pct"/>
                  <w:noWrap w:val="0"/>
                  <w:vAlign w:val="center"/>
                </w:tcPr>
                <w:p w14:paraId="2E1CA436">
                  <w:pPr>
                    <w:adjustRightInd w:val="0"/>
                    <w:snapToGrid w:val="0"/>
                    <w:spacing w:line="34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序号</w:t>
                  </w:r>
                </w:p>
              </w:tc>
              <w:tc>
                <w:tcPr>
                  <w:tcW w:w="1206" w:type="pct"/>
                  <w:noWrap w:val="0"/>
                  <w:vAlign w:val="center"/>
                </w:tcPr>
                <w:p w14:paraId="1E634E28">
                  <w:pPr>
                    <w:adjustRightInd w:val="0"/>
                    <w:snapToGrid w:val="0"/>
                    <w:spacing w:line="34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监测点位</w:t>
                  </w:r>
                </w:p>
              </w:tc>
              <w:tc>
                <w:tcPr>
                  <w:tcW w:w="2120" w:type="pct"/>
                  <w:noWrap w:val="0"/>
                  <w:vAlign w:val="center"/>
                </w:tcPr>
                <w:p w14:paraId="6A8037CE">
                  <w:pPr>
                    <w:adjustRightInd w:val="0"/>
                    <w:snapToGrid w:val="0"/>
                    <w:spacing w:line="34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监测因子</w:t>
                  </w:r>
                </w:p>
              </w:tc>
              <w:tc>
                <w:tcPr>
                  <w:tcW w:w="1166" w:type="pct"/>
                  <w:noWrap w:val="0"/>
                  <w:vAlign w:val="center"/>
                </w:tcPr>
                <w:p w14:paraId="5DCB0148">
                  <w:pPr>
                    <w:adjustRightInd w:val="0"/>
                    <w:snapToGrid w:val="0"/>
                    <w:spacing w:line="34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监测频次</w:t>
                  </w:r>
                </w:p>
              </w:tc>
            </w:tr>
            <w:tr w14:paraId="65E8EF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6" w:type="pct"/>
                  <w:noWrap w:val="0"/>
                  <w:vAlign w:val="center"/>
                </w:tcPr>
                <w:p w14:paraId="79C3D9D3">
                  <w:pPr>
                    <w:adjustRightInd w:val="0"/>
                    <w:snapToGrid w:val="0"/>
                    <w:spacing w:line="34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w:t>
                  </w:r>
                </w:p>
              </w:tc>
              <w:tc>
                <w:tcPr>
                  <w:tcW w:w="1206" w:type="pct"/>
                  <w:noWrap w:val="0"/>
                  <w:vAlign w:val="center"/>
                </w:tcPr>
                <w:p w14:paraId="53277ABE">
                  <w:pPr>
                    <w:adjustRightInd w:val="0"/>
                    <w:snapToGrid w:val="0"/>
                    <w:spacing w:line="34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厂区污水总排放口</w:t>
                  </w:r>
                </w:p>
              </w:tc>
              <w:tc>
                <w:tcPr>
                  <w:tcW w:w="2120" w:type="pct"/>
                  <w:noWrap w:val="0"/>
                  <w:vAlign w:val="center"/>
                </w:tcPr>
                <w:p w14:paraId="47905C8F">
                  <w:pPr>
                    <w:snapToGrid w:val="0"/>
                    <w:spacing w:line="34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pH、COD、BOD</w:t>
                  </w:r>
                  <w:r>
                    <w:rPr>
                      <w:rFonts w:hint="default" w:ascii="Times New Roman" w:hAnsi="Times New Roman" w:cs="Times New Roman"/>
                      <w:color w:val="000000" w:themeColor="text1"/>
                      <w:szCs w:val="21"/>
                      <w:vertAlign w:val="subscript"/>
                      <w14:textFill>
                        <w14:solidFill>
                          <w14:schemeClr w14:val="tx1"/>
                        </w14:solidFill>
                      </w14:textFill>
                    </w:rPr>
                    <w:t>5</w:t>
                  </w:r>
                  <w:r>
                    <w:rPr>
                      <w:rFonts w:hint="default" w:ascii="Times New Roman" w:hAnsi="Times New Roman" w:cs="Times New Roman"/>
                      <w:color w:val="000000" w:themeColor="text1"/>
                      <w:szCs w:val="21"/>
                      <w14:textFill>
                        <w14:solidFill>
                          <w14:schemeClr w14:val="tx1"/>
                        </w14:solidFill>
                      </w14:textFill>
                    </w:rPr>
                    <w:t>、SS、NH</w:t>
                  </w:r>
                  <w:r>
                    <w:rPr>
                      <w:rFonts w:hint="default" w:ascii="Times New Roman" w:hAnsi="Times New Roman" w:cs="Times New Roman"/>
                      <w:color w:val="000000" w:themeColor="text1"/>
                      <w:szCs w:val="21"/>
                      <w:vertAlign w:val="sub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-N</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石油类、TP、TN</w:t>
                  </w:r>
                </w:p>
              </w:tc>
              <w:tc>
                <w:tcPr>
                  <w:tcW w:w="1166" w:type="pct"/>
                  <w:noWrap w:val="0"/>
                  <w:vAlign w:val="center"/>
                </w:tcPr>
                <w:p w14:paraId="44E9019B">
                  <w:pPr>
                    <w:adjustRightInd w:val="0"/>
                    <w:snapToGrid w:val="0"/>
                    <w:spacing w:line="340" w:lineRule="exac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 w:val="21"/>
                      <w:szCs w:val="21"/>
                      <w:u w:val="none"/>
                      <w:lang w:val="en-US" w:eastAsia="zh-CN"/>
                      <w14:textFill>
                        <w14:solidFill>
                          <w14:schemeClr w14:val="tx1"/>
                        </w14:solidFill>
                      </w14:textFill>
                    </w:rPr>
                    <w:t>1天</w:t>
                  </w:r>
                  <w:r>
                    <w:rPr>
                      <w:rFonts w:hint="default" w:ascii="Times New Roman" w:hAnsi="Times New Roman" w:cs="Times New Roman"/>
                      <w:bCs/>
                      <w:color w:val="000000" w:themeColor="text1"/>
                      <w:sz w:val="21"/>
                      <w:szCs w:val="21"/>
                      <w:u w:val="none"/>
                      <w14:textFill>
                        <w14:solidFill>
                          <w14:schemeClr w14:val="tx1"/>
                        </w14:solidFill>
                      </w14:textFill>
                    </w:rPr>
                    <w:t>/</w:t>
                  </w:r>
                  <w:r>
                    <w:rPr>
                      <w:rFonts w:hint="default" w:ascii="Times New Roman" w:hAnsi="Times New Roman" w:cs="Times New Roman"/>
                      <w:bCs/>
                      <w:color w:val="000000" w:themeColor="text1"/>
                      <w:sz w:val="21"/>
                      <w:szCs w:val="21"/>
                      <w:u w:val="none"/>
                      <w:lang w:val="en-US" w:eastAsia="zh-CN"/>
                      <w14:textFill>
                        <w14:solidFill>
                          <w14:schemeClr w14:val="tx1"/>
                        </w14:solidFill>
                      </w14:textFill>
                    </w:rPr>
                    <w:t>半</w:t>
                  </w:r>
                  <w:r>
                    <w:rPr>
                      <w:rFonts w:hint="default" w:ascii="Times New Roman" w:hAnsi="Times New Roman" w:cs="Times New Roman"/>
                      <w:bCs/>
                      <w:color w:val="000000" w:themeColor="text1"/>
                      <w:sz w:val="21"/>
                      <w:szCs w:val="21"/>
                      <w:u w:val="none"/>
                      <w14:textFill>
                        <w14:solidFill>
                          <w14:schemeClr w14:val="tx1"/>
                        </w14:solidFill>
                      </w14:textFill>
                    </w:rPr>
                    <w:t>年</w:t>
                  </w:r>
                  <w:r>
                    <w:rPr>
                      <w:rFonts w:hint="default" w:ascii="Times New Roman" w:hAnsi="Times New Roman" w:cs="Times New Roman"/>
                      <w:bCs/>
                      <w:color w:val="000000" w:themeColor="text1"/>
                      <w:sz w:val="21"/>
                      <w:szCs w:val="21"/>
                      <w:u w:val="none"/>
                      <w:lang w:eastAsia="zh-CN"/>
                      <w14:textFill>
                        <w14:solidFill>
                          <w14:schemeClr w14:val="tx1"/>
                        </w14:solidFill>
                      </w14:textFill>
                    </w:rPr>
                    <w:t>、</w:t>
                  </w:r>
                  <w:r>
                    <w:rPr>
                      <w:rFonts w:hint="default" w:ascii="Times New Roman" w:hAnsi="Times New Roman" w:cs="Times New Roman"/>
                      <w:bCs/>
                      <w:color w:val="000000" w:themeColor="text1"/>
                      <w:sz w:val="21"/>
                      <w:szCs w:val="21"/>
                      <w:u w:val="none"/>
                      <w:lang w:val="en-US" w:eastAsia="zh-CN"/>
                      <w14:textFill>
                        <w14:solidFill>
                          <w14:schemeClr w14:val="tx1"/>
                        </w14:solidFill>
                      </w14:textFill>
                    </w:rPr>
                    <w:t>1次/天</w:t>
                  </w:r>
                </w:p>
              </w:tc>
            </w:tr>
          </w:tbl>
          <w:p w14:paraId="566E4FEC">
            <w:pPr>
              <w:pStyle w:val="125"/>
              <w:bidi w:val="0"/>
              <w:ind w:left="0" w:leftChars="0" w:firstLine="0" w:firstLineChars="0"/>
              <w:rPr>
                <w:rFonts w:hint="default" w:ascii="Times New Roman" w:hAnsi="Times New Roman" w:cs="Times New Roman"/>
                <w:color w:val="000000" w:themeColor="text1"/>
                <w14:textFill>
                  <w14:solidFill>
                    <w14:schemeClr w14:val="tx1"/>
                  </w14:solidFill>
                </w14:textFill>
              </w:rPr>
            </w:pPr>
            <w:bookmarkStart w:id="21" w:name="_Toc215736207"/>
          </w:p>
          <w:bookmarkEnd w:id="21"/>
          <w:p w14:paraId="528649C9">
            <w:pPr>
              <w:adjustRightInd w:val="0"/>
              <w:snapToGrid w:val="0"/>
              <w:rPr>
                <w:rFonts w:hint="default" w:ascii="Times New Roman" w:hAnsi="Times New Roman" w:eastAsia="宋体" w:cs="Times New Roman"/>
                <w:bCs/>
                <w:color w:val="000000" w:themeColor="text1"/>
                <w:spacing w:val="-10"/>
                <w:szCs w:val="21"/>
                <w14:textFill>
                  <w14:solidFill>
                    <w14:schemeClr w14:val="tx1"/>
                  </w14:solidFill>
                </w14:textFill>
              </w:rPr>
            </w:pPr>
          </w:p>
        </w:tc>
      </w:tr>
    </w:tbl>
    <w:p w14:paraId="7BC033D6">
      <w:pPr>
        <w:rPr>
          <w:rFonts w:hint="default" w:ascii="Times New Roman" w:hAnsi="Times New Roman" w:eastAsia="宋体" w:cs="Times New Roman"/>
          <w:color w:val="000000" w:themeColor="text1"/>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3226"/>
      </w:tblGrid>
      <w:tr w14:paraId="64E52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5" w:hRule="atLeast"/>
        </w:trPr>
        <w:tc>
          <w:tcPr>
            <w:tcW w:w="426" w:type="dxa"/>
            <w:noWrap w:val="0"/>
            <w:vAlign w:val="center"/>
          </w:tcPr>
          <w:p w14:paraId="61F0550F">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运营</w:t>
            </w:r>
          </w:p>
          <w:p w14:paraId="2AECA9AB">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期环</w:t>
            </w:r>
          </w:p>
          <w:p w14:paraId="163D113F">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境影</w:t>
            </w:r>
          </w:p>
          <w:p w14:paraId="70C30423">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响和</w:t>
            </w:r>
          </w:p>
          <w:p w14:paraId="5ECFBB4F">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保护</w:t>
            </w:r>
          </w:p>
          <w:p w14:paraId="22F900D5">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措施</w:t>
            </w:r>
          </w:p>
        </w:tc>
        <w:tc>
          <w:tcPr>
            <w:tcW w:w="13228" w:type="dxa"/>
            <w:tcBorders>
              <w:bottom w:val="single" w:color="000000" w:sz="12" w:space="0"/>
            </w:tcBorders>
            <w:noWrap w:val="0"/>
            <w:vAlign w:val="top"/>
          </w:tcPr>
          <w:p w14:paraId="3CA74709">
            <w:pPr>
              <w:adjustRightInd w:val="0"/>
              <w:snapToGrid w:val="0"/>
              <w:spacing w:before="240" w:beforeLines="100" w:after="120" w:afterLines="50" w:line="360"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4.3运营期声环境影响分析和污染防治措施</w:t>
            </w:r>
          </w:p>
          <w:p w14:paraId="19E6B769">
            <w:pPr>
              <w:adjustRightInd w:val="0"/>
              <w:snapToGrid w:val="0"/>
              <w:spacing w:line="360" w:lineRule="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4.3.1 运营期噪声源强核算</w:t>
            </w:r>
          </w:p>
          <w:p w14:paraId="2F92FAD7">
            <w:pPr>
              <w:adjustRightInd w:val="0"/>
              <w:spacing w:line="360" w:lineRule="auto"/>
              <w:ind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本项目主要的噪声污染源为项目生产设备运行过程中产生的噪声，根据类比分析，本项目室内噪声源强调查清单详见表4.3-1。</w:t>
            </w:r>
          </w:p>
          <w:p w14:paraId="12DB9CBD">
            <w:pPr>
              <w:pStyle w:val="91"/>
              <w:spacing w:before="120" w:after="0"/>
              <w:ind w:left="0" w:leftChars="0"/>
              <w:rPr>
                <w:rFonts w:hint="default" w:ascii="Times New Roman" w:hAnsi="Times New Roman" w:cs="Times New Roman"/>
                <w:bCs/>
                <w:color w:val="auto"/>
              </w:rPr>
            </w:pPr>
            <w:r>
              <w:rPr>
                <w:rFonts w:hint="default" w:ascii="Times New Roman" w:hAnsi="Times New Roman" w:cs="Times New Roman"/>
                <w:bCs/>
                <w:color w:val="auto"/>
              </w:rPr>
              <w:t>表4.3-1  工业企业噪声源强调查清单(室内声源)</w:t>
            </w:r>
          </w:p>
          <w:tbl>
            <w:tblPr>
              <w:tblStyle w:val="28"/>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51"/>
              <w:gridCol w:w="708"/>
              <w:gridCol w:w="815"/>
              <w:gridCol w:w="971"/>
              <w:gridCol w:w="789"/>
              <w:gridCol w:w="604"/>
              <w:gridCol w:w="1059"/>
              <w:gridCol w:w="534"/>
              <w:gridCol w:w="518"/>
              <w:gridCol w:w="510"/>
              <w:gridCol w:w="1059"/>
              <w:gridCol w:w="669"/>
              <w:gridCol w:w="895"/>
              <w:gridCol w:w="679"/>
              <w:gridCol w:w="1012"/>
              <w:gridCol w:w="906"/>
              <w:gridCol w:w="921"/>
            </w:tblGrid>
            <w:tr w14:paraId="3492C6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blHeader/>
              </w:trPr>
              <w:tc>
                <w:tcPr>
                  <w:tcW w:w="135" w:type="pct"/>
                  <w:vMerge w:val="restart"/>
                  <w:noWrap w:val="0"/>
                  <w:vAlign w:val="center"/>
                </w:tcPr>
                <w:p w14:paraId="41F99421">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272" w:type="pct"/>
                  <w:vMerge w:val="restart"/>
                  <w:noWrap w:val="0"/>
                  <w:vAlign w:val="center"/>
                </w:tcPr>
                <w:p w14:paraId="01E2CBC3">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建筑物名称</w:t>
                  </w:r>
                </w:p>
              </w:tc>
              <w:tc>
                <w:tcPr>
                  <w:tcW w:w="313" w:type="pct"/>
                  <w:vMerge w:val="restart"/>
                  <w:noWrap w:val="0"/>
                  <w:vAlign w:val="center"/>
                </w:tcPr>
                <w:p w14:paraId="4910738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声源</w:t>
                  </w:r>
                </w:p>
                <w:p w14:paraId="2F8AB461">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373" w:type="pct"/>
                  <w:vMerge w:val="restart"/>
                  <w:noWrap w:val="0"/>
                  <w:vAlign w:val="center"/>
                </w:tcPr>
                <w:p w14:paraId="6A2C70BE">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声源类型(间断、连续等)</w:t>
                  </w:r>
                </w:p>
              </w:tc>
              <w:tc>
                <w:tcPr>
                  <w:tcW w:w="303" w:type="pct"/>
                  <w:vMerge w:val="restart"/>
                  <w:noWrap w:val="0"/>
                  <w:vAlign w:val="center"/>
                </w:tcPr>
                <w:p w14:paraId="0DD6ACBC">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声源声</w:t>
                  </w:r>
                </w:p>
                <w:p w14:paraId="4165A3CC">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功率级/dB(A)</w:t>
                  </w:r>
                </w:p>
              </w:tc>
              <w:tc>
                <w:tcPr>
                  <w:tcW w:w="232" w:type="pct"/>
                  <w:vMerge w:val="restart"/>
                  <w:noWrap w:val="0"/>
                  <w:vAlign w:val="center"/>
                </w:tcPr>
                <w:p w14:paraId="0751C782">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核算</w:t>
                  </w:r>
                </w:p>
                <w:p w14:paraId="6E08B897">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方法</w:t>
                  </w:r>
                </w:p>
              </w:tc>
              <w:tc>
                <w:tcPr>
                  <w:tcW w:w="407" w:type="pct"/>
                  <w:vMerge w:val="restart"/>
                  <w:noWrap w:val="0"/>
                  <w:vAlign w:val="center"/>
                </w:tcPr>
                <w:p w14:paraId="4B4AD0DE">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声源控制措施</w:t>
                  </w:r>
                </w:p>
              </w:tc>
              <w:tc>
                <w:tcPr>
                  <w:tcW w:w="600" w:type="pct"/>
                  <w:gridSpan w:val="3"/>
                  <w:noWrap w:val="0"/>
                  <w:vAlign w:val="center"/>
                </w:tcPr>
                <w:p w14:paraId="3268480E">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空间相对位置</w:t>
                  </w:r>
                </w:p>
              </w:tc>
              <w:tc>
                <w:tcPr>
                  <w:tcW w:w="664" w:type="pct"/>
                  <w:gridSpan w:val="2"/>
                  <w:vMerge w:val="restart"/>
                  <w:noWrap w:val="0"/>
                  <w:vAlign w:val="center"/>
                </w:tcPr>
                <w:p w14:paraId="7FBE7630">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距室内边</w:t>
                  </w:r>
                </w:p>
                <w:p w14:paraId="0D11BFF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界距离/m</w:t>
                  </w:r>
                </w:p>
              </w:tc>
              <w:tc>
                <w:tcPr>
                  <w:tcW w:w="344" w:type="pct"/>
                  <w:vMerge w:val="restart"/>
                  <w:noWrap w:val="0"/>
                  <w:vAlign w:val="center"/>
                </w:tcPr>
                <w:p w14:paraId="28FCDD59">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室内边</w:t>
                  </w:r>
                </w:p>
                <w:p w14:paraId="00E7BFC7">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界声压级/dB(A)</w:t>
                  </w:r>
                </w:p>
              </w:tc>
              <w:tc>
                <w:tcPr>
                  <w:tcW w:w="261" w:type="pct"/>
                  <w:vMerge w:val="restart"/>
                  <w:noWrap w:val="0"/>
                  <w:vAlign w:val="center"/>
                </w:tcPr>
                <w:p w14:paraId="6FA13515">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运行</w:t>
                  </w:r>
                </w:p>
                <w:p w14:paraId="176BB3B0">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时段</w:t>
                  </w:r>
                </w:p>
              </w:tc>
              <w:tc>
                <w:tcPr>
                  <w:tcW w:w="389" w:type="pct"/>
                  <w:vMerge w:val="restart"/>
                  <w:noWrap w:val="0"/>
                  <w:vAlign w:val="center"/>
                </w:tcPr>
                <w:p w14:paraId="2EE8CF2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建筑物插入损失/dB(A)</w:t>
                  </w:r>
                </w:p>
              </w:tc>
              <w:tc>
                <w:tcPr>
                  <w:tcW w:w="702" w:type="pct"/>
                  <w:gridSpan w:val="2"/>
                  <w:noWrap w:val="0"/>
                  <w:vAlign w:val="center"/>
                </w:tcPr>
                <w:p w14:paraId="5714B04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建筑物外噪声</w:t>
                  </w:r>
                </w:p>
              </w:tc>
            </w:tr>
            <w:tr w14:paraId="1C582C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blHeader/>
              </w:trPr>
              <w:tc>
                <w:tcPr>
                  <w:tcW w:w="135" w:type="pct"/>
                  <w:vMerge w:val="continue"/>
                  <w:noWrap w:val="0"/>
                  <w:vAlign w:val="center"/>
                </w:tcPr>
                <w:p w14:paraId="7157E1A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72" w:type="pct"/>
                  <w:vMerge w:val="continue"/>
                  <w:noWrap w:val="0"/>
                  <w:vAlign w:val="center"/>
                </w:tcPr>
                <w:p w14:paraId="50D87C06">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continue"/>
                  <w:noWrap w:val="0"/>
                  <w:vAlign w:val="center"/>
                </w:tcPr>
                <w:p w14:paraId="59F6C72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73" w:type="pct"/>
                  <w:vMerge w:val="continue"/>
                  <w:noWrap w:val="0"/>
                  <w:vAlign w:val="center"/>
                </w:tcPr>
                <w:p w14:paraId="632E285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03" w:type="pct"/>
                  <w:vMerge w:val="continue"/>
                  <w:noWrap w:val="0"/>
                  <w:vAlign w:val="center"/>
                </w:tcPr>
                <w:p w14:paraId="4FFCFB8F">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32" w:type="pct"/>
                  <w:vMerge w:val="continue"/>
                  <w:noWrap w:val="0"/>
                  <w:vAlign w:val="center"/>
                </w:tcPr>
                <w:p w14:paraId="00A6D808">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407" w:type="pct"/>
                  <w:vMerge w:val="continue"/>
                  <w:noWrap w:val="0"/>
                  <w:vAlign w:val="center"/>
                </w:tcPr>
                <w:p w14:paraId="2A0C88E6">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05" w:type="pct"/>
                  <w:noWrap w:val="0"/>
                  <w:vAlign w:val="center"/>
                </w:tcPr>
                <w:p w14:paraId="6A684861">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X</w:t>
                  </w:r>
                </w:p>
              </w:tc>
              <w:tc>
                <w:tcPr>
                  <w:tcW w:w="199" w:type="pct"/>
                  <w:noWrap w:val="0"/>
                  <w:vAlign w:val="center"/>
                </w:tcPr>
                <w:p w14:paraId="057D9888">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Y</w:t>
                  </w:r>
                </w:p>
              </w:tc>
              <w:tc>
                <w:tcPr>
                  <w:tcW w:w="196" w:type="pct"/>
                  <w:noWrap w:val="0"/>
                  <w:vAlign w:val="center"/>
                </w:tcPr>
                <w:p w14:paraId="32C931C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Z</w:t>
                  </w:r>
                </w:p>
              </w:tc>
              <w:tc>
                <w:tcPr>
                  <w:tcW w:w="664" w:type="pct"/>
                  <w:gridSpan w:val="2"/>
                  <w:vMerge w:val="continue"/>
                  <w:noWrap w:val="0"/>
                  <w:vAlign w:val="center"/>
                </w:tcPr>
                <w:p w14:paraId="1B207406">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44" w:type="pct"/>
                  <w:vMerge w:val="continue"/>
                  <w:noWrap w:val="0"/>
                  <w:vAlign w:val="center"/>
                </w:tcPr>
                <w:p w14:paraId="588DF91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61" w:type="pct"/>
                  <w:vMerge w:val="continue"/>
                  <w:noWrap w:val="0"/>
                  <w:vAlign w:val="center"/>
                </w:tcPr>
                <w:p w14:paraId="0F31E869">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89" w:type="pct"/>
                  <w:vMerge w:val="continue"/>
                  <w:noWrap w:val="0"/>
                  <w:vAlign w:val="center"/>
                </w:tcPr>
                <w:p w14:paraId="0EC3C505">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48" w:type="pct"/>
                  <w:noWrap w:val="0"/>
                  <w:vAlign w:val="center"/>
                </w:tcPr>
                <w:p w14:paraId="3FECF7F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声压级/dB(A)</w:t>
                  </w:r>
                </w:p>
              </w:tc>
              <w:tc>
                <w:tcPr>
                  <w:tcW w:w="354" w:type="pct"/>
                  <w:noWrap w:val="0"/>
                  <w:vAlign w:val="center"/>
                </w:tcPr>
                <w:p w14:paraId="0F44575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建筑物外距离/m</w:t>
                  </w:r>
                </w:p>
              </w:tc>
            </w:tr>
            <w:tr w14:paraId="35F1DB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restart"/>
                  <w:noWrap w:val="0"/>
                  <w:vAlign w:val="center"/>
                </w:tcPr>
                <w:p w14:paraId="795FE7D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72" w:type="pct"/>
                  <w:vMerge w:val="restart"/>
                  <w:noWrap w:val="0"/>
                  <w:vAlign w:val="center"/>
                </w:tcPr>
                <w:p w14:paraId="49D84BF5">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B37</w:t>
                  </w:r>
                  <w:r>
                    <w:rPr>
                      <w:rFonts w:hint="default" w:ascii="Times New Roman" w:hAnsi="Times New Roman" w:cs="Times New Roman"/>
                      <w:color w:val="auto"/>
                      <w:sz w:val="21"/>
                      <w:szCs w:val="21"/>
                    </w:rPr>
                    <w:t>#厂房</w:t>
                  </w:r>
                </w:p>
              </w:tc>
              <w:tc>
                <w:tcPr>
                  <w:tcW w:w="313" w:type="pct"/>
                  <w:vMerge w:val="restart"/>
                  <w:noWrap w:val="0"/>
                  <w:vAlign w:val="center"/>
                </w:tcPr>
                <w:p w14:paraId="6639FFC6">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分选输送机</w:t>
                  </w:r>
                </w:p>
              </w:tc>
              <w:tc>
                <w:tcPr>
                  <w:tcW w:w="373" w:type="pct"/>
                  <w:vMerge w:val="restart"/>
                  <w:noWrap w:val="0"/>
                  <w:vAlign w:val="center"/>
                </w:tcPr>
                <w:p w14:paraId="3E81671B">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间断</w:t>
                  </w:r>
                </w:p>
              </w:tc>
              <w:tc>
                <w:tcPr>
                  <w:tcW w:w="303" w:type="pct"/>
                  <w:vMerge w:val="restart"/>
                  <w:noWrap w:val="0"/>
                  <w:vAlign w:val="center"/>
                </w:tcPr>
                <w:p w14:paraId="6E7CFFFB">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1"/>
                      <w:szCs w:val="21"/>
                      <w:lang w:val="en-US" w:eastAsia="zh-CN" w:bidi="ar"/>
                    </w:rPr>
                    <w:t>70</w:t>
                  </w:r>
                </w:p>
              </w:tc>
              <w:tc>
                <w:tcPr>
                  <w:tcW w:w="232" w:type="pct"/>
                  <w:vMerge w:val="restart"/>
                  <w:noWrap w:val="0"/>
                  <w:vAlign w:val="center"/>
                </w:tcPr>
                <w:p w14:paraId="4F39F8A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kern w:val="0"/>
                      <w:sz w:val="21"/>
                      <w:szCs w:val="21"/>
                      <w:lang w:bidi="ar"/>
                    </w:rPr>
                  </w:pPr>
                  <w:r>
                    <w:rPr>
                      <w:rFonts w:hint="default" w:ascii="Times New Roman" w:hAnsi="Times New Roman" w:cs="Times New Roman"/>
                      <w:bCs/>
                      <w:color w:val="auto"/>
                      <w:sz w:val="21"/>
                      <w:szCs w:val="21"/>
                    </w:rPr>
                    <w:t>类比法</w:t>
                  </w:r>
                </w:p>
              </w:tc>
              <w:tc>
                <w:tcPr>
                  <w:tcW w:w="407" w:type="pct"/>
                  <w:vMerge w:val="restart"/>
                  <w:noWrap w:val="0"/>
                  <w:vAlign w:val="center"/>
                </w:tcPr>
                <w:p w14:paraId="337AE66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车间隔声</w:t>
                  </w:r>
                </w:p>
              </w:tc>
              <w:tc>
                <w:tcPr>
                  <w:tcW w:w="205" w:type="pct"/>
                  <w:vMerge w:val="restart"/>
                  <w:noWrap w:val="0"/>
                  <w:vAlign w:val="center"/>
                </w:tcPr>
                <w:p w14:paraId="76421C09">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-45</w:t>
                  </w:r>
                </w:p>
              </w:tc>
              <w:tc>
                <w:tcPr>
                  <w:tcW w:w="199" w:type="pct"/>
                  <w:vMerge w:val="restart"/>
                  <w:noWrap w:val="0"/>
                  <w:vAlign w:val="center"/>
                </w:tcPr>
                <w:p w14:paraId="13559070">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21</w:t>
                  </w:r>
                </w:p>
              </w:tc>
              <w:tc>
                <w:tcPr>
                  <w:tcW w:w="196" w:type="pct"/>
                  <w:vMerge w:val="restart"/>
                  <w:noWrap w:val="0"/>
                  <w:vAlign w:val="center"/>
                </w:tcPr>
                <w:p w14:paraId="327A75F8">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2.5</w:t>
                  </w:r>
                </w:p>
              </w:tc>
              <w:tc>
                <w:tcPr>
                  <w:tcW w:w="407" w:type="pct"/>
                  <w:noWrap w:val="0"/>
                  <w:vAlign w:val="center"/>
                </w:tcPr>
                <w:p w14:paraId="4745AD18">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东侧</w:t>
                  </w:r>
                </w:p>
              </w:tc>
              <w:tc>
                <w:tcPr>
                  <w:tcW w:w="257" w:type="pct"/>
                  <w:noWrap w:val="0"/>
                  <w:vAlign w:val="center"/>
                </w:tcPr>
                <w:p w14:paraId="71CCD922">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48</w:t>
                  </w:r>
                </w:p>
              </w:tc>
              <w:tc>
                <w:tcPr>
                  <w:tcW w:w="344" w:type="pct"/>
                  <w:noWrap w:val="0"/>
                  <w:vAlign w:val="center"/>
                </w:tcPr>
                <w:p w14:paraId="7094A522">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40</w:t>
                  </w:r>
                </w:p>
              </w:tc>
              <w:tc>
                <w:tcPr>
                  <w:tcW w:w="261" w:type="pct"/>
                  <w:vMerge w:val="restart"/>
                  <w:noWrap w:val="0"/>
                  <w:vAlign w:val="center"/>
                </w:tcPr>
                <w:p w14:paraId="3FAAF6F6">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kern w:val="0"/>
                      <w:sz w:val="21"/>
                      <w:szCs w:val="21"/>
                      <w:lang w:eastAsia="zh-CN" w:bidi="ar"/>
                    </w:rPr>
                    <w:t>24h/d</w:t>
                  </w:r>
                </w:p>
              </w:tc>
              <w:tc>
                <w:tcPr>
                  <w:tcW w:w="389" w:type="pct"/>
                  <w:noWrap w:val="0"/>
                  <w:vAlign w:val="center"/>
                </w:tcPr>
                <w:p w14:paraId="37A33DCA">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7232C790">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 </w:t>
                  </w:r>
                </w:p>
              </w:tc>
              <w:tc>
                <w:tcPr>
                  <w:tcW w:w="354" w:type="pct"/>
                  <w:noWrap w:val="0"/>
                  <w:vAlign w:val="center"/>
                </w:tcPr>
                <w:p w14:paraId="7F7E29F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293458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13046397">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72" w:type="pct"/>
                  <w:vMerge w:val="continue"/>
                  <w:noWrap w:val="0"/>
                  <w:vAlign w:val="center"/>
                </w:tcPr>
                <w:p w14:paraId="32BF38A0">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continue"/>
                  <w:noWrap w:val="0"/>
                  <w:vAlign w:val="center"/>
                </w:tcPr>
                <w:p w14:paraId="03BF0F5E">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73" w:type="pct"/>
                  <w:vMerge w:val="continue"/>
                  <w:noWrap w:val="0"/>
                  <w:vAlign w:val="center"/>
                </w:tcPr>
                <w:p w14:paraId="0935233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03" w:type="pct"/>
                  <w:vMerge w:val="continue"/>
                  <w:noWrap w:val="0"/>
                  <w:vAlign w:val="center"/>
                </w:tcPr>
                <w:p w14:paraId="0EF1F46E">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32" w:type="pct"/>
                  <w:vMerge w:val="continue"/>
                  <w:noWrap w:val="0"/>
                  <w:vAlign w:val="center"/>
                </w:tcPr>
                <w:p w14:paraId="6679CEB0">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407" w:type="pct"/>
                  <w:vMerge w:val="continue"/>
                  <w:noWrap w:val="0"/>
                  <w:vAlign w:val="center"/>
                </w:tcPr>
                <w:p w14:paraId="151E298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05" w:type="pct"/>
                  <w:vMerge w:val="continue"/>
                  <w:noWrap w:val="0"/>
                  <w:vAlign w:val="center"/>
                </w:tcPr>
                <w:p w14:paraId="1CDB6280">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9" w:type="pct"/>
                  <w:vMerge w:val="continue"/>
                  <w:noWrap w:val="0"/>
                  <w:vAlign w:val="center"/>
                </w:tcPr>
                <w:p w14:paraId="72F637E2">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6" w:type="pct"/>
                  <w:vMerge w:val="continue"/>
                  <w:noWrap w:val="0"/>
                  <w:vAlign w:val="center"/>
                </w:tcPr>
                <w:p w14:paraId="0334E065">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407" w:type="pct"/>
                  <w:noWrap w:val="0"/>
                  <w:vAlign w:val="center"/>
                </w:tcPr>
                <w:p w14:paraId="4205890E">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南侧</w:t>
                  </w:r>
                </w:p>
              </w:tc>
              <w:tc>
                <w:tcPr>
                  <w:tcW w:w="257" w:type="pct"/>
                  <w:noWrap w:val="0"/>
                  <w:vAlign w:val="center"/>
                </w:tcPr>
                <w:p w14:paraId="5D9090C6">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344" w:type="pct"/>
                  <w:noWrap w:val="0"/>
                  <w:vAlign w:val="center"/>
                </w:tcPr>
                <w:p w14:paraId="252E2AB6">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46</w:t>
                  </w:r>
                </w:p>
              </w:tc>
              <w:tc>
                <w:tcPr>
                  <w:tcW w:w="261" w:type="pct"/>
                  <w:vMerge w:val="continue"/>
                  <w:noWrap w:val="0"/>
                  <w:vAlign w:val="center"/>
                </w:tcPr>
                <w:p w14:paraId="3AC2CB7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79F0849A">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057766A8">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36 </w:t>
                  </w:r>
                </w:p>
              </w:tc>
              <w:tc>
                <w:tcPr>
                  <w:tcW w:w="354" w:type="pct"/>
                  <w:noWrap w:val="0"/>
                  <w:vAlign w:val="center"/>
                </w:tcPr>
                <w:p w14:paraId="1CA800C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57FF2C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5795B8A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72" w:type="pct"/>
                  <w:vMerge w:val="continue"/>
                  <w:noWrap w:val="0"/>
                  <w:vAlign w:val="center"/>
                </w:tcPr>
                <w:p w14:paraId="6599A36C">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continue"/>
                  <w:noWrap w:val="0"/>
                  <w:vAlign w:val="center"/>
                </w:tcPr>
                <w:p w14:paraId="2C651642">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73" w:type="pct"/>
                  <w:vMerge w:val="continue"/>
                  <w:noWrap w:val="0"/>
                  <w:vAlign w:val="center"/>
                </w:tcPr>
                <w:p w14:paraId="2C53A442">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03" w:type="pct"/>
                  <w:vMerge w:val="continue"/>
                  <w:noWrap w:val="0"/>
                  <w:vAlign w:val="center"/>
                </w:tcPr>
                <w:p w14:paraId="55E99CE2">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32" w:type="pct"/>
                  <w:vMerge w:val="continue"/>
                  <w:noWrap w:val="0"/>
                  <w:vAlign w:val="center"/>
                </w:tcPr>
                <w:p w14:paraId="7CD8EDD3">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407" w:type="pct"/>
                  <w:vMerge w:val="continue"/>
                  <w:noWrap w:val="0"/>
                  <w:vAlign w:val="center"/>
                </w:tcPr>
                <w:p w14:paraId="26045F95">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05" w:type="pct"/>
                  <w:vMerge w:val="continue"/>
                  <w:noWrap w:val="0"/>
                  <w:vAlign w:val="center"/>
                </w:tcPr>
                <w:p w14:paraId="6FF4B701">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9" w:type="pct"/>
                  <w:vMerge w:val="continue"/>
                  <w:noWrap w:val="0"/>
                  <w:vAlign w:val="center"/>
                </w:tcPr>
                <w:p w14:paraId="53F990E0">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6" w:type="pct"/>
                  <w:vMerge w:val="continue"/>
                  <w:noWrap w:val="0"/>
                  <w:vAlign w:val="center"/>
                </w:tcPr>
                <w:p w14:paraId="1341AC5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407" w:type="pct"/>
                  <w:noWrap w:val="0"/>
                  <w:vAlign w:val="center"/>
                </w:tcPr>
                <w:p w14:paraId="56170861">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西侧</w:t>
                  </w:r>
                </w:p>
              </w:tc>
              <w:tc>
                <w:tcPr>
                  <w:tcW w:w="257" w:type="pct"/>
                  <w:noWrap w:val="0"/>
                  <w:vAlign w:val="center"/>
                </w:tcPr>
                <w:p w14:paraId="28D80817">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344" w:type="pct"/>
                  <w:noWrap w:val="0"/>
                  <w:vAlign w:val="center"/>
                </w:tcPr>
                <w:p w14:paraId="02E30D49">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42</w:t>
                  </w:r>
                </w:p>
              </w:tc>
              <w:tc>
                <w:tcPr>
                  <w:tcW w:w="261" w:type="pct"/>
                  <w:vMerge w:val="continue"/>
                  <w:noWrap w:val="0"/>
                  <w:vAlign w:val="center"/>
                </w:tcPr>
                <w:p w14:paraId="419249A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1DF5D149">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78134D0E">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31 </w:t>
                  </w:r>
                </w:p>
              </w:tc>
              <w:tc>
                <w:tcPr>
                  <w:tcW w:w="354" w:type="pct"/>
                  <w:noWrap w:val="0"/>
                  <w:vAlign w:val="center"/>
                </w:tcPr>
                <w:p w14:paraId="1BD97527">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2DB454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238467D7">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72" w:type="pct"/>
                  <w:vMerge w:val="continue"/>
                  <w:noWrap w:val="0"/>
                  <w:vAlign w:val="center"/>
                </w:tcPr>
                <w:p w14:paraId="06F21525">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continue"/>
                  <w:noWrap w:val="0"/>
                  <w:vAlign w:val="center"/>
                </w:tcPr>
                <w:p w14:paraId="0294BAF7">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73" w:type="pct"/>
                  <w:vMerge w:val="continue"/>
                  <w:noWrap w:val="0"/>
                  <w:vAlign w:val="center"/>
                </w:tcPr>
                <w:p w14:paraId="7D16266F">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03" w:type="pct"/>
                  <w:vMerge w:val="continue"/>
                  <w:noWrap w:val="0"/>
                  <w:vAlign w:val="center"/>
                </w:tcPr>
                <w:p w14:paraId="59EF59BC">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32" w:type="pct"/>
                  <w:vMerge w:val="continue"/>
                  <w:noWrap w:val="0"/>
                  <w:vAlign w:val="center"/>
                </w:tcPr>
                <w:p w14:paraId="14BA106E">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407" w:type="pct"/>
                  <w:vMerge w:val="continue"/>
                  <w:noWrap w:val="0"/>
                  <w:vAlign w:val="center"/>
                </w:tcPr>
                <w:p w14:paraId="61BE4A42">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05" w:type="pct"/>
                  <w:vMerge w:val="continue"/>
                  <w:noWrap w:val="0"/>
                  <w:vAlign w:val="center"/>
                </w:tcPr>
                <w:p w14:paraId="374286CC">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9" w:type="pct"/>
                  <w:vMerge w:val="continue"/>
                  <w:noWrap w:val="0"/>
                  <w:vAlign w:val="center"/>
                </w:tcPr>
                <w:p w14:paraId="10EC65BC">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6" w:type="pct"/>
                  <w:vMerge w:val="continue"/>
                  <w:noWrap w:val="0"/>
                  <w:vAlign w:val="center"/>
                </w:tcPr>
                <w:p w14:paraId="0647F2F9">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407" w:type="pct"/>
                  <w:noWrap w:val="0"/>
                  <w:vAlign w:val="center"/>
                </w:tcPr>
                <w:p w14:paraId="7DFC32D9">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北侧</w:t>
                  </w:r>
                </w:p>
              </w:tc>
              <w:tc>
                <w:tcPr>
                  <w:tcW w:w="257" w:type="pct"/>
                  <w:noWrap w:val="0"/>
                  <w:vAlign w:val="center"/>
                </w:tcPr>
                <w:p w14:paraId="0D037DC3">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w:t>
                  </w:r>
                </w:p>
              </w:tc>
              <w:tc>
                <w:tcPr>
                  <w:tcW w:w="344" w:type="pct"/>
                  <w:noWrap w:val="0"/>
                  <w:vAlign w:val="center"/>
                </w:tcPr>
                <w:p w14:paraId="0E10B895">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41</w:t>
                  </w:r>
                </w:p>
              </w:tc>
              <w:tc>
                <w:tcPr>
                  <w:tcW w:w="261" w:type="pct"/>
                  <w:vMerge w:val="continue"/>
                  <w:noWrap w:val="0"/>
                  <w:vAlign w:val="center"/>
                </w:tcPr>
                <w:p w14:paraId="1B27D55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68909E92">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4A872B29">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31 </w:t>
                  </w:r>
                </w:p>
              </w:tc>
              <w:tc>
                <w:tcPr>
                  <w:tcW w:w="354" w:type="pct"/>
                  <w:noWrap w:val="0"/>
                  <w:vAlign w:val="center"/>
                </w:tcPr>
                <w:p w14:paraId="2A630E9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39369F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restart"/>
                  <w:noWrap w:val="0"/>
                  <w:vAlign w:val="center"/>
                </w:tcPr>
                <w:p w14:paraId="49358526">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272" w:type="pct"/>
                  <w:vMerge w:val="continue"/>
                  <w:noWrap w:val="0"/>
                  <w:vAlign w:val="center"/>
                </w:tcPr>
                <w:p w14:paraId="21D7C1A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restart"/>
                  <w:noWrap w:val="0"/>
                  <w:vAlign w:val="center"/>
                </w:tcPr>
                <w:p w14:paraId="6DB47BAC">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上料输送机</w:t>
                  </w:r>
                </w:p>
              </w:tc>
              <w:tc>
                <w:tcPr>
                  <w:tcW w:w="373" w:type="pct"/>
                  <w:vMerge w:val="restart"/>
                  <w:noWrap w:val="0"/>
                  <w:vAlign w:val="center"/>
                </w:tcPr>
                <w:p w14:paraId="2ECD22BE">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间断</w:t>
                  </w:r>
                </w:p>
              </w:tc>
              <w:tc>
                <w:tcPr>
                  <w:tcW w:w="303" w:type="pct"/>
                  <w:vMerge w:val="restart"/>
                  <w:noWrap w:val="0"/>
                  <w:vAlign w:val="center"/>
                </w:tcPr>
                <w:p w14:paraId="22DD07E6">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1"/>
                      <w:szCs w:val="21"/>
                      <w:lang w:val="en-US" w:eastAsia="zh-CN" w:bidi="ar"/>
                    </w:rPr>
                    <w:t>65</w:t>
                  </w:r>
                </w:p>
              </w:tc>
              <w:tc>
                <w:tcPr>
                  <w:tcW w:w="232" w:type="pct"/>
                  <w:vMerge w:val="restart"/>
                  <w:noWrap w:val="0"/>
                  <w:vAlign w:val="center"/>
                </w:tcPr>
                <w:p w14:paraId="164BB5F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kern w:val="0"/>
                      <w:sz w:val="21"/>
                      <w:szCs w:val="21"/>
                      <w:lang w:bidi="ar"/>
                    </w:rPr>
                  </w:pPr>
                  <w:r>
                    <w:rPr>
                      <w:rFonts w:hint="default" w:ascii="Times New Roman" w:hAnsi="Times New Roman" w:cs="Times New Roman"/>
                      <w:bCs/>
                      <w:color w:val="auto"/>
                      <w:sz w:val="21"/>
                      <w:szCs w:val="21"/>
                    </w:rPr>
                    <w:t>类比法</w:t>
                  </w:r>
                </w:p>
              </w:tc>
              <w:tc>
                <w:tcPr>
                  <w:tcW w:w="407" w:type="pct"/>
                  <w:vMerge w:val="restart"/>
                  <w:noWrap w:val="0"/>
                  <w:vAlign w:val="center"/>
                </w:tcPr>
                <w:p w14:paraId="794E9BB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密闭隔声间、车间隔声、设备基础减振等</w:t>
                  </w:r>
                </w:p>
              </w:tc>
              <w:tc>
                <w:tcPr>
                  <w:tcW w:w="205" w:type="pct"/>
                  <w:vMerge w:val="restart"/>
                  <w:noWrap w:val="0"/>
                  <w:vAlign w:val="center"/>
                </w:tcPr>
                <w:p w14:paraId="00D150E5">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-44</w:t>
                  </w:r>
                </w:p>
              </w:tc>
              <w:tc>
                <w:tcPr>
                  <w:tcW w:w="199" w:type="pct"/>
                  <w:vMerge w:val="restart"/>
                  <w:noWrap w:val="0"/>
                  <w:vAlign w:val="center"/>
                </w:tcPr>
                <w:p w14:paraId="2BD40B10">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c>
                <w:tcPr>
                  <w:tcW w:w="196" w:type="pct"/>
                  <w:vMerge w:val="restart"/>
                  <w:noWrap w:val="0"/>
                  <w:vAlign w:val="center"/>
                </w:tcPr>
                <w:p w14:paraId="71532D1F">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sz w:val="21"/>
                      <w:szCs w:val="21"/>
                      <w:lang w:val="en-US" w:eastAsia="zh-CN"/>
                    </w:rPr>
                    <w:t>2.5</w:t>
                  </w:r>
                </w:p>
              </w:tc>
              <w:tc>
                <w:tcPr>
                  <w:tcW w:w="407" w:type="pct"/>
                  <w:noWrap w:val="0"/>
                  <w:vAlign w:val="center"/>
                </w:tcPr>
                <w:p w14:paraId="1FAA510D">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东侧</w:t>
                  </w:r>
                </w:p>
              </w:tc>
              <w:tc>
                <w:tcPr>
                  <w:tcW w:w="257" w:type="pct"/>
                  <w:noWrap w:val="0"/>
                  <w:vAlign w:val="center"/>
                </w:tcPr>
                <w:p w14:paraId="36BBB0E1">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47</w:t>
                  </w:r>
                </w:p>
              </w:tc>
              <w:tc>
                <w:tcPr>
                  <w:tcW w:w="344" w:type="pct"/>
                  <w:noWrap w:val="0"/>
                  <w:vAlign w:val="center"/>
                </w:tcPr>
                <w:p w14:paraId="5C0345D7">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35</w:t>
                  </w:r>
                </w:p>
              </w:tc>
              <w:tc>
                <w:tcPr>
                  <w:tcW w:w="261" w:type="pct"/>
                  <w:vMerge w:val="restart"/>
                  <w:noWrap w:val="0"/>
                  <w:vAlign w:val="center"/>
                </w:tcPr>
                <w:p w14:paraId="33E98133">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kern w:val="0"/>
                      <w:sz w:val="21"/>
                      <w:szCs w:val="21"/>
                      <w:lang w:eastAsia="zh-CN" w:bidi="ar"/>
                    </w:rPr>
                    <w:t>24h/d</w:t>
                  </w:r>
                </w:p>
              </w:tc>
              <w:tc>
                <w:tcPr>
                  <w:tcW w:w="389" w:type="pct"/>
                  <w:noWrap w:val="0"/>
                  <w:vAlign w:val="center"/>
                </w:tcPr>
                <w:p w14:paraId="0C7ABF7C">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530EC39E">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24 </w:t>
                  </w:r>
                </w:p>
              </w:tc>
              <w:tc>
                <w:tcPr>
                  <w:tcW w:w="354" w:type="pct"/>
                  <w:noWrap w:val="0"/>
                  <w:vAlign w:val="center"/>
                </w:tcPr>
                <w:p w14:paraId="7DDC78E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6F21C5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555AEB85">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72" w:type="pct"/>
                  <w:vMerge w:val="continue"/>
                  <w:noWrap w:val="0"/>
                  <w:vAlign w:val="center"/>
                </w:tcPr>
                <w:p w14:paraId="0C7CC11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continue"/>
                  <w:noWrap w:val="0"/>
                  <w:vAlign w:val="center"/>
                </w:tcPr>
                <w:p w14:paraId="7DCDB22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73" w:type="pct"/>
                  <w:vMerge w:val="continue"/>
                  <w:noWrap w:val="0"/>
                  <w:vAlign w:val="center"/>
                </w:tcPr>
                <w:p w14:paraId="65BFADC3">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03" w:type="pct"/>
                  <w:vMerge w:val="continue"/>
                  <w:noWrap w:val="0"/>
                  <w:vAlign w:val="center"/>
                </w:tcPr>
                <w:p w14:paraId="4C237273">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32" w:type="pct"/>
                  <w:vMerge w:val="continue"/>
                  <w:noWrap w:val="0"/>
                  <w:vAlign w:val="center"/>
                </w:tcPr>
                <w:p w14:paraId="699CE02E">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407" w:type="pct"/>
                  <w:vMerge w:val="continue"/>
                  <w:noWrap w:val="0"/>
                  <w:vAlign w:val="center"/>
                </w:tcPr>
                <w:p w14:paraId="52C63F32">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05" w:type="pct"/>
                  <w:vMerge w:val="continue"/>
                  <w:noWrap w:val="0"/>
                  <w:vAlign w:val="center"/>
                </w:tcPr>
                <w:p w14:paraId="6DA8A9B9">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9" w:type="pct"/>
                  <w:vMerge w:val="continue"/>
                  <w:noWrap w:val="0"/>
                  <w:vAlign w:val="center"/>
                </w:tcPr>
                <w:p w14:paraId="46983449">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6" w:type="pct"/>
                  <w:vMerge w:val="continue"/>
                  <w:noWrap w:val="0"/>
                  <w:vAlign w:val="center"/>
                </w:tcPr>
                <w:p w14:paraId="2F525DA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407" w:type="pct"/>
                  <w:noWrap w:val="0"/>
                  <w:vAlign w:val="center"/>
                </w:tcPr>
                <w:p w14:paraId="47B563CF">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南侧</w:t>
                  </w:r>
                </w:p>
              </w:tc>
              <w:tc>
                <w:tcPr>
                  <w:tcW w:w="257" w:type="pct"/>
                  <w:noWrap w:val="0"/>
                  <w:vAlign w:val="center"/>
                </w:tcPr>
                <w:p w14:paraId="3F14A54B">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344" w:type="pct"/>
                  <w:noWrap w:val="0"/>
                  <w:vAlign w:val="center"/>
                </w:tcPr>
                <w:p w14:paraId="48D0771E">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41</w:t>
                  </w:r>
                </w:p>
              </w:tc>
              <w:tc>
                <w:tcPr>
                  <w:tcW w:w="261" w:type="pct"/>
                  <w:vMerge w:val="continue"/>
                  <w:noWrap w:val="0"/>
                  <w:vAlign w:val="center"/>
                </w:tcPr>
                <w:p w14:paraId="42E5A10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72E00BB9">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69F7C740">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31 </w:t>
                  </w:r>
                </w:p>
              </w:tc>
              <w:tc>
                <w:tcPr>
                  <w:tcW w:w="354" w:type="pct"/>
                  <w:noWrap w:val="0"/>
                  <w:vAlign w:val="center"/>
                </w:tcPr>
                <w:p w14:paraId="42D760C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338E49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4F90C825">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72" w:type="pct"/>
                  <w:vMerge w:val="continue"/>
                  <w:noWrap w:val="0"/>
                  <w:vAlign w:val="center"/>
                </w:tcPr>
                <w:p w14:paraId="507C587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continue"/>
                  <w:noWrap w:val="0"/>
                  <w:vAlign w:val="center"/>
                </w:tcPr>
                <w:p w14:paraId="0C6CAF19">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73" w:type="pct"/>
                  <w:vMerge w:val="continue"/>
                  <w:noWrap w:val="0"/>
                  <w:vAlign w:val="center"/>
                </w:tcPr>
                <w:p w14:paraId="7BF240B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03" w:type="pct"/>
                  <w:vMerge w:val="continue"/>
                  <w:noWrap w:val="0"/>
                  <w:vAlign w:val="center"/>
                </w:tcPr>
                <w:p w14:paraId="5C2B9D4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32" w:type="pct"/>
                  <w:vMerge w:val="continue"/>
                  <w:noWrap w:val="0"/>
                  <w:vAlign w:val="center"/>
                </w:tcPr>
                <w:p w14:paraId="745DD8F5">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407" w:type="pct"/>
                  <w:vMerge w:val="continue"/>
                  <w:noWrap w:val="0"/>
                  <w:vAlign w:val="center"/>
                </w:tcPr>
                <w:p w14:paraId="7779E1E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05" w:type="pct"/>
                  <w:vMerge w:val="continue"/>
                  <w:noWrap w:val="0"/>
                  <w:vAlign w:val="center"/>
                </w:tcPr>
                <w:p w14:paraId="5D5F334C">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9" w:type="pct"/>
                  <w:vMerge w:val="continue"/>
                  <w:noWrap w:val="0"/>
                  <w:vAlign w:val="center"/>
                </w:tcPr>
                <w:p w14:paraId="74FCA7E3">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6" w:type="pct"/>
                  <w:vMerge w:val="continue"/>
                  <w:noWrap w:val="0"/>
                  <w:vAlign w:val="center"/>
                </w:tcPr>
                <w:p w14:paraId="16D6F11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407" w:type="pct"/>
                  <w:noWrap w:val="0"/>
                  <w:vAlign w:val="center"/>
                </w:tcPr>
                <w:p w14:paraId="6ACB7B87">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西侧</w:t>
                  </w:r>
                </w:p>
              </w:tc>
              <w:tc>
                <w:tcPr>
                  <w:tcW w:w="257" w:type="pct"/>
                  <w:noWrap w:val="0"/>
                  <w:vAlign w:val="center"/>
                </w:tcPr>
                <w:p w14:paraId="4CBBB364">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13</w:t>
                  </w:r>
                </w:p>
              </w:tc>
              <w:tc>
                <w:tcPr>
                  <w:tcW w:w="344" w:type="pct"/>
                  <w:noWrap w:val="0"/>
                  <w:vAlign w:val="center"/>
                </w:tcPr>
                <w:p w14:paraId="71A40873">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36</w:t>
                  </w:r>
                </w:p>
              </w:tc>
              <w:tc>
                <w:tcPr>
                  <w:tcW w:w="261" w:type="pct"/>
                  <w:vMerge w:val="continue"/>
                  <w:noWrap w:val="0"/>
                  <w:vAlign w:val="center"/>
                </w:tcPr>
                <w:p w14:paraId="67A1337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35FEA394">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4B25337C">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26 </w:t>
                  </w:r>
                </w:p>
              </w:tc>
              <w:tc>
                <w:tcPr>
                  <w:tcW w:w="354" w:type="pct"/>
                  <w:noWrap w:val="0"/>
                  <w:vAlign w:val="center"/>
                </w:tcPr>
                <w:p w14:paraId="5554B73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58AC0D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3C49BAD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72" w:type="pct"/>
                  <w:vMerge w:val="continue"/>
                  <w:noWrap w:val="0"/>
                  <w:vAlign w:val="center"/>
                </w:tcPr>
                <w:p w14:paraId="1592285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continue"/>
                  <w:noWrap w:val="0"/>
                  <w:vAlign w:val="center"/>
                </w:tcPr>
                <w:p w14:paraId="5DC346B0">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73" w:type="pct"/>
                  <w:vMerge w:val="continue"/>
                  <w:noWrap w:val="0"/>
                  <w:vAlign w:val="center"/>
                </w:tcPr>
                <w:p w14:paraId="6858FBE6">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03" w:type="pct"/>
                  <w:vMerge w:val="continue"/>
                  <w:noWrap w:val="0"/>
                  <w:vAlign w:val="center"/>
                </w:tcPr>
                <w:p w14:paraId="3C10617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32" w:type="pct"/>
                  <w:vMerge w:val="continue"/>
                  <w:noWrap w:val="0"/>
                  <w:vAlign w:val="center"/>
                </w:tcPr>
                <w:p w14:paraId="45AC022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407" w:type="pct"/>
                  <w:vMerge w:val="continue"/>
                  <w:noWrap w:val="0"/>
                  <w:vAlign w:val="center"/>
                </w:tcPr>
                <w:p w14:paraId="46B573F0">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05" w:type="pct"/>
                  <w:vMerge w:val="continue"/>
                  <w:noWrap w:val="0"/>
                  <w:vAlign w:val="center"/>
                </w:tcPr>
                <w:p w14:paraId="6CAC5739">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9" w:type="pct"/>
                  <w:vMerge w:val="continue"/>
                  <w:noWrap w:val="0"/>
                  <w:vAlign w:val="center"/>
                </w:tcPr>
                <w:p w14:paraId="5A9A4127">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6" w:type="pct"/>
                  <w:vMerge w:val="continue"/>
                  <w:noWrap w:val="0"/>
                  <w:vAlign w:val="center"/>
                </w:tcPr>
                <w:p w14:paraId="54CA641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407" w:type="pct"/>
                  <w:noWrap w:val="0"/>
                  <w:vAlign w:val="center"/>
                </w:tcPr>
                <w:p w14:paraId="70A99028">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北侧</w:t>
                  </w:r>
                </w:p>
              </w:tc>
              <w:tc>
                <w:tcPr>
                  <w:tcW w:w="257" w:type="pct"/>
                  <w:noWrap w:val="0"/>
                  <w:vAlign w:val="center"/>
                </w:tcPr>
                <w:p w14:paraId="0CB56E49">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14</w:t>
                  </w:r>
                </w:p>
              </w:tc>
              <w:tc>
                <w:tcPr>
                  <w:tcW w:w="344" w:type="pct"/>
                  <w:noWrap w:val="0"/>
                  <w:vAlign w:val="center"/>
                </w:tcPr>
                <w:p w14:paraId="1C3FABED">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36</w:t>
                  </w:r>
                </w:p>
              </w:tc>
              <w:tc>
                <w:tcPr>
                  <w:tcW w:w="261" w:type="pct"/>
                  <w:vMerge w:val="continue"/>
                  <w:noWrap w:val="0"/>
                  <w:vAlign w:val="center"/>
                </w:tcPr>
                <w:p w14:paraId="0FF1693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47091C01">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19B07AEC">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26 </w:t>
                  </w:r>
                </w:p>
              </w:tc>
              <w:tc>
                <w:tcPr>
                  <w:tcW w:w="354" w:type="pct"/>
                  <w:noWrap w:val="0"/>
                  <w:vAlign w:val="center"/>
                </w:tcPr>
                <w:p w14:paraId="06F5984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3EC307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restart"/>
                  <w:noWrap w:val="0"/>
                  <w:vAlign w:val="center"/>
                </w:tcPr>
                <w:p w14:paraId="7DF90280">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272" w:type="pct"/>
                  <w:vMerge w:val="continue"/>
                  <w:noWrap w:val="0"/>
                  <w:vAlign w:val="center"/>
                </w:tcPr>
                <w:p w14:paraId="2E9A28E2">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restart"/>
                  <w:noWrap w:val="0"/>
                  <w:vAlign w:val="center"/>
                </w:tcPr>
                <w:p w14:paraId="0F233F41">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多功能卧式粉碎机</w:t>
                  </w:r>
                </w:p>
              </w:tc>
              <w:tc>
                <w:tcPr>
                  <w:tcW w:w="373" w:type="pct"/>
                  <w:vMerge w:val="restart"/>
                  <w:noWrap w:val="0"/>
                  <w:vAlign w:val="center"/>
                </w:tcPr>
                <w:p w14:paraId="7C1AAE71">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间断</w:t>
                  </w:r>
                </w:p>
              </w:tc>
              <w:tc>
                <w:tcPr>
                  <w:tcW w:w="303" w:type="pct"/>
                  <w:vMerge w:val="restart"/>
                  <w:noWrap w:val="0"/>
                  <w:vAlign w:val="center"/>
                </w:tcPr>
                <w:p w14:paraId="2DCF8CFB">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1"/>
                      <w:szCs w:val="21"/>
                      <w:lang w:val="en-US" w:eastAsia="zh-CN" w:bidi="ar"/>
                    </w:rPr>
                    <w:t>75</w:t>
                  </w:r>
                </w:p>
              </w:tc>
              <w:tc>
                <w:tcPr>
                  <w:tcW w:w="232" w:type="pct"/>
                  <w:vMerge w:val="restart"/>
                  <w:noWrap w:val="0"/>
                  <w:vAlign w:val="center"/>
                </w:tcPr>
                <w:p w14:paraId="1F8F72F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kern w:val="0"/>
                      <w:sz w:val="21"/>
                      <w:szCs w:val="21"/>
                      <w:lang w:bidi="ar"/>
                    </w:rPr>
                  </w:pPr>
                  <w:r>
                    <w:rPr>
                      <w:rFonts w:hint="default" w:ascii="Times New Roman" w:hAnsi="Times New Roman" w:cs="Times New Roman"/>
                      <w:bCs/>
                      <w:color w:val="auto"/>
                      <w:sz w:val="21"/>
                      <w:szCs w:val="21"/>
                    </w:rPr>
                    <w:t>类比法</w:t>
                  </w:r>
                </w:p>
              </w:tc>
              <w:tc>
                <w:tcPr>
                  <w:tcW w:w="407" w:type="pct"/>
                  <w:vMerge w:val="restart"/>
                  <w:noWrap w:val="0"/>
                  <w:vAlign w:val="center"/>
                </w:tcPr>
                <w:p w14:paraId="77E863C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车间隔声、设备基础减振等</w:t>
                  </w:r>
                </w:p>
              </w:tc>
              <w:tc>
                <w:tcPr>
                  <w:tcW w:w="205" w:type="pct"/>
                  <w:vMerge w:val="restart"/>
                  <w:noWrap w:val="0"/>
                  <w:vAlign w:val="center"/>
                </w:tcPr>
                <w:p w14:paraId="3533070C">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-42</w:t>
                  </w:r>
                </w:p>
              </w:tc>
              <w:tc>
                <w:tcPr>
                  <w:tcW w:w="199" w:type="pct"/>
                  <w:vMerge w:val="restart"/>
                  <w:noWrap w:val="0"/>
                  <w:vAlign w:val="center"/>
                </w:tcPr>
                <w:p w14:paraId="00A16B1A">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19</w:t>
                  </w:r>
                </w:p>
              </w:tc>
              <w:tc>
                <w:tcPr>
                  <w:tcW w:w="196" w:type="pct"/>
                  <w:vMerge w:val="restart"/>
                  <w:noWrap w:val="0"/>
                  <w:vAlign w:val="center"/>
                </w:tcPr>
                <w:p w14:paraId="23B7DD53">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sz w:val="21"/>
                      <w:szCs w:val="21"/>
                      <w:lang w:val="en-US" w:eastAsia="zh-CN"/>
                    </w:rPr>
                    <w:t>2.5</w:t>
                  </w:r>
                </w:p>
              </w:tc>
              <w:tc>
                <w:tcPr>
                  <w:tcW w:w="407" w:type="pct"/>
                  <w:noWrap w:val="0"/>
                  <w:vAlign w:val="center"/>
                </w:tcPr>
                <w:p w14:paraId="15537975">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东侧</w:t>
                  </w:r>
                </w:p>
              </w:tc>
              <w:tc>
                <w:tcPr>
                  <w:tcW w:w="257" w:type="pct"/>
                  <w:noWrap w:val="0"/>
                  <w:vAlign w:val="center"/>
                </w:tcPr>
                <w:p w14:paraId="3292E3FB">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45</w:t>
                  </w:r>
                </w:p>
              </w:tc>
              <w:tc>
                <w:tcPr>
                  <w:tcW w:w="344" w:type="pct"/>
                  <w:noWrap w:val="0"/>
                  <w:vAlign w:val="center"/>
                </w:tcPr>
                <w:p w14:paraId="629ECB86">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45</w:t>
                  </w:r>
                </w:p>
              </w:tc>
              <w:tc>
                <w:tcPr>
                  <w:tcW w:w="261" w:type="pct"/>
                  <w:vMerge w:val="restart"/>
                  <w:noWrap w:val="0"/>
                  <w:vAlign w:val="center"/>
                </w:tcPr>
                <w:p w14:paraId="13CAC611">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kern w:val="0"/>
                      <w:sz w:val="21"/>
                      <w:szCs w:val="21"/>
                      <w:lang w:eastAsia="zh-CN" w:bidi="ar"/>
                    </w:rPr>
                    <w:t>24h/d</w:t>
                  </w:r>
                </w:p>
              </w:tc>
              <w:tc>
                <w:tcPr>
                  <w:tcW w:w="389" w:type="pct"/>
                  <w:noWrap w:val="0"/>
                  <w:vAlign w:val="center"/>
                </w:tcPr>
                <w:p w14:paraId="181E79E1">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2D45CD80">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34 </w:t>
                  </w:r>
                </w:p>
              </w:tc>
              <w:tc>
                <w:tcPr>
                  <w:tcW w:w="354" w:type="pct"/>
                  <w:noWrap w:val="0"/>
                  <w:vAlign w:val="center"/>
                </w:tcPr>
                <w:p w14:paraId="7D1CDFE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798002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4CD7856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72" w:type="pct"/>
                  <w:vMerge w:val="continue"/>
                  <w:noWrap w:val="0"/>
                  <w:vAlign w:val="center"/>
                </w:tcPr>
                <w:p w14:paraId="6E23B948">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continue"/>
                  <w:noWrap w:val="0"/>
                  <w:vAlign w:val="center"/>
                </w:tcPr>
                <w:p w14:paraId="4D306679">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73" w:type="pct"/>
                  <w:vMerge w:val="continue"/>
                  <w:noWrap w:val="0"/>
                  <w:vAlign w:val="center"/>
                </w:tcPr>
                <w:p w14:paraId="150DE5F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03" w:type="pct"/>
                  <w:vMerge w:val="continue"/>
                  <w:noWrap w:val="0"/>
                  <w:vAlign w:val="center"/>
                </w:tcPr>
                <w:p w14:paraId="53F748AC">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32" w:type="pct"/>
                  <w:vMerge w:val="continue"/>
                  <w:noWrap w:val="0"/>
                  <w:vAlign w:val="center"/>
                </w:tcPr>
                <w:p w14:paraId="136188FE">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407" w:type="pct"/>
                  <w:vMerge w:val="continue"/>
                  <w:noWrap w:val="0"/>
                  <w:vAlign w:val="center"/>
                </w:tcPr>
                <w:p w14:paraId="7F8BF673">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05" w:type="pct"/>
                  <w:vMerge w:val="continue"/>
                  <w:noWrap w:val="0"/>
                  <w:vAlign w:val="center"/>
                </w:tcPr>
                <w:p w14:paraId="6A93339E">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9" w:type="pct"/>
                  <w:vMerge w:val="continue"/>
                  <w:noWrap w:val="0"/>
                  <w:vAlign w:val="center"/>
                </w:tcPr>
                <w:p w14:paraId="1C06C4F9">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6" w:type="pct"/>
                  <w:vMerge w:val="continue"/>
                  <w:noWrap w:val="0"/>
                  <w:vAlign w:val="center"/>
                </w:tcPr>
                <w:p w14:paraId="5C4A11F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407" w:type="pct"/>
                  <w:noWrap w:val="0"/>
                  <w:vAlign w:val="center"/>
                </w:tcPr>
                <w:p w14:paraId="37E92654">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南侧</w:t>
                  </w:r>
                </w:p>
              </w:tc>
              <w:tc>
                <w:tcPr>
                  <w:tcW w:w="257" w:type="pct"/>
                  <w:noWrap w:val="0"/>
                  <w:vAlign w:val="center"/>
                </w:tcPr>
                <w:p w14:paraId="1E7F55E8">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344" w:type="pct"/>
                  <w:noWrap w:val="0"/>
                  <w:vAlign w:val="center"/>
                </w:tcPr>
                <w:p w14:paraId="2C05DE57">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51</w:t>
                  </w:r>
                </w:p>
              </w:tc>
              <w:tc>
                <w:tcPr>
                  <w:tcW w:w="261" w:type="pct"/>
                  <w:vMerge w:val="continue"/>
                  <w:noWrap w:val="0"/>
                  <w:vAlign w:val="center"/>
                </w:tcPr>
                <w:p w14:paraId="00745AB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18E67E9E">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05308445">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41 </w:t>
                  </w:r>
                </w:p>
              </w:tc>
              <w:tc>
                <w:tcPr>
                  <w:tcW w:w="354" w:type="pct"/>
                  <w:noWrap w:val="0"/>
                  <w:vAlign w:val="center"/>
                </w:tcPr>
                <w:p w14:paraId="114768E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655DED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5D5B8E60">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72" w:type="pct"/>
                  <w:vMerge w:val="continue"/>
                  <w:noWrap w:val="0"/>
                  <w:vAlign w:val="center"/>
                </w:tcPr>
                <w:p w14:paraId="2B6BD027">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continue"/>
                  <w:noWrap w:val="0"/>
                  <w:vAlign w:val="center"/>
                </w:tcPr>
                <w:p w14:paraId="5CAD2D0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73" w:type="pct"/>
                  <w:vMerge w:val="continue"/>
                  <w:noWrap w:val="0"/>
                  <w:vAlign w:val="center"/>
                </w:tcPr>
                <w:p w14:paraId="50A6D683">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03" w:type="pct"/>
                  <w:vMerge w:val="continue"/>
                  <w:noWrap w:val="0"/>
                  <w:vAlign w:val="center"/>
                </w:tcPr>
                <w:p w14:paraId="3FBDF3A9">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32" w:type="pct"/>
                  <w:vMerge w:val="continue"/>
                  <w:noWrap w:val="0"/>
                  <w:vAlign w:val="center"/>
                </w:tcPr>
                <w:p w14:paraId="3AEFD44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407" w:type="pct"/>
                  <w:vMerge w:val="continue"/>
                  <w:noWrap w:val="0"/>
                  <w:vAlign w:val="center"/>
                </w:tcPr>
                <w:p w14:paraId="17490DB0">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05" w:type="pct"/>
                  <w:vMerge w:val="continue"/>
                  <w:noWrap w:val="0"/>
                  <w:vAlign w:val="center"/>
                </w:tcPr>
                <w:p w14:paraId="1A1C72E1">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9" w:type="pct"/>
                  <w:vMerge w:val="continue"/>
                  <w:noWrap w:val="0"/>
                  <w:vAlign w:val="center"/>
                </w:tcPr>
                <w:p w14:paraId="318ACB62">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6" w:type="pct"/>
                  <w:vMerge w:val="continue"/>
                  <w:noWrap w:val="0"/>
                  <w:vAlign w:val="center"/>
                </w:tcPr>
                <w:p w14:paraId="1904A679">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407" w:type="pct"/>
                  <w:noWrap w:val="0"/>
                  <w:vAlign w:val="center"/>
                </w:tcPr>
                <w:p w14:paraId="00776BF9">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西侧</w:t>
                  </w:r>
                </w:p>
              </w:tc>
              <w:tc>
                <w:tcPr>
                  <w:tcW w:w="257" w:type="pct"/>
                  <w:noWrap w:val="0"/>
                  <w:vAlign w:val="center"/>
                </w:tcPr>
                <w:p w14:paraId="781F752B">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w:t>
                  </w:r>
                </w:p>
              </w:tc>
              <w:tc>
                <w:tcPr>
                  <w:tcW w:w="344" w:type="pct"/>
                  <w:noWrap w:val="0"/>
                  <w:vAlign w:val="center"/>
                </w:tcPr>
                <w:p w14:paraId="426386C5">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46</w:t>
                  </w:r>
                </w:p>
              </w:tc>
              <w:tc>
                <w:tcPr>
                  <w:tcW w:w="261" w:type="pct"/>
                  <w:vMerge w:val="continue"/>
                  <w:noWrap w:val="0"/>
                  <w:vAlign w:val="center"/>
                </w:tcPr>
                <w:p w14:paraId="250B1B2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78837D4E">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5D20FFA3">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36 </w:t>
                  </w:r>
                </w:p>
              </w:tc>
              <w:tc>
                <w:tcPr>
                  <w:tcW w:w="354" w:type="pct"/>
                  <w:noWrap w:val="0"/>
                  <w:vAlign w:val="center"/>
                </w:tcPr>
                <w:p w14:paraId="75AE6F1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53AA9B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04ABB5D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72" w:type="pct"/>
                  <w:vMerge w:val="continue"/>
                  <w:noWrap w:val="0"/>
                  <w:vAlign w:val="center"/>
                </w:tcPr>
                <w:p w14:paraId="6F528F8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continue"/>
                  <w:noWrap w:val="0"/>
                  <w:vAlign w:val="center"/>
                </w:tcPr>
                <w:p w14:paraId="17086D1F">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73" w:type="pct"/>
                  <w:vMerge w:val="continue"/>
                  <w:noWrap w:val="0"/>
                  <w:vAlign w:val="center"/>
                </w:tcPr>
                <w:p w14:paraId="06A2E32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03" w:type="pct"/>
                  <w:vMerge w:val="continue"/>
                  <w:noWrap w:val="0"/>
                  <w:vAlign w:val="center"/>
                </w:tcPr>
                <w:p w14:paraId="76EC52B9">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32" w:type="pct"/>
                  <w:vMerge w:val="continue"/>
                  <w:noWrap w:val="0"/>
                  <w:vAlign w:val="center"/>
                </w:tcPr>
                <w:p w14:paraId="41A9450F">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407" w:type="pct"/>
                  <w:vMerge w:val="continue"/>
                  <w:noWrap w:val="0"/>
                  <w:vAlign w:val="center"/>
                </w:tcPr>
                <w:p w14:paraId="4C61369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05" w:type="pct"/>
                  <w:vMerge w:val="continue"/>
                  <w:noWrap w:val="0"/>
                  <w:vAlign w:val="center"/>
                </w:tcPr>
                <w:p w14:paraId="1283BBE5">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9" w:type="pct"/>
                  <w:vMerge w:val="continue"/>
                  <w:noWrap w:val="0"/>
                  <w:vAlign w:val="center"/>
                </w:tcPr>
                <w:p w14:paraId="000DAEA7">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6" w:type="pct"/>
                  <w:vMerge w:val="continue"/>
                  <w:noWrap w:val="0"/>
                  <w:vAlign w:val="center"/>
                </w:tcPr>
                <w:p w14:paraId="2EC8C9C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407" w:type="pct"/>
                  <w:noWrap w:val="0"/>
                  <w:vAlign w:val="center"/>
                </w:tcPr>
                <w:p w14:paraId="31B6544C">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北侧</w:t>
                  </w:r>
                </w:p>
              </w:tc>
              <w:tc>
                <w:tcPr>
                  <w:tcW w:w="257" w:type="pct"/>
                  <w:noWrap w:val="0"/>
                  <w:vAlign w:val="center"/>
                </w:tcPr>
                <w:p w14:paraId="5265D3EE">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14</w:t>
                  </w:r>
                </w:p>
              </w:tc>
              <w:tc>
                <w:tcPr>
                  <w:tcW w:w="344" w:type="pct"/>
                  <w:noWrap w:val="0"/>
                  <w:vAlign w:val="center"/>
                </w:tcPr>
                <w:p w14:paraId="6F846A72">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46</w:t>
                  </w:r>
                </w:p>
              </w:tc>
              <w:tc>
                <w:tcPr>
                  <w:tcW w:w="261" w:type="pct"/>
                  <w:vMerge w:val="continue"/>
                  <w:noWrap w:val="0"/>
                  <w:vAlign w:val="center"/>
                </w:tcPr>
                <w:p w14:paraId="14E8E35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10D83D85">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787C3279">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36 </w:t>
                  </w:r>
                </w:p>
              </w:tc>
              <w:tc>
                <w:tcPr>
                  <w:tcW w:w="354" w:type="pct"/>
                  <w:noWrap w:val="0"/>
                  <w:vAlign w:val="center"/>
                </w:tcPr>
                <w:p w14:paraId="0FFE2C6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060172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restart"/>
                  <w:noWrap w:val="0"/>
                  <w:vAlign w:val="center"/>
                </w:tcPr>
                <w:p w14:paraId="132E455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272" w:type="pct"/>
                  <w:vMerge w:val="continue"/>
                  <w:noWrap w:val="0"/>
                  <w:vAlign w:val="center"/>
                </w:tcPr>
                <w:p w14:paraId="339D5858">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restart"/>
                  <w:noWrap w:val="0"/>
                  <w:vAlign w:val="center"/>
                </w:tcPr>
                <w:p w14:paraId="0D49DA42">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强力摩擦机</w:t>
                  </w:r>
                </w:p>
              </w:tc>
              <w:tc>
                <w:tcPr>
                  <w:tcW w:w="373" w:type="pct"/>
                  <w:vMerge w:val="restart"/>
                  <w:noWrap w:val="0"/>
                  <w:vAlign w:val="center"/>
                </w:tcPr>
                <w:p w14:paraId="0DDD3FD6">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间断</w:t>
                  </w:r>
                </w:p>
              </w:tc>
              <w:tc>
                <w:tcPr>
                  <w:tcW w:w="303" w:type="pct"/>
                  <w:vMerge w:val="restart"/>
                  <w:noWrap w:val="0"/>
                  <w:vAlign w:val="center"/>
                </w:tcPr>
                <w:p w14:paraId="59576E7D">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70</w:t>
                  </w:r>
                </w:p>
              </w:tc>
              <w:tc>
                <w:tcPr>
                  <w:tcW w:w="232" w:type="pct"/>
                  <w:vMerge w:val="restart"/>
                  <w:noWrap w:val="0"/>
                  <w:vAlign w:val="center"/>
                </w:tcPr>
                <w:p w14:paraId="1154EC1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kern w:val="0"/>
                      <w:sz w:val="21"/>
                      <w:szCs w:val="21"/>
                      <w:lang w:bidi="ar"/>
                    </w:rPr>
                  </w:pPr>
                  <w:r>
                    <w:rPr>
                      <w:rFonts w:hint="default" w:ascii="Times New Roman" w:hAnsi="Times New Roman" w:cs="Times New Roman"/>
                      <w:bCs/>
                      <w:color w:val="auto"/>
                      <w:sz w:val="21"/>
                      <w:szCs w:val="21"/>
                    </w:rPr>
                    <w:t>类比法</w:t>
                  </w:r>
                </w:p>
              </w:tc>
              <w:tc>
                <w:tcPr>
                  <w:tcW w:w="407" w:type="pct"/>
                  <w:vMerge w:val="restart"/>
                  <w:noWrap w:val="0"/>
                  <w:vAlign w:val="center"/>
                </w:tcPr>
                <w:p w14:paraId="40B8798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车间隔声、设备基础减振等</w:t>
                  </w:r>
                </w:p>
              </w:tc>
              <w:tc>
                <w:tcPr>
                  <w:tcW w:w="205" w:type="pct"/>
                  <w:vMerge w:val="restart"/>
                  <w:noWrap w:val="0"/>
                  <w:vAlign w:val="center"/>
                </w:tcPr>
                <w:p w14:paraId="7DBA02BC">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-41</w:t>
                  </w:r>
                </w:p>
              </w:tc>
              <w:tc>
                <w:tcPr>
                  <w:tcW w:w="199" w:type="pct"/>
                  <w:vMerge w:val="restart"/>
                  <w:noWrap w:val="0"/>
                  <w:vAlign w:val="center"/>
                </w:tcPr>
                <w:p w14:paraId="49791CC7">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18</w:t>
                  </w:r>
                </w:p>
              </w:tc>
              <w:tc>
                <w:tcPr>
                  <w:tcW w:w="196" w:type="pct"/>
                  <w:vMerge w:val="restart"/>
                  <w:noWrap w:val="0"/>
                  <w:vAlign w:val="center"/>
                </w:tcPr>
                <w:p w14:paraId="7F6FF49E">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sz w:val="21"/>
                      <w:szCs w:val="21"/>
                      <w:lang w:val="en-US" w:eastAsia="zh-CN"/>
                    </w:rPr>
                    <w:t>2.5</w:t>
                  </w:r>
                </w:p>
              </w:tc>
              <w:tc>
                <w:tcPr>
                  <w:tcW w:w="407" w:type="pct"/>
                  <w:noWrap w:val="0"/>
                  <w:vAlign w:val="center"/>
                </w:tcPr>
                <w:p w14:paraId="1C3FD7E5">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东侧</w:t>
                  </w:r>
                </w:p>
              </w:tc>
              <w:tc>
                <w:tcPr>
                  <w:tcW w:w="257" w:type="pct"/>
                  <w:noWrap w:val="0"/>
                  <w:vAlign w:val="center"/>
                </w:tcPr>
                <w:p w14:paraId="33713135">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44</w:t>
                  </w:r>
                </w:p>
              </w:tc>
              <w:tc>
                <w:tcPr>
                  <w:tcW w:w="344" w:type="pct"/>
                  <w:noWrap w:val="0"/>
                  <w:vAlign w:val="center"/>
                </w:tcPr>
                <w:p w14:paraId="42D9A3B1">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40</w:t>
                  </w:r>
                </w:p>
              </w:tc>
              <w:tc>
                <w:tcPr>
                  <w:tcW w:w="261" w:type="pct"/>
                  <w:vMerge w:val="restart"/>
                  <w:noWrap w:val="0"/>
                  <w:vAlign w:val="center"/>
                </w:tcPr>
                <w:p w14:paraId="00F14F41">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kern w:val="0"/>
                      <w:sz w:val="21"/>
                      <w:szCs w:val="21"/>
                      <w:lang w:eastAsia="zh-CN" w:bidi="ar"/>
                    </w:rPr>
                    <w:t>24h/d</w:t>
                  </w:r>
                </w:p>
              </w:tc>
              <w:tc>
                <w:tcPr>
                  <w:tcW w:w="389" w:type="pct"/>
                  <w:noWrap w:val="0"/>
                  <w:vAlign w:val="center"/>
                </w:tcPr>
                <w:p w14:paraId="12D59254">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60B634EF">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 </w:t>
                  </w:r>
                </w:p>
              </w:tc>
              <w:tc>
                <w:tcPr>
                  <w:tcW w:w="354" w:type="pct"/>
                  <w:noWrap w:val="0"/>
                  <w:vAlign w:val="center"/>
                </w:tcPr>
                <w:p w14:paraId="75568B7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18E659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1145AE28">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72" w:type="pct"/>
                  <w:vMerge w:val="continue"/>
                  <w:noWrap w:val="0"/>
                  <w:vAlign w:val="center"/>
                </w:tcPr>
                <w:p w14:paraId="771F7F4E">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continue"/>
                  <w:noWrap w:val="0"/>
                  <w:vAlign w:val="center"/>
                </w:tcPr>
                <w:p w14:paraId="01411C21">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73" w:type="pct"/>
                  <w:vMerge w:val="continue"/>
                  <w:noWrap w:val="0"/>
                  <w:vAlign w:val="center"/>
                </w:tcPr>
                <w:p w14:paraId="49EE834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03" w:type="pct"/>
                  <w:vMerge w:val="continue"/>
                  <w:noWrap w:val="0"/>
                  <w:vAlign w:val="center"/>
                </w:tcPr>
                <w:p w14:paraId="4E3E843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32" w:type="pct"/>
                  <w:vMerge w:val="continue"/>
                  <w:noWrap w:val="0"/>
                  <w:vAlign w:val="center"/>
                </w:tcPr>
                <w:p w14:paraId="2F88FE10">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407" w:type="pct"/>
                  <w:vMerge w:val="continue"/>
                  <w:noWrap w:val="0"/>
                  <w:vAlign w:val="center"/>
                </w:tcPr>
                <w:p w14:paraId="1869B8B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05" w:type="pct"/>
                  <w:vMerge w:val="continue"/>
                  <w:noWrap w:val="0"/>
                  <w:vAlign w:val="center"/>
                </w:tcPr>
                <w:p w14:paraId="15EC1718">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9" w:type="pct"/>
                  <w:vMerge w:val="continue"/>
                  <w:noWrap w:val="0"/>
                  <w:vAlign w:val="center"/>
                </w:tcPr>
                <w:p w14:paraId="5F513ECE">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6" w:type="pct"/>
                  <w:vMerge w:val="continue"/>
                  <w:noWrap w:val="0"/>
                  <w:vAlign w:val="center"/>
                </w:tcPr>
                <w:p w14:paraId="313FED20">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407" w:type="pct"/>
                  <w:noWrap w:val="0"/>
                  <w:vAlign w:val="center"/>
                </w:tcPr>
                <w:p w14:paraId="5BC2C13A">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南侧</w:t>
                  </w:r>
                </w:p>
              </w:tc>
              <w:tc>
                <w:tcPr>
                  <w:tcW w:w="257" w:type="pct"/>
                  <w:noWrap w:val="0"/>
                  <w:vAlign w:val="center"/>
                </w:tcPr>
                <w:p w14:paraId="2BA73914">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5</w:t>
                  </w:r>
                </w:p>
              </w:tc>
              <w:tc>
                <w:tcPr>
                  <w:tcW w:w="344" w:type="pct"/>
                  <w:noWrap w:val="0"/>
                  <w:vAlign w:val="center"/>
                </w:tcPr>
                <w:p w14:paraId="693D1949">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46</w:t>
                  </w:r>
                </w:p>
              </w:tc>
              <w:tc>
                <w:tcPr>
                  <w:tcW w:w="261" w:type="pct"/>
                  <w:vMerge w:val="continue"/>
                  <w:noWrap w:val="0"/>
                  <w:vAlign w:val="center"/>
                </w:tcPr>
                <w:p w14:paraId="3C268B2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77D34721">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29254717">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36 </w:t>
                  </w:r>
                </w:p>
              </w:tc>
              <w:tc>
                <w:tcPr>
                  <w:tcW w:w="354" w:type="pct"/>
                  <w:noWrap w:val="0"/>
                  <w:vAlign w:val="center"/>
                </w:tcPr>
                <w:p w14:paraId="2976FAB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0F0BE9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1F0D5FEC">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72" w:type="pct"/>
                  <w:vMerge w:val="continue"/>
                  <w:noWrap w:val="0"/>
                  <w:vAlign w:val="center"/>
                </w:tcPr>
                <w:p w14:paraId="00AE91AC">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continue"/>
                  <w:noWrap w:val="0"/>
                  <w:vAlign w:val="center"/>
                </w:tcPr>
                <w:p w14:paraId="223DF28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73" w:type="pct"/>
                  <w:vMerge w:val="continue"/>
                  <w:noWrap w:val="0"/>
                  <w:vAlign w:val="center"/>
                </w:tcPr>
                <w:p w14:paraId="578FFB3E">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03" w:type="pct"/>
                  <w:vMerge w:val="continue"/>
                  <w:noWrap w:val="0"/>
                  <w:vAlign w:val="center"/>
                </w:tcPr>
                <w:p w14:paraId="24654FAE">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32" w:type="pct"/>
                  <w:vMerge w:val="continue"/>
                  <w:noWrap w:val="0"/>
                  <w:vAlign w:val="center"/>
                </w:tcPr>
                <w:p w14:paraId="6F3631B6">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407" w:type="pct"/>
                  <w:vMerge w:val="continue"/>
                  <w:noWrap w:val="0"/>
                  <w:vAlign w:val="center"/>
                </w:tcPr>
                <w:p w14:paraId="2DE8BA42">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05" w:type="pct"/>
                  <w:vMerge w:val="continue"/>
                  <w:noWrap w:val="0"/>
                  <w:vAlign w:val="center"/>
                </w:tcPr>
                <w:p w14:paraId="43F8D72C">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9" w:type="pct"/>
                  <w:vMerge w:val="continue"/>
                  <w:noWrap w:val="0"/>
                  <w:vAlign w:val="center"/>
                </w:tcPr>
                <w:p w14:paraId="7D1F1BEE">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6" w:type="pct"/>
                  <w:vMerge w:val="continue"/>
                  <w:noWrap w:val="0"/>
                  <w:vAlign w:val="center"/>
                </w:tcPr>
                <w:p w14:paraId="25625D77">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407" w:type="pct"/>
                  <w:noWrap w:val="0"/>
                  <w:vAlign w:val="center"/>
                </w:tcPr>
                <w:p w14:paraId="7CAF043F">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西侧</w:t>
                  </w:r>
                </w:p>
              </w:tc>
              <w:tc>
                <w:tcPr>
                  <w:tcW w:w="257" w:type="pct"/>
                  <w:noWrap w:val="0"/>
                  <w:vAlign w:val="center"/>
                </w:tcPr>
                <w:p w14:paraId="5D5648C2">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16</w:t>
                  </w:r>
                </w:p>
              </w:tc>
              <w:tc>
                <w:tcPr>
                  <w:tcW w:w="344" w:type="pct"/>
                  <w:noWrap w:val="0"/>
                  <w:vAlign w:val="center"/>
                </w:tcPr>
                <w:p w14:paraId="05845369">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41</w:t>
                  </w:r>
                </w:p>
              </w:tc>
              <w:tc>
                <w:tcPr>
                  <w:tcW w:w="261" w:type="pct"/>
                  <w:vMerge w:val="continue"/>
                  <w:noWrap w:val="0"/>
                  <w:vAlign w:val="center"/>
                </w:tcPr>
                <w:p w14:paraId="44EBF00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0FEE5AAC">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28ABB0C5">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30 </w:t>
                  </w:r>
                </w:p>
              </w:tc>
              <w:tc>
                <w:tcPr>
                  <w:tcW w:w="354" w:type="pct"/>
                  <w:noWrap w:val="0"/>
                  <w:vAlign w:val="center"/>
                </w:tcPr>
                <w:p w14:paraId="48DB1AD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5F8EEE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040550F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72" w:type="pct"/>
                  <w:vMerge w:val="continue"/>
                  <w:noWrap w:val="0"/>
                  <w:vAlign w:val="center"/>
                </w:tcPr>
                <w:p w14:paraId="4513C78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continue"/>
                  <w:noWrap w:val="0"/>
                  <w:vAlign w:val="center"/>
                </w:tcPr>
                <w:p w14:paraId="30BDF080">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73" w:type="pct"/>
                  <w:vMerge w:val="continue"/>
                  <w:noWrap w:val="0"/>
                  <w:vAlign w:val="center"/>
                </w:tcPr>
                <w:p w14:paraId="79938746">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03" w:type="pct"/>
                  <w:vMerge w:val="continue"/>
                  <w:noWrap w:val="0"/>
                  <w:vAlign w:val="center"/>
                </w:tcPr>
                <w:p w14:paraId="5F357382">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32" w:type="pct"/>
                  <w:vMerge w:val="continue"/>
                  <w:noWrap w:val="0"/>
                  <w:vAlign w:val="center"/>
                </w:tcPr>
                <w:p w14:paraId="2498B317">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407" w:type="pct"/>
                  <w:vMerge w:val="continue"/>
                  <w:noWrap w:val="0"/>
                  <w:vAlign w:val="center"/>
                </w:tcPr>
                <w:p w14:paraId="234E07A5">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05" w:type="pct"/>
                  <w:vMerge w:val="continue"/>
                  <w:noWrap w:val="0"/>
                  <w:vAlign w:val="center"/>
                </w:tcPr>
                <w:p w14:paraId="1BBA3688">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9" w:type="pct"/>
                  <w:vMerge w:val="continue"/>
                  <w:noWrap w:val="0"/>
                  <w:vAlign w:val="center"/>
                </w:tcPr>
                <w:p w14:paraId="399FD781">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6" w:type="pct"/>
                  <w:vMerge w:val="continue"/>
                  <w:noWrap w:val="0"/>
                  <w:vAlign w:val="center"/>
                </w:tcPr>
                <w:p w14:paraId="516AF992">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407" w:type="pct"/>
                  <w:noWrap w:val="0"/>
                  <w:vAlign w:val="center"/>
                </w:tcPr>
                <w:p w14:paraId="020A8096">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北侧</w:t>
                  </w:r>
                </w:p>
              </w:tc>
              <w:tc>
                <w:tcPr>
                  <w:tcW w:w="257" w:type="pct"/>
                  <w:noWrap w:val="0"/>
                  <w:vAlign w:val="center"/>
                </w:tcPr>
                <w:p w14:paraId="64FE049C">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14</w:t>
                  </w:r>
                </w:p>
              </w:tc>
              <w:tc>
                <w:tcPr>
                  <w:tcW w:w="344" w:type="pct"/>
                  <w:noWrap w:val="0"/>
                  <w:vAlign w:val="center"/>
                </w:tcPr>
                <w:p w14:paraId="1EF405B0">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41</w:t>
                  </w:r>
                </w:p>
              </w:tc>
              <w:tc>
                <w:tcPr>
                  <w:tcW w:w="261" w:type="pct"/>
                  <w:vMerge w:val="continue"/>
                  <w:noWrap w:val="0"/>
                  <w:vAlign w:val="center"/>
                </w:tcPr>
                <w:p w14:paraId="614B1B4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441EC1DB">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5F601348">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31 </w:t>
                  </w:r>
                </w:p>
              </w:tc>
              <w:tc>
                <w:tcPr>
                  <w:tcW w:w="354" w:type="pct"/>
                  <w:noWrap w:val="0"/>
                  <w:vAlign w:val="center"/>
                </w:tcPr>
                <w:p w14:paraId="3360BCE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4154EC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restart"/>
                  <w:noWrap w:val="0"/>
                  <w:vAlign w:val="center"/>
                </w:tcPr>
                <w:p w14:paraId="10719F0E">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272" w:type="pct"/>
                  <w:vMerge w:val="continue"/>
                  <w:noWrap w:val="0"/>
                  <w:vAlign w:val="center"/>
                </w:tcPr>
                <w:p w14:paraId="62970D56">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restart"/>
                  <w:noWrap w:val="0"/>
                  <w:vAlign w:val="center"/>
                </w:tcPr>
                <w:p w14:paraId="4E0AC70C">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立式洗脱机A</w:t>
                  </w:r>
                </w:p>
              </w:tc>
              <w:tc>
                <w:tcPr>
                  <w:tcW w:w="373" w:type="pct"/>
                  <w:vMerge w:val="restart"/>
                  <w:noWrap w:val="0"/>
                  <w:vAlign w:val="center"/>
                </w:tcPr>
                <w:p w14:paraId="181194F8">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间断</w:t>
                  </w:r>
                </w:p>
              </w:tc>
              <w:tc>
                <w:tcPr>
                  <w:tcW w:w="303" w:type="pct"/>
                  <w:vMerge w:val="restart"/>
                  <w:noWrap w:val="0"/>
                  <w:vAlign w:val="center"/>
                </w:tcPr>
                <w:p w14:paraId="10D1A6B6">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70</w:t>
                  </w:r>
                </w:p>
              </w:tc>
              <w:tc>
                <w:tcPr>
                  <w:tcW w:w="232" w:type="pct"/>
                  <w:vMerge w:val="restart"/>
                  <w:noWrap w:val="0"/>
                  <w:vAlign w:val="center"/>
                </w:tcPr>
                <w:p w14:paraId="44908FAE">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类比法</w:t>
                  </w:r>
                </w:p>
              </w:tc>
              <w:tc>
                <w:tcPr>
                  <w:tcW w:w="407" w:type="pct"/>
                  <w:vMerge w:val="restart"/>
                  <w:noWrap w:val="0"/>
                  <w:vAlign w:val="center"/>
                </w:tcPr>
                <w:p w14:paraId="7D9CEF9E">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车间隔声、设备基础减振等</w:t>
                  </w:r>
                </w:p>
              </w:tc>
              <w:tc>
                <w:tcPr>
                  <w:tcW w:w="205" w:type="pct"/>
                  <w:vMerge w:val="restart"/>
                  <w:noWrap w:val="0"/>
                  <w:vAlign w:val="center"/>
                </w:tcPr>
                <w:p w14:paraId="547730B5">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-40</w:t>
                  </w:r>
                </w:p>
              </w:tc>
              <w:tc>
                <w:tcPr>
                  <w:tcW w:w="199" w:type="pct"/>
                  <w:vMerge w:val="restart"/>
                  <w:noWrap w:val="0"/>
                  <w:vAlign w:val="center"/>
                </w:tcPr>
                <w:p w14:paraId="4ABF1884">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17</w:t>
                  </w:r>
                </w:p>
              </w:tc>
              <w:tc>
                <w:tcPr>
                  <w:tcW w:w="196" w:type="pct"/>
                  <w:vMerge w:val="restart"/>
                  <w:noWrap w:val="0"/>
                  <w:vAlign w:val="center"/>
                </w:tcPr>
                <w:p w14:paraId="1FF9F7B8">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sz w:val="21"/>
                      <w:szCs w:val="21"/>
                      <w:lang w:val="en-US" w:eastAsia="zh-CN"/>
                    </w:rPr>
                    <w:t>2.5</w:t>
                  </w:r>
                </w:p>
              </w:tc>
              <w:tc>
                <w:tcPr>
                  <w:tcW w:w="407" w:type="pct"/>
                  <w:noWrap w:val="0"/>
                  <w:vAlign w:val="center"/>
                </w:tcPr>
                <w:p w14:paraId="2715B46B">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东侧</w:t>
                  </w:r>
                </w:p>
              </w:tc>
              <w:tc>
                <w:tcPr>
                  <w:tcW w:w="257" w:type="pct"/>
                  <w:noWrap w:val="0"/>
                  <w:vAlign w:val="center"/>
                </w:tcPr>
                <w:p w14:paraId="650DD6B3">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w:t>
                  </w:r>
                </w:p>
              </w:tc>
              <w:tc>
                <w:tcPr>
                  <w:tcW w:w="344" w:type="pct"/>
                  <w:noWrap w:val="0"/>
                  <w:vAlign w:val="center"/>
                </w:tcPr>
                <w:p w14:paraId="565658C2">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40</w:t>
                  </w:r>
                </w:p>
              </w:tc>
              <w:tc>
                <w:tcPr>
                  <w:tcW w:w="261" w:type="pct"/>
                  <w:vMerge w:val="restart"/>
                  <w:noWrap w:val="0"/>
                  <w:vAlign w:val="center"/>
                </w:tcPr>
                <w:p w14:paraId="1D1C17AF">
                  <w:pPr>
                    <w:keepNext w:val="0"/>
                    <w:keepLines w:val="0"/>
                    <w:pageBreakBefore w:val="0"/>
                    <w:kinsoku/>
                    <w:wordWrap/>
                    <w:overflowPunct/>
                    <w:topLinePunct w:val="0"/>
                    <w:autoSpaceDE/>
                    <w:autoSpaceDN/>
                    <w:bidi w:val="0"/>
                    <w:adjustRightInd w:val="0"/>
                    <w:snapToGrid/>
                    <w:spacing w:line="34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kern w:val="0"/>
                      <w:sz w:val="21"/>
                      <w:szCs w:val="21"/>
                      <w:lang w:eastAsia="zh-CN" w:bidi="ar"/>
                    </w:rPr>
                    <w:t>24h/d</w:t>
                  </w:r>
                </w:p>
              </w:tc>
              <w:tc>
                <w:tcPr>
                  <w:tcW w:w="389" w:type="pct"/>
                  <w:noWrap w:val="0"/>
                  <w:vAlign w:val="center"/>
                </w:tcPr>
                <w:p w14:paraId="0F7900BD">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7FA1A596">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 </w:t>
                  </w:r>
                </w:p>
              </w:tc>
              <w:tc>
                <w:tcPr>
                  <w:tcW w:w="354" w:type="pct"/>
                  <w:noWrap w:val="0"/>
                  <w:vAlign w:val="center"/>
                </w:tcPr>
                <w:p w14:paraId="265526A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5B6661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45B5F6B5">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72" w:type="pct"/>
                  <w:vMerge w:val="continue"/>
                  <w:noWrap w:val="0"/>
                  <w:vAlign w:val="center"/>
                </w:tcPr>
                <w:p w14:paraId="4206162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continue"/>
                  <w:noWrap w:val="0"/>
                  <w:vAlign w:val="center"/>
                </w:tcPr>
                <w:p w14:paraId="169FB61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73" w:type="pct"/>
                  <w:vMerge w:val="continue"/>
                  <w:noWrap w:val="0"/>
                  <w:vAlign w:val="center"/>
                </w:tcPr>
                <w:p w14:paraId="41ED95AE">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03" w:type="pct"/>
                  <w:vMerge w:val="continue"/>
                  <w:noWrap w:val="0"/>
                  <w:vAlign w:val="center"/>
                </w:tcPr>
                <w:p w14:paraId="7AF6F735">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32" w:type="pct"/>
                  <w:vMerge w:val="continue"/>
                  <w:noWrap w:val="0"/>
                  <w:vAlign w:val="center"/>
                </w:tcPr>
                <w:p w14:paraId="7ABD5C6C">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407" w:type="pct"/>
                  <w:vMerge w:val="continue"/>
                  <w:noWrap w:val="0"/>
                  <w:vAlign w:val="center"/>
                </w:tcPr>
                <w:p w14:paraId="34446189">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05" w:type="pct"/>
                  <w:vMerge w:val="continue"/>
                  <w:noWrap w:val="0"/>
                  <w:vAlign w:val="center"/>
                </w:tcPr>
                <w:p w14:paraId="61CABDD1">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9" w:type="pct"/>
                  <w:vMerge w:val="continue"/>
                  <w:noWrap w:val="0"/>
                  <w:vAlign w:val="center"/>
                </w:tcPr>
                <w:p w14:paraId="62EAB879">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6" w:type="pct"/>
                  <w:vMerge w:val="continue"/>
                  <w:noWrap w:val="0"/>
                  <w:vAlign w:val="center"/>
                </w:tcPr>
                <w:p w14:paraId="509C37A1">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407" w:type="pct"/>
                  <w:noWrap w:val="0"/>
                  <w:vAlign w:val="center"/>
                </w:tcPr>
                <w:p w14:paraId="6B2752DD">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南侧</w:t>
                  </w:r>
                </w:p>
              </w:tc>
              <w:tc>
                <w:tcPr>
                  <w:tcW w:w="257" w:type="pct"/>
                  <w:noWrap w:val="0"/>
                  <w:vAlign w:val="center"/>
                </w:tcPr>
                <w:p w14:paraId="3F067040">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Arial" w:cs="Times New Roman"/>
                      <w:color w:val="auto"/>
                      <w:sz w:val="21"/>
                      <w:szCs w:val="21"/>
                    </w:rPr>
                  </w:pPr>
                  <w:r>
                    <w:rPr>
                      <w:rFonts w:hint="eastAsia" w:ascii="Times New Roman" w:hAnsi="Times New Roman" w:cs="Times New Roman"/>
                      <w:color w:val="auto"/>
                      <w:sz w:val="21"/>
                      <w:szCs w:val="21"/>
                      <w:lang w:val="en-US" w:eastAsia="zh-CN"/>
                    </w:rPr>
                    <w:t>5</w:t>
                  </w:r>
                </w:p>
              </w:tc>
              <w:tc>
                <w:tcPr>
                  <w:tcW w:w="344" w:type="pct"/>
                  <w:noWrap w:val="0"/>
                  <w:vAlign w:val="center"/>
                </w:tcPr>
                <w:p w14:paraId="37CEAA91">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46</w:t>
                  </w:r>
                </w:p>
              </w:tc>
              <w:tc>
                <w:tcPr>
                  <w:tcW w:w="261" w:type="pct"/>
                  <w:vMerge w:val="continue"/>
                  <w:noWrap w:val="0"/>
                  <w:vAlign w:val="center"/>
                </w:tcPr>
                <w:p w14:paraId="050A792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216204E1">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5120D77E">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36 </w:t>
                  </w:r>
                </w:p>
              </w:tc>
              <w:tc>
                <w:tcPr>
                  <w:tcW w:w="354" w:type="pct"/>
                  <w:noWrap w:val="0"/>
                  <w:vAlign w:val="center"/>
                </w:tcPr>
                <w:p w14:paraId="3EE03EF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2AD6EC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26B5D900">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72" w:type="pct"/>
                  <w:vMerge w:val="continue"/>
                  <w:noWrap w:val="0"/>
                  <w:vAlign w:val="center"/>
                </w:tcPr>
                <w:p w14:paraId="19CD76F8">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continue"/>
                  <w:noWrap w:val="0"/>
                  <w:vAlign w:val="center"/>
                </w:tcPr>
                <w:p w14:paraId="592D77F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73" w:type="pct"/>
                  <w:vMerge w:val="continue"/>
                  <w:noWrap w:val="0"/>
                  <w:vAlign w:val="center"/>
                </w:tcPr>
                <w:p w14:paraId="6BCAC69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03" w:type="pct"/>
                  <w:vMerge w:val="continue"/>
                  <w:noWrap w:val="0"/>
                  <w:vAlign w:val="center"/>
                </w:tcPr>
                <w:p w14:paraId="3E6BC50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32" w:type="pct"/>
                  <w:vMerge w:val="continue"/>
                  <w:noWrap w:val="0"/>
                  <w:vAlign w:val="center"/>
                </w:tcPr>
                <w:p w14:paraId="3932E645">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407" w:type="pct"/>
                  <w:vMerge w:val="continue"/>
                  <w:noWrap w:val="0"/>
                  <w:vAlign w:val="center"/>
                </w:tcPr>
                <w:p w14:paraId="078B915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05" w:type="pct"/>
                  <w:vMerge w:val="continue"/>
                  <w:noWrap w:val="0"/>
                  <w:vAlign w:val="center"/>
                </w:tcPr>
                <w:p w14:paraId="377FFF31">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9" w:type="pct"/>
                  <w:vMerge w:val="continue"/>
                  <w:noWrap w:val="0"/>
                  <w:vAlign w:val="center"/>
                </w:tcPr>
                <w:p w14:paraId="6587C661">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6" w:type="pct"/>
                  <w:vMerge w:val="continue"/>
                  <w:noWrap w:val="0"/>
                  <w:vAlign w:val="center"/>
                </w:tcPr>
                <w:p w14:paraId="11189FD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407" w:type="pct"/>
                  <w:noWrap w:val="0"/>
                  <w:vAlign w:val="center"/>
                </w:tcPr>
                <w:p w14:paraId="174DA719">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西侧</w:t>
                  </w:r>
                </w:p>
              </w:tc>
              <w:tc>
                <w:tcPr>
                  <w:tcW w:w="257" w:type="pct"/>
                  <w:noWrap w:val="0"/>
                  <w:vAlign w:val="center"/>
                </w:tcPr>
                <w:p w14:paraId="17446F72">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344" w:type="pct"/>
                  <w:noWrap w:val="0"/>
                  <w:vAlign w:val="center"/>
                </w:tcPr>
                <w:p w14:paraId="588346DE">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40</w:t>
                  </w:r>
                </w:p>
              </w:tc>
              <w:tc>
                <w:tcPr>
                  <w:tcW w:w="261" w:type="pct"/>
                  <w:vMerge w:val="continue"/>
                  <w:noWrap w:val="0"/>
                  <w:vAlign w:val="center"/>
                </w:tcPr>
                <w:p w14:paraId="4CC9663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12AD2462">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4816265D">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30 </w:t>
                  </w:r>
                </w:p>
              </w:tc>
              <w:tc>
                <w:tcPr>
                  <w:tcW w:w="354" w:type="pct"/>
                  <w:noWrap w:val="0"/>
                  <w:vAlign w:val="center"/>
                </w:tcPr>
                <w:p w14:paraId="1E230CD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238CE8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67A68AB2">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72" w:type="pct"/>
                  <w:vMerge w:val="continue"/>
                  <w:noWrap w:val="0"/>
                  <w:vAlign w:val="center"/>
                </w:tcPr>
                <w:p w14:paraId="0D65996E">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continue"/>
                  <w:noWrap w:val="0"/>
                  <w:vAlign w:val="center"/>
                </w:tcPr>
                <w:p w14:paraId="7CBC8A68">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73" w:type="pct"/>
                  <w:vMerge w:val="continue"/>
                  <w:noWrap w:val="0"/>
                  <w:vAlign w:val="center"/>
                </w:tcPr>
                <w:p w14:paraId="326AC53F">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03" w:type="pct"/>
                  <w:vMerge w:val="continue"/>
                  <w:noWrap w:val="0"/>
                  <w:vAlign w:val="center"/>
                </w:tcPr>
                <w:p w14:paraId="7D309BF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32" w:type="pct"/>
                  <w:vMerge w:val="continue"/>
                  <w:noWrap w:val="0"/>
                  <w:vAlign w:val="center"/>
                </w:tcPr>
                <w:p w14:paraId="456B970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407" w:type="pct"/>
                  <w:vMerge w:val="continue"/>
                  <w:noWrap w:val="0"/>
                  <w:vAlign w:val="center"/>
                </w:tcPr>
                <w:p w14:paraId="3FB1F987">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05" w:type="pct"/>
                  <w:vMerge w:val="continue"/>
                  <w:noWrap w:val="0"/>
                  <w:vAlign w:val="center"/>
                </w:tcPr>
                <w:p w14:paraId="31E47E30">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9" w:type="pct"/>
                  <w:vMerge w:val="continue"/>
                  <w:noWrap w:val="0"/>
                  <w:vAlign w:val="center"/>
                </w:tcPr>
                <w:p w14:paraId="45DE7F1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6" w:type="pct"/>
                  <w:vMerge w:val="continue"/>
                  <w:noWrap w:val="0"/>
                  <w:vAlign w:val="center"/>
                </w:tcPr>
                <w:p w14:paraId="2497913E">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407" w:type="pct"/>
                  <w:noWrap w:val="0"/>
                  <w:vAlign w:val="center"/>
                </w:tcPr>
                <w:p w14:paraId="03D80D07">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北侧</w:t>
                  </w:r>
                </w:p>
              </w:tc>
              <w:tc>
                <w:tcPr>
                  <w:tcW w:w="257" w:type="pct"/>
                  <w:noWrap w:val="0"/>
                  <w:vAlign w:val="center"/>
                </w:tcPr>
                <w:p w14:paraId="15BFF7E7">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Arial" w:cs="Times New Roman"/>
                      <w:color w:val="auto"/>
                      <w:sz w:val="21"/>
                      <w:szCs w:val="21"/>
                    </w:rPr>
                  </w:pPr>
                  <w:r>
                    <w:rPr>
                      <w:rFonts w:hint="eastAsia" w:ascii="Times New Roman" w:hAnsi="Times New Roman" w:cs="Times New Roman"/>
                      <w:color w:val="auto"/>
                      <w:sz w:val="21"/>
                      <w:szCs w:val="21"/>
                      <w:lang w:val="en-US" w:eastAsia="zh-CN"/>
                    </w:rPr>
                    <w:t>14</w:t>
                  </w:r>
                </w:p>
              </w:tc>
              <w:tc>
                <w:tcPr>
                  <w:tcW w:w="344" w:type="pct"/>
                  <w:noWrap w:val="0"/>
                  <w:vAlign w:val="center"/>
                </w:tcPr>
                <w:p w14:paraId="4F44D86E">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41</w:t>
                  </w:r>
                </w:p>
              </w:tc>
              <w:tc>
                <w:tcPr>
                  <w:tcW w:w="261" w:type="pct"/>
                  <w:vMerge w:val="continue"/>
                  <w:noWrap w:val="0"/>
                  <w:vAlign w:val="center"/>
                </w:tcPr>
                <w:p w14:paraId="3EB43BB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1D2899D4">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4F921035">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31 </w:t>
                  </w:r>
                </w:p>
              </w:tc>
              <w:tc>
                <w:tcPr>
                  <w:tcW w:w="354" w:type="pct"/>
                  <w:noWrap w:val="0"/>
                  <w:vAlign w:val="center"/>
                </w:tcPr>
                <w:p w14:paraId="63A6AC5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0FD53B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restart"/>
                  <w:noWrap w:val="0"/>
                  <w:vAlign w:val="center"/>
                </w:tcPr>
                <w:p w14:paraId="663060BF">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272" w:type="pct"/>
                  <w:vMerge w:val="continue"/>
                  <w:noWrap w:val="0"/>
                  <w:vAlign w:val="center"/>
                </w:tcPr>
                <w:p w14:paraId="6880B850">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restart"/>
                  <w:noWrap w:val="0"/>
                  <w:vAlign w:val="center"/>
                </w:tcPr>
                <w:p w14:paraId="1E1374B7">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沉浮分离漂槽</w:t>
                  </w:r>
                </w:p>
              </w:tc>
              <w:tc>
                <w:tcPr>
                  <w:tcW w:w="373" w:type="pct"/>
                  <w:vMerge w:val="restart"/>
                  <w:noWrap w:val="0"/>
                  <w:vAlign w:val="center"/>
                </w:tcPr>
                <w:p w14:paraId="1F4BEAC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间断</w:t>
                  </w:r>
                </w:p>
              </w:tc>
              <w:tc>
                <w:tcPr>
                  <w:tcW w:w="303" w:type="pct"/>
                  <w:vMerge w:val="restart"/>
                  <w:noWrap w:val="0"/>
                  <w:vAlign w:val="center"/>
                </w:tcPr>
                <w:p w14:paraId="768312A6">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65</w:t>
                  </w:r>
                </w:p>
              </w:tc>
              <w:tc>
                <w:tcPr>
                  <w:tcW w:w="232" w:type="pct"/>
                  <w:vMerge w:val="restart"/>
                  <w:noWrap w:val="0"/>
                  <w:vAlign w:val="center"/>
                </w:tcPr>
                <w:p w14:paraId="5620CFA6">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类比法</w:t>
                  </w:r>
                </w:p>
              </w:tc>
              <w:tc>
                <w:tcPr>
                  <w:tcW w:w="407" w:type="pct"/>
                  <w:vMerge w:val="restart"/>
                  <w:noWrap w:val="0"/>
                  <w:vAlign w:val="center"/>
                </w:tcPr>
                <w:p w14:paraId="5476D2D8">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车间隔声、设备基础减振等</w:t>
                  </w:r>
                </w:p>
              </w:tc>
              <w:tc>
                <w:tcPr>
                  <w:tcW w:w="205" w:type="pct"/>
                  <w:vMerge w:val="restart"/>
                  <w:noWrap w:val="0"/>
                  <w:vAlign w:val="center"/>
                </w:tcPr>
                <w:p w14:paraId="73FA49FC">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-39</w:t>
                  </w:r>
                </w:p>
              </w:tc>
              <w:tc>
                <w:tcPr>
                  <w:tcW w:w="199" w:type="pct"/>
                  <w:vMerge w:val="restart"/>
                  <w:noWrap w:val="0"/>
                  <w:vAlign w:val="center"/>
                </w:tcPr>
                <w:p w14:paraId="6A4BFC5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16</w:t>
                  </w:r>
                </w:p>
              </w:tc>
              <w:tc>
                <w:tcPr>
                  <w:tcW w:w="196" w:type="pct"/>
                  <w:vMerge w:val="restart"/>
                  <w:noWrap w:val="0"/>
                  <w:vAlign w:val="center"/>
                </w:tcPr>
                <w:p w14:paraId="79EB9D28">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2.5</w:t>
                  </w:r>
                </w:p>
              </w:tc>
              <w:tc>
                <w:tcPr>
                  <w:tcW w:w="407" w:type="pct"/>
                  <w:noWrap w:val="0"/>
                  <w:vAlign w:val="center"/>
                </w:tcPr>
                <w:p w14:paraId="141F9B31">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东侧</w:t>
                  </w:r>
                </w:p>
              </w:tc>
              <w:tc>
                <w:tcPr>
                  <w:tcW w:w="257" w:type="pct"/>
                  <w:noWrap w:val="0"/>
                  <w:vAlign w:val="center"/>
                </w:tcPr>
                <w:p w14:paraId="22729C8F">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36</w:t>
                  </w:r>
                </w:p>
              </w:tc>
              <w:tc>
                <w:tcPr>
                  <w:tcW w:w="344" w:type="pct"/>
                  <w:noWrap w:val="0"/>
                  <w:vAlign w:val="center"/>
                </w:tcPr>
                <w:p w14:paraId="232535CE">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sz w:val="21"/>
                      <w:szCs w:val="21"/>
                      <w:lang w:val="en-US" w:eastAsia="zh-CN"/>
                    </w:rPr>
                    <w:t>35</w:t>
                  </w:r>
                </w:p>
              </w:tc>
              <w:tc>
                <w:tcPr>
                  <w:tcW w:w="261" w:type="pct"/>
                  <w:vMerge w:val="restart"/>
                  <w:noWrap w:val="0"/>
                  <w:vAlign w:val="center"/>
                </w:tcPr>
                <w:p w14:paraId="0E4D1C5F">
                  <w:pPr>
                    <w:keepNext w:val="0"/>
                    <w:keepLines w:val="0"/>
                    <w:pageBreakBefore w:val="0"/>
                    <w:kinsoku/>
                    <w:wordWrap/>
                    <w:overflowPunct/>
                    <w:topLinePunct w:val="0"/>
                    <w:autoSpaceDE/>
                    <w:autoSpaceDN/>
                    <w:bidi w:val="0"/>
                    <w:adjustRightInd w:val="0"/>
                    <w:snapToGrid/>
                    <w:spacing w:line="34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kern w:val="0"/>
                      <w:sz w:val="21"/>
                      <w:szCs w:val="21"/>
                      <w:lang w:eastAsia="zh-CN" w:bidi="ar"/>
                    </w:rPr>
                    <w:t>24h/d</w:t>
                  </w:r>
                </w:p>
              </w:tc>
              <w:tc>
                <w:tcPr>
                  <w:tcW w:w="389" w:type="pct"/>
                  <w:noWrap w:val="0"/>
                  <w:vAlign w:val="center"/>
                </w:tcPr>
                <w:p w14:paraId="7DE68877">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28BE387F">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24 </w:t>
                  </w:r>
                </w:p>
              </w:tc>
              <w:tc>
                <w:tcPr>
                  <w:tcW w:w="354" w:type="pct"/>
                  <w:noWrap w:val="0"/>
                  <w:vAlign w:val="center"/>
                </w:tcPr>
                <w:p w14:paraId="76629CB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04F3A4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6CBF0CB3">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72" w:type="pct"/>
                  <w:vMerge w:val="continue"/>
                  <w:noWrap w:val="0"/>
                  <w:vAlign w:val="center"/>
                </w:tcPr>
                <w:p w14:paraId="18FE0C85">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continue"/>
                  <w:noWrap w:val="0"/>
                  <w:vAlign w:val="center"/>
                </w:tcPr>
                <w:p w14:paraId="44CA7306">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73" w:type="pct"/>
                  <w:vMerge w:val="continue"/>
                  <w:noWrap w:val="0"/>
                  <w:vAlign w:val="center"/>
                </w:tcPr>
                <w:p w14:paraId="7D4103CF">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03" w:type="pct"/>
                  <w:vMerge w:val="continue"/>
                  <w:noWrap w:val="0"/>
                  <w:vAlign w:val="center"/>
                </w:tcPr>
                <w:p w14:paraId="61A1C8CC">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32" w:type="pct"/>
                  <w:vMerge w:val="continue"/>
                  <w:noWrap w:val="0"/>
                  <w:vAlign w:val="center"/>
                </w:tcPr>
                <w:p w14:paraId="26DD8BD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407" w:type="pct"/>
                  <w:vMerge w:val="continue"/>
                  <w:noWrap w:val="0"/>
                  <w:vAlign w:val="center"/>
                </w:tcPr>
                <w:p w14:paraId="06FD6A96">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05" w:type="pct"/>
                  <w:vMerge w:val="continue"/>
                  <w:noWrap w:val="0"/>
                  <w:vAlign w:val="center"/>
                </w:tcPr>
                <w:p w14:paraId="08DEC1A9">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9" w:type="pct"/>
                  <w:vMerge w:val="continue"/>
                  <w:noWrap w:val="0"/>
                  <w:vAlign w:val="center"/>
                </w:tcPr>
                <w:p w14:paraId="7602A05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6" w:type="pct"/>
                  <w:vMerge w:val="continue"/>
                  <w:noWrap w:val="0"/>
                  <w:vAlign w:val="center"/>
                </w:tcPr>
                <w:p w14:paraId="41040D99">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407" w:type="pct"/>
                  <w:noWrap w:val="0"/>
                  <w:vAlign w:val="center"/>
                </w:tcPr>
                <w:p w14:paraId="4B896335">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南侧</w:t>
                  </w:r>
                </w:p>
              </w:tc>
              <w:tc>
                <w:tcPr>
                  <w:tcW w:w="257" w:type="pct"/>
                  <w:noWrap w:val="0"/>
                  <w:vAlign w:val="center"/>
                </w:tcPr>
                <w:p w14:paraId="0D2EFE54">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5</w:t>
                  </w:r>
                </w:p>
              </w:tc>
              <w:tc>
                <w:tcPr>
                  <w:tcW w:w="344" w:type="pct"/>
                  <w:noWrap w:val="0"/>
                  <w:vAlign w:val="center"/>
                </w:tcPr>
                <w:p w14:paraId="7C5BF579">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41</w:t>
                  </w:r>
                </w:p>
              </w:tc>
              <w:tc>
                <w:tcPr>
                  <w:tcW w:w="261" w:type="pct"/>
                  <w:vMerge w:val="continue"/>
                  <w:noWrap w:val="0"/>
                  <w:vAlign w:val="center"/>
                </w:tcPr>
                <w:p w14:paraId="7C1F57A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738C2C5B">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2663224A">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31 </w:t>
                  </w:r>
                </w:p>
              </w:tc>
              <w:tc>
                <w:tcPr>
                  <w:tcW w:w="354" w:type="pct"/>
                  <w:noWrap w:val="0"/>
                  <w:vAlign w:val="center"/>
                </w:tcPr>
                <w:p w14:paraId="099AD26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25720C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097DC0F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72" w:type="pct"/>
                  <w:vMerge w:val="continue"/>
                  <w:noWrap w:val="0"/>
                  <w:vAlign w:val="center"/>
                </w:tcPr>
                <w:p w14:paraId="007C3C7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continue"/>
                  <w:noWrap w:val="0"/>
                  <w:vAlign w:val="center"/>
                </w:tcPr>
                <w:p w14:paraId="3B09230C">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73" w:type="pct"/>
                  <w:vMerge w:val="continue"/>
                  <w:noWrap w:val="0"/>
                  <w:vAlign w:val="center"/>
                </w:tcPr>
                <w:p w14:paraId="338FA27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03" w:type="pct"/>
                  <w:vMerge w:val="continue"/>
                  <w:noWrap w:val="0"/>
                  <w:vAlign w:val="center"/>
                </w:tcPr>
                <w:p w14:paraId="6A2C4CC6">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32" w:type="pct"/>
                  <w:vMerge w:val="continue"/>
                  <w:noWrap w:val="0"/>
                  <w:vAlign w:val="center"/>
                </w:tcPr>
                <w:p w14:paraId="1A1E7481">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407" w:type="pct"/>
                  <w:vMerge w:val="continue"/>
                  <w:noWrap w:val="0"/>
                  <w:vAlign w:val="center"/>
                </w:tcPr>
                <w:p w14:paraId="724B8F4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05" w:type="pct"/>
                  <w:vMerge w:val="continue"/>
                  <w:noWrap w:val="0"/>
                  <w:vAlign w:val="center"/>
                </w:tcPr>
                <w:p w14:paraId="2D8EB485">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9" w:type="pct"/>
                  <w:vMerge w:val="continue"/>
                  <w:noWrap w:val="0"/>
                  <w:vAlign w:val="center"/>
                </w:tcPr>
                <w:p w14:paraId="57310DB6">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6" w:type="pct"/>
                  <w:vMerge w:val="continue"/>
                  <w:noWrap w:val="0"/>
                  <w:vAlign w:val="center"/>
                </w:tcPr>
                <w:p w14:paraId="4755F71F">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407" w:type="pct"/>
                  <w:noWrap w:val="0"/>
                  <w:vAlign w:val="center"/>
                </w:tcPr>
                <w:p w14:paraId="6A2875B8">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西侧</w:t>
                  </w:r>
                </w:p>
              </w:tc>
              <w:tc>
                <w:tcPr>
                  <w:tcW w:w="257" w:type="pct"/>
                  <w:noWrap w:val="0"/>
                  <w:vAlign w:val="center"/>
                </w:tcPr>
                <w:p w14:paraId="367AF9F1">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24</w:t>
                  </w:r>
                </w:p>
              </w:tc>
              <w:tc>
                <w:tcPr>
                  <w:tcW w:w="344" w:type="pct"/>
                  <w:noWrap w:val="0"/>
                  <w:vAlign w:val="center"/>
                </w:tcPr>
                <w:p w14:paraId="1D6B763C">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35</w:t>
                  </w:r>
                </w:p>
              </w:tc>
              <w:tc>
                <w:tcPr>
                  <w:tcW w:w="261" w:type="pct"/>
                  <w:vMerge w:val="continue"/>
                  <w:noWrap w:val="0"/>
                  <w:vAlign w:val="center"/>
                </w:tcPr>
                <w:p w14:paraId="44F494A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6BCC583F">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4C916902">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25 </w:t>
                  </w:r>
                </w:p>
              </w:tc>
              <w:tc>
                <w:tcPr>
                  <w:tcW w:w="354" w:type="pct"/>
                  <w:noWrap w:val="0"/>
                  <w:vAlign w:val="center"/>
                </w:tcPr>
                <w:p w14:paraId="249A911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4D2905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7D43F6C0">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72" w:type="pct"/>
                  <w:vMerge w:val="continue"/>
                  <w:noWrap w:val="0"/>
                  <w:vAlign w:val="center"/>
                </w:tcPr>
                <w:p w14:paraId="7912AC9C">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continue"/>
                  <w:noWrap w:val="0"/>
                  <w:vAlign w:val="center"/>
                </w:tcPr>
                <w:p w14:paraId="73F17DA3">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73" w:type="pct"/>
                  <w:vMerge w:val="continue"/>
                  <w:noWrap w:val="0"/>
                  <w:vAlign w:val="center"/>
                </w:tcPr>
                <w:p w14:paraId="3E23903E">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03" w:type="pct"/>
                  <w:vMerge w:val="continue"/>
                  <w:noWrap w:val="0"/>
                  <w:vAlign w:val="center"/>
                </w:tcPr>
                <w:p w14:paraId="6B96F703">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32" w:type="pct"/>
                  <w:vMerge w:val="continue"/>
                  <w:noWrap w:val="0"/>
                  <w:vAlign w:val="center"/>
                </w:tcPr>
                <w:p w14:paraId="29A52EF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407" w:type="pct"/>
                  <w:vMerge w:val="continue"/>
                  <w:noWrap w:val="0"/>
                  <w:vAlign w:val="center"/>
                </w:tcPr>
                <w:p w14:paraId="393C377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205" w:type="pct"/>
                  <w:vMerge w:val="continue"/>
                  <w:noWrap w:val="0"/>
                  <w:vAlign w:val="center"/>
                </w:tcPr>
                <w:p w14:paraId="01BC9D11">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9" w:type="pct"/>
                  <w:vMerge w:val="continue"/>
                  <w:noWrap w:val="0"/>
                  <w:vAlign w:val="center"/>
                </w:tcPr>
                <w:p w14:paraId="173EA10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196" w:type="pct"/>
                  <w:vMerge w:val="continue"/>
                  <w:noWrap w:val="0"/>
                  <w:vAlign w:val="center"/>
                </w:tcPr>
                <w:p w14:paraId="196E485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p>
              </w:tc>
              <w:tc>
                <w:tcPr>
                  <w:tcW w:w="407" w:type="pct"/>
                  <w:noWrap w:val="0"/>
                  <w:vAlign w:val="center"/>
                </w:tcPr>
                <w:p w14:paraId="1EEC1601">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北侧</w:t>
                  </w:r>
                </w:p>
              </w:tc>
              <w:tc>
                <w:tcPr>
                  <w:tcW w:w="257" w:type="pct"/>
                  <w:noWrap w:val="0"/>
                  <w:vAlign w:val="center"/>
                </w:tcPr>
                <w:p w14:paraId="1D7F21A7">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14</w:t>
                  </w:r>
                </w:p>
              </w:tc>
              <w:tc>
                <w:tcPr>
                  <w:tcW w:w="344" w:type="pct"/>
                  <w:noWrap w:val="0"/>
                  <w:vAlign w:val="center"/>
                </w:tcPr>
                <w:p w14:paraId="3690ABAD">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36</w:t>
                  </w:r>
                </w:p>
              </w:tc>
              <w:tc>
                <w:tcPr>
                  <w:tcW w:w="261" w:type="pct"/>
                  <w:vMerge w:val="continue"/>
                  <w:noWrap w:val="0"/>
                  <w:vAlign w:val="center"/>
                </w:tcPr>
                <w:p w14:paraId="291BDEC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106660A1">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33434A24">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26 </w:t>
                  </w:r>
                </w:p>
              </w:tc>
              <w:tc>
                <w:tcPr>
                  <w:tcW w:w="354" w:type="pct"/>
                  <w:noWrap w:val="0"/>
                  <w:vAlign w:val="center"/>
                </w:tcPr>
                <w:p w14:paraId="1F76CAA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01B7E6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restart"/>
                  <w:noWrap w:val="0"/>
                  <w:vAlign w:val="center"/>
                </w:tcPr>
                <w:p w14:paraId="7806C0E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272" w:type="pct"/>
                  <w:vMerge w:val="continue"/>
                  <w:noWrap w:val="0"/>
                  <w:vAlign w:val="center"/>
                </w:tcPr>
                <w:p w14:paraId="75CAFAA0">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restart"/>
                  <w:noWrap w:val="0"/>
                  <w:vAlign w:val="center"/>
                </w:tcPr>
                <w:p w14:paraId="1EA2618C">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底渣抽料机</w:t>
                  </w:r>
                </w:p>
              </w:tc>
              <w:tc>
                <w:tcPr>
                  <w:tcW w:w="373" w:type="pct"/>
                  <w:vMerge w:val="restart"/>
                  <w:noWrap w:val="0"/>
                  <w:vAlign w:val="center"/>
                </w:tcPr>
                <w:p w14:paraId="79C15AE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间断</w:t>
                  </w:r>
                </w:p>
              </w:tc>
              <w:tc>
                <w:tcPr>
                  <w:tcW w:w="303" w:type="pct"/>
                  <w:vMerge w:val="restart"/>
                  <w:noWrap w:val="0"/>
                  <w:vAlign w:val="center"/>
                </w:tcPr>
                <w:p w14:paraId="61E4DC52">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65</w:t>
                  </w:r>
                </w:p>
              </w:tc>
              <w:tc>
                <w:tcPr>
                  <w:tcW w:w="232" w:type="pct"/>
                  <w:vMerge w:val="restart"/>
                  <w:noWrap w:val="0"/>
                  <w:vAlign w:val="center"/>
                </w:tcPr>
                <w:p w14:paraId="45FAEF3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类比法</w:t>
                  </w:r>
                </w:p>
              </w:tc>
              <w:tc>
                <w:tcPr>
                  <w:tcW w:w="407" w:type="pct"/>
                  <w:vMerge w:val="restart"/>
                  <w:noWrap w:val="0"/>
                  <w:vAlign w:val="center"/>
                </w:tcPr>
                <w:p w14:paraId="43ED7A6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车间隔声、设备基础减振等</w:t>
                  </w:r>
                </w:p>
              </w:tc>
              <w:tc>
                <w:tcPr>
                  <w:tcW w:w="205" w:type="pct"/>
                  <w:vMerge w:val="restart"/>
                  <w:noWrap w:val="0"/>
                  <w:vAlign w:val="center"/>
                </w:tcPr>
                <w:p w14:paraId="59FE8B90">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-37</w:t>
                  </w:r>
                </w:p>
              </w:tc>
              <w:tc>
                <w:tcPr>
                  <w:tcW w:w="199" w:type="pct"/>
                  <w:vMerge w:val="restart"/>
                  <w:noWrap w:val="0"/>
                  <w:vAlign w:val="center"/>
                </w:tcPr>
                <w:p w14:paraId="5808FC4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w:t>
                  </w:r>
                </w:p>
              </w:tc>
              <w:tc>
                <w:tcPr>
                  <w:tcW w:w="196" w:type="pct"/>
                  <w:vMerge w:val="restart"/>
                  <w:noWrap w:val="0"/>
                  <w:vAlign w:val="center"/>
                </w:tcPr>
                <w:p w14:paraId="14CB31CF">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Arial" w:cs="Times New Roman"/>
                      <w:color w:val="auto"/>
                      <w:sz w:val="21"/>
                      <w:szCs w:val="21"/>
                    </w:rPr>
                  </w:pPr>
                  <w:r>
                    <w:rPr>
                      <w:rFonts w:hint="eastAsia" w:ascii="Times New Roman" w:hAnsi="Times New Roman" w:cs="Times New Roman"/>
                      <w:color w:val="auto"/>
                      <w:sz w:val="21"/>
                      <w:szCs w:val="21"/>
                      <w:lang w:val="en-US" w:eastAsia="zh-CN"/>
                    </w:rPr>
                    <w:t>2.5</w:t>
                  </w:r>
                </w:p>
              </w:tc>
              <w:tc>
                <w:tcPr>
                  <w:tcW w:w="407" w:type="pct"/>
                  <w:noWrap w:val="0"/>
                  <w:vAlign w:val="center"/>
                </w:tcPr>
                <w:p w14:paraId="31A84839">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东侧</w:t>
                  </w:r>
                </w:p>
              </w:tc>
              <w:tc>
                <w:tcPr>
                  <w:tcW w:w="257" w:type="pct"/>
                  <w:noWrap w:val="0"/>
                  <w:vAlign w:val="center"/>
                </w:tcPr>
                <w:p w14:paraId="5A430E02">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35</w:t>
                  </w:r>
                </w:p>
              </w:tc>
              <w:tc>
                <w:tcPr>
                  <w:tcW w:w="344" w:type="pct"/>
                  <w:noWrap w:val="0"/>
                  <w:vAlign w:val="center"/>
                </w:tcPr>
                <w:p w14:paraId="17C20945">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35</w:t>
                  </w:r>
                </w:p>
              </w:tc>
              <w:tc>
                <w:tcPr>
                  <w:tcW w:w="261" w:type="pct"/>
                  <w:vMerge w:val="restart"/>
                  <w:noWrap w:val="0"/>
                  <w:vAlign w:val="center"/>
                </w:tcPr>
                <w:p w14:paraId="7D89B008">
                  <w:pPr>
                    <w:keepNext w:val="0"/>
                    <w:keepLines w:val="0"/>
                    <w:pageBreakBefore w:val="0"/>
                    <w:kinsoku/>
                    <w:wordWrap/>
                    <w:overflowPunct/>
                    <w:topLinePunct w:val="0"/>
                    <w:autoSpaceDE/>
                    <w:autoSpaceDN/>
                    <w:bidi w:val="0"/>
                    <w:adjustRightInd w:val="0"/>
                    <w:snapToGrid/>
                    <w:spacing w:line="34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kern w:val="0"/>
                      <w:sz w:val="21"/>
                      <w:szCs w:val="21"/>
                      <w:lang w:eastAsia="zh-CN" w:bidi="ar"/>
                    </w:rPr>
                    <w:t>24h/d</w:t>
                  </w:r>
                </w:p>
              </w:tc>
              <w:tc>
                <w:tcPr>
                  <w:tcW w:w="389" w:type="pct"/>
                  <w:noWrap w:val="0"/>
                  <w:vAlign w:val="center"/>
                </w:tcPr>
                <w:p w14:paraId="6AD9002B">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45E9E7A0">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24 </w:t>
                  </w:r>
                </w:p>
              </w:tc>
              <w:tc>
                <w:tcPr>
                  <w:tcW w:w="354" w:type="pct"/>
                  <w:noWrap w:val="0"/>
                  <w:vAlign w:val="center"/>
                </w:tcPr>
                <w:p w14:paraId="6C98297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57BF69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2ADDE3B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1079D65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07F1774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79D290F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6D76E08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62A0F82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5F1326B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422C83A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0BFAD46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7764657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01A1AFE4">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南侧</w:t>
                  </w:r>
                </w:p>
              </w:tc>
              <w:tc>
                <w:tcPr>
                  <w:tcW w:w="257" w:type="pct"/>
                  <w:noWrap w:val="0"/>
                  <w:vAlign w:val="center"/>
                </w:tcPr>
                <w:p w14:paraId="143DCA29">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5</w:t>
                  </w:r>
                </w:p>
              </w:tc>
              <w:tc>
                <w:tcPr>
                  <w:tcW w:w="344" w:type="pct"/>
                  <w:noWrap w:val="0"/>
                  <w:vAlign w:val="center"/>
                </w:tcPr>
                <w:p w14:paraId="0B61CDD4">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41</w:t>
                  </w:r>
                </w:p>
              </w:tc>
              <w:tc>
                <w:tcPr>
                  <w:tcW w:w="261" w:type="pct"/>
                  <w:vMerge w:val="continue"/>
                  <w:noWrap w:val="0"/>
                  <w:vAlign w:val="center"/>
                </w:tcPr>
                <w:p w14:paraId="2722B1F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0829613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02EF60E3">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31 </w:t>
                  </w:r>
                </w:p>
              </w:tc>
              <w:tc>
                <w:tcPr>
                  <w:tcW w:w="354" w:type="pct"/>
                  <w:noWrap w:val="0"/>
                  <w:vAlign w:val="center"/>
                </w:tcPr>
                <w:p w14:paraId="32072AB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1435F1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279556B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4ACEA0C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3330305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432BD25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6C2DEBC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5EB9A81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2C8CF96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5B40D8D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0A30EA0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4094ED1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0152B737">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西侧</w:t>
                  </w:r>
                </w:p>
              </w:tc>
              <w:tc>
                <w:tcPr>
                  <w:tcW w:w="257" w:type="pct"/>
                  <w:noWrap w:val="0"/>
                  <w:vAlign w:val="center"/>
                </w:tcPr>
                <w:p w14:paraId="42F0C3C1">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25</w:t>
                  </w:r>
                </w:p>
              </w:tc>
              <w:tc>
                <w:tcPr>
                  <w:tcW w:w="344" w:type="pct"/>
                  <w:noWrap w:val="0"/>
                  <w:vAlign w:val="center"/>
                </w:tcPr>
                <w:p w14:paraId="4B6B1796">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35</w:t>
                  </w:r>
                </w:p>
              </w:tc>
              <w:tc>
                <w:tcPr>
                  <w:tcW w:w="261" w:type="pct"/>
                  <w:vMerge w:val="continue"/>
                  <w:noWrap w:val="0"/>
                  <w:vAlign w:val="center"/>
                </w:tcPr>
                <w:p w14:paraId="30274D1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70B97CE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2258CFCF">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25 </w:t>
                  </w:r>
                </w:p>
              </w:tc>
              <w:tc>
                <w:tcPr>
                  <w:tcW w:w="354" w:type="pct"/>
                  <w:noWrap w:val="0"/>
                  <w:vAlign w:val="center"/>
                </w:tcPr>
                <w:p w14:paraId="5E3B91E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5615DF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12AE804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6C3575E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12AFCC1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7E0A155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2D2ADA1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1C744A6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045C83F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6C6C02B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7B32699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6749708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73737B66">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北侧</w:t>
                  </w:r>
                </w:p>
              </w:tc>
              <w:tc>
                <w:tcPr>
                  <w:tcW w:w="257" w:type="pct"/>
                  <w:noWrap w:val="0"/>
                  <w:vAlign w:val="center"/>
                </w:tcPr>
                <w:p w14:paraId="7DEE0CD7">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14</w:t>
                  </w:r>
                </w:p>
              </w:tc>
              <w:tc>
                <w:tcPr>
                  <w:tcW w:w="344" w:type="pct"/>
                  <w:noWrap w:val="0"/>
                  <w:vAlign w:val="center"/>
                </w:tcPr>
                <w:p w14:paraId="4110B9E1">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36</w:t>
                  </w:r>
                </w:p>
              </w:tc>
              <w:tc>
                <w:tcPr>
                  <w:tcW w:w="261" w:type="pct"/>
                  <w:vMerge w:val="continue"/>
                  <w:noWrap w:val="0"/>
                  <w:vAlign w:val="center"/>
                </w:tcPr>
                <w:p w14:paraId="468EBCB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7A56E8C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22C0DEA3">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26 </w:t>
                  </w:r>
                </w:p>
              </w:tc>
              <w:tc>
                <w:tcPr>
                  <w:tcW w:w="354" w:type="pct"/>
                  <w:noWrap w:val="0"/>
                  <w:vAlign w:val="center"/>
                </w:tcPr>
                <w:p w14:paraId="69B2460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36819C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restart"/>
                  <w:noWrap w:val="0"/>
                  <w:vAlign w:val="center"/>
                </w:tcPr>
                <w:p w14:paraId="0F1DD249">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272" w:type="pct"/>
                  <w:vMerge w:val="continue"/>
                  <w:noWrap w:val="0"/>
                  <w:vAlign w:val="center"/>
                </w:tcPr>
                <w:p w14:paraId="1B543DA8">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restart"/>
                  <w:noWrap w:val="0"/>
                  <w:vAlign w:val="center"/>
                </w:tcPr>
                <w:p w14:paraId="057F725B">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螺旋抽料机</w:t>
                  </w:r>
                </w:p>
              </w:tc>
              <w:tc>
                <w:tcPr>
                  <w:tcW w:w="373" w:type="pct"/>
                  <w:vMerge w:val="restart"/>
                  <w:noWrap w:val="0"/>
                  <w:vAlign w:val="center"/>
                </w:tcPr>
                <w:p w14:paraId="6D7C284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间断</w:t>
                  </w:r>
                </w:p>
              </w:tc>
              <w:tc>
                <w:tcPr>
                  <w:tcW w:w="303" w:type="pct"/>
                  <w:vMerge w:val="restart"/>
                  <w:noWrap w:val="0"/>
                  <w:vAlign w:val="center"/>
                </w:tcPr>
                <w:p w14:paraId="7F492682">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70</w:t>
                  </w:r>
                </w:p>
              </w:tc>
              <w:tc>
                <w:tcPr>
                  <w:tcW w:w="232" w:type="pct"/>
                  <w:vMerge w:val="restart"/>
                  <w:noWrap w:val="0"/>
                  <w:vAlign w:val="center"/>
                </w:tcPr>
                <w:p w14:paraId="018AD68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类比法</w:t>
                  </w:r>
                </w:p>
              </w:tc>
              <w:tc>
                <w:tcPr>
                  <w:tcW w:w="407" w:type="pct"/>
                  <w:vMerge w:val="restart"/>
                  <w:noWrap w:val="0"/>
                  <w:vAlign w:val="center"/>
                </w:tcPr>
                <w:p w14:paraId="7A02834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车间隔声、设备基础减振等</w:t>
                  </w:r>
                </w:p>
              </w:tc>
              <w:tc>
                <w:tcPr>
                  <w:tcW w:w="205" w:type="pct"/>
                  <w:vMerge w:val="restart"/>
                  <w:noWrap w:val="0"/>
                  <w:vAlign w:val="center"/>
                </w:tcPr>
                <w:p w14:paraId="5F682A72">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-35</w:t>
                  </w:r>
                </w:p>
              </w:tc>
              <w:tc>
                <w:tcPr>
                  <w:tcW w:w="199" w:type="pct"/>
                  <w:vMerge w:val="restart"/>
                  <w:noWrap w:val="0"/>
                  <w:vAlign w:val="center"/>
                </w:tcPr>
                <w:p w14:paraId="3CC0392F">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13</w:t>
                  </w:r>
                </w:p>
              </w:tc>
              <w:tc>
                <w:tcPr>
                  <w:tcW w:w="196" w:type="pct"/>
                  <w:vMerge w:val="restart"/>
                  <w:noWrap w:val="0"/>
                  <w:vAlign w:val="center"/>
                </w:tcPr>
                <w:p w14:paraId="14EEAF62">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Arial" w:cs="Times New Roman"/>
                      <w:color w:val="auto"/>
                      <w:sz w:val="21"/>
                      <w:szCs w:val="21"/>
                    </w:rPr>
                  </w:pPr>
                  <w:r>
                    <w:rPr>
                      <w:rFonts w:hint="eastAsia" w:ascii="Times New Roman" w:hAnsi="Times New Roman" w:cs="Times New Roman"/>
                      <w:color w:val="auto"/>
                      <w:sz w:val="21"/>
                      <w:szCs w:val="21"/>
                      <w:lang w:val="en-US" w:eastAsia="zh-CN"/>
                    </w:rPr>
                    <w:t>2.5</w:t>
                  </w:r>
                </w:p>
              </w:tc>
              <w:tc>
                <w:tcPr>
                  <w:tcW w:w="407" w:type="pct"/>
                  <w:noWrap w:val="0"/>
                  <w:vAlign w:val="center"/>
                </w:tcPr>
                <w:p w14:paraId="45638F92">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东侧</w:t>
                  </w:r>
                </w:p>
              </w:tc>
              <w:tc>
                <w:tcPr>
                  <w:tcW w:w="257" w:type="pct"/>
                  <w:noWrap w:val="0"/>
                  <w:vAlign w:val="center"/>
                </w:tcPr>
                <w:p w14:paraId="6AF802FC">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33</w:t>
                  </w:r>
                </w:p>
              </w:tc>
              <w:tc>
                <w:tcPr>
                  <w:tcW w:w="344" w:type="pct"/>
                  <w:noWrap w:val="0"/>
                  <w:vAlign w:val="center"/>
                </w:tcPr>
                <w:p w14:paraId="31DAED11">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40</w:t>
                  </w:r>
                </w:p>
              </w:tc>
              <w:tc>
                <w:tcPr>
                  <w:tcW w:w="261" w:type="pct"/>
                  <w:vMerge w:val="restart"/>
                  <w:noWrap w:val="0"/>
                  <w:vAlign w:val="center"/>
                </w:tcPr>
                <w:p w14:paraId="268C784D">
                  <w:pPr>
                    <w:keepNext w:val="0"/>
                    <w:keepLines w:val="0"/>
                    <w:pageBreakBefore w:val="0"/>
                    <w:kinsoku/>
                    <w:wordWrap/>
                    <w:overflowPunct/>
                    <w:topLinePunct w:val="0"/>
                    <w:autoSpaceDE/>
                    <w:autoSpaceDN/>
                    <w:bidi w:val="0"/>
                    <w:adjustRightInd w:val="0"/>
                    <w:snapToGrid/>
                    <w:spacing w:line="34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kern w:val="0"/>
                      <w:sz w:val="21"/>
                      <w:szCs w:val="21"/>
                      <w:lang w:eastAsia="zh-CN" w:bidi="ar"/>
                    </w:rPr>
                    <w:t>24h/d</w:t>
                  </w:r>
                </w:p>
              </w:tc>
              <w:tc>
                <w:tcPr>
                  <w:tcW w:w="389" w:type="pct"/>
                  <w:noWrap w:val="0"/>
                  <w:vAlign w:val="center"/>
                </w:tcPr>
                <w:p w14:paraId="3049B107">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3FDF0174">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30 </w:t>
                  </w:r>
                </w:p>
              </w:tc>
              <w:tc>
                <w:tcPr>
                  <w:tcW w:w="354" w:type="pct"/>
                  <w:noWrap w:val="0"/>
                  <w:vAlign w:val="center"/>
                </w:tcPr>
                <w:p w14:paraId="7632031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6F7CC1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59EB14E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19A5FEC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551C1DE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1B58259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3CE4266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46A8AEE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2406491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7B2B753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6328201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547988A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0695A82E">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南侧</w:t>
                  </w:r>
                </w:p>
              </w:tc>
              <w:tc>
                <w:tcPr>
                  <w:tcW w:w="257" w:type="pct"/>
                  <w:noWrap w:val="0"/>
                  <w:vAlign w:val="center"/>
                </w:tcPr>
                <w:p w14:paraId="76AD8F7A">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5</w:t>
                  </w:r>
                </w:p>
              </w:tc>
              <w:tc>
                <w:tcPr>
                  <w:tcW w:w="344" w:type="pct"/>
                  <w:noWrap w:val="0"/>
                  <w:vAlign w:val="center"/>
                </w:tcPr>
                <w:p w14:paraId="581AC95B">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46</w:t>
                  </w:r>
                </w:p>
              </w:tc>
              <w:tc>
                <w:tcPr>
                  <w:tcW w:w="261" w:type="pct"/>
                  <w:vMerge w:val="continue"/>
                  <w:noWrap w:val="0"/>
                  <w:vAlign w:val="center"/>
                </w:tcPr>
                <w:p w14:paraId="1303C2F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550CD1D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4CA6AF28">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36 </w:t>
                  </w:r>
                </w:p>
              </w:tc>
              <w:tc>
                <w:tcPr>
                  <w:tcW w:w="354" w:type="pct"/>
                  <w:noWrap w:val="0"/>
                  <w:vAlign w:val="center"/>
                </w:tcPr>
                <w:p w14:paraId="1857755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19420E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53ECD1E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0E30AB3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184FA4C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4455E50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660D1B8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17C3D69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2AA8E44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3D14898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0E1ABBF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6A62188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7A591464">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西侧</w:t>
                  </w:r>
                </w:p>
              </w:tc>
              <w:tc>
                <w:tcPr>
                  <w:tcW w:w="257" w:type="pct"/>
                  <w:noWrap w:val="0"/>
                  <w:vAlign w:val="center"/>
                </w:tcPr>
                <w:p w14:paraId="355A96F2">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27</w:t>
                  </w:r>
                </w:p>
              </w:tc>
              <w:tc>
                <w:tcPr>
                  <w:tcW w:w="344" w:type="pct"/>
                  <w:noWrap w:val="0"/>
                  <w:vAlign w:val="center"/>
                </w:tcPr>
                <w:p w14:paraId="7A036E7F">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40</w:t>
                  </w:r>
                </w:p>
              </w:tc>
              <w:tc>
                <w:tcPr>
                  <w:tcW w:w="261" w:type="pct"/>
                  <w:vMerge w:val="continue"/>
                  <w:noWrap w:val="0"/>
                  <w:vAlign w:val="center"/>
                </w:tcPr>
                <w:p w14:paraId="5A7C885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35E32AB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0ACD10DB">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30 </w:t>
                  </w:r>
                </w:p>
              </w:tc>
              <w:tc>
                <w:tcPr>
                  <w:tcW w:w="354" w:type="pct"/>
                  <w:noWrap w:val="0"/>
                  <w:vAlign w:val="center"/>
                </w:tcPr>
                <w:p w14:paraId="6ABC7C3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6D1380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61E25E3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24B9847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587DAE5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400FDD3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344AD5B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32FCCF7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3B216B7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4635F51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7EEB2D1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55C2AF1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7248B763">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北侧</w:t>
                  </w:r>
                </w:p>
              </w:tc>
              <w:tc>
                <w:tcPr>
                  <w:tcW w:w="257" w:type="pct"/>
                  <w:noWrap w:val="0"/>
                  <w:vAlign w:val="center"/>
                </w:tcPr>
                <w:p w14:paraId="00C6457F">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14</w:t>
                  </w:r>
                </w:p>
              </w:tc>
              <w:tc>
                <w:tcPr>
                  <w:tcW w:w="344" w:type="pct"/>
                  <w:noWrap w:val="0"/>
                  <w:vAlign w:val="center"/>
                </w:tcPr>
                <w:p w14:paraId="35902832">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41</w:t>
                  </w:r>
                </w:p>
              </w:tc>
              <w:tc>
                <w:tcPr>
                  <w:tcW w:w="261" w:type="pct"/>
                  <w:vMerge w:val="continue"/>
                  <w:noWrap w:val="0"/>
                  <w:vAlign w:val="center"/>
                </w:tcPr>
                <w:p w14:paraId="7B1A79B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101AF0B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48D3B17F">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31 </w:t>
                  </w:r>
                </w:p>
              </w:tc>
              <w:tc>
                <w:tcPr>
                  <w:tcW w:w="354" w:type="pct"/>
                  <w:noWrap w:val="0"/>
                  <w:vAlign w:val="center"/>
                </w:tcPr>
                <w:p w14:paraId="3F20354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3C8F30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restart"/>
                  <w:noWrap w:val="0"/>
                  <w:vAlign w:val="center"/>
                </w:tcPr>
                <w:p w14:paraId="72A58C69">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272" w:type="pct"/>
                  <w:vMerge w:val="continue"/>
                  <w:noWrap w:val="0"/>
                  <w:vAlign w:val="center"/>
                </w:tcPr>
                <w:p w14:paraId="5431A626">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restart"/>
                  <w:noWrap w:val="0"/>
                  <w:vAlign w:val="center"/>
                </w:tcPr>
                <w:p w14:paraId="485720E4">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高速脱水机</w:t>
                  </w:r>
                </w:p>
              </w:tc>
              <w:tc>
                <w:tcPr>
                  <w:tcW w:w="373" w:type="pct"/>
                  <w:vMerge w:val="restart"/>
                  <w:noWrap w:val="0"/>
                  <w:vAlign w:val="center"/>
                </w:tcPr>
                <w:p w14:paraId="4A36045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间断</w:t>
                  </w:r>
                </w:p>
              </w:tc>
              <w:tc>
                <w:tcPr>
                  <w:tcW w:w="303" w:type="pct"/>
                  <w:vMerge w:val="restart"/>
                  <w:noWrap w:val="0"/>
                  <w:vAlign w:val="center"/>
                </w:tcPr>
                <w:p w14:paraId="62FB6CFF">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70</w:t>
                  </w:r>
                </w:p>
              </w:tc>
              <w:tc>
                <w:tcPr>
                  <w:tcW w:w="232" w:type="pct"/>
                  <w:vMerge w:val="restart"/>
                  <w:noWrap w:val="0"/>
                  <w:vAlign w:val="center"/>
                </w:tcPr>
                <w:p w14:paraId="70D8969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类比法</w:t>
                  </w:r>
                </w:p>
              </w:tc>
              <w:tc>
                <w:tcPr>
                  <w:tcW w:w="407" w:type="pct"/>
                  <w:vMerge w:val="restart"/>
                  <w:noWrap w:val="0"/>
                  <w:vAlign w:val="center"/>
                </w:tcPr>
                <w:p w14:paraId="2735158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车间隔声、设备基础减振等</w:t>
                  </w:r>
                </w:p>
              </w:tc>
              <w:tc>
                <w:tcPr>
                  <w:tcW w:w="205" w:type="pct"/>
                  <w:vMerge w:val="restart"/>
                  <w:noWrap w:val="0"/>
                  <w:vAlign w:val="center"/>
                </w:tcPr>
                <w:p w14:paraId="0A9980E2">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-33</w:t>
                  </w:r>
                </w:p>
              </w:tc>
              <w:tc>
                <w:tcPr>
                  <w:tcW w:w="199" w:type="pct"/>
                  <w:vMerge w:val="restart"/>
                  <w:noWrap w:val="0"/>
                  <w:vAlign w:val="center"/>
                </w:tcPr>
                <w:p w14:paraId="164E82C6">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196" w:type="pct"/>
                  <w:vMerge w:val="restart"/>
                  <w:noWrap w:val="0"/>
                  <w:vAlign w:val="center"/>
                </w:tcPr>
                <w:p w14:paraId="75C547B9">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r>
                    <w:rPr>
                      <w:rFonts w:hint="eastAsia" w:ascii="Times New Roman" w:hAnsi="Times New Roman" w:cs="Times New Roman"/>
                      <w:color w:val="auto"/>
                      <w:sz w:val="21"/>
                      <w:szCs w:val="21"/>
                      <w:lang w:val="en-US" w:eastAsia="zh-CN"/>
                    </w:rPr>
                    <w:t>2.5</w:t>
                  </w:r>
                </w:p>
              </w:tc>
              <w:tc>
                <w:tcPr>
                  <w:tcW w:w="407" w:type="pct"/>
                  <w:noWrap w:val="0"/>
                  <w:vAlign w:val="center"/>
                </w:tcPr>
                <w:p w14:paraId="2E712165">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东侧</w:t>
                  </w:r>
                </w:p>
              </w:tc>
              <w:tc>
                <w:tcPr>
                  <w:tcW w:w="257" w:type="pct"/>
                  <w:noWrap w:val="0"/>
                  <w:vAlign w:val="center"/>
                </w:tcPr>
                <w:p w14:paraId="7C46B00A">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30</w:t>
                  </w:r>
                </w:p>
              </w:tc>
              <w:tc>
                <w:tcPr>
                  <w:tcW w:w="344" w:type="pct"/>
                  <w:noWrap w:val="0"/>
                  <w:vAlign w:val="center"/>
                </w:tcPr>
                <w:p w14:paraId="4514FA3A">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40</w:t>
                  </w:r>
                </w:p>
              </w:tc>
              <w:tc>
                <w:tcPr>
                  <w:tcW w:w="261" w:type="pct"/>
                  <w:vMerge w:val="restart"/>
                  <w:noWrap w:val="0"/>
                  <w:vAlign w:val="center"/>
                </w:tcPr>
                <w:p w14:paraId="4D288EDA">
                  <w:pPr>
                    <w:keepNext w:val="0"/>
                    <w:keepLines w:val="0"/>
                    <w:pageBreakBefore w:val="0"/>
                    <w:kinsoku/>
                    <w:wordWrap/>
                    <w:overflowPunct/>
                    <w:topLinePunct w:val="0"/>
                    <w:autoSpaceDE/>
                    <w:autoSpaceDN/>
                    <w:bidi w:val="0"/>
                    <w:adjustRightInd w:val="0"/>
                    <w:snapToGrid/>
                    <w:spacing w:line="34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kern w:val="0"/>
                      <w:sz w:val="21"/>
                      <w:szCs w:val="21"/>
                      <w:lang w:eastAsia="zh-CN" w:bidi="ar"/>
                    </w:rPr>
                    <w:t>24h/d</w:t>
                  </w:r>
                </w:p>
              </w:tc>
              <w:tc>
                <w:tcPr>
                  <w:tcW w:w="389" w:type="pct"/>
                  <w:noWrap w:val="0"/>
                  <w:vAlign w:val="center"/>
                </w:tcPr>
                <w:p w14:paraId="6D2DC2C3">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504DAAAD">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30 </w:t>
                  </w:r>
                </w:p>
              </w:tc>
              <w:tc>
                <w:tcPr>
                  <w:tcW w:w="354" w:type="pct"/>
                  <w:noWrap w:val="0"/>
                  <w:vAlign w:val="center"/>
                </w:tcPr>
                <w:p w14:paraId="29A6296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33FE94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095D136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2F4183C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5939DE1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06021F5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0F0677F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00F9C1E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63296D2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325B6FF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1EF3380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690BB48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4CCDD58F">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南侧</w:t>
                  </w:r>
                </w:p>
              </w:tc>
              <w:tc>
                <w:tcPr>
                  <w:tcW w:w="257" w:type="pct"/>
                  <w:noWrap w:val="0"/>
                  <w:vAlign w:val="center"/>
                </w:tcPr>
                <w:p w14:paraId="73F96E3C">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5</w:t>
                  </w:r>
                </w:p>
              </w:tc>
              <w:tc>
                <w:tcPr>
                  <w:tcW w:w="344" w:type="pct"/>
                  <w:noWrap w:val="0"/>
                  <w:vAlign w:val="center"/>
                </w:tcPr>
                <w:p w14:paraId="499196F1">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46</w:t>
                  </w:r>
                </w:p>
              </w:tc>
              <w:tc>
                <w:tcPr>
                  <w:tcW w:w="261" w:type="pct"/>
                  <w:vMerge w:val="continue"/>
                  <w:noWrap w:val="0"/>
                  <w:vAlign w:val="center"/>
                </w:tcPr>
                <w:p w14:paraId="6E7A64B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78714D2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134360C1">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36 </w:t>
                  </w:r>
                </w:p>
              </w:tc>
              <w:tc>
                <w:tcPr>
                  <w:tcW w:w="354" w:type="pct"/>
                  <w:noWrap w:val="0"/>
                  <w:vAlign w:val="center"/>
                </w:tcPr>
                <w:p w14:paraId="430F09B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7D7307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50C46DE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00A93C5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16BC14A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60113E9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54A4BB4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5FAA628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3FE5571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222F432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69815DC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7C9821F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39D3573E">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西侧</w:t>
                  </w:r>
                </w:p>
              </w:tc>
              <w:tc>
                <w:tcPr>
                  <w:tcW w:w="257" w:type="pct"/>
                  <w:noWrap w:val="0"/>
                  <w:vAlign w:val="center"/>
                </w:tcPr>
                <w:p w14:paraId="327387F4">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30</w:t>
                  </w:r>
                </w:p>
              </w:tc>
              <w:tc>
                <w:tcPr>
                  <w:tcW w:w="344" w:type="pct"/>
                  <w:noWrap w:val="0"/>
                  <w:vAlign w:val="center"/>
                </w:tcPr>
                <w:p w14:paraId="5D887C0F">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40</w:t>
                  </w:r>
                </w:p>
              </w:tc>
              <w:tc>
                <w:tcPr>
                  <w:tcW w:w="261" w:type="pct"/>
                  <w:vMerge w:val="continue"/>
                  <w:noWrap w:val="0"/>
                  <w:vAlign w:val="center"/>
                </w:tcPr>
                <w:p w14:paraId="678E11F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63A1220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574318EE">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30 </w:t>
                  </w:r>
                </w:p>
              </w:tc>
              <w:tc>
                <w:tcPr>
                  <w:tcW w:w="354" w:type="pct"/>
                  <w:noWrap w:val="0"/>
                  <w:vAlign w:val="center"/>
                </w:tcPr>
                <w:p w14:paraId="1DF3D02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2450F3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040E435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150BB33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102FF20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71559A1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6157A30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5D6A3A0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7BCF4C2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23B377C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7E6D2D9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6EF468F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6C853925">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北侧</w:t>
                  </w:r>
                </w:p>
              </w:tc>
              <w:tc>
                <w:tcPr>
                  <w:tcW w:w="257" w:type="pct"/>
                  <w:noWrap w:val="0"/>
                  <w:vAlign w:val="center"/>
                </w:tcPr>
                <w:p w14:paraId="196B4214">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14</w:t>
                  </w:r>
                </w:p>
              </w:tc>
              <w:tc>
                <w:tcPr>
                  <w:tcW w:w="344" w:type="pct"/>
                  <w:noWrap w:val="0"/>
                  <w:vAlign w:val="center"/>
                </w:tcPr>
                <w:p w14:paraId="267B51A7">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41</w:t>
                  </w:r>
                </w:p>
              </w:tc>
              <w:tc>
                <w:tcPr>
                  <w:tcW w:w="261" w:type="pct"/>
                  <w:vMerge w:val="continue"/>
                  <w:noWrap w:val="0"/>
                  <w:vAlign w:val="center"/>
                </w:tcPr>
                <w:p w14:paraId="043C419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5556832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649C19CE">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31 </w:t>
                  </w:r>
                </w:p>
              </w:tc>
              <w:tc>
                <w:tcPr>
                  <w:tcW w:w="354" w:type="pct"/>
                  <w:noWrap w:val="0"/>
                  <w:vAlign w:val="center"/>
                </w:tcPr>
                <w:p w14:paraId="67F6455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5C5543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restart"/>
                  <w:noWrap w:val="0"/>
                  <w:vAlign w:val="center"/>
                </w:tcPr>
                <w:p w14:paraId="5AA714B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272" w:type="pct"/>
                  <w:vMerge w:val="continue"/>
                  <w:noWrap w:val="0"/>
                  <w:vAlign w:val="center"/>
                </w:tcPr>
                <w:p w14:paraId="5648490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restart"/>
                  <w:noWrap w:val="0"/>
                  <w:vAlign w:val="center"/>
                </w:tcPr>
                <w:p w14:paraId="679863B6">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加热干燥机</w:t>
                  </w:r>
                </w:p>
              </w:tc>
              <w:tc>
                <w:tcPr>
                  <w:tcW w:w="373" w:type="pct"/>
                  <w:vMerge w:val="restart"/>
                  <w:noWrap w:val="0"/>
                  <w:vAlign w:val="center"/>
                </w:tcPr>
                <w:p w14:paraId="0BFE9CD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间断</w:t>
                  </w:r>
                </w:p>
              </w:tc>
              <w:tc>
                <w:tcPr>
                  <w:tcW w:w="303" w:type="pct"/>
                  <w:vMerge w:val="restart"/>
                  <w:noWrap w:val="0"/>
                  <w:vAlign w:val="center"/>
                </w:tcPr>
                <w:p w14:paraId="4B4310CC">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65</w:t>
                  </w:r>
                </w:p>
              </w:tc>
              <w:tc>
                <w:tcPr>
                  <w:tcW w:w="232" w:type="pct"/>
                  <w:vMerge w:val="restart"/>
                  <w:noWrap w:val="0"/>
                  <w:vAlign w:val="center"/>
                </w:tcPr>
                <w:p w14:paraId="739A528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类比法</w:t>
                  </w:r>
                </w:p>
              </w:tc>
              <w:tc>
                <w:tcPr>
                  <w:tcW w:w="407" w:type="pct"/>
                  <w:vMerge w:val="restart"/>
                  <w:noWrap w:val="0"/>
                  <w:vAlign w:val="center"/>
                </w:tcPr>
                <w:p w14:paraId="4FFA708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车间隔声、设备基础减振等</w:t>
                  </w:r>
                </w:p>
              </w:tc>
              <w:tc>
                <w:tcPr>
                  <w:tcW w:w="205" w:type="pct"/>
                  <w:vMerge w:val="restart"/>
                  <w:noWrap w:val="0"/>
                  <w:vAlign w:val="center"/>
                </w:tcPr>
                <w:p w14:paraId="26225E7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-31</w:t>
                  </w:r>
                </w:p>
              </w:tc>
              <w:tc>
                <w:tcPr>
                  <w:tcW w:w="199" w:type="pct"/>
                  <w:vMerge w:val="restart"/>
                  <w:noWrap w:val="0"/>
                  <w:vAlign w:val="center"/>
                </w:tcPr>
                <w:p w14:paraId="250ABE25">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9</w:t>
                  </w:r>
                </w:p>
              </w:tc>
              <w:tc>
                <w:tcPr>
                  <w:tcW w:w="196" w:type="pct"/>
                  <w:vMerge w:val="restart"/>
                  <w:noWrap w:val="0"/>
                  <w:vAlign w:val="center"/>
                </w:tcPr>
                <w:p w14:paraId="4A87B382">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Arial" w:cs="Times New Roman"/>
                      <w:color w:val="auto"/>
                      <w:sz w:val="21"/>
                      <w:szCs w:val="21"/>
                    </w:rPr>
                  </w:pPr>
                  <w:r>
                    <w:rPr>
                      <w:rFonts w:hint="eastAsia" w:ascii="Times New Roman" w:hAnsi="Times New Roman" w:cs="Times New Roman"/>
                      <w:color w:val="auto"/>
                      <w:sz w:val="21"/>
                      <w:szCs w:val="21"/>
                      <w:lang w:val="en-US" w:eastAsia="zh-CN"/>
                    </w:rPr>
                    <w:t>2.5</w:t>
                  </w:r>
                </w:p>
              </w:tc>
              <w:tc>
                <w:tcPr>
                  <w:tcW w:w="407" w:type="pct"/>
                  <w:noWrap w:val="0"/>
                  <w:vAlign w:val="center"/>
                </w:tcPr>
                <w:p w14:paraId="5418413E">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东侧</w:t>
                  </w:r>
                </w:p>
              </w:tc>
              <w:tc>
                <w:tcPr>
                  <w:tcW w:w="257" w:type="pct"/>
                  <w:noWrap w:val="0"/>
                  <w:vAlign w:val="center"/>
                </w:tcPr>
                <w:p w14:paraId="242E2106">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29</w:t>
                  </w:r>
                </w:p>
              </w:tc>
              <w:tc>
                <w:tcPr>
                  <w:tcW w:w="344" w:type="pct"/>
                  <w:noWrap w:val="0"/>
                  <w:vAlign w:val="center"/>
                </w:tcPr>
                <w:p w14:paraId="4E4BF596">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35</w:t>
                  </w:r>
                </w:p>
              </w:tc>
              <w:tc>
                <w:tcPr>
                  <w:tcW w:w="261" w:type="pct"/>
                  <w:vMerge w:val="restart"/>
                  <w:noWrap w:val="0"/>
                  <w:vAlign w:val="center"/>
                </w:tcPr>
                <w:p w14:paraId="328BB2F2">
                  <w:pPr>
                    <w:keepNext w:val="0"/>
                    <w:keepLines w:val="0"/>
                    <w:pageBreakBefore w:val="0"/>
                    <w:kinsoku/>
                    <w:wordWrap/>
                    <w:overflowPunct/>
                    <w:topLinePunct w:val="0"/>
                    <w:autoSpaceDE/>
                    <w:autoSpaceDN/>
                    <w:bidi w:val="0"/>
                    <w:adjustRightInd w:val="0"/>
                    <w:snapToGrid/>
                    <w:spacing w:line="34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kern w:val="0"/>
                      <w:sz w:val="21"/>
                      <w:szCs w:val="21"/>
                      <w:lang w:eastAsia="zh-CN" w:bidi="ar"/>
                    </w:rPr>
                    <w:t>24h/d</w:t>
                  </w:r>
                </w:p>
              </w:tc>
              <w:tc>
                <w:tcPr>
                  <w:tcW w:w="389" w:type="pct"/>
                  <w:noWrap w:val="0"/>
                  <w:vAlign w:val="center"/>
                </w:tcPr>
                <w:p w14:paraId="0E75635B">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0F09F393">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25 </w:t>
                  </w:r>
                </w:p>
              </w:tc>
              <w:tc>
                <w:tcPr>
                  <w:tcW w:w="354" w:type="pct"/>
                  <w:noWrap w:val="0"/>
                  <w:vAlign w:val="center"/>
                </w:tcPr>
                <w:p w14:paraId="24BA454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51AF1C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10E8425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3083684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6B97D7E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022E3BE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366662E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28AA9CD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40D2BD2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685E813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44784B0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622D87D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7810CF13">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南侧</w:t>
                  </w:r>
                </w:p>
              </w:tc>
              <w:tc>
                <w:tcPr>
                  <w:tcW w:w="257" w:type="pct"/>
                  <w:noWrap w:val="0"/>
                  <w:vAlign w:val="center"/>
                </w:tcPr>
                <w:p w14:paraId="67CB420B">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5</w:t>
                  </w:r>
                </w:p>
              </w:tc>
              <w:tc>
                <w:tcPr>
                  <w:tcW w:w="344" w:type="pct"/>
                  <w:noWrap w:val="0"/>
                  <w:vAlign w:val="center"/>
                </w:tcPr>
                <w:p w14:paraId="201B7681">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40</w:t>
                  </w:r>
                </w:p>
              </w:tc>
              <w:tc>
                <w:tcPr>
                  <w:tcW w:w="261" w:type="pct"/>
                  <w:vMerge w:val="continue"/>
                  <w:noWrap w:val="0"/>
                  <w:vAlign w:val="center"/>
                </w:tcPr>
                <w:p w14:paraId="1545FC2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45AE4F3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1C7C2B25">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31 </w:t>
                  </w:r>
                </w:p>
              </w:tc>
              <w:tc>
                <w:tcPr>
                  <w:tcW w:w="354" w:type="pct"/>
                  <w:noWrap w:val="0"/>
                  <w:vAlign w:val="center"/>
                </w:tcPr>
                <w:p w14:paraId="1975FBE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0C1F8B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6A34224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0E39FB6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128BDE3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72E4258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292C499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2EE7CFF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678A8A2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3BA4018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7BC2896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0B4DE1A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172548F1">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西侧</w:t>
                  </w:r>
                </w:p>
              </w:tc>
              <w:tc>
                <w:tcPr>
                  <w:tcW w:w="257" w:type="pct"/>
                  <w:noWrap w:val="0"/>
                  <w:vAlign w:val="center"/>
                </w:tcPr>
                <w:p w14:paraId="2C637F7B">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31</w:t>
                  </w:r>
                </w:p>
              </w:tc>
              <w:tc>
                <w:tcPr>
                  <w:tcW w:w="344" w:type="pct"/>
                  <w:noWrap w:val="0"/>
                  <w:vAlign w:val="center"/>
                </w:tcPr>
                <w:p w14:paraId="08A3A87E">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35</w:t>
                  </w:r>
                </w:p>
              </w:tc>
              <w:tc>
                <w:tcPr>
                  <w:tcW w:w="261" w:type="pct"/>
                  <w:vMerge w:val="continue"/>
                  <w:noWrap w:val="0"/>
                  <w:vAlign w:val="center"/>
                </w:tcPr>
                <w:p w14:paraId="69D2CF3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7C8C3D9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71B0BE35">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25 </w:t>
                  </w:r>
                </w:p>
              </w:tc>
              <w:tc>
                <w:tcPr>
                  <w:tcW w:w="354" w:type="pct"/>
                  <w:noWrap w:val="0"/>
                  <w:vAlign w:val="center"/>
                </w:tcPr>
                <w:p w14:paraId="1CC85E3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79E3AF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0DADD81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7620BE1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0125004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776B469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6A76838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60C6267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4D5937E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625F9EF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78E76D7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2C0D1F4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75BD6E7F">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北侧</w:t>
                  </w:r>
                </w:p>
              </w:tc>
              <w:tc>
                <w:tcPr>
                  <w:tcW w:w="257" w:type="pct"/>
                  <w:noWrap w:val="0"/>
                  <w:vAlign w:val="center"/>
                </w:tcPr>
                <w:p w14:paraId="2856BE1C">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14</w:t>
                  </w:r>
                </w:p>
              </w:tc>
              <w:tc>
                <w:tcPr>
                  <w:tcW w:w="344" w:type="pct"/>
                  <w:noWrap w:val="0"/>
                  <w:vAlign w:val="center"/>
                </w:tcPr>
                <w:p w14:paraId="3005F3BD">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36</w:t>
                  </w:r>
                </w:p>
              </w:tc>
              <w:tc>
                <w:tcPr>
                  <w:tcW w:w="261" w:type="pct"/>
                  <w:vMerge w:val="continue"/>
                  <w:noWrap w:val="0"/>
                  <w:vAlign w:val="center"/>
                </w:tcPr>
                <w:p w14:paraId="389D054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322966B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0966013F">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26 </w:t>
                  </w:r>
                </w:p>
              </w:tc>
              <w:tc>
                <w:tcPr>
                  <w:tcW w:w="354" w:type="pct"/>
                  <w:noWrap w:val="0"/>
                  <w:vAlign w:val="center"/>
                </w:tcPr>
                <w:p w14:paraId="19CA235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23682C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restart"/>
                  <w:noWrap w:val="0"/>
                  <w:vAlign w:val="center"/>
                </w:tcPr>
                <w:p w14:paraId="6FA02310">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272" w:type="pct"/>
                  <w:vMerge w:val="continue"/>
                  <w:noWrap w:val="0"/>
                  <w:vAlign w:val="center"/>
                </w:tcPr>
                <w:p w14:paraId="3321F4E0">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restart"/>
                  <w:noWrap w:val="0"/>
                  <w:vAlign w:val="center"/>
                </w:tcPr>
                <w:p w14:paraId="28BE3DBC">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风送上料机</w:t>
                  </w:r>
                </w:p>
              </w:tc>
              <w:tc>
                <w:tcPr>
                  <w:tcW w:w="373" w:type="pct"/>
                  <w:vMerge w:val="restart"/>
                  <w:noWrap w:val="0"/>
                  <w:vAlign w:val="center"/>
                </w:tcPr>
                <w:p w14:paraId="374518D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间断</w:t>
                  </w:r>
                </w:p>
              </w:tc>
              <w:tc>
                <w:tcPr>
                  <w:tcW w:w="303" w:type="pct"/>
                  <w:vMerge w:val="restart"/>
                  <w:noWrap w:val="0"/>
                  <w:vAlign w:val="center"/>
                </w:tcPr>
                <w:p w14:paraId="0D652581">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65</w:t>
                  </w:r>
                </w:p>
              </w:tc>
              <w:tc>
                <w:tcPr>
                  <w:tcW w:w="232" w:type="pct"/>
                  <w:vMerge w:val="restart"/>
                  <w:noWrap w:val="0"/>
                  <w:vAlign w:val="center"/>
                </w:tcPr>
                <w:p w14:paraId="0B4EB30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类比法</w:t>
                  </w:r>
                </w:p>
              </w:tc>
              <w:tc>
                <w:tcPr>
                  <w:tcW w:w="407" w:type="pct"/>
                  <w:vMerge w:val="restart"/>
                  <w:noWrap w:val="0"/>
                  <w:vAlign w:val="center"/>
                </w:tcPr>
                <w:p w14:paraId="434334B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车间隔声、设备基础减振等</w:t>
                  </w:r>
                </w:p>
              </w:tc>
              <w:tc>
                <w:tcPr>
                  <w:tcW w:w="205" w:type="pct"/>
                  <w:vMerge w:val="restart"/>
                  <w:noWrap w:val="0"/>
                  <w:vAlign w:val="center"/>
                </w:tcPr>
                <w:p w14:paraId="3A575224">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-30</w:t>
                  </w:r>
                </w:p>
              </w:tc>
              <w:tc>
                <w:tcPr>
                  <w:tcW w:w="199" w:type="pct"/>
                  <w:vMerge w:val="restart"/>
                  <w:noWrap w:val="0"/>
                  <w:vAlign w:val="center"/>
                </w:tcPr>
                <w:p w14:paraId="5E24FFB6">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196" w:type="pct"/>
                  <w:vMerge w:val="restart"/>
                  <w:noWrap w:val="0"/>
                  <w:vAlign w:val="center"/>
                </w:tcPr>
                <w:p w14:paraId="5879B090">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Arial" w:cs="Times New Roman"/>
                      <w:color w:val="auto"/>
                      <w:sz w:val="21"/>
                      <w:szCs w:val="21"/>
                    </w:rPr>
                  </w:pPr>
                  <w:r>
                    <w:rPr>
                      <w:rFonts w:hint="eastAsia" w:ascii="Times New Roman" w:hAnsi="Times New Roman" w:cs="Times New Roman"/>
                      <w:color w:val="auto"/>
                      <w:sz w:val="21"/>
                      <w:szCs w:val="21"/>
                      <w:lang w:val="en-US" w:eastAsia="zh-CN"/>
                    </w:rPr>
                    <w:t>2.5</w:t>
                  </w:r>
                </w:p>
              </w:tc>
              <w:tc>
                <w:tcPr>
                  <w:tcW w:w="407" w:type="pct"/>
                  <w:noWrap w:val="0"/>
                  <w:vAlign w:val="center"/>
                </w:tcPr>
                <w:p w14:paraId="756B1DBB">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东侧</w:t>
                  </w:r>
                </w:p>
              </w:tc>
              <w:tc>
                <w:tcPr>
                  <w:tcW w:w="257" w:type="pct"/>
                  <w:noWrap w:val="0"/>
                  <w:vAlign w:val="center"/>
                </w:tcPr>
                <w:p w14:paraId="37BA1432">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27</w:t>
                  </w:r>
                </w:p>
              </w:tc>
              <w:tc>
                <w:tcPr>
                  <w:tcW w:w="344" w:type="pct"/>
                  <w:noWrap w:val="0"/>
                  <w:vAlign w:val="center"/>
                </w:tcPr>
                <w:p w14:paraId="7C1A95ED">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35 </w:t>
                  </w:r>
                </w:p>
              </w:tc>
              <w:tc>
                <w:tcPr>
                  <w:tcW w:w="261" w:type="pct"/>
                  <w:vMerge w:val="restart"/>
                  <w:noWrap w:val="0"/>
                  <w:vAlign w:val="center"/>
                </w:tcPr>
                <w:p w14:paraId="108D4BB3">
                  <w:pPr>
                    <w:keepNext w:val="0"/>
                    <w:keepLines w:val="0"/>
                    <w:pageBreakBefore w:val="0"/>
                    <w:kinsoku/>
                    <w:wordWrap/>
                    <w:overflowPunct/>
                    <w:topLinePunct w:val="0"/>
                    <w:autoSpaceDE/>
                    <w:autoSpaceDN/>
                    <w:bidi w:val="0"/>
                    <w:adjustRightInd w:val="0"/>
                    <w:snapToGrid/>
                    <w:spacing w:line="34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kern w:val="0"/>
                      <w:sz w:val="21"/>
                      <w:szCs w:val="21"/>
                      <w:lang w:eastAsia="zh-CN" w:bidi="ar"/>
                    </w:rPr>
                    <w:t>24h/d</w:t>
                  </w:r>
                </w:p>
              </w:tc>
              <w:tc>
                <w:tcPr>
                  <w:tcW w:w="389" w:type="pct"/>
                  <w:noWrap w:val="0"/>
                  <w:vAlign w:val="center"/>
                </w:tcPr>
                <w:p w14:paraId="33FFFB71">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2C559797">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25 </w:t>
                  </w:r>
                </w:p>
              </w:tc>
              <w:tc>
                <w:tcPr>
                  <w:tcW w:w="354" w:type="pct"/>
                  <w:noWrap w:val="0"/>
                  <w:vAlign w:val="center"/>
                </w:tcPr>
                <w:p w14:paraId="39FEB64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26B02E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19E6095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2B02176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1C0E203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0C57B2C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4778C81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1E02D25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684722F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7C63A62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0A101F8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089A81A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067A9BD7">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南侧</w:t>
                  </w:r>
                </w:p>
              </w:tc>
              <w:tc>
                <w:tcPr>
                  <w:tcW w:w="257" w:type="pct"/>
                  <w:noWrap w:val="0"/>
                  <w:vAlign w:val="center"/>
                </w:tcPr>
                <w:p w14:paraId="1AFD731C">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5</w:t>
                  </w:r>
                </w:p>
              </w:tc>
              <w:tc>
                <w:tcPr>
                  <w:tcW w:w="344" w:type="pct"/>
                  <w:noWrap w:val="0"/>
                  <w:vAlign w:val="center"/>
                </w:tcPr>
                <w:p w14:paraId="46A097C8">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41 </w:t>
                  </w:r>
                </w:p>
              </w:tc>
              <w:tc>
                <w:tcPr>
                  <w:tcW w:w="261" w:type="pct"/>
                  <w:vMerge w:val="continue"/>
                  <w:noWrap w:val="0"/>
                  <w:vAlign w:val="center"/>
                </w:tcPr>
                <w:p w14:paraId="78A4E46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69A8000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752EB074">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31 </w:t>
                  </w:r>
                </w:p>
              </w:tc>
              <w:tc>
                <w:tcPr>
                  <w:tcW w:w="354" w:type="pct"/>
                  <w:noWrap w:val="0"/>
                  <w:vAlign w:val="center"/>
                </w:tcPr>
                <w:p w14:paraId="5965591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7F4F5E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4E0CAF8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3245749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7E21D96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02F4A86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3E226F2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1AD51B8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0FBA7E0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6957F20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725B053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087C73F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532C6D66">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西侧</w:t>
                  </w:r>
                </w:p>
              </w:tc>
              <w:tc>
                <w:tcPr>
                  <w:tcW w:w="257" w:type="pct"/>
                  <w:noWrap w:val="0"/>
                  <w:vAlign w:val="center"/>
                </w:tcPr>
                <w:p w14:paraId="0BB4F7FB">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33</w:t>
                  </w:r>
                </w:p>
              </w:tc>
              <w:tc>
                <w:tcPr>
                  <w:tcW w:w="344" w:type="pct"/>
                  <w:noWrap w:val="0"/>
                  <w:vAlign w:val="center"/>
                </w:tcPr>
                <w:p w14:paraId="7326D19A">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35 </w:t>
                  </w:r>
                </w:p>
              </w:tc>
              <w:tc>
                <w:tcPr>
                  <w:tcW w:w="261" w:type="pct"/>
                  <w:vMerge w:val="continue"/>
                  <w:noWrap w:val="0"/>
                  <w:vAlign w:val="center"/>
                </w:tcPr>
                <w:p w14:paraId="6755178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63E48FB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4A6D4898">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25 </w:t>
                  </w:r>
                </w:p>
              </w:tc>
              <w:tc>
                <w:tcPr>
                  <w:tcW w:w="354" w:type="pct"/>
                  <w:noWrap w:val="0"/>
                  <w:vAlign w:val="center"/>
                </w:tcPr>
                <w:p w14:paraId="355E5DB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3EB7AC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7509023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3242477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73CBFD3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562EE11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3AEAA8E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3000C78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780838A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76ED7FE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35F33D3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5B4CB6B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058D1C4E">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北侧</w:t>
                  </w:r>
                </w:p>
              </w:tc>
              <w:tc>
                <w:tcPr>
                  <w:tcW w:w="257" w:type="pct"/>
                  <w:noWrap w:val="0"/>
                  <w:vAlign w:val="center"/>
                </w:tcPr>
                <w:p w14:paraId="1C3B9448">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14</w:t>
                  </w:r>
                </w:p>
              </w:tc>
              <w:tc>
                <w:tcPr>
                  <w:tcW w:w="344" w:type="pct"/>
                  <w:noWrap w:val="0"/>
                  <w:vAlign w:val="center"/>
                </w:tcPr>
                <w:p w14:paraId="2C428D4B">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36 </w:t>
                  </w:r>
                </w:p>
              </w:tc>
              <w:tc>
                <w:tcPr>
                  <w:tcW w:w="261" w:type="pct"/>
                  <w:vMerge w:val="continue"/>
                  <w:noWrap w:val="0"/>
                  <w:vAlign w:val="center"/>
                </w:tcPr>
                <w:p w14:paraId="42D216A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6E26CDF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597A5486">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26 </w:t>
                  </w:r>
                </w:p>
              </w:tc>
              <w:tc>
                <w:tcPr>
                  <w:tcW w:w="354" w:type="pct"/>
                  <w:noWrap w:val="0"/>
                  <w:vAlign w:val="center"/>
                </w:tcPr>
                <w:p w14:paraId="18ACBCD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73CD95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restart"/>
                  <w:noWrap w:val="0"/>
                  <w:vAlign w:val="center"/>
                </w:tcPr>
                <w:p w14:paraId="7FCB4D1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272" w:type="pct"/>
                  <w:vMerge w:val="continue"/>
                  <w:noWrap w:val="0"/>
                  <w:vAlign w:val="center"/>
                </w:tcPr>
                <w:p w14:paraId="48D42CB9">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restart"/>
                  <w:noWrap w:val="0"/>
                  <w:vAlign w:val="center"/>
                </w:tcPr>
                <w:p w14:paraId="3B5D8DDA">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风选分选机</w:t>
                  </w:r>
                </w:p>
              </w:tc>
              <w:tc>
                <w:tcPr>
                  <w:tcW w:w="373" w:type="pct"/>
                  <w:vMerge w:val="restart"/>
                  <w:noWrap w:val="0"/>
                  <w:vAlign w:val="center"/>
                </w:tcPr>
                <w:p w14:paraId="44213C2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间断</w:t>
                  </w:r>
                </w:p>
              </w:tc>
              <w:tc>
                <w:tcPr>
                  <w:tcW w:w="303" w:type="pct"/>
                  <w:vMerge w:val="restart"/>
                  <w:noWrap w:val="0"/>
                  <w:vAlign w:val="center"/>
                </w:tcPr>
                <w:p w14:paraId="6DA5D21E">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65</w:t>
                  </w:r>
                </w:p>
              </w:tc>
              <w:tc>
                <w:tcPr>
                  <w:tcW w:w="232" w:type="pct"/>
                  <w:vMerge w:val="restart"/>
                  <w:noWrap w:val="0"/>
                  <w:vAlign w:val="center"/>
                </w:tcPr>
                <w:p w14:paraId="100B3A6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类比法</w:t>
                  </w:r>
                </w:p>
              </w:tc>
              <w:tc>
                <w:tcPr>
                  <w:tcW w:w="407" w:type="pct"/>
                  <w:vMerge w:val="restart"/>
                  <w:noWrap w:val="0"/>
                  <w:vAlign w:val="center"/>
                </w:tcPr>
                <w:p w14:paraId="7023046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车间隔声、设备基础减振等</w:t>
                  </w:r>
                </w:p>
              </w:tc>
              <w:tc>
                <w:tcPr>
                  <w:tcW w:w="205" w:type="pct"/>
                  <w:vMerge w:val="restart"/>
                  <w:noWrap w:val="0"/>
                  <w:vAlign w:val="center"/>
                </w:tcPr>
                <w:p w14:paraId="4EC415EE">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-27</w:t>
                  </w:r>
                </w:p>
              </w:tc>
              <w:tc>
                <w:tcPr>
                  <w:tcW w:w="199" w:type="pct"/>
                  <w:vMerge w:val="restart"/>
                  <w:noWrap w:val="0"/>
                  <w:vAlign w:val="center"/>
                </w:tcPr>
                <w:p w14:paraId="68DEB790">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196" w:type="pct"/>
                  <w:vMerge w:val="restart"/>
                  <w:noWrap w:val="0"/>
                  <w:vAlign w:val="center"/>
                </w:tcPr>
                <w:p w14:paraId="6B31D0E2">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r>
                    <w:rPr>
                      <w:rFonts w:hint="eastAsia" w:ascii="Times New Roman" w:hAnsi="Times New Roman" w:cs="Times New Roman"/>
                      <w:color w:val="auto"/>
                      <w:sz w:val="21"/>
                      <w:szCs w:val="21"/>
                      <w:lang w:val="en-US" w:eastAsia="zh-CN"/>
                    </w:rPr>
                    <w:t>2.5</w:t>
                  </w:r>
                </w:p>
              </w:tc>
              <w:tc>
                <w:tcPr>
                  <w:tcW w:w="407" w:type="pct"/>
                  <w:noWrap w:val="0"/>
                  <w:vAlign w:val="center"/>
                </w:tcPr>
                <w:p w14:paraId="416F1336">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东侧</w:t>
                  </w:r>
                </w:p>
              </w:tc>
              <w:tc>
                <w:tcPr>
                  <w:tcW w:w="257" w:type="pct"/>
                  <w:noWrap w:val="0"/>
                  <w:vAlign w:val="center"/>
                </w:tcPr>
                <w:p w14:paraId="2C489EAC">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25</w:t>
                  </w:r>
                </w:p>
              </w:tc>
              <w:tc>
                <w:tcPr>
                  <w:tcW w:w="344" w:type="pct"/>
                  <w:noWrap w:val="0"/>
                  <w:vAlign w:val="center"/>
                </w:tcPr>
                <w:p w14:paraId="7C857028">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35 </w:t>
                  </w:r>
                </w:p>
              </w:tc>
              <w:tc>
                <w:tcPr>
                  <w:tcW w:w="261" w:type="pct"/>
                  <w:vMerge w:val="restart"/>
                  <w:noWrap w:val="0"/>
                  <w:vAlign w:val="center"/>
                </w:tcPr>
                <w:p w14:paraId="5BC83737">
                  <w:pPr>
                    <w:keepNext w:val="0"/>
                    <w:keepLines w:val="0"/>
                    <w:pageBreakBefore w:val="0"/>
                    <w:kinsoku/>
                    <w:wordWrap/>
                    <w:overflowPunct/>
                    <w:topLinePunct w:val="0"/>
                    <w:autoSpaceDE/>
                    <w:autoSpaceDN/>
                    <w:bidi w:val="0"/>
                    <w:adjustRightInd w:val="0"/>
                    <w:snapToGrid/>
                    <w:spacing w:line="34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kern w:val="0"/>
                      <w:sz w:val="21"/>
                      <w:szCs w:val="21"/>
                      <w:lang w:eastAsia="zh-CN" w:bidi="ar"/>
                    </w:rPr>
                    <w:t>24h/d</w:t>
                  </w:r>
                </w:p>
              </w:tc>
              <w:tc>
                <w:tcPr>
                  <w:tcW w:w="389" w:type="pct"/>
                  <w:noWrap w:val="0"/>
                  <w:vAlign w:val="center"/>
                </w:tcPr>
                <w:p w14:paraId="233E5FB7">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475CC2D9">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25 </w:t>
                  </w:r>
                </w:p>
              </w:tc>
              <w:tc>
                <w:tcPr>
                  <w:tcW w:w="354" w:type="pct"/>
                  <w:noWrap w:val="0"/>
                  <w:vAlign w:val="center"/>
                </w:tcPr>
                <w:p w14:paraId="4BF8AF5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065D59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421BD33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7FA4896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475F6A0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5D891E8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5273CAA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31DB2F8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4453F9C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49887A2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1E37DB6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3DB8E87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594229DB">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南侧</w:t>
                  </w:r>
                </w:p>
              </w:tc>
              <w:tc>
                <w:tcPr>
                  <w:tcW w:w="257" w:type="pct"/>
                  <w:noWrap w:val="0"/>
                  <w:vAlign w:val="center"/>
                </w:tcPr>
                <w:p w14:paraId="222F84E2">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5</w:t>
                  </w:r>
                </w:p>
              </w:tc>
              <w:tc>
                <w:tcPr>
                  <w:tcW w:w="344" w:type="pct"/>
                  <w:noWrap w:val="0"/>
                  <w:vAlign w:val="center"/>
                </w:tcPr>
                <w:p w14:paraId="39764023">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41 </w:t>
                  </w:r>
                </w:p>
              </w:tc>
              <w:tc>
                <w:tcPr>
                  <w:tcW w:w="261" w:type="pct"/>
                  <w:vMerge w:val="continue"/>
                  <w:noWrap w:val="0"/>
                  <w:vAlign w:val="center"/>
                </w:tcPr>
                <w:p w14:paraId="640EE9C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405F572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763EBCC0">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31 </w:t>
                  </w:r>
                </w:p>
              </w:tc>
              <w:tc>
                <w:tcPr>
                  <w:tcW w:w="354" w:type="pct"/>
                  <w:noWrap w:val="0"/>
                  <w:vAlign w:val="center"/>
                </w:tcPr>
                <w:p w14:paraId="5A6ABA4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34D78A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7035D7C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29E216C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29F7C53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5B54EB8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796294A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02AEC58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00FD73E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2EC84E5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15B11E6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2B01AFC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638140DF">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西侧</w:t>
                  </w:r>
                </w:p>
              </w:tc>
              <w:tc>
                <w:tcPr>
                  <w:tcW w:w="257" w:type="pct"/>
                  <w:noWrap w:val="0"/>
                  <w:vAlign w:val="center"/>
                </w:tcPr>
                <w:p w14:paraId="32D136E5">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35</w:t>
                  </w:r>
                </w:p>
              </w:tc>
              <w:tc>
                <w:tcPr>
                  <w:tcW w:w="344" w:type="pct"/>
                  <w:noWrap w:val="0"/>
                  <w:vAlign w:val="center"/>
                </w:tcPr>
                <w:p w14:paraId="02922EC6">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35 </w:t>
                  </w:r>
                </w:p>
              </w:tc>
              <w:tc>
                <w:tcPr>
                  <w:tcW w:w="261" w:type="pct"/>
                  <w:vMerge w:val="continue"/>
                  <w:noWrap w:val="0"/>
                  <w:vAlign w:val="center"/>
                </w:tcPr>
                <w:p w14:paraId="58A684C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52B280A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36B5C910">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24 </w:t>
                  </w:r>
                </w:p>
              </w:tc>
              <w:tc>
                <w:tcPr>
                  <w:tcW w:w="354" w:type="pct"/>
                  <w:noWrap w:val="0"/>
                  <w:vAlign w:val="center"/>
                </w:tcPr>
                <w:p w14:paraId="0A9A7D0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103781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2A098EA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1FCA363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24A48EF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469D239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1BE3186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0FFEF15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17C924C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400F63D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4D4B69E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24CA55A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1C3FE3F4">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北侧</w:t>
                  </w:r>
                </w:p>
              </w:tc>
              <w:tc>
                <w:tcPr>
                  <w:tcW w:w="257" w:type="pct"/>
                  <w:noWrap w:val="0"/>
                  <w:vAlign w:val="center"/>
                </w:tcPr>
                <w:p w14:paraId="259EEF2B">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14</w:t>
                  </w:r>
                </w:p>
              </w:tc>
              <w:tc>
                <w:tcPr>
                  <w:tcW w:w="344" w:type="pct"/>
                  <w:noWrap w:val="0"/>
                  <w:vAlign w:val="center"/>
                </w:tcPr>
                <w:p w14:paraId="254C27E0">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36 </w:t>
                  </w:r>
                </w:p>
              </w:tc>
              <w:tc>
                <w:tcPr>
                  <w:tcW w:w="261" w:type="pct"/>
                  <w:vMerge w:val="continue"/>
                  <w:noWrap w:val="0"/>
                  <w:vAlign w:val="center"/>
                </w:tcPr>
                <w:p w14:paraId="42A22B8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196114D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2542BB7F">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26 </w:t>
                  </w:r>
                </w:p>
              </w:tc>
              <w:tc>
                <w:tcPr>
                  <w:tcW w:w="354" w:type="pct"/>
                  <w:noWrap w:val="0"/>
                  <w:vAlign w:val="center"/>
                </w:tcPr>
                <w:p w14:paraId="317E798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11B040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restart"/>
                  <w:noWrap w:val="0"/>
                  <w:vAlign w:val="center"/>
                </w:tcPr>
                <w:p w14:paraId="54430B20">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272" w:type="pct"/>
                  <w:vMerge w:val="continue"/>
                  <w:noWrap w:val="0"/>
                  <w:vAlign w:val="center"/>
                </w:tcPr>
                <w:p w14:paraId="66ED5ABF">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restart"/>
                  <w:noWrap w:val="0"/>
                  <w:vAlign w:val="center"/>
                </w:tcPr>
                <w:p w14:paraId="6CE47B5D">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震动上料机</w:t>
                  </w:r>
                </w:p>
              </w:tc>
              <w:tc>
                <w:tcPr>
                  <w:tcW w:w="373" w:type="pct"/>
                  <w:vMerge w:val="restart"/>
                  <w:noWrap w:val="0"/>
                  <w:vAlign w:val="center"/>
                </w:tcPr>
                <w:p w14:paraId="57A0E4C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间断</w:t>
                  </w:r>
                </w:p>
              </w:tc>
              <w:tc>
                <w:tcPr>
                  <w:tcW w:w="303" w:type="pct"/>
                  <w:vMerge w:val="restart"/>
                  <w:noWrap w:val="0"/>
                  <w:vAlign w:val="center"/>
                </w:tcPr>
                <w:p w14:paraId="737BFD6E">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70</w:t>
                  </w:r>
                </w:p>
              </w:tc>
              <w:tc>
                <w:tcPr>
                  <w:tcW w:w="232" w:type="pct"/>
                  <w:vMerge w:val="restart"/>
                  <w:noWrap w:val="0"/>
                  <w:vAlign w:val="center"/>
                </w:tcPr>
                <w:p w14:paraId="15CC0A0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类比法</w:t>
                  </w:r>
                </w:p>
              </w:tc>
              <w:tc>
                <w:tcPr>
                  <w:tcW w:w="407" w:type="pct"/>
                  <w:vMerge w:val="restart"/>
                  <w:noWrap w:val="0"/>
                  <w:vAlign w:val="center"/>
                </w:tcPr>
                <w:p w14:paraId="59CCEEC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车间隔声、设备基础减振等</w:t>
                  </w:r>
                </w:p>
              </w:tc>
              <w:tc>
                <w:tcPr>
                  <w:tcW w:w="205" w:type="pct"/>
                  <w:vMerge w:val="restart"/>
                  <w:noWrap w:val="0"/>
                  <w:vAlign w:val="center"/>
                </w:tcPr>
                <w:p w14:paraId="3C8F0D4F">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-26</w:t>
                  </w:r>
                </w:p>
              </w:tc>
              <w:tc>
                <w:tcPr>
                  <w:tcW w:w="199" w:type="pct"/>
                  <w:vMerge w:val="restart"/>
                  <w:noWrap w:val="0"/>
                  <w:vAlign w:val="center"/>
                </w:tcPr>
                <w:p w14:paraId="6F69941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196" w:type="pct"/>
                  <w:vMerge w:val="restart"/>
                  <w:noWrap w:val="0"/>
                  <w:vAlign w:val="center"/>
                </w:tcPr>
                <w:p w14:paraId="11043FE5">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Arial" w:cs="Times New Roman"/>
                      <w:color w:val="auto"/>
                      <w:sz w:val="21"/>
                      <w:szCs w:val="21"/>
                    </w:rPr>
                  </w:pPr>
                  <w:r>
                    <w:rPr>
                      <w:rFonts w:hint="eastAsia" w:ascii="Times New Roman" w:hAnsi="Times New Roman" w:cs="Times New Roman"/>
                      <w:color w:val="auto"/>
                      <w:sz w:val="21"/>
                      <w:szCs w:val="21"/>
                      <w:lang w:val="en-US" w:eastAsia="zh-CN"/>
                    </w:rPr>
                    <w:t>2.5</w:t>
                  </w:r>
                </w:p>
              </w:tc>
              <w:tc>
                <w:tcPr>
                  <w:tcW w:w="407" w:type="pct"/>
                  <w:noWrap w:val="0"/>
                  <w:vAlign w:val="center"/>
                </w:tcPr>
                <w:p w14:paraId="6335F630">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东侧</w:t>
                  </w:r>
                </w:p>
              </w:tc>
              <w:tc>
                <w:tcPr>
                  <w:tcW w:w="257" w:type="pct"/>
                  <w:noWrap w:val="0"/>
                  <w:vAlign w:val="center"/>
                </w:tcPr>
                <w:p w14:paraId="34B0F2A5">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24</w:t>
                  </w:r>
                </w:p>
              </w:tc>
              <w:tc>
                <w:tcPr>
                  <w:tcW w:w="344" w:type="pct"/>
                  <w:noWrap w:val="0"/>
                  <w:vAlign w:val="center"/>
                </w:tcPr>
                <w:p w14:paraId="2886AF8A">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 </w:t>
                  </w:r>
                </w:p>
              </w:tc>
              <w:tc>
                <w:tcPr>
                  <w:tcW w:w="261" w:type="pct"/>
                  <w:vMerge w:val="restart"/>
                  <w:noWrap w:val="0"/>
                  <w:vAlign w:val="center"/>
                </w:tcPr>
                <w:p w14:paraId="4315C40D">
                  <w:pPr>
                    <w:keepNext w:val="0"/>
                    <w:keepLines w:val="0"/>
                    <w:pageBreakBefore w:val="0"/>
                    <w:kinsoku/>
                    <w:wordWrap/>
                    <w:overflowPunct/>
                    <w:topLinePunct w:val="0"/>
                    <w:autoSpaceDE/>
                    <w:autoSpaceDN/>
                    <w:bidi w:val="0"/>
                    <w:adjustRightInd w:val="0"/>
                    <w:snapToGrid/>
                    <w:spacing w:line="34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kern w:val="0"/>
                      <w:sz w:val="21"/>
                      <w:szCs w:val="21"/>
                      <w:lang w:eastAsia="zh-CN" w:bidi="ar"/>
                    </w:rPr>
                    <w:t>24h/d</w:t>
                  </w:r>
                </w:p>
              </w:tc>
              <w:tc>
                <w:tcPr>
                  <w:tcW w:w="389" w:type="pct"/>
                  <w:noWrap w:val="0"/>
                  <w:vAlign w:val="center"/>
                </w:tcPr>
                <w:p w14:paraId="2321A4A1">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09A3C73E">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30 </w:t>
                  </w:r>
                </w:p>
              </w:tc>
              <w:tc>
                <w:tcPr>
                  <w:tcW w:w="354" w:type="pct"/>
                  <w:noWrap w:val="0"/>
                  <w:vAlign w:val="center"/>
                </w:tcPr>
                <w:p w14:paraId="55EE96D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487901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5FFAAAC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5B694CA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711A527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401662F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0724200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63D1F0D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0A5B375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336CAA8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1C8D0F5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71D57D6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445D80BA">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南侧</w:t>
                  </w:r>
                </w:p>
              </w:tc>
              <w:tc>
                <w:tcPr>
                  <w:tcW w:w="257" w:type="pct"/>
                  <w:noWrap w:val="0"/>
                  <w:vAlign w:val="center"/>
                </w:tcPr>
                <w:p w14:paraId="39561093">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5</w:t>
                  </w:r>
                </w:p>
              </w:tc>
              <w:tc>
                <w:tcPr>
                  <w:tcW w:w="344" w:type="pct"/>
                  <w:noWrap w:val="0"/>
                  <w:vAlign w:val="center"/>
                </w:tcPr>
                <w:p w14:paraId="03A36A11">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46 </w:t>
                  </w:r>
                </w:p>
              </w:tc>
              <w:tc>
                <w:tcPr>
                  <w:tcW w:w="261" w:type="pct"/>
                  <w:vMerge w:val="continue"/>
                  <w:noWrap w:val="0"/>
                  <w:vAlign w:val="center"/>
                </w:tcPr>
                <w:p w14:paraId="75B5FF5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68FB7CE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07635B57">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36 </w:t>
                  </w:r>
                </w:p>
              </w:tc>
              <w:tc>
                <w:tcPr>
                  <w:tcW w:w="354" w:type="pct"/>
                  <w:noWrap w:val="0"/>
                  <w:vAlign w:val="center"/>
                </w:tcPr>
                <w:p w14:paraId="715BB8A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23C853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10F1E8E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6ECCFDA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4E00CE0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548D80E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725517A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256D83A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59F038D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64AC9E0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03BE264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170CF00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7CB3991E">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西侧</w:t>
                  </w:r>
                </w:p>
              </w:tc>
              <w:tc>
                <w:tcPr>
                  <w:tcW w:w="257" w:type="pct"/>
                  <w:noWrap w:val="0"/>
                  <w:vAlign w:val="center"/>
                </w:tcPr>
                <w:p w14:paraId="53633F5F">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36</w:t>
                  </w:r>
                </w:p>
              </w:tc>
              <w:tc>
                <w:tcPr>
                  <w:tcW w:w="344" w:type="pct"/>
                  <w:noWrap w:val="0"/>
                  <w:vAlign w:val="center"/>
                </w:tcPr>
                <w:p w14:paraId="69AC49FC">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40 </w:t>
                  </w:r>
                </w:p>
              </w:tc>
              <w:tc>
                <w:tcPr>
                  <w:tcW w:w="261" w:type="pct"/>
                  <w:vMerge w:val="continue"/>
                  <w:noWrap w:val="0"/>
                  <w:vAlign w:val="center"/>
                </w:tcPr>
                <w:p w14:paraId="7E2219C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290FA68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2311ED6F">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 </w:t>
                  </w:r>
                </w:p>
              </w:tc>
              <w:tc>
                <w:tcPr>
                  <w:tcW w:w="354" w:type="pct"/>
                  <w:noWrap w:val="0"/>
                  <w:vAlign w:val="center"/>
                </w:tcPr>
                <w:p w14:paraId="625FE50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49E1DB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141FCEE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520EF2C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7C0DA1D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248671D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07577CC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3C99F92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1E4548A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0FD8E9E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3197BC0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5D06B1C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683DE3EF">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北侧</w:t>
                  </w:r>
                </w:p>
              </w:tc>
              <w:tc>
                <w:tcPr>
                  <w:tcW w:w="257" w:type="pct"/>
                  <w:noWrap w:val="0"/>
                  <w:vAlign w:val="center"/>
                </w:tcPr>
                <w:p w14:paraId="0D7543C6">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14</w:t>
                  </w:r>
                </w:p>
              </w:tc>
              <w:tc>
                <w:tcPr>
                  <w:tcW w:w="344" w:type="pct"/>
                  <w:noWrap w:val="0"/>
                  <w:vAlign w:val="center"/>
                </w:tcPr>
                <w:p w14:paraId="4E7E9A7B">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41 </w:t>
                  </w:r>
                </w:p>
              </w:tc>
              <w:tc>
                <w:tcPr>
                  <w:tcW w:w="261" w:type="pct"/>
                  <w:vMerge w:val="continue"/>
                  <w:noWrap w:val="0"/>
                  <w:vAlign w:val="center"/>
                </w:tcPr>
                <w:p w14:paraId="61E548E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0EC4648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shd w:val="clear" w:color="auto" w:fill="auto"/>
                  <w:noWrap w:val="0"/>
                  <w:vAlign w:val="center"/>
                </w:tcPr>
                <w:p w14:paraId="111A025D">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31 </w:t>
                  </w:r>
                </w:p>
              </w:tc>
              <w:tc>
                <w:tcPr>
                  <w:tcW w:w="354" w:type="pct"/>
                  <w:noWrap w:val="0"/>
                  <w:vAlign w:val="center"/>
                </w:tcPr>
                <w:p w14:paraId="3D18254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59E016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restart"/>
                  <w:noWrap w:val="0"/>
                  <w:vAlign w:val="center"/>
                </w:tcPr>
                <w:p w14:paraId="6D3631C1">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w:t>
                  </w:r>
                </w:p>
              </w:tc>
              <w:tc>
                <w:tcPr>
                  <w:tcW w:w="272" w:type="pct"/>
                  <w:vMerge w:val="continue"/>
                  <w:noWrap w:val="0"/>
                  <w:vAlign w:val="center"/>
                </w:tcPr>
                <w:p w14:paraId="612BDC77">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restart"/>
                  <w:noWrap w:val="0"/>
                  <w:vAlign w:val="center"/>
                </w:tcPr>
                <w:p w14:paraId="7B6C92DD">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橡胶分离机</w:t>
                  </w:r>
                </w:p>
              </w:tc>
              <w:tc>
                <w:tcPr>
                  <w:tcW w:w="373" w:type="pct"/>
                  <w:vMerge w:val="restart"/>
                  <w:noWrap w:val="0"/>
                  <w:vAlign w:val="center"/>
                </w:tcPr>
                <w:p w14:paraId="74E7D59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间断</w:t>
                  </w:r>
                </w:p>
              </w:tc>
              <w:tc>
                <w:tcPr>
                  <w:tcW w:w="303" w:type="pct"/>
                  <w:vMerge w:val="restart"/>
                  <w:noWrap w:val="0"/>
                  <w:vAlign w:val="center"/>
                </w:tcPr>
                <w:p w14:paraId="70A43ED6">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65</w:t>
                  </w:r>
                </w:p>
              </w:tc>
              <w:tc>
                <w:tcPr>
                  <w:tcW w:w="232" w:type="pct"/>
                  <w:vMerge w:val="restart"/>
                  <w:noWrap w:val="0"/>
                  <w:vAlign w:val="center"/>
                </w:tcPr>
                <w:p w14:paraId="4067FD8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类比法</w:t>
                  </w:r>
                </w:p>
              </w:tc>
              <w:tc>
                <w:tcPr>
                  <w:tcW w:w="407" w:type="pct"/>
                  <w:vMerge w:val="restart"/>
                  <w:noWrap w:val="0"/>
                  <w:vAlign w:val="center"/>
                </w:tcPr>
                <w:p w14:paraId="75B66DB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车间隔声、设备基础减振等</w:t>
                  </w:r>
                </w:p>
              </w:tc>
              <w:tc>
                <w:tcPr>
                  <w:tcW w:w="205" w:type="pct"/>
                  <w:vMerge w:val="restart"/>
                  <w:noWrap w:val="0"/>
                  <w:vAlign w:val="center"/>
                </w:tcPr>
                <w:p w14:paraId="5F7A4348">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-24</w:t>
                  </w:r>
                </w:p>
              </w:tc>
              <w:tc>
                <w:tcPr>
                  <w:tcW w:w="199" w:type="pct"/>
                  <w:vMerge w:val="restart"/>
                  <w:noWrap w:val="0"/>
                  <w:vAlign w:val="center"/>
                </w:tcPr>
                <w:p w14:paraId="166A283A">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196" w:type="pct"/>
                  <w:vMerge w:val="restart"/>
                  <w:noWrap w:val="0"/>
                  <w:vAlign w:val="center"/>
                </w:tcPr>
                <w:p w14:paraId="095AC8C3">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Arial" w:cs="Times New Roman"/>
                      <w:color w:val="auto"/>
                      <w:sz w:val="21"/>
                      <w:szCs w:val="21"/>
                    </w:rPr>
                  </w:pPr>
                  <w:r>
                    <w:rPr>
                      <w:rFonts w:hint="eastAsia" w:ascii="Times New Roman" w:hAnsi="Times New Roman" w:cs="Times New Roman"/>
                      <w:color w:val="auto"/>
                      <w:sz w:val="21"/>
                      <w:szCs w:val="21"/>
                      <w:lang w:val="en-US" w:eastAsia="zh-CN"/>
                    </w:rPr>
                    <w:t>2.5</w:t>
                  </w:r>
                </w:p>
              </w:tc>
              <w:tc>
                <w:tcPr>
                  <w:tcW w:w="407" w:type="pct"/>
                  <w:noWrap w:val="0"/>
                  <w:vAlign w:val="center"/>
                </w:tcPr>
                <w:p w14:paraId="18585647">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东侧</w:t>
                  </w:r>
                </w:p>
              </w:tc>
              <w:tc>
                <w:tcPr>
                  <w:tcW w:w="257" w:type="pct"/>
                  <w:noWrap w:val="0"/>
                  <w:vAlign w:val="center"/>
                </w:tcPr>
                <w:p w14:paraId="79EF3E3B">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22</w:t>
                  </w:r>
                </w:p>
              </w:tc>
              <w:tc>
                <w:tcPr>
                  <w:tcW w:w="344" w:type="pct"/>
                  <w:noWrap w:val="0"/>
                  <w:vAlign w:val="center"/>
                </w:tcPr>
                <w:p w14:paraId="0E77C118">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35</w:t>
                  </w:r>
                </w:p>
              </w:tc>
              <w:tc>
                <w:tcPr>
                  <w:tcW w:w="261" w:type="pct"/>
                  <w:vMerge w:val="restart"/>
                  <w:noWrap w:val="0"/>
                  <w:vAlign w:val="center"/>
                </w:tcPr>
                <w:p w14:paraId="6526847C">
                  <w:pPr>
                    <w:keepNext w:val="0"/>
                    <w:keepLines w:val="0"/>
                    <w:pageBreakBefore w:val="0"/>
                    <w:kinsoku/>
                    <w:wordWrap/>
                    <w:overflowPunct/>
                    <w:topLinePunct w:val="0"/>
                    <w:autoSpaceDE/>
                    <w:autoSpaceDN/>
                    <w:bidi w:val="0"/>
                    <w:adjustRightInd w:val="0"/>
                    <w:snapToGrid/>
                    <w:spacing w:line="34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kern w:val="0"/>
                      <w:sz w:val="21"/>
                      <w:szCs w:val="21"/>
                      <w:lang w:eastAsia="zh-CN" w:bidi="ar"/>
                    </w:rPr>
                    <w:t>24h/d</w:t>
                  </w:r>
                </w:p>
              </w:tc>
              <w:tc>
                <w:tcPr>
                  <w:tcW w:w="389" w:type="pct"/>
                  <w:noWrap w:val="0"/>
                  <w:vAlign w:val="center"/>
                </w:tcPr>
                <w:p w14:paraId="3C599BD3">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6293AA1F">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25 </w:t>
                  </w:r>
                </w:p>
              </w:tc>
              <w:tc>
                <w:tcPr>
                  <w:tcW w:w="354" w:type="pct"/>
                  <w:noWrap w:val="0"/>
                  <w:vAlign w:val="center"/>
                </w:tcPr>
                <w:p w14:paraId="1A71238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5A3817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3929ADA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251C2EB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5AEA42D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134A53A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3C06E22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1A7B868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449D709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6BDB8BD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03D3AAC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702D6D4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636DA934">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南侧</w:t>
                  </w:r>
                </w:p>
              </w:tc>
              <w:tc>
                <w:tcPr>
                  <w:tcW w:w="257" w:type="pct"/>
                  <w:noWrap w:val="0"/>
                  <w:vAlign w:val="center"/>
                </w:tcPr>
                <w:p w14:paraId="4590A3F6">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5</w:t>
                  </w:r>
                </w:p>
              </w:tc>
              <w:tc>
                <w:tcPr>
                  <w:tcW w:w="344" w:type="pct"/>
                  <w:noWrap w:val="0"/>
                  <w:vAlign w:val="center"/>
                </w:tcPr>
                <w:p w14:paraId="1FEF0574">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41</w:t>
                  </w:r>
                </w:p>
              </w:tc>
              <w:tc>
                <w:tcPr>
                  <w:tcW w:w="261" w:type="pct"/>
                  <w:vMerge w:val="continue"/>
                  <w:noWrap w:val="0"/>
                  <w:vAlign w:val="center"/>
                </w:tcPr>
                <w:p w14:paraId="0326379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26B2A5C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62EFE1C7">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31 </w:t>
                  </w:r>
                </w:p>
              </w:tc>
              <w:tc>
                <w:tcPr>
                  <w:tcW w:w="354" w:type="pct"/>
                  <w:noWrap w:val="0"/>
                  <w:vAlign w:val="center"/>
                </w:tcPr>
                <w:p w14:paraId="0EEA2DB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47E85A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62A5563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1AB56C3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2B63659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593F2A8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63177D7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41B549E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4828FEA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3B8FA75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1873DC2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56BE570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7D20BD7B">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西侧</w:t>
                  </w:r>
                </w:p>
              </w:tc>
              <w:tc>
                <w:tcPr>
                  <w:tcW w:w="257" w:type="pct"/>
                  <w:noWrap w:val="0"/>
                  <w:vAlign w:val="center"/>
                </w:tcPr>
                <w:p w14:paraId="12C1499B">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38</w:t>
                  </w:r>
                </w:p>
              </w:tc>
              <w:tc>
                <w:tcPr>
                  <w:tcW w:w="344" w:type="pct"/>
                  <w:noWrap w:val="0"/>
                  <w:vAlign w:val="center"/>
                </w:tcPr>
                <w:p w14:paraId="5FA3EA6E">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35</w:t>
                  </w:r>
                </w:p>
              </w:tc>
              <w:tc>
                <w:tcPr>
                  <w:tcW w:w="261" w:type="pct"/>
                  <w:vMerge w:val="continue"/>
                  <w:noWrap w:val="0"/>
                  <w:vAlign w:val="center"/>
                </w:tcPr>
                <w:p w14:paraId="0B479D0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0647DBE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20340473">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24 </w:t>
                  </w:r>
                </w:p>
              </w:tc>
              <w:tc>
                <w:tcPr>
                  <w:tcW w:w="354" w:type="pct"/>
                  <w:noWrap w:val="0"/>
                  <w:vAlign w:val="center"/>
                </w:tcPr>
                <w:p w14:paraId="0FE5049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368AE7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0A0D7E7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6839BD6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199CFF0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5A70FC9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78140A7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4524413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7647B23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30A86DE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061E64C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7B4F6C6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12AA80D9">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北侧</w:t>
                  </w:r>
                </w:p>
              </w:tc>
              <w:tc>
                <w:tcPr>
                  <w:tcW w:w="257" w:type="pct"/>
                  <w:noWrap w:val="0"/>
                  <w:vAlign w:val="center"/>
                </w:tcPr>
                <w:p w14:paraId="302CA591">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14</w:t>
                  </w:r>
                </w:p>
              </w:tc>
              <w:tc>
                <w:tcPr>
                  <w:tcW w:w="344" w:type="pct"/>
                  <w:noWrap w:val="0"/>
                  <w:vAlign w:val="center"/>
                </w:tcPr>
                <w:p w14:paraId="0EC2CA2D">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36</w:t>
                  </w:r>
                </w:p>
              </w:tc>
              <w:tc>
                <w:tcPr>
                  <w:tcW w:w="261" w:type="pct"/>
                  <w:vMerge w:val="continue"/>
                  <w:noWrap w:val="0"/>
                  <w:vAlign w:val="center"/>
                </w:tcPr>
                <w:p w14:paraId="708D86B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463AB68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49A2F74D">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26 </w:t>
                  </w:r>
                </w:p>
              </w:tc>
              <w:tc>
                <w:tcPr>
                  <w:tcW w:w="354" w:type="pct"/>
                  <w:noWrap w:val="0"/>
                  <w:vAlign w:val="center"/>
                </w:tcPr>
                <w:p w14:paraId="764C587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0B21FF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restart"/>
                  <w:noWrap w:val="0"/>
                  <w:vAlign w:val="center"/>
                </w:tcPr>
                <w:p w14:paraId="6AFCFD57">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272" w:type="pct"/>
                  <w:vMerge w:val="continue"/>
                  <w:noWrap w:val="0"/>
                  <w:vAlign w:val="center"/>
                </w:tcPr>
                <w:p w14:paraId="0EDDC297">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restart"/>
                  <w:noWrap w:val="0"/>
                  <w:vAlign w:val="center"/>
                </w:tcPr>
                <w:p w14:paraId="4AFB0CF1">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螺旋上料机</w:t>
                  </w:r>
                </w:p>
              </w:tc>
              <w:tc>
                <w:tcPr>
                  <w:tcW w:w="373" w:type="pct"/>
                  <w:vMerge w:val="restart"/>
                  <w:noWrap w:val="0"/>
                  <w:vAlign w:val="center"/>
                </w:tcPr>
                <w:p w14:paraId="1D6F169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间断</w:t>
                  </w:r>
                </w:p>
              </w:tc>
              <w:tc>
                <w:tcPr>
                  <w:tcW w:w="303" w:type="pct"/>
                  <w:vMerge w:val="restart"/>
                  <w:noWrap w:val="0"/>
                  <w:vAlign w:val="center"/>
                </w:tcPr>
                <w:p w14:paraId="65B918AF">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70</w:t>
                  </w:r>
                </w:p>
              </w:tc>
              <w:tc>
                <w:tcPr>
                  <w:tcW w:w="232" w:type="pct"/>
                  <w:vMerge w:val="restart"/>
                  <w:noWrap w:val="0"/>
                  <w:vAlign w:val="center"/>
                </w:tcPr>
                <w:p w14:paraId="1E403FD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类比法</w:t>
                  </w:r>
                </w:p>
              </w:tc>
              <w:tc>
                <w:tcPr>
                  <w:tcW w:w="407" w:type="pct"/>
                  <w:vMerge w:val="restart"/>
                  <w:noWrap w:val="0"/>
                  <w:vAlign w:val="center"/>
                </w:tcPr>
                <w:p w14:paraId="7650250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车间隔声、设备基础减振等</w:t>
                  </w:r>
                </w:p>
              </w:tc>
              <w:tc>
                <w:tcPr>
                  <w:tcW w:w="205" w:type="pct"/>
                  <w:vMerge w:val="restart"/>
                  <w:noWrap w:val="0"/>
                  <w:vAlign w:val="center"/>
                </w:tcPr>
                <w:p w14:paraId="20D6766F">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-23</w:t>
                  </w:r>
                </w:p>
              </w:tc>
              <w:tc>
                <w:tcPr>
                  <w:tcW w:w="199" w:type="pct"/>
                  <w:vMerge w:val="restart"/>
                  <w:noWrap w:val="0"/>
                  <w:vAlign w:val="center"/>
                </w:tcPr>
                <w:p w14:paraId="072A9978">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196" w:type="pct"/>
                  <w:vMerge w:val="restart"/>
                  <w:noWrap w:val="0"/>
                  <w:vAlign w:val="center"/>
                </w:tcPr>
                <w:p w14:paraId="4629DEB6">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r>
                    <w:rPr>
                      <w:rFonts w:hint="eastAsia" w:ascii="Times New Roman" w:hAnsi="Times New Roman" w:cs="Times New Roman"/>
                      <w:color w:val="auto"/>
                      <w:sz w:val="21"/>
                      <w:szCs w:val="21"/>
                      <w:lang w:val="en-US" w:eastAsia="zh-CN"/>
                    </w:rPr>
                    <w:t>2.5</w:t>
                  </w:r>
                </w:p>
              </w:tc>
              <w:tc>
                <w:tcPr>
                  <w:tcW w:w="407" w:type="pct"/>
                  <w:noWrap w:val="0"/>
                  <w:vAlign w:val="center"/>
                </w:tcPr>
                <w:p w14:paraId="520A4F4C">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东侧</w:t>
                  </w:r>
                </w:p>
              </w:tc>
              <w:tc>
                <w:tcPr>
                  <w:tcW w:w="257" w:type="pct"/>
                  <w:noWrap w:val="0"/>
                  <w:vAlign w:val="center"/>
                </w:tcPr>
                <w:p w14:paraId="193EBD24">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c>
                <w:tcPr>
                  <w:tcW w:w="344" w:type="pct"/>
                  <w:noWrap w:val="0"/>
                  <w:vAlign w:val="center"/>
                </w:tcPr>
                <w:p w14:paraId="59F1EA48">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40</w:t>
                  </w:r>
                </w:p>
              </w:tc>
              <w:tc>
                <w:tcPr>
                  <w:tcW w:w="261" w:type="pct"/>
                  <w:vMerge w:val="restart"/>
                  <w:noWrap w:val="0"/>
                  <w:vAlign w:val="center"/>
                </w:tcPr>
                <w:p w14:paraId="0F52693A">
                  <w:pPr>
                    <w:keepNext w:val="0"/>
                    <w:keepLines w:val="0"/>
                    <w:pageBreakBefore w:val="0"/>
                    <w:kinsoku/>
                    <w:wordWrap/>
                    <w:overflowPunct/>
                    <w:topLinePunct w:val="0"/>
                    <w:autoSpaceDE/>
                    <w:autoSpaceDN/>
                    <w:bidi w:val="0"/>
                    <w:adjustRightInd w:val="0"/>
                    <w:snapToGrid/>
                    <w:spacing w:line="34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kern w:val="0"/>
                      <w:sz w:val="21"/>
                      <w:szCs w:val="21"/>
                      <w:lang w:eastAsia="zh-CN" w:bidi="ar"/>
                    </w:rPr>
                    <w:t>24h/d</w:t>
                  </w:r>
                </w:p>
              </w:tc>
              <w:tc>
                <w:tcPr>
                  <w:tcW w:w="389" w:type="pct"/>
                  <w:noWrap w:val="0"/>
                  <w:vAlign w:val="center"/>
                </w:tcPr>
                <w:p w14:paraId="2A6F61BF">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100EC2FA">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30 </w:t>
                  </w:r>
                </w:p>
              </w:tc>
              <w:tc>
                <w:tcPr>
                  <w:tcW w:w="354" w:type="pct"/>
                  <w:noWrap w:val="0"/>
                  <w:vAlign w:val="center"/>
                </w:tcPr>
                <w:p w14:paraId="491E467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5C11C8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5D1AA86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1F45E5F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70243B4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5FBF2AB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03B6AC4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6DDE255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6716BBB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372CE80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56D2864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1A15EC1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073A98B4">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南侧</w:t>
                  </w:r>
                </w:p>
              </w:tc>
              <w:tc>
                <w:tcPr>
                  <w:tcW w:w="257" w:type="pct"/>
                  <w:noWrap w:val="0"/>
                  <w:vAlign w:val="center"/>
                </w:tcPr>
                <w:p w14:paraId="2BEA73C8">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5</w:t>
                  </w:r>
                </w:p>
              </w:tc>
              <w:tc>
                <w:tcPr>
                  <w:tcW w:w="344" w:type="pct"/>
                  <w:noWrap w:val="0"/>
                  <w:vAlign w:val="center"/>
                </w:tcPr>
                <w:p w14:paraId="6ED0CF4A">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46</w:t>
                  </w:r>
                </w:p>
              </w:tc>
              <w:tc>
                <w:tcPr>
                  <w:tcW w:w="261" w:type="pct"/>
                  <w:vMerge w:val="continue"/>
                  <w:noWrap w:val="0"/>
                  <w:vAlign w:val="center"/>
                </w:tcPr>
                <w:p w14:paraId="19A854A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028B613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77467E00">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36 </w:t>
                  </w:r>
                </w:p>
              </w:tc>
              <w:tc>
                <w:tcPr>
                  <w:tcW w:w="354" w:type="pct"/>
                  <w:noWrap w:val="0"/>
                  <w:vAlign w:val="center"/>
                </w:tcPr>
                <w:p w14:paraId="7B664CF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5B597F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6F5DFCF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34112A7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5DDB7E3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119FFBA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091A401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7983395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2BBAF98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560746D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485E398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151F438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1D3C6387">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西侧</w:t>
                  </w:r>
                </w:p>
              </w:tc>
              <w:tc>
                <w:tcPr>
                  <w:tcW w:w="257" w:type="pct"/>
                  <w:noWrap w:val="0"/>
                  <w:vAlign w:val="center"/>
                </w:tcPr>
                <w:p w14:paraId="27CBD19D">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40</w:t>
                  </w:r>
                </w:p>
              </w:tc>
              <w:tc>
                <w:tcPr>
                  <w:tcW w:w="344" w:type="pct"/>
                  <w:noWrap w:val="0"/>
                  <w:vAlign w:val="center"/>
                </w:tcPr>
                <w:p w14:paraId="00E6C846">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40</w:t>
                  </w:r>
                </w:p>
              </w:tc>
              <w:tc>
                <w:tcPr>
                  <w:tcW w:w="261" w:type="pct"/>
                  <w:vMerge w:val="continue"/>
                  <w:noWrap w:val="0"/>
                  <w:vAlign w:val="center"/>
                </w:tcPr>
                <w:p w14:paraId="5FD82D5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73FE94D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48AE6F3F">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29 </w:t>
                  </w:r>
                </w:p>
              </w:tc>
              <w:tc>
                <w:tcPr>
                  <w:tcW w:w="354" w:type="pct"/>
                  <w:noWrap w:val="0"/>
                  <w:vAlign w:val="center"/>
                </w:tcPr>
                <w:p w14:paraId="06B5B3F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2AFE25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1D499B3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2D1611B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7EED5BA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6ABCADC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0AC9A5C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476422A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3646E0F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3EEA82B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1167D60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46E5136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3E3574BD">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北侧</w:t>
                  </w:r>
                </w:p>
              </w:tc>
              <w:tc>
                <w:tcPr>
                  <w:tcW w:w="257" w:type="pct"/>
                  <w:noWrap w:val="0"/>
                  <w:vAlign w:val="center"/>
                </w:tcPr>
                <w:p w14:paraId="4CAF879F">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14</w:t>
                  </w:r>
                </w:p>
              </w:tc>
              <w:tc>
                <w:tcPr>
                  <w:tcW w:w="344" w:type="pct"/>
                  <w:noWrap w:val="0"/>
                  <w:vAlign w:val="center"/>
                </w:tcPr>
                <w:p w14:paraId="77E6C191">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41</w:t>
                  </w:r>
                </w:p>
              </w:tc>
              <w:tc>
                <w:tcPr>
                  <w:tcW w:w="261" w:type="pct"/>
                  <w:vMerge w:val="continue"/>
                  <w:noWrap w:val="0"/>
                  <w:vAlign w:val="center"/>
                </w:tcPr>
                <w:p w14:paraId="5D29763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7774943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487091F3">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31 </w:t>
                  </w:r>
                </w:p>
              </w:tc>
              <w:tc>
                <w:tcPr>
                  <w:tcW w:w="354" w:type="pct"/>
                  <w:noWrap w:val="0"/>
                  <w:vAlign w:val="center"/>
                </w:tcPr>
                <w:p w14:paraId="6433043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3539A1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restart"/>
                  <w:noWrap w:val="0"/>
                  <w:vAlign w:val="center"/>
                </w:tcPr>
                <w:p w14:paraId="1586584E">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w:t>
                  </w:r>
                </w:p>
              </w:tc>
              <w:tc>
                <w:tcPr>
                  <w:tcW w:w="272" w:type="pct"/>
                  <w:vMerge w:val="continue"/>
                  <w:noWrap w:val="0"/>
                  <w:vAlign w:val="center"/>
                </w:tcPr>
                <w:p w14:paraId="618B0CA0">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restart"/>
                  <w:noWrap w:val="0"/>
                  <w:vAlign w:val="center"/>
                </w:tcPr>
                <w:p w14:paraId="5E2371F1">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分选输送机</w:t>
                  </w:r>
                </w:p>
              </w:tc>
              <w:tc>
                <w:tcPr>
                  <w:tcW w:w="373" w:type="pct"/>
                  <w:vMerge w:val="restart"/>
                  <w:noWrap w:val="0"/>
                  <w:vAlign w:val="center"/>
                </w:tcPr>
                <w:p w14:paraId="4E9AF87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间断</w:t>
                  </w:r>
                </w:p>
              </w:tc>
              <w:tc>
                <w:tcPr>
                  <w:tcW w:w="303" w:type="pct"/>
                  <w:vMerge w:val="restart"/>
                  <w:noWrap w:val="0"/>
                  <w:vAlign w:val="center"/>
                </w:tcPr>
                <w:p w14:paraId="5EB1ACE1">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65</w:t>
                  </w:r>
                </w:p>
              </w:tc>
              <w:tc>
                <w:tcPr>
                  <w:tcW w:w="232" w:type="pct"/>
                  <w:vMerge w:val="restart"/>
                  <w:noWrap w:val="0"/>
                  <w:vAlign w:val="center"/>
                </w:tcPr>
                <w:p w14:paraId="1D9207E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类比法</w:t>
                  </w:r>
                </w:p>
              </w:tc>
              <w:tc>
                <w:tcPr>
                  <w:tcW w:w="407" w:type="pct"/>
                  <w:vMerge w:val="restart"/>
                  <w:noWrap w:val="0"/>
                  <w:vAlign w:val="center"/>
                </w:tcPr>
                <w:p w14:paraId="24AC659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车间隔声、设备基础减振等</w:t>
                  </w:r>
                </w:p>
              </w:tc>
              <w:tc>
                <w:tcPr>
                  <w:tcW w:w="205" w:type="pct"/>
                  <w:vMerge w:val="restart"/>
                  <w:noWrap w:val="0"/>
                  <w:vAlign w:val="center"/>
                </w:tcPr>
                <w:p w14:paraId="1A3CA5C2">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c>
                <w:tcPr>
                  <w:tcW w:w="199" w:type="pct"/>
                  <w:vMerge w:val="restart"/>
                  <w:noWrap w:val="0"/>
                  <w:vAlign w:val="center"/>
                </w:tcPr>
                <w:p w14:paraId="4DB56D81">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196" w:type="pct"/>
                  <w:vMerge w:val="restart"/>
                  <w:noWrap w:val="0"/>
                  <w:vAlign w:val="center"/>
                </w:tcPr>
                <w:p w14:paraId="77EB6F85">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Arial" w:cs="Times New Roman"/>
                      <w:color w:val="auto"/>
                      <w:sz w:val="21"/>
                      <w:szCs w:val="21"/>
                    </w:rPr>
                  </w:pPr>
                  <w:r>
                    <w:rPr>
                      <w:rFonts w:hint="eastAsia" w:ascii="Times New Roman" w:hAnsi="Times New Roman" w:cs="Times New Roman"/>
                      <w:color w:val="auto"/>
                      <w:sz w:val="21"/>
                      <w:szCs w:val="21"/>
                      <w:lang w:val="en-US" w:eastAsia="zh-CN"/>
                    </w:rPr>
                    <w:t>2.5</w:t>
                  </w:r>
                </w:p>
              </w:tc>
              <w:tc>
                <w:tcPr>
                  <w:tcW w:w="407" w:type="pct"/>
                  <w:noWrap w:val="0"/>
                  <w:vAlign w:val="center"/>
                </w:tcPr>
                <w:p w14:paraId="369A053C">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东侧</w:t>
                  </w:r>
                </w:p>
              </w:tc>
              <w:tc>
                <w:tcPr>
                  <w:tcW w:w="257" w:type="pct"/>
                  <w:noWrap w:val="0"/>
                  <w:vAlign w:val="center"/>
                </w:tcPr>
                <w:p w14:paraId="4D94DD5F">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19</w:t>
                  </w:r>
                </w:p>
              </w:tc>
              <w:tc>
                <w:tcPr>
                  <w:tcW w:w="344" w:type="pct"/>
                  <w:noWrap w:val="0"/>
                  <w:vAlign w:val="center"/>
                </w:tcPr>
                <w:p w14:paraId="2E56D588">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35</w:t>
                  </w:r>
                </w:p>
              </w:tc>
              <w:tc>
                <w:tcPr>
                  <w:tcW w:w="261" w:type="pct"/>
                  <w:vMerge w:val="restart"/>
                  <w:noWrap w:val="0"/>
                  <w:vAlign w:val="center"/>
                </w:tcPr>
                <w:p w14:paraId="2BD93E32">
                  <w:pPr>
                    <w:keepNext w:val="0"/>
                    <w:keepLines w:val="0"/>
                    <w:pageBreakBefore w:val="0"/>
                    <w:kinsoku/>
                    <w:wordWrap/>
                    <w:overflowPunct/>
                    <w:topLinePunct w:val="0"/>
                    <w:autoSpaceDE/>
                    <w:autoSpaceDN/>
                    <w:bidi w:val="0"/>
                    <w:adjustRightInd w:val="0"/>
                    <w:snapToGrid/>
                    <w:spacing w:line="34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kern w:val="0"/>
                      <w:sz w:val="21"/>
                      <w:szCs w:val="21"/>
                      <w:lang w:eastAsia="zh-CN" w:bidi="ar"/>
                    </w:rPr>
                    <w:t>24h/d</w:t>
                  </w:r>
                </w:p>
              </w:tc>
              <w:tc>
                <w:tcPr>
                  <w:tcW w:w="389" w:type="pct"/>
                  <w:noWrap w:val="0"/>
                  <w:vAlign w:val="center"/>
                </w:tcPr>
                <w:p w14:paraId="3EC6832A">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44E936DD">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25 </w:t>
                  </w:r>
                </w:p>
              </w:tc>
              <w:tc>
                <w:tcPr>
                  <w:tcW w:w="354" w:type="pct"/>
                  <w:noWrap w:val="0"/>
                  <w:vAlign w:val="center"/>
                </w:tcPr>
                <w:p w14:paraId="4345A2F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0E0986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602B81D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175A323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62BD920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4938F1D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11567E0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26B5EF1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1D6FE3E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5975C0C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27B2C52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733C1E9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51680EC0">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南侧</w:t>
                  </w:r>
                </w:p>
              </w:tc>
              <w:tc>
                <w:tcPr>
                  <w:tcW w:w="257" w:type="pct"/>
                  <w:noWrap w:val="0"/>
                  <w:vAlign w:val="center"/>
                </w:tcPr>
                <w:p w14:paraId="04AEAD1E">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5</w:t>
                  </w:r>
                </w:p>
              </w:tc>
              <w:tc>
                <w:tcPr>
                  <w:tcW w:w="344" w:type="pct"/>
                  <w:noWrap w:val="0"/>
                  <w:vAlign w:val="center"/>
                </w:tcPr>
                <w:p w14:paraId="7A2164BB">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41</w:t>
                  </w:r>
                </w:p>
              </w:tc>
              <w:tc>
                <w:tcPr>
                  <w:tcW w:w="261" w:type="pct"/>
                  <w:vMerge w:val="continue"/>
                  <w:noWrap w:val="0"/>
                  <w:vAlign w:val="center"/>
                </w:tcPr>
                <w:p w14:paraId="6B5D2CB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0911B68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69E01A95">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31 </w:t>
                  </w:r>
                </w:p>
              </w:tc>
              <w:tc>
                <w:tcPr>
                  <w:tcW w:w="354" w:type="pct"/>
                  <w:noWrap w:val="0"/>
                  <w:vAlign w:val="center"/>
                </w:tcPr>
                <w:p w14:paraId="65D2AE6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7396A7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487CC4A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4635EFC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70E1713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3EBF609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2BF48C0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77E65D5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743789F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2893458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1249DEB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7982457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45D38B43">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西侧</w:t>
                  </w:r>
                </w:p>
              </w:tc>
              <w:tc>
                <w:tcPr>
                  <w:tcW w:w="257" w:type="pct"/>
                  <w:noWrap w:val="0"/>
                  <w:vAlign w:val="center"/>
                </w:tcPr>
                <w:p w14:paraId="38BBC8BF">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41</w:t>
                  </w:r>
                </w:p>
              </w:tc>
              <w:tc>
                <w:tcPr>
                  <w:tcW w:w="344" w:type="pct"/>
                  <w:noWrap w:val="0"/>
                  <w:vAlign w:val="center"/>
                </w:tcPr>
                <w:p w14:paraId="3EBB65F1">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35</w:t>
                  </w:r>
                </w:p>
              </w:tc>
              <w:tc>
                <w:tcPr>
                  <w:tcW w:w="261" w:type="pct"/>
                  <w:vMerge w:val="continue"/>
                  <w:noWrap w:val="0"/>
                  <w:vAlign w:val="center"/>
                </w:tcPr>
                <w:p w14:paraId="00F48EE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3F90462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72310AD9">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24 </w:t>
                  </w:r>
                </w:p>
              </w:tc>
              <w:tc>
                <w:tcPr>
                  <w:tcW w:w="354" w:type="pct"/>
                  <w:noWrap w:val="0"/>
                  <w:vAlign w:val="center"/>
                </w:tcPr>
                <w:p w14:paraId="399669A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48B4E0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3A49BE9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430D3AC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69FBA08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7344A55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3BABFA8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36BBA88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456F422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73F5B8A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29A7330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350AA63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4D6423C2">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北侧</w:t>
                  </w:r>
                </w:p>
              </w:tc>
              <w:tc>
                <w:tcPr>
                  <w:tcW w:w="257" w:type="pct"/>
                  <w:noWrap w:val="0"/>
                  <w:vAlign w:val="center"/>
                </w:tcPr>
                <w:p w14:paraId="61666922">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14</w:t>
                  </w:r>
                </w:p>
              </w:tc>
              <w:tc>
                <w:tcPr>
                  <w:tcW w:w="344" w:type="pct"/>
                  <w:noWrap w:val="0"/>
                  <w:vAlign w:val="center"/>
                </w:tcPr>
                <w:p w14:paraId="635CA1D5">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36</w:t>
                  </w:r>
                </w:p>
              </w:tc>
              <w:tc>
                <w:tcPr>
                  <w:tcW w:w="261" w:type="pct"/>
                  <w:vMerge w:val="continue"/>
                  <w:noWrap w:val="0"/>
                  <w:vAlign w:val="center"/>
                </w:tcPr>
                <w:p w14:paraId="7621994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7A8E128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42BF1D49">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26 </w:t>
                  </w:r>
                </w:p>
              </w:tc>
              <w:tc>
                <w:tcPr>
                  <w:tcW w:w="354" w:type="pct"/>
                  <w:noWrap w:val="0"/>
                  <w:vAlign w:val="center"/>
                </w:tcPr>
                <w:p w14:paraId="0F85683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41889E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restart"/>
                  <w:noWrap w:val="0"/>
                  <w:vAlign w:val="center"/>
                </w:tcPr>
                <w:p w14:paraId="78D512C1">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p>
              </w:tc>
              <w:tc>
                <w:tcPr>
                  <w:tcW w:w="272" w:type="pct"/>
                  <w:vMerge w:val="continue"/>
                  <w:noWrap w:val="0"/>
                  <w:vAlign w:val="center"/>
                </w:tcPr>
                <w:p w14:paraId="35A505E7">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restart"/>
                  <w:noWrap w:val="0"/>
                  <w:vAlign w:val="center"/>
                </w:tcPr>
                <w:p w14:paraId="1FC529C3">
                  <w:pPr>
                    <w:pStyle w:val="16"/>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破碎机</w:t>
                  </w:r>
                </w:p>
              </w:tc>
              <w:tc>
                <w:tcPr>
                  <w:tcW w:w="373" w:type="pct"/>
                  <w:vMerge w:val="restart"/>
                  <w:noWrap w:val="0"/>
                  <w:vAlign w:val="center"/>
                </w:tcPr>
                <w:p w14:paraId="502FB5E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间断</w:t>
                  </w:r>
                </w:p>
              </w:tc>
              <w:tc>
                <w:tcPr>
                  <w:tcW w:w="303" w:type="pct"/>
                  <w:vMerge w:val="restart"/>
                  <w:noWrap w:val="0"/>
                  <w:vAlign w:val="center"/>
                </w:tcPr>
                <w:p w14:paraId="1A25C3B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75</w:t>
                  </w:r>
                </w:p>
              </w:tc>
              <w:tc>
                <w:tcPr>
                  <w:tcW w:w="232" w:type="pct"/>
                  <w:vMerge w:val="restart"/>
                  <w:noWrap w:val="0"/>
                  <w:vAlign w:val="center"/>
                </w:tcPr>
                <w:p w14:paraId="2B63614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类比法</w:t>
                  </w:r>
                </w:p>
              </w:tc>
              <w:tc>
                <w:tcPr>
                  <w:tcW w:w="407" w:type="pct"/>
                  <w:vMerge w:val="restart"/>
                  <w:noWrap w:val="0"/>
                  <w:vAlign w:val="center"/>
                </w:tcPr>
                <w:p w14:paraId="71DBAAB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车间隔声、设备基础减振等</w:t>
                  </w:r>
                </w:p>
              </w:tc>
              <w:tc>
                <w:tcPr>
                  <w:tcW w:w="205" w:type="pct"/>
                  <w:vMerge w:val="restart"/>
                  <w:noWrap w:val="0"/>
                  <w:vAlign w:val="center"/>
                </w:tcPr>
                <w:p w14:paraId="1022A84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-19</w:t>
                  </w:r>
                </w:p>
              </w:tc>
              <w:tc>
                <w:tcPr>
                  <w:tcW w:w="199" w:type="pct"/>
                  <w:vMerge w:val="restart"/>
                  <w:noWrap w:val="0"/>
                  <w:vAlign w:val="center"/>
                </w:tcPr>
                <w:p w14:paraId="295BB321">
                  <w:pPr>
                    <w:pStyle w:val="141"/>
                    <w:keepNext w:val="0"/>
                    <w:keepLines w:val="0"/>
                    <w:pageBreakBefore w:val="0"/>
                    <w:kinsoku/>
                    <w:wordWrap/>
                    <w:overflowPunct/>
                    <w:topLinePunct w:val="0"/>
                    <w:autoSpaceDE/>
                    <w:autoSpaceDN/>
                    <w:bidi w:val="0"/>
                    <w:adjustRightInd w:val="0"/>
                    <w:snapToGrid/>
                    <w:spacing w:line="340" w:lineRule="exact"/>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196" w:type="pct"/>
                  <w:vMerge w:val="restart"/>
                  <w:noWrap w:val="0"/>
                  <w:vAlign w:val="center"/>
                </w:tcPr>
                <w:p w14:paraId="1794BF5E">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Arial" w:cs="Times New Roman"/>
                      <w:color w:val="auto"/>
                      <w:sz w:val="21"/>
                      <w:szCs w:val="21"/>
                    </w:rPr>
                  </w:pPr>
                  <w:r>
                    <w:rPr>
                      <w:rFonts w:hint="eastAsia" w:ascii="Times New Roman" w:hAnsi="Times New Roman" w:cs="Times New Roman"/>
                      <w:color w:val="auto"/>
                      <w:sz w:val="21"/>
                      <w:szCs w:val="21"/>
                      <w:lang w:val="en-US" w:eastAsia="zh-CN"/>
                    </w:rPr>
                    <w:t>2.5</w:t>
                  </w:r>
                </w:p>
              </w:tc>
              <w:tc>
                <w:tcPr>
                  <w:tcW w:w="407" w:type="pct"/>
                  <w:noWrap w:val="0"/>
                  <w:vAlign w:val="center"/>
                </w:tcPr>
                <w:p w14:paraId="785603A2">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东侧</w:t>
                  </w:r>
                </w:p>
              </w:tc>
              <w:tc>
                <w:tcPr>
                  <w:tcW w:w="257" w:type="pct"/>
                  <w:noWrap w:val="0"/>
                  <w:vAlign w:val="center"/>
                </w:tcPr>
                <w:p w14:paraId="03A0DCB6">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30</w:t>
                  </w:r>
                </w:p>
              </w:tc>
              <w:tc>
                <w:tcPr>
                  <w:tcW w:w="344" w:type="pct"/>
                  <w:noWrap w:val="0"/>
                  <w:vAlign w:val="center"/>
                </w:tcPr>
                <w:p w14:paraId="73AD1CD4">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45 </w:t>
                  </w:r>
                </w:p>
              </w:tc>
              <w:tc>
                <w:tcPr>
                  <w:tcW w:w="261" w:type="pct"/>
                  <w:vMerge w:val="restart"/>
                  <w:noWrap w:val="0"/>
                  <w:vAlign w:val="center"/>
                </w:tcPr>
                <w:p w14:paraId="2F692197">
                  <w:pPr>
                    <w:keepNext w:val="0"/>
                    <w:keepLines w:val="0"/>
                    <w:pageBreakBefore w:val="0"/>
                    <w:kinsoku/>
                    <w:wordWrap/>
                    <w:overflowPunct/>
                    <w:topLinePunct w:val="0"/>
                    <w:autoSpaceDE/>
                    <w:autoSpaceDN/>
                    <w:bidi w:val="0"/>
                    <w:adjustRightInd w:val="0"/>
                    <w:snapToGrid/>
                    <w:spacing w:line="34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kern w:val="0"/>
                      <w:sz w:val="21"/>
                      <w:szCs w:val="21"/>
                      <w:lang w:eastAsia="zh-CN" w:bidi="ar"/>
                    </w:rPr>
                    <w:t>24h/d</w:t>
                  </w:r>
                </w:p>
              </w:tc>
              <w:tc>
                <w:tcPr>
                  <w:tcW w:w="389" w:type="pct"/>
                  <w:noWrap w:val="0"/>
                  <w:vAlign w:val="center"/>
                </w:tcPr>
                <w:p w14:paraId="52FB769F">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0BDC8FE2">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35 </w:t>
                  </w:r>
                </w:p>
              </w:tc>
              <w:tc>
                <w:tcPr>
                  <w:tcW w:w="354" w:type="pct"/>
                  <w:noWrap w:val="0"/>
                  <w:vAlign w:val="center"/>
                </w:tcPr>
                <w:p w14:paraId="6CABA5B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78F576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6B35FAA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27415CE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1848ED4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316A909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58282A1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03CAF7A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0B74398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379255D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069210C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11AB1E3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05A25CA8">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南侧</w:t>
                  </w:r>
                </w:p>
              </w:tc>
              <w:tc>
                <w:tcPr>
                  <w:tcW w:w="257" w:type="pct"/>
                  <w:noWrap w:val="0"/>
                  <w:vAlign w:val="center"/>
                </w:tcPr>
                <w:p w14:paraId="45C3D888">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3</w:t>
                  </w:r>
                </w:p>
              </w:tc>
              <w:tc>
                <w:tcPr>
                  <w:tcW w:w="344" w:type="pct"/>
                  <w:noWrap w:val="0"/>
                  <w:vAlign w:val="center"/>
                </w:tcPr>
                <w:p w14:paraId="668D5564">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55 </w:t>
                  </w:r>
                </w:p>
              </w:tc>
              <w:tc>
                <w:tcPr>
                  <w:tcW w:w="261" w:type="pct"/>
                  <w:vMerge w:val="continue"/>
                  <w:noWrap w:val="0"/>
                  <w:vAlign w:val="center"/>
                </w:tcPr>
                <w:p w14:paraId="5E5E77D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029D8FF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0D2CE3CB">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45 </w:t>
                  </w:r>
                </w:p>
              </w:tc>
              <w:tc>
                <w:tcPr>
                  <w:tcW w:w="354" w:type="pct"/>
                  <w:noWrap w:val="0"/>
                  <w:vAlign w:val="center"/>
                </w:tcPr>
                <w:p w14:paraId="2B7AB4C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3ED3E9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01F8E34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6D7AC9A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7091CCA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5F66EC5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6E933B7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76C2D75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6AC4E00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58B14D4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18077F0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3C6CD2B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1494016A">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西侧</w:t>
                  </w:r>
                </w:p>
              </w:tc>
              <w:tc>
                <w:tcPr>
                  <w:tcW w:w="257" w:type="pct"/>
                  <w:noWrap w:val="0"/>
                  <w:vAlign w:val="center"/>
                </w:tcPr>
                <w:p w14:paraId="6552A3C5">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30</w:t>
                  </w:r>
                </w:p>
              </w:tc>
              <w:tc>
                <w:tcPr>
                  <w:tcW w:w="344" w:type="pct"/>
                  <w:noWrap w:val="0"/>
                  <w:vAlign w:val="center"/>
                </w:tcPr>
                <w:p w14:paraId="766862A2">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45 </w:t>
                  </w:r>
                </w:p>
              </w:tc>
              <w:tc>
                <w:tcPr>
                  <w:tcW w:w="261" w:type="pct"/>
                  <w:vMerge w:val="continue"/>
                  <w:noWrap w:val="0"/>
                  <w:vAlign w:val="center"/>
                </w:tcPr>
                <w:p w14:paraId="72DEF70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3C87C84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5974B138">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35 </w:t>
                  </w:r>
                </w:p>
              </w:tc>
              <w:tc>
                <w:tcPr>
                  <w:tcW w:w="354" w:type="pct"/>
                  <w:noWrap w:val="0"/>
                  <w:vAlign w:val="center"/>
                </w:tcPr>
                <w:p w14:paraId="2BD81C3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141BF0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5C34BB4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0A8BEFE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24101A1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2DA6A6A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11E9B01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1099F18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6AFA693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197A26C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1059B6C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5C7A057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2D19A5A1">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北侧</w:t>
                  </w:r>
                </w:p>
              </w:tc>
              <w:tc>
                <w:tcPr>
                  <w:tcW w:w="257" w:type="pct"/>
                  <w:noWrap w:val="0"/>
                  <w:vAlign w:val="center"/>
                </w:tcPr>
                <w:p w14:paraId="50951D59">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16</w:t>
                  </w:r>
                </w:p>
              </w:tc>
              <w:tc>
                <w:tcPr>
                  <w:tcW w:w="344" w:type="pct"/>
                  <w:noWrap w:val="0"/>
                  <w:vAlign w:val="center"/>
                </w:tcPr>
                <w:p w14:paraId="160F9C44">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46 </w:t>
                  </w:r>
                </w:p>
              </w:tc>
              <w:tc>
                <w:tcPr>
                  <w:tcW w:w="261" w:type="pct"/>
                  <w:vMerge w:val="continue"/>
                  <w:noWrap w:val="0"/>
                  <w:vAlign w:val="center"/>
                </w:tcPr>
                <w:p w14:paraId="3AB8DF80">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4E348E2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614BEA64">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35 </w:t>
                  </w:r>
                </w:p>
              </w:tc>
              <w:tc>
                <w:tcPr>
                  <w:tcW w:w="354" w:type="pct"/>
                  <w:noWrap w:val="0"/>
                  <w:vAlign w:val="center"/>
                </w:tcPr>
                <w:p w14:paraId="23F4B39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02999D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restart"/>
                  <w:noWrap w:val="0"/>
                  <w:vAlign w:val="center"/>
                </w:tcPr>
                <w:p w14:paraId="3C8FCD90">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w:t>
                  </w:r>
                </w:p>
              </w:tc>
              <w:tc>
                <w:tcPr>
                  <w:tcW w:w="272" w:type="pct"/>
                  <w:vMerge w:val="continue"/>
                  <w:noWrap w:val="0"/>
                  <w:vAlign w:val="center"/>
                </w:tcPr>
                <w:p w14:paraId="27C7D33D">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p>
              </w:tc>
              <w:tc>
                <w:tcPr>
                  <w:tcW w:w="313" w:type="pct"/>
                  <w:vMerge w:val="restart"/>
                  <w:noWrap w:val="0"/>
                  <w:vAlign w:val="center"/>
                </w:tcPr>
                <w:p w14:paraId="4B892AAF">
                  <w:pPr>
                    <w:pStyle w:val="16"/>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Times New Roman" w:cs="Times New Roman"/>
                      <w:color w:val="auto"/>
                      <w:sz w:val="21"/>
                      <w:szCs w:val="21"/>
                      <w:lang w:val="zh-CN"/>
                    </w:rPr>
                  </w:pPr>
                  <w:r>
                    <w:rPr>
                      <w:rFonts w:hint="default" w:ascii="Times New Roman" w:hAnsi="Times New Roman" w:eastAsia="宋体" w:cs="Times New Roman"/>
                      <w:i w:val="0"/>
                      <w:iCs w:val="0"/>
                      <w:color w:val="auto"/>
                      <w:kern w:val="0"/>
                      <w:sz w:val="21"/>
                      <w:szCs w:val="21"/>
                      <w:u w:val="none"/>
                      <w:lang w:val="en-US" w:eastAsia="zh-CN" w:bidi="ar"/>
                    </w:rPr>
                    <w:t>清洗机</w:t>
                  </w:r>
                </w:p>
              </w:tc>
              <w:tc>
                <w:tcPr>
                  <w:tcW w:w="373" w:type="pct"/>
                  <w:vMerge w:val="restart"/>
                  <w:noWrap w:val="0"/>
                  <w:vAlign w:val="center"/>
                </w:tcPr>
                <w:p w14:paraId="4665BC4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间断</w:t>
                  </w:r>
                </w:p>
              </w:tc>
              <w:tc>
                <w:tcPr>
                  <w:tcW w:w="303" w:type="pct"/>
                  <w:vMerge w:val="restart"/>
                  <w:noWrap w:val="0"/>
                  <w:vAlign w:val="center"/>
                </w:tcPr>
                <w:p w14:paraId="3943D9C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65</w:t>
                  </w:r>
                </w:p>
              </w:tc>
              <w:tc>
                <w:tcPr>
                  <w:tcW w:w="232" w:type="pct"/>
                  <w:vMerge w:val="restart"/>
                  <w:noWrap w:val="0"/>
                  <w:vAlign w:val="center"/>
                </w:tcPr>
                <w:p w14:paraId="724AE06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类比法</w:t>
                  </w:r>
                </w:p>
              </w:tc>
              <w:tc>
                <w:tcPr>
                  <w:tcW w:w="407" w:type="pct"/>
                  <w:vMerge w:val="restart"/>
                  <w:noWrap w:val="0"/>
                  <w:vAlign w:val="center"/>
                </w:tcPr>
                <w:p w14:paraId="03C399AE">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车间隔声</w:t>
                  </w:r>
                </w:p>
              </w:tc>
              <w:tc>
                <w:tcPr>
                  <w:tcW w:w="205" w:type="pct"/>
                  <w:vMerge w:val="restart"/>
                  <w:noWrap w:val="0"/>
                  <w:vAlign w:val="center"/>
                </w:tcPr>
                <w:p w14:paraId="2268FCCC">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-17</w:t>
                  </w:r>
                </w:p>
              </w:tc>
              <w:tc>
                <w:tcPr>
                  <w:tcW w:w="199" w:type="pct"/>
                  <w:vMerge w:val="restart"/>
                  <w:noWrap w:val="0"/>
                  <w:vAlign w:val="center"/>
                </w:tcPr>
                <w:p w14:paraId="1E0B5572">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196" w:type="pct"/>
                  <w:vMerge w:val="restart"/>
                  <w:noWrap w:val="0"/>
                  <w:vAlign w:val="center"/>
                </w:tcPr>
                <w:p w14:paraId="0F48983B">
                  <w:pPr>
                    <w:pStyle w:val="141"/>
                    <w:keepNext w:val="0"/>
                    <w:keepLines w:val="0"/>
                    <w:pageBreakBefore w:val="0"/>
                    <w:kinsoku/>
                    <w:wordWrap/>
                    <w:overflowPunct/>
                    <w:topLinePunct w:val="0"/>
                    <w:autoSpaceDE/>
                    <w:autoSpaceDN/>
                    <w:bidi w:val="0"/>
                    <w:adjustRightInd w:val="0"/>
                    <w:snapToGrid/>
                    <w:spacing w:line="340" w:lineRule="exact"/>
                    <w:rPr>
                      <w:rFonts w:hint="default" w:ascii="Times New Roman" w:hAnsi="Times New Roman" w:eastAsia="Arial" w:cs="Times New Roman"/>
                      <w:color w:val="auto"/>
                      <w:sz w:val="21"/>
                      <w:szCs w:val="21"/>
                    </w:rPr>
                  </w:pPr>
                  <w:r>
                    <w:rPr>
                      <w:rFonts w:hint="eastAsia" w:ascii="Times New Roman" w:hAnsi="Times New Roman" w:cs="Times New Roman"/>
                      <w:color w:val="auto"/>
                      <w:sz w:val="21"/>
                      <w:szCs w:val="21"/>
                      <w:lang w:val="en-US" w:eastAsia="zh-CN"/>
                    </w:rPr>
                    <w:t>2.5</w:t>
                  </w:r>
                </w:p>
              </w:tc>
              <w:tc>
                <w:tcPr>
                  <w:tcW w:w="407" w:type="pct"/>
                  <w:noWrap w:val="0"/>
                  <w:vAlign w:val="center"/>
                </w:tcPr>
                <w:p w14:paraId="192FFA7C">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东侧</w:t>
                  </w:r>
                </w:p>
              </w:tc>
              <w:tc>
                <w:tcPr>
                  <w:tcW w:w="257" w:type="pct"/>
                  <w:noWrap w:val="0"/>
                  <w:vAlign w:val="center"/>
                </w:tcPr>
                <w:p w14:paraId="7A91D889">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25</w:t>
                  </w:r>
                </w:p>
              </w:tc>
              <w:tc>
                <w:tcPr>
                  <w:tcW w:w="344" w:type="pct"/>
                  <w:noWrap w:val="0"/>
                  <w:vAlign w:val="center"/>
                </w:tcPr>
                <w:p w14:paraId="17767A17">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35 </w:t>
                  </w:r>
                </w:p>
              </w:tc>
              <w:tc>
                <w:tcPr>
                  <w:tcW w:w="261" w:type="pct"/>
                  <w:vMerge w:val="restart"/>
                  <w:noWrap w:val="0"/>
                  <w:vAlign w:val="center"/>
                </w:tcPr>
                <w:p w14:paraId="5526040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24</w:t>
                  </w:r>
                  <w:r>
                    <w:rPr>
                      <w:rFonts w:hint="default" w:ascii="Times New Roman" w:hAnsi="Times New Roman" w:cs="Times New Roman"/>
                      <w:color w:val="auto"/>
                      <w:kern w:val="0"/>
                      <w:sz w:val="21"/>
                      <w:szCs w:val="21"/>
                      <w:lang w:bidi="ar"/>
                    </w:rPr>
                    <w:t>h/d</w:t>
                  </w:r>
                </w:p>
              </w:tc>
              <w:tc>
                <w:tcPr>
                  <w:tcW w:w="389" w:type="pct"/>
                  <w:noWrap w:val="0"/>
                  <w:vAlign w:val="center"/>
                </w:tcPr>
                <w:p w14:paraId="7A5BB2E5">
                  <w:pPr>
                    <w:keepNext w:val="0"/>
                    <w:keepLines w:val="0"/>
                    <w:pageBreakBefore w:val="0"/>
                    <w:widowControl/>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24B541A2">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25 </w:t>
                  </w:r>
                </w:p>
              </w:tc>
              <w:tc>
                <w:tcPr>
                  <w:tcW w:w="354" w:type="pct"/>
                  <w:noWrap w:val="0"/>
                  <w:vAlign w:val="center"/>
                </w:tcPr>
                <w:p w14:paraId="1627AB6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6E223A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2D20CB0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52ED5FD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2E5C8B44">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507F7BE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0D9D541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68EF064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2862E0B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594B3ED7">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3F19351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6D4B1FE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714C5DAA">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南侧</w:t>
                  </w:r>
                </w:p>
              </w:tc>
              <w:tc>
                <w:tcPr>
                  <w:tcW w:w="257" w:type="pct"/>
                  <w:noWrap w:val="0"/>
                  <w:vAlign w:val="center"/>
                </w:tcPr>
                <w:p w14:paraId="6B462B69">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5</w:t>
                  </w:r>
                </w:p>
              </w:tc>
              <w:tc>
                <w:tcPr>
                  <w:tcW w:w="344" w:type="pct"/>
                  <w:noWrap w:val="0"/>
                  <w:vAlign w:val="center"/>
                </w:tcPr>
                <w:p w14:paraId="3BA682B7">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41 </w:t>
                  </w:r>
                </w:p>
              </w:tc>
              <w:tc>
                <w:tcPr>
                  <w:tcW w:w="261" w:type="pct"/>
                  <w:vMerge w:val="continue"/>
                  <w:noWrap w:val="0"/>
                  <w:vAlign w:val="center"/>
                </w:tcPr>
                <w:p w14:paraId="69BB8931">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5C8DC51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52F2F876">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31 </w:t>
                  </w:r>
                </w:p>
              </w:tc>
              <w:tc>
                <w:tcPr>
                  <w:tcW w:w="354" w:type="pct"/>
                  <w:noWrap w:val="0"/>
                  <w:vAlign w:val="center"/>
                </w:tcPr>
                <w:p w14:paraId="1552E055">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1004BC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18D67149">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60F70E8A">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1FB92E5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76805C0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6D83144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6EA1826D">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20F01B6E">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1FE44A8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6C025F0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54C62E1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4596C6F1">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西侧</w:t>
                  </w:r>
                </w:p>
              </w:tc>
              <w:tc>
                <w:tcPr>
                  <w:tcW w:w="257" w:type="pct"/>
                  <w:noWrap w:val="0"/>
                  <w:vAlign w:val="center"/>
                </w:tcPr>
                <w:p w14:paraId="5DC2B5B9">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35</w:t>
                  </w:r>
                </w:p>
              </w:tc>
              <w:tc>
                <w:tcPr>
                  <w:tcW w:w="344" w:type="pct"/>
                  <w:noWrap w:val="0"/>
                  <w:vAlign w:val="center"/>
                </w:tcPr>
                <w:p w14:paraId="20938247">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35 </w:t>
                  </w:r>
                </w:p>
              </w:tc>
              <w:tc>
                <w:tcPr>
                  <w:tcW w:w="261" w:type="pct"/>
                  <w:vMerge w:val="continue"/>
                  <w:noWrap w:val="0"/>
                  <w:vAlign w:val="center"/>
                </w:tcPr>
                <w:p w14:paraId="46602D7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2D3CC41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1A59A885">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24 </w:t>
                  </w:r>
                </w:p>
              </w:tc>
              <w:tc>
                <w:tcPr>
                  <w:tcW w:w="354" w:type="pct"/>
                  <w:noWrap w:val="0"/>
                  <w:vAlign w:val="center"/>
                </w:tcPr>
                <w:p w14:paraId="6C178DB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55585A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86" w:hRule="atLeast"/>
              </w:trPr>
              <w:tc>
                <w:tcPr>
                  <w:tcW w:w="135" w:type="pct"/>
                  <w:vMerge w:val="continue"/>
                  <w:noWrap w:val="0"/>
                  <w:vAlign w:val="center"/>
                </w:tcPr>
                <w:p w14:paraId="6055042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72" w:type="pct"/>
                  <w:vMerge w:val="continue"/>
                  <w:noWrap w:val="0"/>
                  <w:vAlign w:val="center"/>
                </w:tcPr>
                <w:p w14:paraId="3F61A84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13" w:type="pct"/>
                  <w:vMerge w:val="continue"/>
                  <w:noWrap w:val="0"/>
                  <w:vAlign w:val="center"/>
                </w:tcPr>
                <w:p w14:paraId="5768CE4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73" w:type="pct"/>
                  <w:vMerge w:val="continue"/>
                  <w:noWrap w:val="0"/>
                  <w:vAlign w:val="center"/>
                </w:tcPr>
                <w:p w14:paraId="69DA85A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03" w:type="pct"/>
                  <w:vMerge w:val="continue"/>
                  <w:noWrap w:val="0"/>
                  <w:vAlign w:val="center"/>
                </w:tcPr>
                <w:p w14:paraId="38E49C4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32" w:type="pct"/>
                  <w:vMerge w:val="continue"/>
                  <w:noWrap w:val="0"/>
                  <w:vAlign w:val="center"/>
                </w:tcPr>
                <w:p w14:paraId="19E01FD6">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vMerge w:val="continue"/>
                  <w:noWrap w:val="0"/>
                  <w:vAlign w:val="center"/>
                </w:tcPr>
                <w:p w14:paraId="794154EF">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205" w:type="pct"/>
                  <w:vMerge w:val="continue"/>
                  <w:noWrap w:val="0"/>
                  <w:vAlign w:val="center"/>
                </w:tcPr>
                <w:p w14:paraId="0453B188">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9" w:type="pct"/>
                  <w:vMerge w:val="continue"/>
                  <w:noWrap w:val="0"/>
                  <w:vAlign w:val="center"/>
                </w:tcPr>
                <w:p w14:paraId="6A4FCA02">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196" w:type="pct"/>
                  <w:vMerge w:val="continue"/>
                  <w:noWrap w:val="0"/>
                  <w:vAlign w:val="center"/>
                </w:tcPr>
                <w:p w14:paraId="59A27AAC">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407" w:type="pct"/>
                  <w:noWrap w:val="0"/>
                  <w:vAlign w:val="center"/>
                </w:tcPr>
                <w:p w14:paraId="27ABE16C">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北侧</w:t>
                  </w:r>
                </w:p>
              </w:tc>
              <w:tc>
                <w:tcPr>
                  <w:tcW w:w="257" w:type="pct"/>
                  <w:noWrap w:val="0"/>
                  <w:vAlign w:val="center"/>
                </w:tcPr>
                <w:p w14:paraId="15A4F418">
                  <w:pPr>
                    <w:keepNext w:val="0"/>
                    <w:keepLines w:val="0"/>
                    <w:pageBreakBefore w:val="0"/>
                    <w:widowControl/>
                    <w:kinsoku/>
                    <w:wordWrap/>
                    <w:overflowPunct/>
                    <w:topLinePunct w:val="0"/>
                    <w:autoSpaceDE/>
                    <w:autoSpaceDN/>
                    <w:bidi w:val="0"/>
                    <w:adjustRightInd w:val="0"/>
                    <w:snapToGrid/>
                    <w:spacing w:line="340" w:lineRule="exact"/>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16</w:t>
                  </w:r>
                </w:p>
              </w:tc>
              <w:tc>
                <w:tcPr>
                  <w:tcW w:w="344" w:type="pct"/>
                  <w:noWrap w:val="0"/>
                  <w:vAlign w:val="center"/>
                </w:tcPr>
                <w:p w14:paraId="632C705C">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36 </w:t>
                  </w:r>
                </w:p>
              </w:tc>
              <w:tc>
                <w:tcPr>
                  <w:tcW w:w="261" w:type="pct"/>
                  <w:vMerge w:val="continue"/>
                  <w:noWrap w:val="0"/>
                  <w:vAlign w:val="center"/>
                </w:tcPr>
                <w:p w14:paraId="4CE7769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p>
              </w:tc>
              <w:tc>
                <w:tcPr>
                  <w:tcW w:w="389" w:type="pct"/>
                  <w:noWrap w:val="0"/>
                  <w:vAlign w:val="center"/>
                </w:tcPr>
                <w:p w14:paraId="38912F6B">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val="en-US" w:eastAsia="zh-CN" w:bidi="ar"/>
                    </w:rPr>
                    <w:t>15</w:t>
                  </w:r>
                </w:p>
              </w:tc>
              <w:tc>
                <w:tcPr>
                  <w:tcW w:w="348" w:type="pct"/>
                  <w:noWrap w:val="0"/>
                  <w:vAlign w:val="center"/>
                </w:tcPr>
                <w:p w14:paraId="64855A9D">
                  <w:pPr>
                    <w:keepNext w:val="0"/>
                    <w:keepLines w:val="0"/>
                    <w:pageBreakBefore w:val="0"/>
                    <w:widowControl/>
                    <w:suppressLineNumbers w:val="0"/>
                    <w:kinsoku/>
                    <w:wordWrap/>
                    <w:overflowPunct/>
                    <w:topLinePunct w:val="0"/>
                    <w:autoSpaceDE/>
                    <w:autoSpaceDN/>
                    <w:bidi w:val="0"/>
                    <w:snapToGrid/>
                    <w:spacing w:line="340" w:lineRule="exact"/>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25 </w:t>
                  </w:r>
                </w:p>
              </w:tc>
              <w:tc>
                <w:tcPr>
                  <w:tcW w:w="354" w:type="pct"/>
                  <w:noWrap w:val="0"/>
                  <w:vAlign w:val="center"/>
                </w:tcPr>
                <w:p w14:paraId="3DA5CFA3">
                  <w:pPr>
                    <w:keepNext w:val="0"/>
                    <w:keepLines w:val="0"/>
                    <w:pageBreakBefore w:val="0"/>
                    <w:kinsoku/>
                    <w:wordWrap/>
                    <w:overflowPunct/>
                    <w:topLinePunct w:val="0"/>
                    <w:autoSpaceDE/>
                    <w:autoSpaceDN/>
                    <w:bidi w:val="0"/>
                    <w:adjustRightInd w:val="0"/>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bl>
          <w:p w14:paraId="4A3F6625">
            <w:pPr>
              <w:adjustRightInd w:val="0"/>
              <w:snapToGrid w:val="0"/>
              <w:spacing w:line="360" w:lineRule="auto"/>
              <w:rPr>
                <w:rFonts w:hint="default" w:ascii="Times New Roman" w:hAnsi="Times New Roman" w:cs="Times New Roman"/>
                <w:b/>
                <w:color w:val="auto"/>
                <w:kern w:val="0"/>
                <w:sz w:val="28"/>
                <w:szCs w:val="28"/>
              </w:rPr>
            </w:pPr>
            <w:r>
              <w:rPr>
                <w:rFonts w:hint="default" w:ascii="Times New Roman" w:hAnsi="Times New Roman" w:cs="Times New Roman"/>
                <w:snapToGrid w:val="0"/>
                <w:color w:val="auto"/>
                <w:szCs w:val="21"/>
              </w:rPr>
              <w:t>备注：取厂区</w:t>
            </w:r>
            <w:r>
              <w:rPr>
                <w:rFonts w:hint="eastAsia" w:ascii="Times New Roman" w:hAnsi="Times New Roman" w:cs="Times New Roman"/>
                <w:snapToGrid w:val="0"/>
                <w:color w:val="auto"/>
                <w:szCs w:val="21"/>
                <w:lang w:val="en-US" w:eastAsia="zh-CN"/>
              </w:rPr>
              <w:t>东</w:t>
            </w:r>
            <w:r>
              <w:rPr>
                <w:rFonts w:hint="default" w:ascii="Times New Roman" w:hAnsi="Times New Roman" w:cs="Times New Roman"/>
                <w:snapToGrid w:val="0"/>
                <w:color w:val="auto"/>
                <w:szCs w:val="21"/>
              </w:rPr>
              <w:t>南角位置为原点。</w:t>
            </w:r>
          </w:p>
        </w:tc>
      </w:tr>
    </w:tbl>
    <w:p w14:paraId="21F271C6">
      <w:pPr>
        <w:pStyle w:val="23"/>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8"/>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19"/>
        <w:gridCol w:w="8562"/>
      </w:tblGrid>
      <w:tr w14:paraId="71F4B1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82" w:hRule="atLeast"/>
          <w:jc w:val="center"/>
        </w:trPr>
        <w:tc>
          <w:tcPr>
            <w:tcW w:w="419" w:type="dxa"/>
            <w:noWrap w:val="0"/>
            <w:tcMar>
              <w:left w:w="28" w:type="dxa"/>
              <w:right w:w="28" w:type="dxa"/>
            </w:tcMar>
            <w:vAlign w:val="center"/>
          </w:tcPr>
          <w:p w14:paraId="4AB676DC">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运营</w:t>
            </w:r>
          </w:p>
          <w:p w14:paraId="171000F5">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期环</w:t>
            </w:r>
          </w:p>
          <w:p w14:paraId="4D94BAD5">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境影</w:t>
            </w:r>
          </w:p>
          <w:p w14:paraId="563B0C11">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响和</w:t>
            </w:r>
          </w:p>
          <w:p w14:paraId="59BF4731">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保护</w:t>
            </w:r>
          </w:p>
          <w:p w14:paraId="304B79D1">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措施</w:t>
            </w:r>
          </w:p>
        </w:tc>
        <w:tc>
          <w:tcPr>
            <w:tcW w:w="8562" w:type="dxa"/>
            <w:noWrap w:val="0"/>
            <w:vAlign w:val="top"/>
          </w:tcPr>
          <w:p w14:paraId="5AB5F6C2">
            <w:pPr>
              <w:adjustRightInd w:val="0"/>
              <w:snapToGrid w:val="0"/>
              <w:spacing w:before="120" w:beforeLines="50" w:line="360" w:lineRule="auto"/>
              <w:rPr>
                <w:rFonts w:hint="default" w:ascii="Times New Roman" w:hAnsi="Times New Roman" w:eastAsia="黑体" w:cs="Times New Roman"/>
                <w:b/>
                <w:bCs/>
                <w:color w:val="auto"/>
                <w:kern w:val="0"/>
                <w:sz w:val="24"/>
              </w:rPr>
            </w:pPr>
            <w:r>
              <w:rPr>
                <w:rFonts w:hint="default" w:ascii="Times New Roman" w:hAnsi="Times New Roman" w:eastAsia="黑体" w:cs="Times New Roman"/>
                <w:b/>
                <w:bCs/>
                <w:color w:val="auto"/>
                <w:kern w:val="0"/>
                <w:sz w:val="24"/>
              </w:rPr>
              <w:t>4.3</w:t>
            </w:r>
            <w:r>
              <w:rPr>
                <w:rFonts w:hint="default" w:ascii="Times New Roman" w:hAnsi="Times New Roman" w:cs="Times New Roman"/>
                <w:b/>
                <w:color w:val="auto"/>
                <w:sz w:val="24"/>
              </w:rPr>
              <w:t>.2运营期声环境影响分析</w:t>
            </w:r>
          </w:p>
          <w:p w14:paraId="3DB8703D">
            <w:pPr>
              <w:spacing w:line="360" w:lineRule="auto"/>
              <w:ind w:firstLine="555"/>
              <w:rPr>
                <w:rFonts w:hint="default" w:ascii="Times New Roman" w:hAnsi="Times New Roman" w:cs="Times New Roman"/>
                <w:color w:val="auto"/>
                <w:sz w:val="24"/>
              </w:rPr>
            </w:pPr>
            <w:r>
              <w:rPr>
                <w:rFonts w:hint="default" w:ascii="Times New Roman" w:hAnsi="Times New Roman" w:cs="Times New Roman"/>
                <w:color w:val="auto"/>
                <w:sz w:val="24"/>
              </w:rPr>
              <w:t>项目噪声预测模式采用《环境影响评价技术导则 声环境》(HJ2.4-2021)中附录A户外声传播的衰减及附录B典型行业噪声预测模型进行分析。</w:t>
            </w:r>
          </w:p>
          <w:p w14:paraId="3F284912">
            <w:pPr>
              <w:adjustRightInd w:val="0"/>
              <w:snapToGrid w:val="0"/>
              <w:spacing w:line="360" w:lineRule="auto"/>
              <w:ind w:firstLine="480"/>
              <w:rPr>
                <w:rFonts w:hint="default" w:ascii="Times New Roman" w:hAnsi="Times New Roman" w:cs="Times New Roman"/>
                <w:b/>
                <w:color w:val="auto"/>
                <w:sz w:val="24"/>
              </w:rPr>
            </w:pPr>
            <w:r>
              <w:rPr>
                <w:rFonts w:hint="default" w:ascii="Times New Roman" w:hAnsi="Times New Roman" w:cs="Times New Roman"/>
                <w:b/>
                <w:color w:val="auto"/>
                <w:sz w:val="24"/>
              </w:rPr>
              <w:t>⑴室内声源等效室外声源声功率级计算方法</w:t>
            </w:r>
          </w:p>
          <w:p w14:paraId="019184CE">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①如下图所示，声源位于室内，室内声源可采用等效室外声源声功率级法进行计算。设靠近开口处(或窗户)室内、室外某倍频带的声压级或A声级分别为Lp1和Lp2。若声源所在室内声场为近似扩散声场，则室外的倍频带声压级可按下式近似求出：</w:t>
            </w:r>
          </w:p>
          <w:p w14:paraId="7A703CF0">
            <w:pPr>
              <w:adjustRightInd w:val="0"/>
              <w:snapToGrid w:val="0"/>
              <w:spacing w:line="360" w:lineRule="auto"/>
              <w:ind w:firstLine="480"/>
              <w:jc w:val="center"/>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1244600" cy="241300"/>
                  <wp:effectExtent l="0" t="0" r="12700" b="5080"/>
                  <wp:docPr id="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pic:cNvPicPr>
                            <a:picLocks noChangeAspect="1"/>
                          </pic:cNvPicPr>
                        </pic:nvPicPr>
                        <pic:blipFill>
                          <a:blip r:embed="rId20"/>
                          <a:stretch>
                            <a:fillRect/>
                          </a:stretch>
                        </pic:blipFill>
                        <pic:spPr>
                          <a:xfrm>
                            <a:off x="0" y="0"/>
                            <a:ext cx="1244600" cy="241300"/>
                          </a:xfrm>
                          <a:prstGeom prst="rect">
                            <a:avLst/>
                          </a:prstGeom>
                          <a:noFill/>
                          <a:ln>
                            <a:noFill/>
                          </a:ln>
                        </pic:spPr>
                      </pic:pic>
                    </a:graphicData>
                  </a:graphic>
                </wp:inline>
              </w:drawing>
            </w:r>
          </w:p>
          <w:p w14:paraId="0CEF12AC">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式中：</w:t>
            </w:r>
          </w:p>
          <w:p w14:paraId="2DBDC94F">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p1</w:t>
            </w:r>
            <w:r>
              <w:rPr>
                <w:rFonts w:hint="default" w:ascii="Times New Roman" w:hAnsi="Times New Roman" w:cs="Times New Roman"/>
                <w:color w:val="auto"/>
                <w:sz w:val="24"/>
              </w:rPr>
              <w:t>—靠近开口处(或窗户)室内某倍频带的声压级或A声级，dB；</w:t>
            </w:r>
          </w:p>
          <w:p w14:paraId="461459C2">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p2</w:t>
            </w:r>
            <w:r>
              <w:rPr>
                <w:rFonts w:hint="default" w:ascii="Times New Roman" w:hAnsi="Times New Roman" w:cs="Times New Roman"/>
                <w:color w:val="auto"/>
                <w:sz w:val="24"/>
              </w:rPr>
              <w:t>—靠近开口处(或窗户)室外某倍频带的声压级或A声级，dB；</w:t>
            </w:r>
          </w:p>
          <w:p w14:paraId="461CD605">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TI—隔墙(或窗户)倍频带或A声级的隔声量，dB。</w:t>
            </w:r>
          </w:p>
          <w:p w14:paraId="13F80AE6">
            <w:pPr>
              <w:adjustRightInd w:val="0"/>
              <w:snapToGrid w:val="0"/>
              <w:spacing w:line="360" w:lineRule="auto"/>
              <w:ind w:firstLine="480"/>
              <w:jc w:val="center"/>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2320290" cy="1279525"/>
                  <wp:effectExtent l="0" t="0" r="3810" b="15875"/>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pic:cNvPicPr>
                            <a:picLocks noChangeAspect="1"/>
                          </pic:cNvPicPr>
                        </pic:nvPicPr>
                        <pic:blipFill>
                          <a:blip r:embed="rId21"/>
                          <a:stretch>
                            <a:fillRect/>
                          </a:stretch>
                        </pic:blipFill>
                        <pic:spPr>
                          <a:xfrm>
                            <a:off x="0" y="0"/>
                            <a:ext cx="2320290" cy="1279525"/>
                          </a:xfrm>
                          <a:prstGeom prst="rect">
                            <a:avLst/>
                          </a:prstGeom>
                          <a:noFill/>
                          <a:ln>
                            <a:noFill/>
                          </a:ln>
                        </pic:spPr>
                      </pic:pic>
                    </a:graphicData>
                  </a:graphic>
                </wp:inline>
              </w:drawing>
            </w:r>
          </w:p>
          <w:p w14:paraId="3C34BA00">
            <w:pPr>
              <w:adjustRightInd w:val="0"/>
              <w:snapToGrid w:val="0"/>
              <w:spacing w:line="360" w:lineRule="auto"/>
              <w:ind w:firstLine="48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图4.4-1 室内声源等效室外声源图例</w:t>
            </w:r>
          </w:p>
          <w:p w14:paraId="04934FD4">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②按下式计算某一室内声源靠近围护结构处产生的倍频带声压级或A声级：</w:t>
            </w:r>
          </w:p>
          <w:p w14:paraId="73FCED91">
            <w:pPr>
              <w:adjustRightInd w:val="0"/>
              <w:snapToGrid w:val="0"/>
              <w:spacing w:line="360" w:lineRule="auto"/>
              <w:ind w:firstLine="480"/>
              <w:jc w:val="center"/>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1714500" cy="482600"/>
                  <wp:effectExtent l="0" t="0" r="0" b="13335"/>
                  <wp:docPr id="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
                          <pic:cNvPicPr>
                            <a:picLocks noChangeAspect="1"/>
                          </pic:cNvPicPr>
                        </pic:nvPicPr>
                        <pic:blipFill>
                          <a:blip r:embed="rId22"/>
                          <a:stretch>
                            <a:fillRect/>
                          </a:stretch>
                        </pic:blipFill>
                        <pic:spPr>
                          <a:xfrm>
                            <a:off x="0" y="0"/>
                            <a:ext cx="1714500" cy="482600"/>
                          </a:xfrm>
                          <a:prstGeom prst="rect">
                            <a:avLst/>
                          </a:prstGeom>
                          <a:noFill/>
                          <a:ln>
                            <a:noFill/>
                          </a:ln>
                        </pic:spPr>
                      </pic:pic>
                    </a:graphicData>
                  </a:graphic>
                </wp:inline>
              </w:drawing>
            </w:r>
          </w:p>
          <w:p w14:paraId="52E60A3F">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式中：</w:t>
            </w:r>
          </w:p>
          <w:p w14:paraId="45ADF091">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Lp</w:t>
            </w:r>
            <w:r>
              <w:rPr>
                <w:rFonts w:hint="default" w:ascii="Times New Roman" w:hAnsi="Times New Roman" w:cs="Times New Roman"/>
                <w:color w:val="auto"/>
                <w:sz w:val="24"/>
                <w:vertAlign w:val="subscript"/>
              </w:rPr>
              <w:t>1</w:t>
            </w:r>
            <w:r>
              <w:rPr>
                <w:rFonts w:hint="default" w:ascii="Times New Roman" w:hAnsi="Times New Roman" w:cs="Times New Roman"/>
                <w:color w:val="auto"/>
                <w:sz w:val="24"/>
              </w:rPr>
              <w:t>—靠近开口处(或窗户)室内某倍频带的声压级或A声级，dB；</w:t>
            </w:r>
          </w:p>
          <w:p w14:paraId="7A7000FC">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Lw—点声源声功率级(A计权或倍频带)，dB；</w:t>
            </w:r>
          </w:p>
          <w:p w14:paraId="1CACB7BC">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Q—指向性因数；通常对无指向性声源，当声源放在房间中心时，Q=1；当放在一面墙的中心时，Q=2；当放在两面墙夹角处时，Q=4；当放在三面墙夹角处时，Q=8；</w:t>
            </w:r>
          </w:p>
          <w:p w14:paraId="1FB1CB2B">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R—房间常数；R=Sa/(1-a)，s为房间内表面面积，m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；a为平均吸声系数；</w:t>
            </w:r>
          </w:p>
          <w:p w14:paraId="441D4D39">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r—声源到靠近围护结构某点处的距离，m。</w:t>
            </w:r>
          </w:p>
          <w:p w14:paraId="722B44BA">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③按下式计算出所有室内声源在靠近围护结构处产生的i倍频带叠加声压级：</w:t>
            </w:r>
          </w:p>
          <w:p w14:paraId="5C8AFF2F">
            <w:pPr>
              <w:adjustRightInd w:val="0"/>
              <w:snapToGrid w:val="0"/>
              <w:spacing w:line="360" w:lineRule="auto"/>
              <w:ind w:firstLine="480"/>
              <w:jc w:val="center"/>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1688465" cy="482600"/>
                  <wp:effectExtent l="0" t="0" r="6985" b="13335"/>
                  <wp:docPr id="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
                          <pic:cNvPicPr>
                            <a:picLocks noChangeAspect="1"/>
                          </pic:cNvPicPr>
                        </pic:nvPicPr>
                        <pic:blipFill>
                          <a:blip r:embed="rId23"/>
                          <a:stretch>
                            <a:fillRect/>
                          </a:stretch>
                        </pic:blipFill>
                        <pic:spPr>
                          <a:xfrm>
                            <a:off x="0" y="0"/>
                            <a:ext cx="1688465" cy="482600"/>
                          </a:xfrm>
                          <a:prstGeom prst="rect">
                            <a:avLst/>
                          </a:prstGeom>
                          <a:noFill/>
                          <a:ln>
                            <a:noFill/>
                          </a:ln>
                        </pic:spPr>
                      </pic:pic>
                    </a:graphicData>
                  </a:graphic>
                </wp:inline>
              </w:drawing>
            </w:r>
          </w:p>
          <w:p w14:paraId="022116CA">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式中：</w:t>
            </w:r>
          </w:p>
          <w:p w14:paraId="2BE13F6E">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p1i</w:t>
            </w:r>
            <w:r>
              <w:rPr>
                <w:rFonts w:hint="default" w:ascii="Times New Roman" w:hAnsi="Times New Roman" w:cs="Times New Roman"/>
                <w:color w:val="auto"/>
                <w:sz w:val="24"/>
              </w:rPr>
              <w:t>(T)—靠近围护结构处室内N个声源i倍频带的叠加声压级，dB；</w:t>
            </w:r>
          </w:p>
          <w:p w14:paraId="60B5BEFB">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p1ij</w:t>
            </w:r>
            <w:r>
              <w:rPr>
                <w:rFonts w:hint="default" w:ascii="Times New Roman" w:hAnsi="Times New Roman" w:cs="Times New Roman"/>
                <w:color w:val="auto"/>
                <w:sz w:val="24"/>
              </w:rPr>
              <w:t>—室内j声源i倍频带的声压级，dB；</w:t>
            </w:r>
          </w:p>
          <w:p w14:paraId="03A5C14B">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N—室内声源总数。</w:t>
            </w:r>
          </w:p>
          <w:p w14:paraId="2CB299DF">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④在室内近似为扩散声场时，按下式计算出室外靠近围护结构处的声压级：</w:t>
            </w:r>
          </w:p>
          <w:p w14:paraId="157EB98C">
            <w:pPr>
              <w:adjustRightInd w:val="0"/>
              <w:snapToGrid w:val="0"/>
              <w:spacing w:line="360" w:lineRule="auto"/>
              <w:ind w:firstLine="480"/>
              <w:jc w:val="center"/>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1777365" cy="241300"/>
                  <wp:effectExtent l="0" t="0" r="13335" b="5080"/>
                  <wp:docPr id="7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
                          <pic:cNvPicPr>
                            <a:picLocks noChangeAspect="1"/>
                          </pic:cNvPicPr>
                        </pic:nvPicPr>
                        <pic:blipFill>
                          <a:blip r:embed="rId24"/>
                          <a:stretch>
                            <a:fillRect/>
                          </a:stretch>
                        </pic:blipFill>
                        <pic:spPr>
                          <a:xfrm>
                            <a:off x="0" y="0"/>
                            <a:ext cx="1777365" cy="241300"/>
                          </a:xfrm>
                          <a:prstGeom prst="rect">
                            <a:avLst/>
                          </a:prstGeom>
                          <a:noFill/>
                          <a:ln>
                            <a:noFill/>
                          </a:ln>
                        </pic:spPr>
                      </pic:pic>
                    </a:graphicData>
                  </a:graphic>
                </wp:inline>
              </w:drawing>
            </w:r>
          </w:p>
          <w:p w14:paraId="0F20EEBB">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式中：</w:t>
            </w:r>
          </w:p>
          <w:p w14:paraId="075A914D">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p2i</w:t>
            </w:r>
            <w:r>
              <w:rPr>
                <w:rFonts w:hint="default" w:ascii="Times New Roman" w:hAnsi="Times New Roman" w:cs="Times New Roman"/>
                <w:color w:val="auto"/>
                <w:sz w:val="24"/>
              </w:rPr>
              <w:t>(T)—靠近围护结构处室外N个声源i倍频带的叠加声压级，dB；</w:t>
            </w:r>
          </w:p>
          <w:p w14:paraId="7960D454">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p1i</w:t>
            </w:r>
            <w:r>
              <w:rPr>
                <w:rFonts w:hint="default" w:ascii="Times New Roman" w:hAnsi="Times New Roman" w:cs="Times New Roman"/>
                <w:color w:val="auto"/>
                <w:sz w:val="24"/>
              </w:rPr>
              <w:t>(T)—靠近围护结构处室内N个声源i倍频带的叠加声压级，dB；</w:t>
            </w:r>
          </w:p>
          <w:p w14:paraId="083C9AF0">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TL</w:t>
            </w:r>
            <w:r>
              <w:rPr>
                <w:rFonts w:hint="default" w:ascii="Times New Roman" w:hAnsi="Times New Roman" w:cs="Times New Roman"/>
                <w:color w:val="auto"/>
                <w:sz w:val="24"/>
                <w:vertAlign w:val="subscript"/>
              </w:rPr>
              <w:t>i</w:t>
            </w:r>
            <w:r>
              <w:rPr>
                <w:rFonts w:hint="default" w:ascii="Times New Roman" w:hAnsi="Times New Roman" w:cs="Times New Roman"/>
                <w:color w:val="auto"/>
                <w:sz w:val="24"/>
              </w:rPr>
              <w:t>—围护结构i倍频带的隔声量，dB。</w:t>
            </w:r>
          </w:p>
          <w:p w14:paraId="375D4767">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⑤按下式将室外声源的声压级和透声面积换算成等效的室外声源，计算出中心位置位于透声面积(S)处的等效声源的倍频带的声功率级</w:t>
            </w:r>
            <w:r>
              <w:rPr>
                <w:rFonts w:hint="default" w:ascii="Times New Roman" w:hAnsi="Times New Roman" w:cs="Times New Roman"/>
                <w:color w:val="auto"/>
                <w:sz w:val="24"/>
              </w:rPr>
              <w:softHyphen/>
            </w:r>
            <w:r>
              <w:rPr>
                <w:rFonts w:hint="default" w:ascii="Times New Roman" w:hAnsi="Times New Roman" w:cs="Times New Roman"/>
                <w:color w:val="auto"/>
                <w:sz w:val="24"/>
              </w:rPr>
              <w:softHyphen/>
            </w:r>
            <w:r>
              <w:rPr>
                <w:rFonts w:hint="default" w:ascii="Times New Roman" w:hAnsi="Times New Roman" w:cs="Times New Roman"/>
                <w:color w:val="auto"/>
                <w:sz w:val="24"/>
              </w:rPr>
              <w:t>：</w:t>
            </w:r>
          </w:p>
          <w:p w14:paraId="102298A5">
            <w:pPr>
              <w:adjustRightInd w:val="0"/>
              <w:snapToGrid w:val="0"/>
              <w:spacing w:line="360" w:lineRule="auto"/>
              <w:ind w:firstLine="480"/>
              <w:jc w:val="center"/>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1333500" cy="241300"/>
                  <wp:effectExtent l="0" t="0" r="0" b="5080"/>
                  <wp:docPr id="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
                          <pic:cNvPicPr>
                            <a:picLocks noChangeAspect="1"/>
                          </pic:cNvPicPr>
                        </pic:nvPicPr>
                        <pic:blipFill>
                          <a:blip r:embed="rId25"/>
                          <a:stretch>
                            <a:fillRect/>
                          </a:stretch>
                        </pic:blipFill>
                        <pic:spPr>
                          <a:xfrm>
                            <a:off x="0" y="0"/>
                            <a:ext cx="1333500" cy="241300"/>
                          </a:xfrm>
                          <a:prstGeom prst="rect">
                            <a:avLst/>
                          </a:prstGeom>
                          <a:noFill/>
                          <a:ln>
                            <a:noFill/>
                          </a:ln>
                        </pic:spPr>
                      </pic:pic>
                    </a:graphicData>
                  </a:graphic>
                </wp:inline>
              </w:drawing>
            </w:r>
          </w:p>
          <w:p w14:paraId="5AA1CBB7">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式中：</w:t>
            </w:r>
          </w:p>
          <w:p w14:paraId="35316AE7">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Lw—中心位置位于透声面积(S)处的等效声源的倍频带声功率级，dB；</w:t>
            </w:r>
          </w:p>
          <w:p w14:paraId="08BB8238">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Lp</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(T)—靠近围护结构处室外声源的声压级，dB；</w:t>
            </w:r>
          </w:p>
          <w:p w14:paraId="41B56508">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S透声面积，m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w:t>
            </w:r>
          </w:p>
          <w:p w14:paraId="2A3B0F18">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(2)户外声传播的衰减</w:t>
            </w:r>
          </w:p>
          <w:p w14:paraId="699115E5">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户外声传播衰减包括几何发散(Adiv)、大气吸收(Aatm)、地面效应(Agr)、障碍物屏蔽(Abar)、其他多方面效应(Amisc)引起的衰减。</w:t>
            </w:r>
          </w:p>
          <w:p w14:paraId="0A75637A">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①基本公式</w:t>
            </w:r>
          </w:p>
          <w:p w14:paraId="793C74DA">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某个声源在预测点处声压级的计算公式如下：</w:t>
            </w:r>
          </w:p>
          <w:p w14:paraId="44FB11FA">
            <w:pPr>
              <w:adjustRightInd w:val="0"/>
              <w:snapToGrid w:val="0"/>
              <w:spacing w:line="360" w:lineRule="auto"/>
              <w:ind w:firstLine="480"/>
              <w:jc w:val="center"/>
              <w:rPr>
                <w:rFonts w:hint="default" w:ascii="Times New Roman" w:hAnsi="Times New Roman" w:cs="Times New Roman"/>
                <w:color w:val="auto"/>
                <w:sz w:val="24"/>
              </w:rPr>
            </w:pPr>
            <w:r>
              <w:rPr>
                <w:rFonts w:hint="default" w:ascii="Times New Roman" w:hAnsi="Times New Roman" w:eastAsia="Times New Roman" w:cs="Times New Roman"/>
                <w:i/>
                <w:color w:val="auto"/>
                <w:sz w:val="24"/>
              </w:rPr>
              <w:t>Lp</w:t>
            </w:r>
            <w:r>
              <w:rPr>
                <w:rFonts w:hint="default" w:ascii="Times New Roman" w:hAnsi="Times New Roman" w:eastAsia="Times New Roman" w:cs="Times New Roman"/>
                <w:color w:val="auto"/>
                <w:sz w:val="24"/>
              </w:rPr>
              <w:t>(</w:t>
            </w:r>
            <w:r>
              <w:rPr>
                <w:rFonts w:hint="default" w:ascii="Times New Roman" w:hAnsi="Times New Roman" w:eastAsia="Times New Roman" w:cs="Times New Roman"/>
                <w:i/>
                <w:color w:val="auto"/>
                <w:sz w:val="24"/>
              </w:rPr>
              <w:t>r</w:t>
            </w:r>
            <w:r>
              <w:rPr>
                <w:rFonts w:hint="default" w:ascii="Times New Roman" w:hAnsi="Times New Roman" w:eastAsia="Times New Roman" w:cs="Times New Roman"/>
                <w:color w:val="auto"/>
                <w:sz w:val="24"/>
              </w:rPr>
              <w:t>)</w:t>
            </w:r>
            <w:r>
              <w:rPr>
                <w:rFonts w:hint="default" w:ascii="Times New Roman" w:hAnsi="Times New Roman" w:cs="Times New Roman"/>
                <w:color w:val="auto"/>
                <w:sz w:val="24"/>
              </w:rPr>
              <w:t>＝</w:t>
            </w:r>
            <w:r>
              <w:rPr>
                <w:rFonts w:hint="default" w:ascii="Times New Roman" w:hAnsi="Times New Roman" w:eastAsia="Times New Roman" w:cs="Times New Roman"/>
                <w:i/>
                <w:color w:val="auto"/>
                <w:sz w:val="24"/>
              </w:rPr>
              <w:t>Lw</w:t>
            </w:r>
            <w:r>
              <w:rPr>
                <w:rFonts w:hint="default" w:ascii="Times New Roman" w:hAnsi="Times New Roman" w:eastAsia="Times New Roman" w:cs="Times New Roman"/>
                <w:color w:val="auto"/>
                <w:sz w:val="24"/>
              </w:rPr>
              <w:t>+</w:t>
            </w:r>
            <w:r>
              <w:rPr>
                <w:rFonts w:hint="default" w:ascii="Times New Roman" w:hAnsi="Times New Roman" w:eastAsia="Times New Roman" w:cs="Times New Roman"/>
                <w:i/>
                <w:color w:val="auto"/>
                <w:sz w:val="24"/>
              </w:rPr>
              <w:t>D</w:t>
            </w:r>
            <w:r>
              <w:rPr>
                <w:rFonts w:hint="default" w:ascii="Times New Roman" w:hAnsi="Times New Roman" w:eastAsia="Times New Roman" w:cs="Times New Roman"/>
                <w:color w:val="auto"/>
                <w:sz w:val="24"/>
              </w:rPr>
              <w:t>C</w:t>
            </w:r>
            <w:r>
              <w:rPr>
                <w:rFonts w:hint="default" w:ascii="Times New Roman" w:hAnsi="Times New Roman" w:cs="Times New Roman"/>
                <w:color w:val="auto"/>
                <w:sz w:val="24"/>
              </w:rPr>
              <w:t>－</w:t>
            </w:r>
            <w:r>
              <w:rPr>
                <w:rFonts w:hint="default" w:ascii="Times New Roman" w:hAnsi="Times New Roman" w:eastAsia="Times New Roman" w:cs="Times New Roman"/>
                <w:color w:val="auto"/>
                <w:sz w:val="24"/>
              </w:rPr>
              <w:t>(</w:t>
            </w:r>
            <w:r>
              <w:rPr>
                <w:rFonts w:hint="default" w:ascii="Times New Roman" w:hAnsi="Times New Roman" w:eastAsia="Times New Roman" w:cs="Times New Roman"/>
                <w:i/>
                <w:color w:val="auto"/>
                <w:sz w:val="24"/>
              </w:rPr>
              <w:t>A</w:t>
            </w:r>
            <w:r>
              <w:rPr>
                <w:rFonts w:hint="default" w:ascii="Times New Roman" w:hAnsi="Times New Roman" w:eastAsia="Times New Roman" w:cs="Times New Roman"/>
                <w:color w:val="auto"/>
                <w:sz w:val="24"/>
              </w:rPr>
              <w:t>div</w:t>
            </w:r>
            <w:r>
              <w:rPr>
                <w:rFonts w:hint="default" w:ascii="Times New Roman" w:hAnsi="Times New Roman" w:cs="Times New Roman"/>
                <w:color w:val="auto"/>
                <w:sz w:val="24"/>
              </w:rPr>
              <w:t>＋</w:t>
            </w:r>
            <w:r>
              <w:rPr>
                <w:rFonts w:hint="default" w:ascii="Times New Roman" w:hAnsi="Times New Roman" w:eastAsia="Times New Roman" w:cs="Times New Roman"/>
                <w:i/>
                <w:color w:val="auto"/>
                <w:sz w:val="24"/>
              </w:rPr>
              <w:t>A</w:t>
            </w:r>
            <w:r>
              <w:rPr>
                <w:rFonts w:hint="default" w:ascii="Times New Roman" w:hAnsi="Times New Roman" w:eastAsia="Times New Roman" w:cs="Times New Roman"/>
                <w:color w:val="auto"/>
                <w:sz w:val="24"/>
              </w:rPr>
              <w:t>atm</w:t>
            </w:r>
            <w:r>
              <w:rPr>
                <w:rFonts w:hint="default" w:ascii="Times New Roman" w:hAnsi="Times New Roman" w:cs="Times New Roman"/>
                <w:color w:val="auto"/>
                <w:sz w:val="24"/>
              </w:rPr>
              <w:t>＋</w:t>
            </w:r>
            <w:r>
              <w:rPr>
                <w:rFonts w:hint="default" w:ascii="Times New Roman" w:hAnsi="Times New Roman" w:eastAsia="Times New Roman" w:cs="Times New Roman"/>
                <w:i/>
                <w:color w:val="auto"/>
                <w:sz w:val="24"/>
              </w:rPr>
              <w:t>A</w:t>
            </w:r>
            <w:r>
              <w:rPr>
                <w:rFonts w:hint="default" w:ascii="Times New Roman" w:hAnsi="Times New Roman" w:eastAsia="Times New Roman" w:cs="Times New Roman"/>
                <w:color w:val="auto"/>
                <w:sz w:val="24"/>
              </w:rPr>
              <w:t>gr</w:t>
            </w:r>
            <w:r>
              <w:rPr>
                <w:rFonts w:hint="default" w:ascii="Times New Roman" w:hAnsi="Times New Roman" w:cs="Times New Roman"/>
                <w:color w:val="auto"/>
                <w:sz w:val="24"/>
              </w:rPr>
              <w:t>＋</w:t>
            </w:r>
            <w:r>
              <w:rPr>
                <w:rFonts w:hint="default" w:ascii="Times New Roman" w:hAnsi="Times New Roman" w:eastAsia="Times New Roman" w:cs="Times New Roman"/>
                <w:i/>
                <w:color w:val="auto"/>
                <w:sz w:val="24"/>
              </w:rPr>
              <w:t>A</w:t>
            </w:r>
            <w:r>
              <w:rPr>
                <w:rFonts w:hint="default" w:ascii="Times New Roman" w:hAnsi="Times New Roman" w:eastAsia="Times New Roman" w:cs="Times New Roman"/>
                <w:color w:val="auto"/>
                <w:sz w:val="24"/>
              </w:rPr>
              <w:t>bar</w:t>
            </w:r>
            <w:r>
              <w:rPr>
                <w:rFonts w:hint="default" w:ascii="Times New Roman" w:hAnsi="Times New Roman" w:cs="Times New Roman"/>
                <w:color w:val="auto"/>
                <w:sz w:val="24"/>
              </w:rPr>
              <w:t>＋</w:t>
            </w:r>
            <w:r>
              <w:rPr>
                <w:rFonts w:hint="default" w:ascii="Times New Roman" w:hAnsi="Times New Roman" w:eastAsia="Times New Roman" w:cs="Times New Roman"/>
                <w:i/>
                <w:color w:val="auto"/>
                <w:sz w:val="24"/>
              </w:rPr>
              <w:t>A</w:t>
            </w:r>
            <w:r>
              <w:rPr>
                <w:rFonts w:hint="default" w:ascii="Times New Roman" w:hAnsi="Times New Roman" w:eastAsia="Times New Roman" w:cs="Times New Roman"/>
                <w:color w:val="auto"/>
                <w:sz w:val="24"/>
              </w:rPr>
              <w:t>misc)</w:t>
            </w:r>
          </w:p>
          <w:p w14:paraId="2554598D">
            <w:pPr>
              <w:adjustRightInd w:val="0"/>
              <w:snapToGrid w:val="0"/>
              <w:spacing w:line="360" w:lineRule="auto"/>
              <w:ind w:firstLine="480"/>
              <w:jc w:val="center"/>
              <w:rPr>
                <w:rFonts w:hint="default" w:ascii="Times New Roman" w:hAnsi="Times New Roman" w:cs="Times New Roman"/>
                <w:color w:val="auto"/>
                <w:sz w:val="24"/>
              </w:rPr>
            </w:pPr>
            <w:r>
              <w:rPr>
                <w:rFonts w:hint="default" w:ascii="Times New Roman" w:hAnsi="Times New Roman" w:eastAsia="Times New Roman" w:cs="Times New Roman"/>
                <w:i/>
                <w:color w:val="auto"/>
                <w:sz w:val="24"/>
              </w:rPr>
              <w:t>Lp</w:t>
            </w:r>
            <w:r>
              <w:rPr>
                <w:rFonts w:hint="default" w:ascii="Times New Roman" w:hAnsi="Times New Roman" w:eastAsia="Times New Roman" w:cs="Times New Roman"/>
                <w:color w:val="auto"/>
                <w:sz w:val="24"/>
              </w:rPr>
              <w:t>(</w:t>
            </w:r>
            <w:r>
              <w:rPr>
                <w:rFonts w:hint="default" w:ascii="Times New Roman" w:hAnsi="Times New Roman" w:eastAsia="Times New Roman" w:cs="Times New Roman"/>
                <w:i/>
                <w:color w:val="auto"/>
                <w:sz w:val="24"/>
              </w:rPr>
              <w:t>r</w:t>
            </w:r>
            <w:r>
              <w:rPr>
                <w:rFonts w:hint="default" w:ascii="Times New Roman" w:hAnsi="Times New Roman" w:eastAsia="Times New Roman" w:cs="Times New Roman"/>
                <w:color w:val="auto"/>
                <w:sz w:val="24"/>
              </w:rPr>
              <w:t>)</w:t>
            </w:r>
            <w:r>
              <w:rPr>
                <w:rFonts w:hint="default" w:ascii="Times New Roman" w:hAnsi="Times New Roman" w:cs="Times New Roman"/>
                <w:color w:val="auto"/>
                <w:sz w:val="24"/>
              </w:rPr>
              <w:t>＝</w:t>
            </w:r>
            <w:r>
              <w:rPr>
                <w:rFonts w:hint="default" w:ascii="Times New Roman" w:hAnsi="Times New Roman" w:eastAsia="Times New Roman" w:cs="Times New Roman"/>
                <w:i/>
                <w:color w:val="auto"/>
                <w:sz w:val="24"/>
              </w:rPr>
              <w:t>Lp</w:t>
            </w:r>
            <w:r>
              <w:rPr>
                <w:rFonts w:hint="default" w:ascii="Times New Roman" w:hAnsi="Times New Roman" w:eastAsia="Times New Roman" w:cs="Times New Roman"/>
                <w:color w:val="auto"/>
                <w:sz w:val="24"/>
              </w:rPr>
              <w:t>(</w:t>
            </w:r>
            <w:r>
              <w:rPr>
                <w:rFonts w:hint="default" w:ascii="Times New Roman" w:hAnsi="Times New Roman" w:eastAsia="Times New Roman" w:cs="Times New Roman"/>
                <w:i/>
                <w:color w:val="auto"/>
                <w:sz w:val="24"/>
              </w:rPr>
              <w:t>r</w:t>
            </w:r>
            <w:r>
              <w:rPr>
                <w:rFonts w:hint="default" w:ascii="Times New Roman" w:hAnsi="Times New Roman" w:eastAsia="Times New Roman" w:cs="Times New Roman"/>
                <w:color w:val="auto"/>
                <w:sz w:val="24"/>
              </w:rPr>
              <w:t>0)+</w:t>
            </w:r>
            <w:r>
              <w:rPr>
                <w:rFonts w:hint="default" w:ascii="Times New Roman" w:hAnsi="Times New Roman" w:eastAsia="Times New Roman" w:cs="Times New Roman"/>
                <w:i/>
                <w:color w:val="auto"/>
                <w:sz w:val="24"/>
              </w:rPr>
              <w:t>D</w:t>
            </w:r>
            <w:r>
              <w:rPr>
                <w:rFonts w:hint="default" w:ascii="Times New Roman" w:hAnsi="Times New Roman" w:eastAsia="Times New Roman" w:cs="Times New Roman"/>
                <w:color w:val="auto"/>
                <w:sz w:val="24"/>
              </w:rPr>
              <w:t>C</w:t>
            </w:r>
            <w:r>
              <w:rPr>
                <w:rFonts w:hint="default" w:ascii="Times New Roman" w:hAnsi="Times New Roman" w:cs="Times New Roman"/>
                <w:color w:val="auto"/>
                <w:sz w:val="24"/>
              </w:rPr>
              <w:t>－</w:t>
            </w:r>
            <w:r>
              <w:rPr>
                <w:rFonts w:hint="default" w:ascii="Times New Roman" w:hAnsi="Times New Roman" w:eastAsia="Times New Roman" w:cs="Times New Roman"/>
                <w:color w:val="auto"/>
                <w:sz w:val="24"/>
              </w:rPr>
              <w:t>(</w:t>
            </w:r>
            <w:r>
              <w:rPr>
                <w:rFonts w:hint="default" w:ascii="Times New Roman" w:hAnsi="Times New Roman" w:eastAsia="Times New Roman" w:cs="Times New Roman"/>
                <w:i/>
                <w:color w:val="auto"/>
                <w:sz w:val="24"/>
              </w:rPr>
              <w:t>A</w:t>
            </w:r>
            <w:r>
              <w:rPr>
                <w:rFonts w:hint="default" w:ascii="Times New Roman" w:hAnsi="Times New Roman" w:eastAsia="Times New Roman" w:cs="Times New Roman"/>
                <w:color w:val="auto"/>
                <w:sz w:val="24"/>
              </w:rPr>
              <w:t>div</w:t>
            </w:r>
            <w:r>
              <w:rPr>
                <w:rFonts w:hint="default" w:ascii="Times New Roman" w:hAnsi="Times New Roman" w:cs="Times New Roman"/>
                <w:color w:val="auto"/>
                <w:sz w:val="24"/>
              </w:rPr>
              <w:t>＋</w:t>
            </w:r>
            <w:r>
              <w:rPr>
                <w:rFonts w:hint="default" w:ascii="Times New Roman" w:hAnsi="Times New Roman" w:eastAsia="Times New Roman" w:cs="Times New Roman"/>
                <w:i/>
                <w:color w:val="auto"/>
                <w:sz w:val="24"/>
              </w:rPr>
              <w:t>A</w:t>
            </w:r>
            <w:r>
              <w:rPr>
                <w:rFonts w:hint="default" w:ascii="Times New Roman" w:hAnsi="Times New Roman" w:eastAsia="Times New Roman" w:cs="Times New Roman"/>
                <w:color w:val="auto"/>
                <w:sz w:val="24"/>
              </w:rPr>
              <w:t>atm</w:t>
            </w:r>
            <w:r>
              <w:rPr>
                <w:rFonts w:hint="default" w:ascii="Times New Roman" w:hAnsi="Times New Roman" w:cs="Times New Roman"/>
                <w:color w:val="auto"/>
                <w:sz w:val="24"/>
              </w:rPr>
              <w:t>＋</w:t>
            </w:r>
            <w:r>
              <w:rPr>
                <w:rFonts w:hint="default" w:ascii="Times New Roman" w:hAnsi="Times New Roman" w:eastAsia="Times New Roman" w:cs="Times New Roman"/>
                <w:i/>
                <w:color w:val="auto"/>
                <w:sz w:val="24"/>
              </w:rPr>
              <w:t>A</w:t>
            </w:r>
            <w:r>
              <w:rPr>
                <w:rFonts w:hint="default" w:ascii="Times New Roman" w:hAnsi="Times New Roman" w:eastAsia="Times New Roman" w:cs="Times New Roman"/>
                <w:color w:val="auto"/>
                <w:sz w:val="24"/>
              </w:rPr>
              <w:t>gr</w:t>
            </w:r>
            <w:r>
              <w:rPr>
                <w:rFonts w:hint="default" w:ascii="Times New Roman" w:hAnsi="Times New Roman" w:cs="Times New Roman"/>
                <w:color w:val="auto"/>
                <w:sz w:val="24"/>
              </w:rPr>
              <w:t>＋</w:t>
            </w:r>
            <w:r>
              <w:rPr>
                <w:rFonts w:hint="default" w:ascii="Times New Roman" w:hAnsi="Times New Roman" w:eastAsia="Times New Roman" w:cs="Times New Roman"/>
                <w:i/>
                <w:color w:val="auto"/>
                <w:sz w:val="24"/>
              </w:rPr>
              <w:t>A</w:t>
            </w:r>
            <w:r>
              <w:rPr>
                <w:rFonts w:hint="default" w:ascii="Times New Roman" w:hAnsi="Times New Roman" w:eastAsia="Times New Roman" w:cs="Times New Roman"/>
                <w:color w:val="auto"/>
                <w:sz w:val="24"/>
              </w:rPr>
              <w:t>bar</w:t>
            </w:r>
            <w:r>
              <w:rPr>
                <w:rFonts w:hint="default" w:ascii="Times New Roman" w:hAnsi="Times New Roman" w:cs="Times New Roman"/>
                <w:color w:val="auto"/>
                <w:sz w:val="24"/>
              </w:rPr>
              <w:t>＋</w:t>
            </w:r>
            <w:r>
              <w:rPr>
                <w:rFonts w:hint="default" w:ascii="Times New Roman" w:hAnsi="Times New Roman" w:eastAsia="Times New Roman" w:cs="Times New Roman"/>
                <w:i/>
                <w:color w:val="auto"/>
                <w:sz w:val="24"/>
              </w:rPr>
              <w:t>A</w:t>
            </w:r>
            <w:r>
              <w:rPr>
                <w:rFonts w:hint="default" w:ascii="Times New Roman" w:hAnsi="Times New Roman" w:eastAsia="Times New Roman" w:cs="Times New Roman"/>
                <w:color w:val="auto"/>
                <w:sz w:val="24"/>
              </w:rPr>
              <w:t>misc)</w:t>
            </w:r>
          </w:p>
          <w:p w14:paraId="2EF3880C">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式中：</w:t>
            </w:r>
          </w:p>
          <w:p w14:paraId="0921CE1E">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 xml:space="preserve">Lp(r)—预测点处声压级，dB； </w:t>
            </w:r>
          </w:p>
          <w:p w14:paraId="5FC98024">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rPr>
              <w:softHyphen/>
            </w:r>
            <w:r>
              <w:rPr>
                <w:rFonts w:hint="default" w:ascii="Times New Roman" w:hAnsi="Times New Roman" w:cs="Times New Roman"/>
                <w:color w:val="auto"/>
                <w:sz w:val="24"/>
              </w:rPr>
              <w:softHyphen/>
            </w:r>
            <w:r>
              <w:rPr>
                <w:rFonts w:hint="default" w:ascii="Times New Roman" w:hAnsi="Times New Roman" w:cs="Times New Roman"/>
                <w:color w:val="auto"/>
                <w:sz w:val="24"/>
              </w:rPr>
              <w:t>w—由点声源产生的声功率级(A计权或倍频带)，dB；</w:t>
            </w:r>
          </w:p>
          <w:p w14:paraId="722B42AF">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Lp(r0)—参考位置r0处的声压级，dB；</w:t>
            </w:r>
          </w:p>
          <w:p w14:paraId="53880AD9">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 xml:space="preserve">Dc—指向性校正，它描述点声源的等效连续声压级与产生声功率级Lw的全向点声源在规定方向的声级的偏差程度，dB； </w:t>
            </w:r>
          </w:p>
          <w:p w14:paraId="19AA89A2">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 xml:space="preserve">Adiv—几何发散引起的衰减，dB； </w:t>
            </w:r>
          </w:p>
          <w:p w14:paraId="4D0ADA5E">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 xml:space="preserve">Aatm—大气吸收引起的衰减，dB； </w:t>
            </w:r>
          </w:p>
          <w:p w14:paraId="41BAD175">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Agr—地面效应引起的衰减，dB；</w:t>
            </w:r>
          </w:p>
          <w:p w14:paraId="321E2804">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Abar—障碍物屏蔽引起的衰减，dB；</w:t>
            </w:r>
          </w:p>
          <w:p w14:paraId="342A0F5A">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Amisc—其他多方面效应引起的衰减，dB。</w:t>
            </w:r>
          </w:p>
          <w:p w14:paraId="4CF46014">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②预测点的</w:t>
            </w:r>
            <w:r>
              <w:rPr>
                <w:rFonts w:hint="default" w:ascii="Times New Roman" w:hAnsi="Times New Roman" w:eastAsia="Times New Roman" w:cs="Times New Roman"/>
                <w:color w:val="auto"/>
                <w:sz w:val="24"/>
              </w:rPr>
              <w:t>A</w:t>
            </w:r>
            <w:r>
              <w:rPr>
                <w:rFonts w:hint="default" w:ascii="Times New Roman" w:hAnsi="Times New Roman" w:cs="Times New Roman"/>
                <w:color w:val="auto"/>
                <w:sz w:val="24"/>
              </w:rPr>
              <w:t>声级</w:t>
            </w:r>
            <w:r>
              <w:rPr>
                <w:rFonts w:hint="default" w:ascii="Times New Roman" w:hAnsi="Times New Roman" w:eastAsia="Times New Roman" w:cs="Times New Roman"/>
                <w:i/>
                <w:color w:val="auto"/>
                <w:sz w:val="24"/>
              </w:rPr>
              <w:t>L</w:t>
            </w:r>
            <w:r>
              <w:rPr>
                <w:rFonts w:hint="default" w:ascii="Times New Roman" w:hAnsi="Times New Roman" w:eastAsia="Times New Roman" w:cs="Times New Roman"/>
                <w:color w:val="auto"/>
                <w:sz w:val="24"/>
                <w:vertAlign w:val="subscript"/>
              </w:rPr>
              <w:t>A</w:t>
            </w:r>
            <w:r>
              <w:rPr>
                <w:rFonts w:hint="default" w:ascii="Times New Roman" w:hAnsi="Times New Roman" w:eastAsia="Times New Roman" w:cs="Times New Roman"/>
                <w:color w:val="auto"/>
                <w:sz w:val="24"/>
              </w:rPr>
              <w:t>(</w:t>
            </w:r>
            <w:r>
              <w:rPr>
                <w:rFonts w:hint="default" w:ascii="Times New Roman" w:hAnsi="Times New Roman" w:eastAsia="Times New Roman" w:cs="Times New Roman"/>
                <w:i/>
                <w:color w:val="auto"/>
                <w:sz w:val="24"/>
              </w:rPr>
              <w:t>r</w:t>
            </w:r>
            <w:r>
              <w:rPr>
                <w:rFonts w:hint="default" w:ascii="Times New Roman" w:hAnsi="Times New Roman" w:eastAsia="Times New Roman" w:cs="Times New Roman"/>
                <w:color w:val="auto"/>
                <w:sz w:val="24"/>
              </w:rPr>
              <w:t>)</w:t>
            </w:r>
            <w:r>
              <w:rPr>
                <w:rFonts w:hint="default" w:ascii="Times New Roman" w:hAnsi="Times New Roman" w:cs="Times New Roman"/>
                <w:color w:val="auto"/>
                <w:sz w:val="24"/>
              </w:rPr>
              <w:t>可按下式计算，即将</w:t>
            </w:r>
            <w:r>
              <w:rPr>
                <w:rFonts w:hint="default" w:ascii="Times New Roman" w:hAnsi="Times New Roman" w:eastAsia="Times New Roman" w:cs="Times New Roman"/>
                <w:color w:val="auto"/>
                <w:sz w:val="24"/>
              </w:rPr>
              <w:t>8</w:t>
            </w:r>
            <w:r>
              <w:rPr>
                <w:rFonts w:hint="default" w:ascii="Times New Roman" w:hAnsi="Times New Roman" w:cs="Times New Roman"/>
                <w:color w:val="auto"/>
                <w:sz w:val="24"/>
              </w:rPr>
              <w:t>个倍频带声压级合成，计算出预测点的</w:t>
            </w:r>
            <w:r>
              <w:rPr>
                <w:rFonts w:hint="default" w:ascii="Times New Roman" w:hAnsi="Times New Roman" w:eastAsia="Times New Roman" w:cs="Times New Roman"/>
                <w:color w:val="auto"/>
                <w:sz w:val="24"/>
              </w:rPr>
              <w:t>A</w:t>
            </w:r>
            <w:r>
              <w:rPr>
                <w:rFonts w:hint="default" w:ascii="Times New Roman" w:hAnsi="Times New Roman" w:cs="Times New Roman"/>
                <w:color w:val="auto"/>
                <w:sz w:val="24"/>
              </w:rPr>
              <w:t>声级</w:t>
            </w:r>
            <w:r>
              <w:rPr>
                <w:rFonts w:hint="default" w:ascii="Times New Roman" w:hAnsi="Times New Roman" w:eastAsia="Times New Roman" w:cs="Times New Roman"/>
                <w:color w:val="auto"/>
                <w:sz w:val="24"/>
              </w:rPr>
              <w:t>[</w:t>
            </w:r>
            <w:r>
              <w:rPr>
                <w:rFonts w:hint="default" w:ascii="Times New Roman" w:hAnsi="Times New Roman" w:eastAsia="Times New Roman" w:cs="Times New Roman"/>
                <w:i/>
                <w:color w:val="auto"/>
                <w:sz w:val="24"/>
              </w:rPr>
              <w:t>L</w:t>
            </w:r>
            <w:r>
              <w:rPr>
                <w:rFonts w:hint="default" w:ascii="Times New Roman" w:hAnsi="Times New Roman" w:eastAsia="Times New Roman" w:cs="Times New Roman"/>
                <w:color w:val="auto"/>
                <w:sz w:val="24"/>
                <w:vertAlign w:val="subscript"/>
              </w:rPr>
              <w:t>A</w:t>
            </w:r>
            <w:r>
              <w:rPr>
                <w:rFonts w:hint="default" w:ascii="Times New Roman" w:hAnsi="Times New Roman" w:eastAsia="Times New Roman" w:cs="Times New Roman"/>
                <w:color w:val="auto"/>
                <w:sz w:val="24"/>
              </w:rPr>
              <w:t>(</w:t>
            </w:r>
            <w:r>
              <w:rPr>
                <w:rFonts w:hint="default" w:ascii="Times New Roman" w:hAnsi="Times New Roman" w:eastAsia="Times New Roman" w:cs="Times New Roman"/>
                <w:i/>
                <w:color w:val="auto"/>
                <w:sz w:val="24"/>
              </w:rPr>
              <w:t>r</w:t>
            </w:r>
            <w:r>
              <w:rPr>
                <w:rFonts w:hint="default" w:ascii="Times New Roman" w:hAnsi="Times New Roman" w:eastAsia="Times New Roman" w:cs="Times New Roman"/>
                <w:color w:val="auto"/>
                <w:sz w:val="24"/>
              </w:rPr>
              <w:t>)]</w:t>
            </w:r>
            <w:r>
              <w:rPr>
                <w:rFonts w:hint="default" w:ascii="Times New Roman" w:hAnsi="Times New Roman" w:cs="Times New Roman"/>
                <w:color w:val="auto"/>
                <w:sz w:val="24"/>
              </w:rPr>
              <w:t>。</w:t>
            </w:r>
          </w:p>
          <w:p w14:paraId="0DA9F49C">
            <w:pPr>
              <w:spacing w:line="360" w:lineRule="auto"/>
              <w:ind w:firstLine="1778" w:firstLineChars="738"/>
              <w:rPr>
                <w:rFonts w:hint="default" w:ascii="Times New Roman" w:hAnsi="Times New Roman" w:cs="Times New Roman"/>
                <w:b/>
                <w:color w:val="auto"/>
                <w:sz w:val="24"/>
              </w:rPr>
            </w:pPr>
            <w:r>
              <w:rPr>
                <w:rFonts w:hint="default" w:ascii="Times New Roman" w:hAnsi="Times New Roman" w:cs="Times New Roman"/>
                <w:b/>
                <w:color w:val="auto"/>
                <w:sz w:val="24"/>
              </w:rPr>
              <w:drawing>
                <wp:inline distT="0" distB="0" distL="114300" distR="114300">
                  <wp:extent cx="1935480" cy="419100"/>
                  <wp:effectExtent l="0" t="0" r="7620" b="0"/>
                  <wp:docPr id="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
                          <pic:cNvPicPr>
                            <a:picLocks noChangeAspect="1"/>
                          </pic:cNvPicPr>
                        </pic:nvPicPr>
                        <pic:blipFill>
                          <a:blip r:embed="rId26"/>
                          <a:stretch>
                            <a:fillRect/>
                          </a:stretch>
                        </pic:blipFill>
                        <pic:spPr>
                          <a:xfrm>
                            <a:off x="0" y="0"/>
                            <a:ext cx="1935480" cy="419100"/>
                          </a:xfrm>
                          <a:prstGeom prst="rect">
                            <a:avLst/>
                          </a:prstGeom>
                          <a:noFill/>
                          <a:ln>
                            <a:noFill/>
                          </a:ln>
                        </pic:spPr>
                      </pic:pic>
                    </a:graphicData>
                  </a:graphic>
                </wp:inline>
              </w:drawing>
            </w:r>
            <w:r>
              <w:rPr>
                <w:rFonts w:hint="default" w:ascii="Times New Roman" w:hAnsi="Times New Roman" w:cs="Times New Roman"/>
                <w:b/>
                <w:color w:val="auto"/>
                <w:sz w:val="24"/>
              </w:rPr>
              <w:t xml:space="preserve">                       </w:t>
            </w:r>
          </w:p>
          <w:p w14:paraId="0E37E048">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式中：</w:t>
            </w:r>
          </w:p>
          <w:p w14:paraId="23A4BBC3">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LA(r)—距声源r处的A声级，dB(A)；</w:t>
            </w:r>
          </w:p>
          <w:p w14:paraId="468DD397">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Lpi(r)—预测点(r)处，第i倍频带声压级，dB；</w:t>
            </w:r>
          </w:p>
          <w:p w14:paraId="726C206C">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△Li—i倍频带A计算网络修正值，dB(根据导则附录B计算)。</w:t>
            </w:r>
          </w:p>
          <w:p w14:paraId="5586BD6C">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衰减项计算按导则附录A中A.3相关模式计算。</w:t>
            </w:r>
          </w:p>
          <w:p w14:paraId="5AFBE55E">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(3)噪声贡献值计算</w:t>
            </w:r>
          </w:p>
          <w:p w14:paraId="0E4093D7">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设第i个室外声源在预测点产生的A声级为L</w:t>
            </w:r>
            <w:r>
              <w:rPr>
                <w:rFonts w:hint="default" w:ascii="Times New Roman" w:hAnsi="Times New Roman" w:cs="Times New Roman"/>
                <w:color w:val="auto"/>
                <w:sz w:val="24"/>
                <w:vertAlign w:val="subscript"/>
              </w:rPr>
              <w:t>Ai</w:t>
            </w:r>
            <w:r>
              <w:rPr>
                <w:rFonts w:hint="default" w:ascii="Times New Roman" w:hAnsi="Times New Roman" w:cs="Times New Roman"/>
                <w:color w:val="auto"/>
                <w:sz w:val="24"/>
              </w:rPr>
              <w:t>，在T时间内该声源工作时间为t</w:t>
            </w:r>
            <w:r>
              <w:rPr>
                <w:rFonts w:hint="default" w:ascii="Times New Roman" w:hAnsi="Times New Roman" w:cs="Times New Roman"/>
                <w:color w:val="auto"/>
                <w:sz w:val="24"/>
                <w:vertAlign w:val="subscript"/>
              </w:rPr>
              <w:t>i</w:t>
            </w:r>
            <w:r>
              <w:rPr>
                <w:rFonts w:hint="default" w:ascii="Times New Roman" w:hAnsi="Times New Roman" w:cs="Times New Roman"/>
                <w:color w:val="auto"/>
                <w:sz w:val="24"/>
              </w:rPr>
              <w:t>；第j个等效室外声源在预测点产生的A声级为L</w:t>
            </w:r>
            <w:r>
              <w:rPr>
                <w:rFonts w:hint="default" w:ascii="Times New Roman" w:hAnsi="Times New Roman" w:cs="Times New Roman"/>
                <w:color w:val="auto"/>
                <w:sz w:val="24"/>
                <w:vertAlign w:val="subscript"/>
              </w:rPr>
              <w:t>Aj</w:t>
            </w:r>
            <w:r>
              <w:rPr>
                <w:rFonts w:hint="default" w:ascii="Times New Roman" w:hAnsi="Times New Roman" w:cs="Times New Roman"/>
                <w:color w:val="auto"/>
                <w:sz w:val="24"/>
              </w:rPr>
              <w:t>，在T时间内该声源工作时间为t</w:t>
            </w:r>
            <w:r>
              <w:rPr>
                <w:rFonts w:hint="default" w:ascii="Times New Roman" w:hAnsi="Times New Roman" w:cs="Times New Roman"/>
                <w:color w:val="auto"/>
                <w:sz w:val="24"/>
                <w:vertAlign w:val="subscript"/>
              </w:rPr>
              <w:t xml:space="preserve"> j</w:t>
            </w:r>
            <w:r>
              <w:rPr>
                <w:rFonts w:hint="default" w:ascii="Times New Roman" w:hAnsi="Times New Roman" w:cs="Times New Roman"/>
                <w:color w:val="auto"/>
                <w:sz w:val="24"/>
              </w:rPr>
              <w:t>，则拟建工程声源对预测点产生的贡献值(Leqg)为：</w:t>
            </w:r>
          </w:p>
          <w:p w14:paraId="30201FD9">
            <w:pPr>
              <w:spacing w:line="360" w:lineRule="auto"/>
              <w:ind w:firstLine="555"/>
              <w:jc w:val="center"/>
              <w:rPr>
                <w:rFonts w:hint="default" w:ascii="Times New Roman" w:hAnsi="Times New Roman" w:cs="Times New Roman"/>
                <w:color w:val="auto"/>
                <w:szCs w:val="28"/>
              </w:rPr>
            </w:pPr>
            <w:r>
              <w:rPr>
                <w:rFonts w:hint="default" w:ascii="Times New Roman" w:hAnsi="Times New Roman" w:cs="Times New Roman"/>
                <w:color w:val="auto"/>
              </w:rPr>
              <w:drawing>
                <wp:inline distT="0" distB="0" distL="114300" distR="114300">
                  <wp:extent cx="2367280" cy="485775"/>
                  <wp:effectExtent l="0" t="0" r="13970" b="9525"/>
                  <wp:docPr id="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8"/>
                          <pic:cNvPicPr>
                            <a:picLocks noChangeAspect="1"/>
                          </pic:cNvPicPr>
                        </pic:nvPicPr>
                        <pic:blipFill>
                          <a:blip r:embed="rId27"/>
                          <a:stretch>
                            <a:fillRect/>
                          </a:stretch>
                        </pic:blipFill>
                        <pic:spPr>
                          <a:xfrm>
                            <a:off x="0" y="0"/>
                            <a:ext cx="2367280" cy="485775"/>
                          </a:xfrm>
                          <a:prstGeom prst="rect">
                            <a:avLst/>
                          </a:prstGeom>
                          <a:noFill/>
                          <a:ln>
                            <a:noFill/>
                          </a:ln>
                        </pic:spPr>
                      </pic:pic>
                    </a:graphicData>
                  </a:graphic>
                </wp:inline>
              </w:drawing>
            </w:r>
            <w:r>
              <w:rPr>
                <w:rFonts w:hint="default" w:ascii="Times New Roman" w:hAnsi="Times New Roman" w:cs="Times New Roman"/>
                <w:color w:val="auto"/>
                <w:szCs w:val="28"/>
              </w:rPr>
              <w:t xml:space="preserve">  </w:t>
            </w:r>
          </w:p>
          <w:p w14:paraId="4BC46235">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 xml:space="preserve">式中：Leqg——建设项目声源在预测点产生的噪声贡献值，dB(A)； </w:t>
            </w:r>
          </w:p>
          <w:p w14:paraId="39DF1ED2">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 xml:space="preserve">T——用于计算等效声级的时间，s； </w:t>
            </w:r>
          </w:p>
          <w:p w14:paraId="0F59094A">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 xml:space="preserve">N——室外声源个数； </w:t>
            </w:r>
          </w:p>
          <w:p w14:paraId="076F64D1">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t</w:t>
            </w:r>
            <w:r>
              <w:rPr>
                <w:rFonts w:hint="default" w:ascii="Times New Roman" w:hAnsi="Times New Roman" w:cs="Times New Roman"/>
                <w:color w:val="auto"/>
                <w:sz w:val="24"/>
                <w:vertAlign w:val="subscript"/>
              </w:rPr>
              <w:t>i</w:t>
            </w:r>
            <w:r>
              <w:rPr>
                <w:rFonts w:hint="default" w:ascii="Times New Roman" w:hAnsi="Times New Roman" w:cs="Times New Roman"/>
                <w:color w:val="auto"/>
                <w:sz w:val="24"/>
              </w:rPr>
              <w:t xml:space="preserve">——在T时间内i声源工作时间，s； </w:t>
            </w:r>
          </w:p>
          <w:p w14:paraId="4F029D64">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 xml:space="preserve">M——等效室外声源个数； </w:t>
            </w:r>
          </w:p>
          <w:p w14:paraId="22C3D9AC">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t</w:t>
            </w:r>
            <w:r>
              <w:rPr>
                <w:rFonts w:hint="default" w:ascii="Times New Roman" w:hAnsi="Times New Roman" w:cs="Times New Roman"/>
                <w:color w:val="auto"/>
                <w:sz w:val="24"/>
                <w:vertAlign w:val="subscript"/>
              </w:rPr>
              <w:t xml:space="preserve">j </w:t>
            </w:r>
            <w:r>
              <w:rPr>
                <w:rFonts w:hint="default" w:ascii="Times New Roman" w:hAnsi="Times New Roman" w:cs="Times New Roman"/>
                <w:color w:val="auto"/>
                <w:sz w:val="24"/>
              </w:rPr>
              <w:t>——在T时间内j声源工作时间，s。</w:t>
            </w:r>
          </w:p>
          <w:p w14:paraId="413E0C9A">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(4)噪声预测值计算</w:t>
            </w:r>
          </w:p>
          <w:p w14:paraId="33DEC749">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预测点的贡献值和背景值按能量叠加方法计算得到的声级，计算公式：</w:t>
            </w:r>
          </w:p>
          <w:p w14:paraId="62B3D8BA">
            <w:pPr>
              <w:spacing w:line="360" w:lineRule="auto"/>
              <w:ind w:firstLine="1680" w:firstLineChars="700"/>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1907540" cy="304165"/>
                  <wp:effectExtent l="0" t="0" r="16510" b="635"/>
                  <wp:docPr id="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9"/>
                          <pic:cNvPicPr>
                            <a:picLocks noChangeAspect="1"/>
                          </pic:cNvPicPr>
                        </pic:nvPicPr>
                        <pic:blipFill>
                          <a:blip r:embed="rId28"/>
                          <a:stretch>
                            <a:fillRect/>
                          </a:stretch>
                        </pic:blipFill>
                        <pic:spPr>
                          <a:xfrm>
                            <a:off x="0" y="0"/>
                            <a:ext cx="1907540" cy="304165"/>
                          </a:xfrm>
                          <a:prstGeom prst="rect">
                            <a:avLst/>
                          </a:prstGeom>
                          <a:noFill/>
                          <a:ln>
                            <a:noFill/>
                          </a:ln>
                        </pic:spPr>
                      </pic:pic>
                    </a:graphicData>
                  </a:graphic>
                </wp:inline>
              </w:drawing>
            </w:r>
            <w:r>
              <w:rPr>
                <w:rFonts w:hint="default" w:ascii="Times New Roman" w:hAnsi="Times New Roman" w:cs="Times New Roman"/>
                <w:color w:val="auto"/>
                <w:sz w:val="24"/>
              </w:rPr>
              <w:t xml:space="preserve">            (2)</w:t>
            </w:r>
          </w:p>
          <w:p w14:paraId="5988B407">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式中：</w:t>
            </w:r>
          </w:p>
          <w:p w14:paraId="00880377">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Leq—预测点的噪声预测值，dB；</w:t>
            </w:r>
          </w:p>
          <w:p w14:paraId="7B4FFD2A">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Leqg—建设项目声源在预测点产生的噪声贡献值，dB；</w:t>
            </w:r>
          </w:p>
          <w:p w14:paraId="132F016B">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Leqb—预测点的背景噪声值，dB。</w:t>
            </w:r>
          </w:p>
          <w:p w14:paraId="3DC2471E">
            <w:pPr>
              <w:snapToGrid w:val="0"/>
              <w:spacing w:line="360" w:lineRule="auto"/>
              <w:ind w:right="11"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(5)隔声量的确定</w:t>
            </w:r>
          </w:p>
          <w:p w14:paraId="2F737B5A">
            <w:pPr>
              <w:snapToGrid w:val="0"/>
              <w:spacing w:line="360" w:lineRule="auto"/>
              <w:ind w:right="11"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项目主要噪声设备大多设置于各建构筑物内，设备噪声经墙体隔声，设备基础减振</w:t>
            </w:r>
            <w:r>
              <w:rPr>
                <w:rFonts w:hint="eastAsia" w:cs="Times New Roman"/>
                <w:color w:val="auto"/>
                <w:sz w:val="24"/>
                <w:lang w:eastAsia="zh-CN"/>
              </w:rPr>
              <w:t>后</w:t>
            </w:r>
            <w:r>
              <w:rPr>
                <w:rFonts w:hint="default" w:ascii="Times New Roman" w:hAnsi="Times New Roman" w:cs="Times New Roman"/>
                <w:color w:val="auto"/>
                <w:sz w:val="24"/>
              </w:rPr>
              <w:t>，可削减10dB(A)以上。</w:t>
            </w:r>
          </w:p>
          <w:p w14:paraId="0B800E5D">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(6)预测结果</w:t>
            </w:r>
          </w:p>
          <w:p w14:paraId="6318360B">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lang w:val="zh-CN"/>
              </w:rPr>
              <w:t>①</w:t>
            </w:r>
            <w:r>
              <w:rPr>
                <w:rFonts w:hint="default" w:ascii="Times New Roman" w:hAnsi="Times New Roman" w:cs="Times New Roman"/>
                <w:color w:val="auto"/>
                <w:sz w:val="24"/>
              </w:rPr>
              <w:t>厂界噪声预测结果</w:t>
            </w:r>
          </w:p>
          <w:p w14:paraId="32543CE7">
            <w:pPr>
              <w:spacing w:line="360" w:lineRule="auto"/>
              <w:ind w:firstLine="480"/>
              <w:rPr>
                <w:rFonts w:hint="default" w:ascii="Times New Roman" w:hAnsi="Times New Roman" w:cs="Times New Roman"/>
                <w:color w:val="auto"/>
                <w:sz w:val="24"/>
                <w:lang w:val="zh-CN"/>
              </w:rPr>
            </w:pPr>
            <w:r>
              <w:rPr>
                <w:rFonts w:hint="default" w:ascii="Times New Roman" w:hAnsi="Times New Roman" w:cs="Times New Roman"/>
                <w:color w:val="auto"/>
                <w:sz w:val="24"/>
                <w:lang w:val="zh-CN"/>
              </w:rPr>
              <w:t>利用上述模式计算本项目噪声源同时工作时，预测到厂界的噪声最大值及位置，具体预测结果见表</w:t>
            </w:r>
            <w:r>
              <w:rPr>
                <w:rFonts w:hint="default" w:ascii="Times New Roman" w:hAnsi="Times New Roman" w:cs="Times New Roman"/>
                <w:color w:val="auto"/>
                <w:sz w:val="24"/>
              </w:rPr>
              <w:t>4.4-2</w:t>
            </w:r>
            <w:r>
              <w:rPr>
                <w:rFonts w:hint="default" w:ascii="Times New Roman" w:hAnsi="Times New Roman" w:cs="Times New Roman"/>
                <w:color w:val="auto"/>
                <w:sz w:val="24"/>
                <w:lang w:val="zh-CN"/>
              </w:rPr>
              <w:t>所示。</w:t>
            </w:r>
          </w:p>
          <w:p w14:paraId="305B42AA">
            <w:pPr>
              <w:spacing w:before="120" w:beforeLines="50"/>
              <w:jc w:val="center"/>
              <w:rPr>
                <w:rFonts w:hint="default" w:ascii="Times New Roman" w:hAnsi="Times New Roman" w:eastAsia="黑体" w:cs="Times New Roman"/>
                <w:color w:val="auto"/>
                <w:spacing w:val="8"/>
                <w:sz w:val="24"/>
                <w:lang w:bidi="ar"/>
              </w:rPr>
            </w:pPr>
            <w:r>
              <w:rPr>
                <w:rFonts w:hint="default" w:ascii="Times New Roman" w:hAnsi="Times New Roman" w:eastAsia="黑体" w:cs="Times New Roman"/>
                <w:color w:val="auto"/>
                <w:spacing w:val="8"/>
                <w:sz w:val="24"/>
                <w:lang w:bidi="ar"/>
              </w:rPr>
              <w:t>表4.4-2  厂界噪声预测结果   单位：dB(A)</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06"/>
              <w:gridCol w:w="1309"/>
              <w:gridCol w:w="1345"/>
              <w:gridCol w:w="1793"/>
              <w:gridCol w:w="1137"/>
              <w:gridCol w:w="976"/>
              <w:gridCol w:w="975"/>
            </w:tblGrid>
            <w:tr w14:paraId="1ABC1A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restart"/>
                  <w:noWrap w:val="0"/>
                  <w:vAlign w:val="center"/>
                </w:tcPr>
                <w:p w14:paraId="3104D3FB">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编号</w:t>
                  </w:r>
                </w:p>
              </w:tc>
              <w:tc>
                <w:tcPr>
                  <w:tcW w:w="784" w:type="pct"/>
                  <w:vMerge w:val="restart"/>
                  <w:noWrap w:val="0"/>
                  <w:vAlign w:val="center"/>
                </w:tcPr>
                <w:p w14:paraId="7A368C33">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测点位置</w:t>
                  </w:r>
                </w:p>
              </w:tc>
              <w:tc>
                <w:tcPr>
                  <w:tcW w:w="806" w:type="pct"/>
                  <w:vMerge w:val="restart"/>
                  <w:noWrap w:val="0"/>
                  <w:vAlign w:val="center"/>
                </w:tcPr>
                <w:p w14:paraId="5F45DF77">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影响贡献值</w:t>
                  </w:r>
                </w:p>
              </w:tc>
              <w:tc>
                <w:tcPr>
                  <w:tcW w:w="1074" w:type="pct"/>
                  <w:vMerge w:val="restart"/>
                  <w:noWrap w:val="0"/>
                  <w:vAlign w:val="center"/>
                </w:tcPr>
                <w:p w14:paraId="3B6E9961">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厂界噪声最大</w:t>
                  </w:r>
                </w:p>
                <w:p w14:paraId="1BB42848">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值及位置</w:t>
                  </w:r>
                </w:p>
              </w:tc>
              <w:tc>
                <w:tcPr>
                  <w:tcW w:w="1266" w:type="pct"/>
                  <w:gridSpan w:val="2"/>
                  <w:noWrap w:val="0"/>
                  <w:vAlign w:val="center"/>
                </w:tcPr>
                <w:p w14:paraId="6B0D987D">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标准值</w:t>
                  </w:r>
                </w:p>
              </w:tc>
              <w:tc>
                <w:tcPr>
                  <w:tcW w:w="584" w:type="pct"/>
                  <w:vMerge w:val="restart"/>
                  <w:noWrap w:val="0"/>
                  <w:vAlign w:val="center"/>
                </w:tcPr>
                <w:p w14:paraId="1560040C">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达标情况</w:t>
                  </w:r>
                </w:p>
              </w:tc>
            </w:tr>
            <w:tr w14:paraId="226E3C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continue"/>
                  <w:noWrap w:val="0"/>
                  <w:vAlign w:val="center"/>
                </w:tcPr>
                <w:p w14:paraId="30CA2B63">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p>
              </w:tc>
              <w:tc>
                <w:tcPr>
                  <w:tcW w:w="784" w:type="pct"/>
                  <w:vMerge w:val="continue"/>
                  <w:noWrap w:val="0"/>
                  <w:vAlign w:val="center"/>
                </w:tcPr>
                <w:p w14:paraId="4DA22648">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p>
              </w:tc>
              <w:tc>
                <w:tcPr>
                  <w:tcW w:w="806" w:type="pct"/>
                  <w:vMerge w:val="continue"/>
                  <w:noWrap w:val="0"/>
                  <w:vAlign w:val="center"/>
                </w:tcPr>
                <w:p w14:paraId="2B090A2E">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p>
              </w:tc>
              <w:tc>
                <w:tcPr>
                  <w:tcW w:w="1074" w:type="pct"/>
                  <w:vMerge w:val="continue"/>
                  <w:noWrap w:val="0"/>
                  <w:vAlign w:val="center"/>
                </w:tcPr>
                <w:p w14:paraId="2040FCB9">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p>
              </w:tc>
              <w:tc>
                <w:tcPr>
                  <w:tcW w:w="681" w:type="pct"/>
                  <w:noWrap w:val="0"/>
                  <w:vAlign w:val="center"/>
                </w:tcPr>
                <w:p w14:paraId="4992B59C">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昼间</w:t>
                  </w:r>
                </w:p>
              </w:tc>
              <w:tc>
                <w:tcPr>
                  <w:tcW w:w="585" w:type="pct"/>
                  <w:noWrap w:val="0"/>
                  <w:vAlign w:val="center"/>
                </w:tcPr>
                <w:p w14:paraId="21020453">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夜间</w:t>
                  </w:r>
                </w:p>
              </w:tc>
              <w:tc>
                <w:tcPr>
                  <w:tcW w:w="584" w:type="pct"/>
                  <w:vMerge w:val="continue"/>
                  <w:noWrap w:val="0"/>
                  <w:vAlign w:val="center"/>
                </w:tcPr>
                <w:p w14:paraId="18A5BC90">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p>
              </w:tc>
            </w:tr>
            <w:tr w14:paraId="275CF9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3" w:type="pct"/>
                  <w:noWrap w:val="0"/>
                  <w:vAlign w:val="center"/>
                </w:tcPr>
                <w:p w14:paraId="76B6AB7B">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w:t>
                  </w:r>
                </w:p>
              </w:tc>
              <w:tc>
                <w:tcPr>
                  <w:tcW w:w="784" w:type="pct"/>
                  <w:noWrap w:val="0"/>
                  <w:vAlign w:val="center"/>
                </w:tcPr>
                <w:p w14:paraId="2B136CCC">
                  <w:pPr>
                    <w:keepNext w:val="0"/>
                    <w:keepLines w:val="0"/>
                    <w:pageBreakBefore w:val="0"/>
                    <w:kinsoku/>
                    <w:wordWrap/>
                    <w:overflowPunct/>
                    <w:topLinePunct w:val="0"/>
                    <w:autoSpaceDE/>
                    <w:autoSpaceDN/>
                    <w:bidi w:val="0"/>
                    <w:adjustRightInd w:val="0"/>
                    <w:snapToGrid/>
                    <w:spacing w:line="340" w:lineRule="exac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东侧厂界</w:t>
                  </w:r>
                </w:p>
              </w:tc>
              <w:tc>
                <w:tcPr>
                  <w:tcW w:w="806" w:type="pct"/>
                  <w:noWrap w:val="0"/>
                  <w:vAlign w:val="center"/>
                </w:tcPr>
                <w:p w14:paraId="1DCE69F8">
                  <w:pPr>
                    <w:keepNext w:val="0"/>
                    <w:keepLines w:val="0"/>
                    <w:pageBreakBefore w:val="0"/>
                    <w:kinsoku/>
                    <w:wordWrap/>
                    <w:overflowPunct/>
                    <w:topLinePunct w:val="0"/>
                    <w:autoSpaceDE/>
                    <w:autoSpaceDN/>
                    <w:bidi w:val="0"/>
                    <w:adjustRightInd w:val="0"/>
                    <w:snapToGrid/>
                    <w:spacing w:line="34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42</w:t>
                  </w:r>
                </w:p>
              </w:tc>
              <w:tc>
                <w:tcPr>
                  <w:tcW w:w="1074" w:type="pct"/>
                  <w:vMerge w:val="restart"/>
                  <w:noWrap w:val="0"/>
                  <w:vAlign w:val="center"/>
                </w:tcPr>
                <w:p w14:paraId="15ABE98E">
                  <w:pPr>
                    <w:keepNext w:val="0"/>
                    <w:keepLines w:val="0"/>
                    <w:pageBreakBefore w:val="0"/>
                    <w:kinsoku/>
                    <w:wordWrap/>
                    <w:overflowPunct/>
                    <w:topLinePunct w:val="0"/>
                    <w:autoSpaceDE/>
                    <w:autoSpaceDN/>
                    <w:bidi w:val="0"/>
                    <w:adjustRightInd w:val="0"/>
                    <w:snapToGrid/>
                    <w:spacing w:line="34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rPr>
                    <w:t>西侧厂界</w:t>
                  </w:r>
                  <w:r>
                    <w:rPr>
                      <w:rFonts w:hint="eastAsia" w:ascii="Times New Roman" w:hAnsi="Times New Roman" w:cs="Times New Roman"/>
                      <w:bCs/>
                      <w:color w:val="auto"/>
                      <w:sz w:val="21"/>
                      <w:szCs w:val="21"/>
                      <w:lang w:val="en-US" w:eastAsia="zh-CN"/>
                    </w:rPr>
                    <w:t>49</w:t>
                  </w:r>
                </w:p>
              </w:tc>
              <w:tc>
                <w:tcPr>
                  <w:tcW w:w="681" w:type="pct"/>
                  <w:vMerge w:val="restart"/>
                  <w:noWrap w:val="0"/>
                  <w:vAlign w:val="center"/>
                </w:tcPr>
                <w:p w14:paraId="13622BBD">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65</w:t>
                  </w:r>
                </w:p>
              </w:tc>
              <w:tc>
                <w:tcPr>
                  <w:tcW w:w="585" w:type="pct"/>
                  <w:vMerge w:val="restart"/>
                  <w:noWrap w:val="0"/>
                  <w:vAlign w:val="center"/>
                </w:tcPr>
                <w:p w14:paraId="22E09ADB">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55</w:t>
                  </w:r>
                </w:p>
              </w:tc>
              <w:tc>
                <w:tcPr>
                  <w:tcW w:w="584" w:type="pct"/>
                  <w:noWrap w:val="0"/>
                  <w:vAlign w:val="center"/>
                </w:tcPr>
                <w:p w14:paraId="605A9454">
                  <w:pPr>
                    <w:keepNext w:val="0"/>
                    <w:keepLines w:val="0"/>
                    <w:pageBreakBefore w:val="0"/>
                    <w:widowControl/>
                    <w:kinsoku/>
                    <w:wordWrap/>
                    <w:overflowPunct/>
                    <w:topLinePunct w:val="0"/>
                    <w:autoSpaceDE/>
                    <w:autoSpaceDN/>
                    <w:bidi w:val="0"/>
                    <w:adjustRightInd w:val="0"/>
                    <w:snapToGrid/>
                    <w:spacing w:line="340" w:lineRule="exac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达标</w:t>
                  </w:r>
                </w:p>
              </w:tc>
            </w:tr>
            <w:tr w14:paraId="2C81BF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3" w:type="pct"/>
                  <w:noWrap w:val="0"/>
                  <w:vAlign w:val="center"/>
                </w:tcPr>
                <w:p w14:paraId="5AF2F08B">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w:t>
                  </w:r>
                </w:p>
              </w:tc>
              <w:tc>
                <w:tcPr>
                  <w:tcW w:w="784" w:type="pct"/>
                  <w:noWrap w:val="0"/>
                  <w:vAlign w:val="center"/>
                </w:tcPr>
                <w:p w14:paraId="109AD5F4">
                  <w:pPr>
                    <w:keepNext w:val="0"/>
                    <w:keepLines w:val="0"/>
                    <w:pageBreakBefore w:val="0"/>
                    <w:kinsoku/>
                    <w:wordWrap/>
                    <w:overflowPunct/>
                    <w:topLinePunct w:val="0"/>
                    <w:autoSpaceDE/>
                    <w:autoSpaceDN/>
                    <w:bidi w:val="0"/>
                    <w:adjustRightInd w:val="0"/>
                    <w:snapToGrid/>
                    <w:spacing w:line="340" w:lineRule="exac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西侧厂界</w:t>
                  </w:r>
                </w:p>
              </w:tc>
              <w:tc>
                <w:tcPr>
                  <w:tcW w:w="806" w:type="pct"/>
                  <w:noWrap w:val="0"/>
                  <w:vAlign w:val="center"/>
                </w:tcPr>
                <w:p w14:paraId="2202CA48">
                  <w:pPr>
                    <w:keepNext w:val="0"/>
                    <w:keepLines w:val="0"/>
                    <w:pageBreakBefore w:val="0"/>
                    <w:kinsoku/>
                    <w:wordWrap/>
                    <w:overflowPunct/>
                    <w:topLinePunct w:val="0"/>
                    <w:autoSpaceDE/>
                    <w:autoSpaceDN/>
                    <w:bidi w:val="0"/>
                    <w:adjustRightInd w:val="0"/>
                    <w:snapToGrid/>
                    <w:spacing w:line="34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49</w:t>
                  </w:r>
                </w:p>
              </w:tc>
              <w:tc>
                <w:tcPr>
                  <w:tcW w:w="1074" w:type="pct"/>
                  <w:vMerge w:val="continue"/>
                  <w:noWrap w:val="0"/>
                  <w:vAlign w:val="center"/>
                </w:tcPr>
                <w:p w14:paraId="4905C581">
                  <w:pPr>
                    <w:keepNext w:val="0"/>
                    <w:keepLines w:val="0"/>
                    <w:pageBreakBefore w:val="0"/>
                    <w:kinsoku/>
                    <w:wordWrap/>
                    <w:overflowPunct/>
                    <w:topLinePunct w:val="0"/>
                    <w:autoSpaceDE/>
                    <w:autoSpaceDN/>
                    <w:bidi w:val="0"/>
                    <w:adjustRightInd w:val="0"/>
                    <w:snapToGrid/>
                    <w:spacing w:line="340" w:lineRule="exact"/>
                    <w:ind w:firstLine="0" w:firstLineChars="0"/>
                    <w:jc w:val="center"/>
                    <w:textAlignment w:val="auto"/>
                    <w:rPr>
                      <w:rFonts w:hint="default" w:ascii="Times New Roman" w:hAnsi="Times New Roman" w:cs="Times New Roman"/>
                      <w:bCs/>
                      <w:color w:val="auto"/>
                      <w:sz w:val="21"/>
                      <w:szCs w:val="21"/>
                    </w:rPr>
                  </w:pPr>
                </w:p>
              </w:tc>
              <w:tc>
                <w:tcPr>
                  <w:tcW w:w="681" w:type="pct"/>
                  <w:vMerge w:val="continue"/>
                  <w:noWrap w:val="0"/>
                  <w:vAlign w:val="center"/>
                </w:tcPr>
                <w:p w14:paraId="0200563C">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p>
              </w:tc>
              <w:tc>
                <w:tcPr>
                  <w:tcW w:w="585" w:type="pct"/>
                  <w:vMerge w:val="continue"/>
                  <w:noWrap w:val="0"/>
                  <w:vAlign w:val="center"/>
                </w:tcPr>
                <w:p w14:paraId="774C3497">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p>
              </w:tc>
              <w:tc>
                <w:tcPr>
                  <w:tcW w:w="584" w:type="pct"/>
                  <w:noWrap w:val="0"/>
                  <w:vAlign w:val="center"/>
                </w:tcPr>
                <w:p w14:paraId="336365A0">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达标</w:t>
                  </w:r>
                </w:p>
              </w:tc>
            </w:tr>
            <w:tr w14:paraId="295B19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3" w:type="pct"/>
                  <w:noWrap w:val="0"/>
                  <w:vAlign w:val="center"/>
                </w:tcPr>
                <w:p w14:paraId="4CE849F6">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w:t>
                  </w:r>
                </w:p>
              </w:tc>
              <w:tc>
                <w:tcPr>
                  <w:tcW w:w="784" w:type="pct"/>
                  <w:noWrap w:val="0"/>
                  <w:vAlign w:val="center"/>
                </w:tcPr>
                <w:p w14:paraId="15E05858">
                  <w:pPr>
                    <w:keepNext w:val="0"/>
                    <w:keepLines w:val="0"/>
                    <w:pageBreakBefore w:val="0"/>
                    <w:kinsoku/>
                    <w:wordWrap/>
                    <w:overflowPunct/>
                    <w:topLinePunct w:val="0"/>
                    <w:autoSpaceDE/>
                    <w:autoSpaceDN/>
                    <w:bidi w:val="0"/>
                    <w:adjustRightInd w:val="0"/>
                    <w:snapToGrid/>
                    <w:spacing w:line="340" w:lineRule="exac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南侧厂界</w:t>
                  </w:r>
                </w:p>
              </w:tc>
              <w:tc>
                <w:tcPr>
                  <w:tcW w:w="806" w:type="pct"/>
                  <w:noWrap w:val="0"/>
                  <w:vAlign w:val="center"/>
                </w:tcPr>
                <w:p w14:paraId="32DDE370">
                  <w:pPr>
                    <w:keepNext w:val="0"/>
                    <w:keepLines w:val="0"/>
                    <w:pageBreakBefore w:val="0"/>
                    <w:kinsoku/>
                    <w:wordWrap/>
                    <w:overflowPunct/>
                    <w:topLinePunct w:val="0"/>
                    <w:autoSpaceDE/>
                    <w:autoSpaceDN/>
                    <w:bidi w:val="0"/>
                    <w:adjustRightInd w:val="0"/>
                    <w:snapToGrid/>
                    <w:spacing w:line="34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42</w:t>
                  </w:r>
                </w:p>
              </w:tc>
              <w:tc>
                <w:tcPr>
                  <w:tcW w:w="1074" w:type="pct"/>
                  <w:vMerge w:val="continue"/>
                  <w:noWrap w:val="0"/>
                  <w:vAlign w:val="center"/>
                </w:tcPr>
                <w:p w14:paraId="44EB3ABA">
                  <w:pPr>
                    <w:keepNext w:val="0"/>
                    <w:keepLines w:val="0"/>
                    <w:pageBreakBefore w:val="0"/>
                    <w:kinsoku/>
                    <w:wordWrap/>
                    <w:overflowPunct/>
                    <w:topLinePunct w:val="0"/>
                    <w:autoSpaceDE/>
                    <w:autoSpaceDN/>
                    <w:bidi w:val="0"/>
                    <w:adjustRightInd w:val="0"/>
                    <w:snapToGrid/>
                    <w:spacing w:line="340" w:lineRule="exact"/>
                    <w:ind w:firstLine="0" w:firstLineChars="0"/>
                    <w:jc w:val="center"/>
                    <w:textAlignment w:val="auto"/>
                    <w:rPr>
                      <w:rFonts w:hint="default" w:ascii="Times New Roman" w:hAnsi="Times New Roman" w:cs="Times New Roman"/>
                      <w:bCs/>
                      <w:color w:val="auto"/>
                      <w:sz w:val="21"/>
                      <w:szCs w:val="21"/>
                    </w:rPr>
                  </w:pPr>
                </w:p>
              </w:tc>
              <w:tc>
                <w:tcPr>
                  <w:tcW w:w="681" w:type="pct"/>
                  <w:vMerge w:val="continue"/>
                  <w:noWrap w:val="0"/>
                  <w:vAlign w:val="center"/>
                </w:tcPr>
                <w:p w14:paraId="3DE966FA">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p>
              </w:tc>
              <w:tc>
                <w:tcPr>
                  <w:tcW w:w="585" w:type="pct"/>
                  <w:vMerge w:val="continue"/>
                  <w:noWrap w:val="0"/>
                  <w:vAlign w:val="center"/>
                </w:tcPr>
                <w:p w14:paraId="41BB6E7F">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p>
              </w:tc>
              <w:tc>
                <w:tcPr>
                  <w:tcW w:w="584" w:type="pct"/>
                  <w:noWrap w:val="0"/>
                  <w:vAlign w:val="center"/>
                </w:tcPr>
                <w:p w14:paraId="52C6466F">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达标</w:t>
                  </w:r>
                </w:p>
              </w:tc>
            </w:tr>
            <w:tr w14:paraId="76D97D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3" w:type="pct"/>
                  <w:noWrap w:val="0"/>
                  <w:vAlign w:val="center"/>
                </w:tcPr>
                <w:p w14:paraId="592975C5">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4</w:t>
                  </w:r>
                </w:p>
              </w:tc>
              <w:tc>
                <w:tcPr>
                  <w:tcW w:w="784" w:type="pct"/>
                  <w:noWrap w:val="0"/>
                  <w:vAlign w:val="center"/>
                </w:tcPr>
                <w:p w14:paraId="5C214D00">
                  <w:pPr>
                    <w:keepNext w:val="0"/>
                    <w:keepLines w:val="0"/>
                    <w:pageBreakBefore w:val="0"/>
                    <w:kinsoku/>
                    <w:wordWrap/>
                    <w:overflowPunct/>
                    <w:topLinePunct w:val="0"/>
                    <w:autoSpaceDE/>
                    <w:autoSpaceDN/>
                    <w:bidi w:val="0"/>
                    <w:adjustRightInd w:val="0"/>
                    <w:snapToGrid/>
                    <w:spacing w:line="340" w:lineRule="exact"/>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北侧厂界</w:t>
                  </w:r>
                </w:p>
              </w:tc>
              <w:tc>
                <w:tcPr>
                  <w:tcW w:w="806" w:type="pct"/>
                  <w:noWrap w:val="0"/>
                  <w:vAlign w:val="center"/>
                </w:tcPr>
                <w:p w14:paraId="3A2C0748">
                  <w:pPr>
                    <w:keepNext w:val="0"/>
                    <w:keepLines w:val="0"/>
                    <w:pageBreakBefore w:val="0"/>
                    <w:kinsoku/>
                    <w:wordWrap/>
                    <w:overflowPunct/>
                    <w:topLinePunct w:val="0"/>
                    <w:autoSpaceDE/>
                    <w:autoSpaceDN/>
                    <w:bidi w:val="0"/>
                    <w:adjustRightInd w:val="0"/>
                    <w:snapToGrid/>
                    <w:spacing w:line="34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43</w:t>
                  </w:r>
                </w:p>
              </w:tc>
              <w:tc>
                <w:tcPr>
                  <w:tcW w:w="1074" w:type="pct"/>
                  <w:vMerge w:val="continue"/>
                  <w:noWrap w:val="0"/>
                  <w:vAlign w:val="center"/>
                </w:tcPr>
                <w:p w14:paraId="3112EC53">
                  <w:pPr>
                    <w:keepNext w:val="0"/>
                    <w:keepLines w:val="0"/>
                    <w:pageBreakBefore w:val="0"/>
                    <w:kinsoku/>
                    <w:wordWrap/>
                    <w:overflowPunct/>
                    <w:topLinePunct w:val="0"/>
                    <w:autoSpaceDE/>
                    <w:autoSpaceDN/>
                    <w:bidi w:val="0"/>
                    <w:adjustRightInd w:val="0"/>
                    <w:snapToGrid/>
                    <w:spacing w:line="340" w:lineRule="exact"/>
                    <w:ind w:firstLine="0" w:firstLineChars="0"/>
                    <w:jc w:val="center"/>
                    <w:textAlignment w:val="auto"/>
                    <w:rPr>
                      <w:rFonts w:hint="default" w:ascii="Times New Roman" w:hAnsi="Times New Roman" w:cs="Times New Roman"/>
                      <w:bCs/>
                      <w:color w:val="auto"/>
                      <w:sz w:val="21"/>
                      <w:szCs w:val="21"/>
                    </w:rPr>
                  </w:pPr>
                </w:p>
              </w:tc>
              <w:tc>
                <w:tcPr>
                  <w:tcW w:w="681" w:type="pct"/>
                  <w:vMerge w:val="continue"/>
                  <w:noWrap w:val="0"/>
                  <w:vAlign w:val="center"/>
                </w:tcPr>
                <w:p w14:paraId="454E19EE">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p>
              </w:tc>
              <w:tc>
                <w:tcPr>
                  <w:tcW w:w="585" w:type="pct"/>
                  <w:vMerge w:val="continue"/>
                  <w:noWrap w:val="0"/>
                  <w:vAlign w:val="center"/>
                </w:tcPr>
                <w:p w14:paraId="50D483F9">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p>
              </w:tc>
              <w:tc>
                <w:tcPr>
                  <w:tcW w:w="584" w:type="pct"/>
                  <w:noWrap w:val="0"/>
                  <w:vAlign w:val="center"/>
                </w:tcPr>
                <w:p w14:paraId="1463AED6">
                  <w:pPr>
                    <w:pStyle w:val="58"/>
                    <w:keepNext w:val="0"/>
                    <w:keepLines w:val="0"/>
                    <w:pageBreakBefore w:val="0"/>
                    <w:kinsoku/>
                    <w:wordWrap/>
                    <w:overflowPunct/>
                    <w:topLinePunct w:val="0"/>
                    <w:autoSpaceDE/>
                    <w:autoSpaceDN/>
                    <w:bidi w:val="0"/>
                    <w:adjustRightInd w:val="0"/>
                    <w:snapToGrid/>
                    <w:spacing w:beforeLines="0" w:afterLines="0" w:line="340" w:lineRule="exact"/>
                    <w:ind w:firstLine="0" w:firstLineChars="0"/>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达标</w:t>
                  </w:r>
                </w:p>
              </w:tc>
            </w:tr>
          </w:tbl>
          <w:p w14:paraId="0796C2AF">
            <w:pPr>
              <w:spacing w:before="120" w:beforeLines="50"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厂界达标分析：本项目实行</w:t>
            </w:r>
            <w:r>
              <w:rPr>
                <w:rFonts w:hint="default" w:ascii="Times New Roman" w:hAnsi="Times New Roman" w:cs="Times New Roman"/>
                <w:color w:val="auto"/>
                <w:sz w:val="24"/>
                <w:lang w:val="en-US" w:eastAsia="zh-CN"/>
              </w:rPr>
              <w:t>三</w:t>
            </w:r>
            <w:r>
              <w:rPr>
                <w:rFonts w:hint="default" w:ascii="Times New Roman" w:hAnsi="Times New Roman" w:cs="Times New Roman"/>
                <w:color w:val="auto"/>
                <w:sz w:val="24"/>
              </w:rPr>
              <w:t>班制；根据表4.3-4预测结果表明，项目主要噪声源在采取有效的降噪措施前提下，项目厂界噪声均可满足《工业企业厂界环境噪声排放标准》(GB12348-2008)中3类标准。</w:t>
            </w:r>
          </w:p>
          <w:p w14:paraId="7EC00AA4">
            <w:pPr>
              <w:pStyle w:val="83"/>
              <w:ind w:firstLine="480"/>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rPr>
              <w:t>(2)</w:t>
            </w:r>
            <w:r>
              <w:rPr>
                <w:rFonts w:hint="default" w:ascii="Times New Roman" w:hAnsi="Times New Roman" w:cs="Times New Roman"/>
                <w:color w:val="auto"/>
                <w:sz w:val="24"/>
                <w:szCs w:val="24"/>
                <w:lang w:val="zh-CN"/>
              </w:rPr>
              <w:t>敏感点噪声预测结果分析</w:t>
            </w:r>
          </w:p>
          <w:p w14:paraId="3BAA47A0">
            <w:pPr>
              <w:spacing w:line="360" w:lineRule="auto"/>
              <w:ind w:firstLine="480"/>
              <w:rPr>
                <w:rFonts w:hint="default" w:ascii="Times New Roman" w:hAnsi="Times New Roman" w:cs="Times New Roman"/>
                <w:color w:val="auto"/>
                <w:sz w:val="24"/>
                <w:lang w:val="zh-CN"/>
              </w:rPr>
            </w:pPr>
            <w:r>
              <w:rPr>
                <w:rFonts w:hint="default" w:ascii="Times New Roman" w:hAnsi="Times New Roman" w:cs="Times New Roman"/>
                <w:color w:val="auto"/>
                <w:sz w:val="24"/>
                <w:lang w:val="zh-CN"/>
              </w:rPr>
              <w:t>根据现场勘查，项目周边</w:t>
            </w:r>
            <w:r>
              <w:rPr>
                <w:rFonts w:hint="default" w:ascii="Times New Roman" w:hAnsi="Times New Roman" w:cs="Times New Roman"/>
                <w:color w:val="auto"/>
                <w:sz w:val="24"/>
              </w:rPr>
              <w:t>50m范围内无声环境保护目标</w:t>
            </w:r>
            <w:r>
              <w:rPr>
                <w:rFonts w:hint="default" w:ascii="Times New Roman" w:hAnsi="Times New Roman" w:cs="Times New Roman"/>
                <w:color w:val="auto"/>
                <w:sz w:val="24"/>
                <w:lang w:val="zh-CN"/>
              </w:rPr>
              <w:t>。</w:t>
            </w:r>
          </w:p>
          <w:p w14:paraId="14847ADB">
            <w:pPr>
              <w:adjustRightInd w:val="0"/>
              <w:snapToGrid w:val="0"/>
              <w:spacing w:line="360" w:lineRule="auto"/>
              <w:rPr>
                <w:rFonts w:hint="default" w:ascii="Times New Roman" w:hAnsi="Times New Roman" w:eastAsia="黑体" w:cs="Times New Roman"/>
                <w:b/>
                <w:bCs/>
                <w:color w:val="auto"/>
                <w:kern w:val="0"/>
                <w:sz w:val="24"/>
              </w:rPr>
            </w:pPr>
            <w:r>
              <w:rPr>
                <w:rFonts w:hint="default" w:ascii="Times New Roman" w:hAnsi="Times New Roman" w:eastAsia="黑体" w:cs="Times New Roman"/>
                <w:b/>
                <w:bCs/>
                <w:color w:val="auto"/>
                <w:kern w:val="0"/>
                <w:sz w:val="24"/>
              </w:rPr>
              <w:t>4.3.3 运营期噪声防治措施</w:t>
            </w:r>
          </w:p>
          <w:p w14:paraId="20767EE7">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为了确保厂界噪声达到《工业企业厂界环境噪声排放标准》(GB 12348-2008)中3类标准，本报告建议采用以下降噪措施：</w:t>
            </w:r>
          </w:p>
          <w:p w14:paraId="548FB169">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(1)项目选用低噪声生产设备，从源头上降低噪声源强。</w:t>
            </w:r>
          </w:p>
          <w:p w14:paraId="746AE259">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(2)加强车间内的噪声治理，对厂区高噪声设备采用隔声、消声、吸声、减振等有效措施，以有效降低车间噪声。</w:t>
            </w:r>
          </w:p>
          <w:p w14:paraId="42A83C36">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(3)加强对设备的管理和维护，在有关环保人员的统一管理下，定期检查、监测，发现噪声超标要及时治理并增加相关操作岗位工人的个体防护</w:t>
            </w:r>
          </w:p>
          <w:p w14:paraId="51C9DCC5">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(4)车辆运输物料时，在靠近居民点等对声环境质量要求较高的地方，应减小车速，禁止或尽量少鸣喇叭。</w:t>
            </w:r>
          </w:p>
          <w:p w14:paraId="51BDF9DA">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通过以上降噪措施，有效降低设备噪声对厂界的影响程度，确保厂界噪声符合《工业企业厂界环境噪声排放标准》(GB12348-2008)中的3类标准要求，措施可行。</w:t>
            </w:r>
          </w:p>
          <w:p w14:paraId="2E821558">
            <w:pPr>
              <w:adjustRightInd w:val="0"/>
              <w:snapToGrid w:val="0"/>
              <w:spacing w:line="360" w:lineRule="auto"/>
              <w:rPr>
                <w:rFonts w:hint="default" w:ascii="Times New Roman" w:hAnsi="Times New Roman" w:cs="Times New Roman"/>
                <w:b/>
                <w:color w:val="auto"/>
                <w:kern w:val="0"/>
                <w:sz w:val="24"/>
                <w:szCs w:val="30"/>
              </w:rPr>
            </w:pPr>
            <w:r>
              <w:rPr>
                <w:rFonts w:hint="default" w:ascii="Times New Roman" w:hAnsi="Times New Roman" w:cs="Times New Roman"/>
                <w:b/>
                <w:color w:val="auto"/>
                <w:kern w:val="0"/>
                <w:sz w:val="24"/>
                <w:szCs w:val="30"/>
              </w:rPr>
              <w:t>4.3.4 自行监测计划</w:t>
            </w:r>
          </w:p>
          <w:p w14:paraId="2D0E0930">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参照《排污单位自行监测技术指南 总则》(HJ819-2017)</w:t>
            </w:r>
            <w:r>
              <w:rPr>
                <w:rFonts w:hint="default" w:ascii="Times New Roman" w:hAnsi="Times New Roman" w:cs="Times New Roman"/>
                <w:color w:val="auto"/>
                <w:sz w:val="24"/>
              </w:rPr>
              <w:t>(HJ 1124—2020)</w:t>
            </w:r>
            <w:r>
              <w:rPr>
                <w:rFonts w:hint="default" w:ascii="Times New Roman" w:hAnsi="Times New Roman" w:cs="Times New Roman"/>
                <w:bCs/>
                <w:color w:val="auto"/>
                <w:sz w:val="24"/>
              </w:rPr>
              <w:t>，项目运营期应按照下列方案开展噪声自行监测。</w:t>
            </w:r>
          </w:p>
          <w:p w14:paraId="7AFCDE11">
            <w:pPr>
              <w:adjustRightInd w:val="0"/>
              <w:snapToGrid w:val="0"/>
              <w:spacing w:before="120" w:beforeLines="50"/>
              <w:jc w:val="center"/>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t>表4.3-4   噪声自行监测计划表</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60"/>
              <w:gridCol w:w="3079"/>
              <w:gridCol w:w="3104"/>
            </w:tblGrid>
            <w:tr w14:paraId="7F6B69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94" w:type="pct"/>
                  <w:noWrap w:val="0"/>
                  <w:vAlign w:val="center"/>
                </w:tcPr>
                <w:p w14:paraId="0C958593">
                  <w:pPr>
                    <w:adjustRightInd w:val="0"/>
                    <w:snapToGrid w:val="0"/>
                    <w:spacing w:line="34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监测因子</w:t>
                  </w:r>
                </w:p>
              </w:tc>
              <w:tc>
                <w:tcPr>
                  <w:tcW w:w="1845" w:type="pct"/>
                  <w:noWrap w:val="0"/>
                  <w:vAlign w:val="center"/>
                </w:tcPr>
                <w:p w14:paraId="48EC0371">
                  <w:pPr>
                    <w:adjustRightInd w:val="0"/>
                    <w:snapToGrid w:val="0"/>
                    <w:spacing w:line="34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监测点位</w:t>
                  </w:r>
                </w:p>
              </w:tc>
              <w:tc>
                <w:tcPr>
                  <w:tcW w:w="1860" w:type="pct"/>
                  <w:noWrap w:val="0"/>
                  <w:vAlign w:val="center"/>
                </w:tcPr>
                <w:p w14:paraId="303530C1">
                  <w:pPr>
                    <w:adjustRightInd w:val="0"/>
                    <w:snapToGrid w:val="0"/>
                    <w:spacing w:line="34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监测频率</w:t>
                  </w:r>
                </w:p>
              </w:tc>
            </w:tr>
            <w:tr w14:paraId="6BFCD2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94" w:type="pct"/>
                  <w:noWrap w:val="0"/>
                  <w:vAlign w:val="center"/>
                </w:tcPr>
                <w:p w14:paraId="5844AA42">
                  <w:pPr>
                    <w:adjustRightInd w:val="0"/>
                    <w:snapToGrid w:val="0"/>
                    <w:spacing w:line="34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等效连续A声级</w:t>
                  </w:r>
                </w:p>
              </w:tc>
              <w:tc>
                <w:tcPr>
                  <w:tcW w:w="1845" w:type="pct"/>
                  <w:noWrap w:val="0"/>
                  <w:vAlign w:val="center"/>
                </w:tcPr>
                <w:p w14:paraId="00413233">
                  <w:pPr>
                    <w:adjustRightInd w:val="0"/>
                    <w:snapToGrid w:val="0"/>
                    <w:spacing w:line="34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厂界四周外1m</w:t>
                  </w:r>
                </w:p>
              </w:tc>
              <w:tc>
                <w:tcPr>
                  <w:tcW w:w="1860" w:type="pct"/>
                  <w:noWrap w:val="0"/>
                  <w:vAlign w:val="center"/>
                </w:tcPr>
                <w:p w14:paraId="06EEC8DE">
                  <w:pPr>
                    <w:adjustRightInd w:val="0"/>
                    <w:snapToGrid w:val="0"/>
                    <w:spacing w:line="340" w:lineRule="exact"/>
                    <w:jc w:val="center"/>
                    <w:rPr>
                      <w:rFonts w:hint="default" w:ascii="Times New Roman" w:hAnsi="Times New Roman" w:cs="Times New Roman"/>
                      <w:bCs/>
                      <w:color w:val="auto"/>
                      <w:szCs w:val="21"/>
                    </w:rPr>
                  </w:pPr>
                  <w:r>
                    <w:rPr>
                      <w:rFonts w:hint="default" w:ascii="Times New Roman" w:hAnsi="Times New Roman" w:cs="Times New Roman"/>
                      <w:color w:val="auto"/>
                      <w:szCs w:val="21"/>
                    </w:rPr>
                    <w:t>1天/季度、1次/天(昼间</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夜间</w:t>
                  </w:r>
                  <w:r>
                    <w:rPr>
                      <w:rFonts w:hint="default" w:ascii="Times New Roman" w:hAnsi="Times New Roman" w:cs="Times New Roman"/>
                      <w:color w:val="auto"/>
                      <w:szCs w:val="21"/>
                    </w:rPr>
                    <w:t>)</w:t>
                  </w:r>
                </w:p>
              </w:tc>
            </w:tr>
          </w:tbl>
          <w:p w14:paraId="4E2365D1">
            <w:pPr>
              <w:keepNext w:val="0"/>
              <w:keepLines w:val="0"/>
              <w:pageBreakBefore w:val="0"/>
              <w:widowControl w:val="0"/>
              <w:kinsoku/>
              <w:wordWrap/>
              <w:overflowPunct/>
              <w:topLinePunct w:val="0"/>
              <w:autoSpaceDE/>
              <w:autoSpaceDN/>
              <w:bidi w:val="0"/>
              <w:adjustRightInd w:val="0"/>
              <w:snapToGrid w:val="0"/>
              <w:spacing w:before="313" w:beforeLines="100" w:after="157" w:afterLines="50" w:line="360" w:lineRule="auto"/>
              <w:textAlignment w:val="auto"/>
              <w:rPr>
                <w:rFonts w:hint="default" w:ascii="Times New Roman" w:hAnsi="Times New Roman" w:eastAsia="宋体" w:cs="Times New Roman"/>
                <w:b/>
                <w:color w:val="000000" w:themeColor="text1"/>
                <w:sz w:val="28"/>
                <w:szCs w:val="28"/>
                <w14:textFill>
                  <w14:solidFill>
                    <w14:schemeClr w14:val="tx1"/>
                  </w14:solidFill>
                </w14:textFill>
              </w:rPr>
            </w:pPr>
            <w:r>
              <w:rPr>
                <w:rFonts w:hint="default" w:ascii="Times New Roman" w:hAnsi="Times New Roman" w:eastAsia="宋体" w:cs="Times New Roman"/>
                <w:b/>
                <w:color w:val="000000" w:themeColor="text1"/>
                <w:sz w:val="28"/>
                <w:szCs w:val="28"/>
                <w14:textFill>
                  <w14:solidFill>
                    <w14:schemeClr w14:val="tx1"/>
                  </w14:solidFill>
                </w14:textFill>
              </w:rPr>
              <w:t>4.</w:t>
            </w:r>
            <w:r>
              <w:rPr>
                <w:rFonts w:hint="default" w:ascii="Times New Roman" w:hAnsi="Times New Roman" w:eastAsia="宋体" w:cs="Times New Roman"/>
                <w:b/>
                <w:color w:val="000000" w:themeColor="text1"/>
                <w:sz w:val="28"/>
                <w:szCs w:val="28"/>
                <w:lang w:val="en-US" w:eastAsia="zh-CN"/>
                <w14:textFill>
                  <w14:solidFill>
                    <w14:schemeClr w14:val="tx1"/>
                  </w14:solidFill>
                </w14:textFill>
              </w:rPr>
              <w:t>5</w:t>
            </w:r>
            <w:r>
              <w:rPr>
                <w:rFonts w:hint="default" w:ascii="Times New Roman" w:hAnsi="Times New Roman" w:eastAsia="宋体" w:cs="Times New Roman"/>
                <w:b/>
                <w:color w:val="000000" w:themeColor="text1"/>
                <w:sz w:val="28"/>
                <w:szCs w:val="28"/>
                <w14:textFill>
                  <w14:solidFill>
                    <w14:schemeClr w14:val="tx1"/>
                  </w14:solidFill>
                </w14:textFill>
              </w:rPr>
              <w:t>运营期固体废物影响分析和污染防治措施</w:t>
            </w:r>
          </w:p>
          <w:p w14:paraId="6DC814FE">
            <w:pPr>
              <w:adjustRightInd w:val="0"/>
              <w:snapToGrid w:val="0"/>
              <w:spacing w:line="360" w:lineRule="auto"/>
              <w:rPr>
                <w:rFonts w:hint="default" w:ascii="Times New Roman" w:hAnsi="Times New Roman" w:eastAsia="宋体" w:cs="Times New Roman"/>
                <w:b/>
                <w:bCs/>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kern w:val="0"/>
                <w:sz w:val="24"/>
                <w14:textFill>
                  <w14:solidFill>
                    <w14:schemeClr w14:val="tx1"/>
                  </w14:solidFill>
                </w14:textFill>
              </w:rPr>
              <w:t>4.</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 xml:space="preserve">5.1 </w:t>
            </w:r>
            <w:r>
              <w:rPr>
                <w:rFonts w:hint="default" w:ascii="Times New Roman" w:hAnsi="Times New Roman" w:eastAsia="宋体" w:cs="Times New Roman"/>
                <w:b/>
                <w:bCs/>
                <w:color w:val="000000" w:themeColor="text1"/>
                <w:kern w:val="0"/>
                <w:sz w:val="24"/>
                <w14:textFill>
                  <w14:solidFill>
                    <w14:schemeClr w14:val="tx1"/>
                  </w14:solidFill>
                </w14:textFill>
              </w:rPr>
              <w:t>运营期固废物源强核算</w:t>
            </w:r>
          </w:p>
          <w:p w14:paraId="214EBF72">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本评价根据《固体废物鉴别标准通则》（GB34330-2017）、《国家危险废物名录（202</w:t>
            </w:r>
            <w:r>
              <w:rPr>
                <w:rFonts w:hint="default" w:ascii="Times New Roman" w:hAnsi="Times New Roman" w:cs="Times New Roman"/>
                <w:color w:val="000000" w:themeColor="text1"/>
                <w:sz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highlight w:val="none"/>
                <w14:textFill>
                  <w14:solidFill>
                    <w14:schemeClr w14:val="tx1"/>
                  </w14:solidFill>
                </w14:textFill>
              </w:rPr>
              <w:t>年）》和《危险废物鉴别标准通则》（GB5085.7-2019）等相关文件对各类固体废物进行属性判定，并按照《固体废物分类与代码目录》（生态环境部公告2024年第4号）、《国家危险废物名录（202</w:t>
            </w:r>
            <w:r>
              <w:rPr>
                <w:rFonts w:hint="default" w:ascii="Times New Roman" w:hAnsi="Times New Roman" w:cs="Times New Roman"/>
                <w:color w:val="000000" w:themeColor="text1"/>
                <w:sz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highlight w:val="none"/>
                <w14:textFill>
                  <w14:solidFill>
                    <w14:schemeClr w14:val="tx1"/>
                  </w14:solidFill>
                </w14:textFill>
              </w:rPr>
              <w:t>年）》的要求确定固废代码。</w:t>
            </w:r>
          </w:p>
          <w:p w14:paraId="4073BE6B">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建设单位收集的未被病人污染的一次性废弃塑料输液瓶（袋）、</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医用未经污染的一次性玻璃瓶</w:t>
            </w:r>
            <w:r>
              <w:rPr>
                <w:rFonts w:hint="default" w:ascii="Times New Roman" w:hAnsi="Times New Roman" w:cs="Times New Roman"/>
                <w:color w:val="000000" w:themeColor="text1"/>
                <w:sz w:val="24"/>
                <w:highlight w:val="none"/>
                <w14:textFill>
                  <w14:solidFill>
                    <w14:schemeClr w14:val="tx1"/>
                  </w14:solidFill>
                </w14:textFill>
              </w:rPr>
              <w:t>以及其他日常生活废弃塑料采用吨袋包装后由建设单位运至本厂区进行清洗、造粒，收集的收购的输液瓶（袋）、医疗玻璃等不得残留废液，要求供应方进行初步处理。因此本项目不会产生残留液等危险废物。</w:t>
            </w:r>
          </w:p>
          <w:p w14:paraId="32FF47D4">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项目运营期的固体废物</w:t>
            </w:r>
            <w:r>
              <w:rPr>
                <w:rFonts w:hint="default" w:ascii="Times New Roman" w:hAnsi="Times New Roman" w:cs="Times New Roman"/>
                <w:color w:val="000000" w:themeColor="text1"/>
                <w:sz w:val="24"/>
                <w:highlight w:val="none"/>
                <w:lang w:val="en-US" w:eastAsia="zh-CN"/>
                <w14:textFill>
                  <w14:solidFill>
                    <w14:schemeClr w14:val="tx1"/>
                  </w14:solidFill>
                </w14:textFill>
              </w:rPr>
              <w:t>产生情况如下</w:t>
            </w:r>
            <w:r>
              <w:rPr>
                <w:rFonts w:hint="default" w:ascii="Times New Roman" w:hAnsi="Times New Roman" w:cs="Times New Roman"/>
                <w:color w:val="000000" w:themeColor="text1"/>
                <w:sz w:val="24"/>
                <w:highlight w:val="none"/>
                <w14:textFill>
                  <w14:solidFill>
                    <w14:schemeClr w14:val="tx1"/>
                  </w14:solidFill>
                </w14:textFill>
              </w:rPr>
              <w:t>：</w:t>
            </w:r>
          </w:p>
          <w:p w14:paraId="68F6D52B">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①</w:t>
            </w:r>
            <w:r>
              <w:rPr>
                <w:rFonts w:hint="default" w:ascii="Times New Roman" w:hAnsi="Times New Roman" w:cs="Times New Roman"/>
                <w:color w:val="000000" w:themeColor="text1"/>
                <w:sz w:val="24"/>
                <w:highlight w:val="none"/>
                <w:lang w:val="en-US" w:eastAsia="zh-CN"/>
                <w14:textFill>
                  <w14:solidFill>
                    <w14:schemeClr w14:val="tx1"/>
                  </w14:solidFill>
                </w14:textFill>
              </w:rPr>
              <w:t>废包装材料</w:t>
            </w:r>
          </w:p>
          <w:p w14:paraId="167F5487">
            <w:pPr>
              <w:pStyle w:val="48"/>
              <w:keepNext w:val="0"/>
              <w:keepLines w:val="0"/>
              <w:pageBreakBefore w:val="0"/>
              <w:widowControl w:val="0"/>
              <w:kinsoku/>
              <w:wordWrap/>
              <w:overflowPunct/>
              <w:topLinePunct w:val="0"/>
              <w:bidi w:val="0"/>
              <w:adjustRightInd/>
              <w:snapToGrid/>
              <w:spacing w:after="0" w:line="360" w:lineRule="auto"/>
              <w:ind w:left="0" w:leftChars="0" w:firstLine="480" w:firstLineChars="200"/>
              <w:rPr>
                <w:rFonts w:hint="default" w:ascii="Times New Roman" w:hAnsi="Times New Roman" w:eastAsia="宋体" w:cs="Times New Roman"/>
                <w:color w:val="auto"/>
                <w:sz w:val="24"/>
                <w:szCs w:val="24"/>
                <w:u w:val="none"/>
                <w:lang w:eastAsia="zh-CN"/>
              </w:rPr>
            </w:pP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本</w:t>
            </w:r>
            <w:r>
              <w:rPr>
                <w:rFonts w:hint="default" w:ascii="Times New Roman" w:hAnsi="Times New Roman" w:eastAsia="宋体" w:cs="Times New Roman"/>
                <w:color w:val="auto"/>
                <w:sz w:val="24"/>
                <w:szCs w:val="24"/>
                <w:u w:val="none"/>
                <w:lang w:eastAsia="zh-CN"/>
              </w:rPr>
              <w:t>项目分拣废料主要产生于医用未经污染的一次性塑料输液瓶（袋）及玻璃瓶、</w:t>
            </w:r>
            <w:r>
              <w:rPr>
                <w:rFonts w:hint="default" w:ascii="Times New Roman" w:hAnsi="Times New Roman" w:eastAsia="宋体" w:cs="Times New Roman"/>
                <w:color w:val="auto"/>
                <w:sz w:val="24"/>
                <w:szCs w:val="24"/>
                <w:u w:val="none"/>
                <w:lang w:val="en-US" w:eastAsia="zh-CN"/>
              </w:rPr>
              <w:t>生活源塑料</w:t>
            </w:r>
            <w:r>
              <w:rPr>
                <w:rFonts w:hint="default" w:ascii="Times New Roman" w:hAnsi="Times New Roman" w:eastAsia="宋体" w:cs="Times New Roman"/>
                <w:color w:val="auto"/>
                <w:sz w:val="24"/>
                <w:szCs w:val="24"/>
                <w:u w:val="none"/>
                <w:lang w:eastAsia="zh-CN"/>
              </w:rPr>
              <w:t>拆包过程，医用未经污染的一次塑料性输液瓶（袋）使用量为</w:t>
            </w:r>
            <w:r>
              <w:rPr>
                <w:rFonts w:hint="default" w:ascii="Times New Roman" w:hAnsi="Times New Roman" w:eastAsia="宋体" w:cs="Times New Roman"/>
                <w:color w:val="auto"/>
                <w:sz w:val="24"/>
                <w:szCs w:val="24"/>
                <w:u w:val="none"/>
                <w:lang w:val="en-US" w:eastAsia="zh-CN"/>
              </w:rPr>
              <w:t>64</w:t>
            </w:r>
            <w:r>
              <w:rPr>
                <w:rFonts w:hint="default" w:ascii="Times New Roman" w:hAnsi="Times New Roman" w:eastAsia="宋体" w:cs="Times New Roman"/>
                <w:color w:val="auto"/>
                <w:sz w:val="24"/>
                <w:szCs w:val="24"/>
                <w:u w:val="none"/>
                <w:lang w:eastAsia="zh-CN"/>
              </w:rPr>
              <w:t>00t，</w:t>
            </w:r>
            <w:r>
              <w:rPr>
                <w:rFonts w:hint="default" w:ascii="Times New Roman" w:hAnsi="Times New Roman" w:eastAsia="宋体" w:cs="Times New Roman"/>
                <w:color w:val="auto"/>
                <w:sz w:val="24"/>
                <w:szCs w:val="24"/>
                <w:u w:val="none"/>
                <w:lang w:val="en-US" w:eastAsia="zh-CN"/>
              </w:rPr>
              <w:t>生活源塑料使用量为4000t，</w:t>
            </w:r>
            <w:r>
              <w:rPr>
                <w:rFonts w:hint="default" w:ascii="Times New Roman" w:hAnsi="Times New Roman" w:eastAsia="宋体" w:cs="Times New Roman"/>
                <w:color w:val="auto"/>
                <w:sz w:val="24"/>
                <w:szCs w:val="24"/>
                <w:u w:val="none"/>
                <w:lang w:eastAsia="zh-CN"/>
              </w:rPr>
              <w:t>包装规格为</w:t>
            </w:r>
            <w:r>
              <w:rPr>
                <w:rFonts w:hint="default" w:ascii="Times New Roman" w:hAnsi="Times New Roman" w:eastAsia="宋体" w:cs="Times New Roman"/>
                <w:color w:val="auto"/>
                <w:sz w:val="24"/>
                <w:szCs w:val="24"/>
                <w:u w:val="none"/>
                <w:lang w:val="en-US" w:eastAsia="zh-CN"/>
              </w:rPr>
              <w:t>1t</w:t>
            </w:r>
            <w:r>
              <w:rPr>
                <w:rFonts w:hint="default" w:ascii="Times New Roman" w:hAnsi="Times New Roman" w:eastAsia="宋体" w:cs="Times New Roman"/>
                <w:color w:val="auto"/>
                <w:sz w:val="24"/>
                <w:szCs w:val="24"/>
                <w:u w:val="none"/>
                <w:lang w:eastAsia="zh-CN"/>
              </w:rPr>
              <w:t>/袋，每个包装袋重约</w:t>
            </w:r>
            <w:r>
              <w:rPr>
                <w:rFonts w:hint="default" w:ascii="Times New Roman" w:hAnsi="Times New Roman" w:eastAsia="宋体" w:cs="Times New Roman"/>
                <w:color w:val="auto"/>
                <w:sz w:val="24"/>
                <w:szCs w:val="24"/>
                <w:u w:val="none"/>
                <w:lang w:val="en-US" w:eastAsia="zh-CN"/>
              </w:rPr>
              <w:t>1.5</w:t>
            </w:r>
            <w:r>
              <w:rPr>
                <w:rFonts w:hint="default" w:ascii="Times New Roman" w:hAnsi="Times New Roman" w:eastAsia="宋体" w:cs="Times New Roman"/>
                <w:color w:val="auto"/>
                <w:sz w:val="24"/>
                <w:szCs w:val="24"/>
                <w:u w:val="none"/>
                <w:lang w:eastAsia="zh-CN"/>
              </w:rPr>
              <w:t>kg；医用未经污染的一次性玻璃瓶使用量为</w:t>
            </w:r>
            <w:r>
              <w:rPr>
                <w:rFonts w:hint="default" w:ascii="Times New Roman" w:hAnsi="Times New Roman" w:eastAsia="宋体" w:cs="Times New Roman"/>
                <w:color w:val="auto"/>
                <w:sz w:val="24"/>
                <w:szCs w:val="24"/>
                <w:u w:val="none"/>
                <w:lang w:val="en-US" w:eastAsia="zh-CN"/>
              </w:rPr>
              <w:t>40</w:t>
            </w:r>
            <w:r>
              <w:rPr>
                <w:rFonts w:hint="default" w:ascii="Times New Roman" w:hAnsi="Times New Roman" w:eastAsia="宋体" w:cs="Times New Roman"/>
                <w:color w:val="auto"/>
                <w:sz w:val="24"/>
                <w:szCs w:val="24"/>
                <w:u w:val="none"/>
                <w:lang w:eastAsia="zh-CN"/>
              </w:rPr>
              <w:t>00t，包装规格为</w:t>
            </w:r>
            <w:r>
              <w:rPr>
                <w:rFonts w:hint="default" w:ascii="Times New Roman" w:hAnsi="Times New Roman" w:eastAsia="宋体" w:cs="Times New Roman"/>
                <w:color w:val="auto"/>
                <w:sz w:val="24"/>
                <w:szCs w:val="24"/>
                <w:u w:val="none"/>
                <w:lang w:val="en-US" w:eastAsia="zh-CN"/>
              </w:rPr>
              <w:t>1t</w:t>
            </w:r>
            <w:r>
              <w:rPr>
                <w:rFonts w:hint="default" w:ascii="Times New Roman" w:hAnsi="Times New Roman" w:eastAsia="宋体" w:cs="Times New Roman"/>
                <w:color w:val="auto"/>
                <w:sz w:val="24"/>
                <w:szCs w:val="24"/>
                <w:u w:val="none"/>
                <w:lang w:eastAsia="zh-CN"/>
              </w:rPr>
              <w:t>/袋，每个包装袋重约</w:t>
            </w:r>
            <w:r>
              <w:rPr>
                <w:rFonts w:hint="default" w:ascii="Times New Roman" w:hAnsi="Times New Roman" w:eastAsia="宋体" w:cs="Times New Roman"/>
                <w:color w:val="auto"/>
                <w:sz w:val="24"/>
                <w:szCs w:val="24"/>
                <w:u w:val="none"/>
                <w:lang w:val="en-US" w:eastAsia="zh-CN"/>
              </w:rPr>
              <w:t>1.5</w:t>
            </w:r>
            <w:r>
              <w:rPr>
                <w:rFonts w:hint="default" w:ascii="Times New Roman" w:hAnsi="Times New Roman" w:eastAsia="宋体" w:cs="Times New Roman"/>
                <w:color w:val="auto"/>
                <w:sz w:val="24"/>
                <w:szCs w:val="24"/>
                <w:u w:val="none"/>
                <w:lang w:eastAsia="zh-CN"/>
              </w:rPr>
              <w:t>kg。经计算，项目</w:t>
            </w:r>
            <w:r>
              <w:rPr>
                <w:rFonts w:hint="default" w:ascii="Times New Roman" w:hAnsi="Times New Roman" w:eastAsia="宋体" w:cs="Times New Roman"/>
                <w:color w:val="auto"/>
                <w:sz w:val="24"/>
                <w:szCs w:val="24"/>
                <w:u w:val="none"/>
                <w:lang w:val="en-US" w:eastAsia="zh-CN"/>
              </w:rPr>
              <w:t>废包装材料</w:t>
            </w:r>
            <w:r>
              <w:rPr>
                <w:rFonts w:hint="default" w:ascii="Times New Roman" w:hAnsi="Times New Roman" w:eastAsia="宋体" w:cs="Times New Roman"/>
                <w:color w:val="auto"/>
                <w:sz w:val="24"/>
                <w:szCs w:val="24"/>
                <w:u w:val="none"/>
                <w:lang w:eastAsia="zh-CN"/>
              </w:rPr>
              <w:t>产生量约为</w:t>
            </w:r>
            <w:r>
              <w:rPr>
                <w:rFonts w:hint="default" w:ascii="Times New Roman" w:hAnsi="Times New Roman" w:eastAsia="宋体" w:cs="Times New Roman"/>
                <w:color w:val="auto"/>
                <w:sz w:val="24"/>
                <w:szCs w:val="24"/>
                <w:u w:val="none"/>
                <w:lang w:val="en-US" w:eastAsia="zh-CN"/>
              </w:rPr>
              <w:t>21.6</w:t>
            </w:r>
            <w:r>
              <w:rPr>
                <w:rFonts w:hint="default" w:ascii="Times New Roman" w:hAnsi="Times New Roman" w:eastAsia="宋体" w:cs="Times New Roman"/>
                <w:color w:val="auto"/>
                <w:sz w:val="24"/>
                <w:szCs w:val="24"/>
                <w:u w:val="none"/>
                <w:lang w:eastAsia="zh-CN"/>
              </w:rPr>
              <w:t>t/a，收集后外售</w:t>
            </w:r>
            <w:r>
              <w:rPr>
                <w:rFonts w:hint="default" w:ascii="Times New Roman" w:hAnsi="Times New Roman" w:eastAsia="宋体" w:cs="Times New Roman"/>
                <w:color w:val="auto"/>
                <w:kern w:val="2"/>
                <w:sz w:val="24"/>
                <w:szCs w:val="24"/>
                <w:lang w:val="en-US" w:eastAsia="zh-CN" w:bidi="ar-SA"/>
              </w:rPr>
              <w:t>，固废代码为900-003-S17。</w:t>
            </w:r>
          </w:p>
          <w:p w14:paraId="174B21E0">
            <w:pPr>
              <w:pStyle w:val="48"/>
              <w:keepNext w:val="0"/>
              <w:keepLines w:val="0"/>
              <w:pageBreakBefore w:val="0"/>
              <w:widowControl w:val="0"/>
              <w:kinsoku/>
              <w:wordWrap/>
              <w:overflowPunct/>
              <w:topLinePunct w:val="0"/>
              <w:bidi w:val="0"/>
              <w:adjustRightInd/>
              <w:snapToGrid/>
              <w:spacing w:after="0" w:line="360" w:lineRule="auto"/>
              <w:ind w:left="0" w:leftChars="0"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②清洗沉渣</w:t>
            </w:r>
          </w:p>
          <w:p w14:paraId="3E91F734">
            <w:pPr>
              <w:pStyle w:val="48"/>
              <w:keepNext w:val="0"/>
              <w:keepLines w:val="0"/>
              <w:pageBreakBefore w:val="0"/>
              <w:widowControl w:val="0"/>
              <w:kinsoku/>
              <w:wordWrap/>
              <w:overflowPunct/>
              <w:topLinePunct w:val="0"/>
              <w:bidi w:val="0"/>
              <w:adjustRightInd/>
              <w:snapToGrid/>
              <w:spacing w:after="0" w:line="360" w:lineRule="auto"/>
              <w:ind w:left="0" w:leftChars="0"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根据《排放源统计调查产排污核算方法和系数手册》（生态环境部公告2021年第24号）中“4220  非金属废料和碎屑加工处理行业系数表”废PE/PP，湿法破碎+清洗工序一般工业固废产生量为8.3kg/吨-原料、废玻璃破碎+分选+水洗一般工业固废产生量为0.3kg/吨-原料，本项目塑料原料用量10400t/a、医用玻璃瓶用量为4000t/a，则本项目破碎、清洗工序产生的沉渣为87.52t/a，主要成分为塑料沉渣、玻璃沉渣等，经压滤后含水率≤80%，暂存于一般固废间，定期交一般工业固体废物处置单位处置。参考《固体废物分类与代码目录》（生态环境部公告2024 年第4号），沉渣固废代码为900-003-S17。</w:t>
            </w:r>
          </w:p>
          <w:p w14:paraId="10A6A364">
            <w:pPr>
              <w:pStyle w:val="48"/>
              <w:keepNext w:val="0"/>
              <w:keepLines w:val="0"/>
              <w:pageBreakBefore w:val="0"/>
              <w:widowControl w:val="0"/>
              <w:kinsoku/>
              <w:wordWrap/>
              <w:overflowPunct/>
              <w:topLinePunct w:val="0"/>
              <w:bidi w:val="0"/>
              <w:adjustRightInd/>
              <w:snapToGrid/>
              <w:spacing w:after="0" w:line="360" w:lineRule="auto"/>
              <w:ind w:left="0" w:leftChars="0"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③污水处理污泥</w:t>
            </w:r>
          </w:p>
          <w:p w14:paraId="4E39C1B0">
            <w:pPr>
              <w:pStyle w:val="48"/>
              <w:keepNext w:val="0"/>
              <w:keepLines w:val="0"/>
              <w:pageBreakBefore w:val="0"/>
              <w:widowControl w:val="0"/>
              <w:kinsoku/>
              <w:wordWrap/>
              <w:overflowPunct/>
              <w:topLinePunct w:val="0"/>
              <w:bidi w:val="0"/>
              <w:adjustRightInd/>
              <w:snapToGrid/>
              <w:spacing w:after="0" w:line="360" w:lineRule="auto"/>
              <w:ind w:left="0" w:leftChars="0"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本项目废水处理设施会产生一定的格栅及污泥，其产生量约2.5t/a，参考《固体废物分类与代码目录》（生态环境部公告2024年第4号），污泥固废代码为900-099-S07。</w:t>
            </w:r>
          </w:p>
          <w:p w14:paraId="6110D8F4">
            <w:pPr>
              <w:pStyle w:val="48"/>
              <w:keepNext w:val="0"/>
              <w:keepLines w:val="0"/>
              <w:pageBreakBefore w:val="0"/>
              <w:widowControl w:val="0"/>
              <w:kinsoku/>
              <w:wordWrap/>
              <w:overflowPunct/>
              <w:topLinePunct w:val="0"/>
              <w:bidi w:val="0"/>
              <w:adjustRightInd/>
              <w:snapToGrid/>
              <w:spacing w:after="0" w:line="360" w:lineRule="auto"/>
              <w:ind w:left="0" w:leftChars="0" w:firstLine="480" w:firstLineChars="20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④废纸浆、废纸屑</w:t>
            </w:r>
          </w:p>
          <w:p w14:paraId="5F5BD7C5">
            <w:pPr>
              <w:pStyle w:val="48"/>
              <w:keepNext w:val="0"/>
              <w:keepLines w:val="0"/>
              <w:pageBreakBefore w:val="0"/>
              <w:widowControl w:val="0"/>
              <w:kinsoku/>
              <w:wordWrap/>
              <w:overflowPunct/>
              <w:topLinePunct w:val="0"/>
              <w:bidi w:val="0"/>
              <w:adjustRightInd/>
              <w:snapToGrid/>
              <w:spacing w:after="0" w:line="360" w:lineRule="auto"/>
              <w:ind w:left="0" w:leftChars="0" w:firstLine="480" w:firstLineChars="20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项目废纸浆及废纸屑分别产生于塑料碎片沉浮式分离工序及玻璃风选工序。根据企业提供资料，废纸浆约占医用未经污染的一次塑料性输液瓶（袋）使用量的0.2%，废纸屑约占医用未污染的一次性玻璃瓶使用量的0.1%，则废纸浆及废纸屑总产生量约为16.8t/a，集中收集后外售。废纸浆、废纸屑</w:t>
            </w:r>
            <w:r>
              <w:rPr>
                <w:rFonts w:hint="default" w:ascii="Times New Roman" w:hAnsi="Times New Roman" w:eastAsia="宋体" w:cs="Times New Roman"/>
                <w:color w:val="auto"/>
                <w:kern w:val="2"/>
                <w:sz w:val="24"/>
                <w:szCs w:val="24"/>
                <w:lang w:val="en-US" w:eastAsia="zh-CN" w:bidi="ar-SA"/>
              </w:rPr>
              <w:t>固废代码为900-005-S17。</w:t>
            </w:r>
          </w:p>
          <w:p w14:paraId="2826D994">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bidi="ar"/>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⑤</w:t>
            </w: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生活垃圾</w:t>
            </w:r>
          </w:p>
          <w:p w14:paraId="6DCB75FC">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cs="Times New Roman"/>
                <w:color w:val="000000" w:themeColor="text1"/>
                <w:sz w:val="24"/>
                <w:highlight w:val="yellow"/>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生活垃圾每人每天产生量按</w:t>
            </w:r>
            <w:r>
              <w:rPr>
                <w:rFonts w:hint="default" w:ascii="Times New Roman" w:hAnsi="Times New Roman" w:cs="Times New Roman"/>
                <w:color w:val="000000" w:themeColor="text1"/>
                <w:sz w:val="24"/>
                <w:highlight w:val="none"/>
                <w:lang w:val="en-US" w:eastAsia="zh-CN"/>
                <w14:textFill>
                  <w14:solidFill>
                    <w14:schemeClr w14:val="tx1"/>
                  </w14:solidFill>
                </w14:textFill>
              </w:rPr>
              <w:t>0.3</w:t>
            </w:r>
            <w:r>
              <w:rPr>
                <w:rFonts w:hint="default" w:ascii="Times New Roman" w:hAnsi="Times New Roman" w:cs="Times New Roman"/>
                <w:color w:val="000000" w:themeColor="text1"/>
                <w:sz w:val="24"/>
                <w:highlight w:val="none"/>
                <w14:textFill>
                  <w14:solidFill>
                    <w14:schemeClr w14:val="tx1"/>
                  </w14:solidFill>
                </w14:textFill>
              </w:rPr>
              <w:t>kg计算，生活垃圾产生量为</w:t>
            </w:r>
            <w:r>
              <w:rPr>
                <w:rFonts w:hint="default" w:ascii="Times New Roman" w:hAnsi="Times New Roman" w:cs="Times New Roman"/>
                <w:color w:val="000000" w:themeColor="text1"/>
                <w:sz w:val="24"/>
                <w:highlight w:val="none"/>
                <w:lang w:val="en-US" w:eastAsia="zh-CN"/>
                <w14:textFill>
                  <w14:solidFill>
                    <w14:schemeClr w14:val="tx1"/>
                  </w14:solidFill>
                </w14:textFill>
              </w:rPr>
              <w:t>1.19</w:t>
            </w:r>
            <w:r>
              <w:rPr>
                <w:rFonts w:hint="default" w:ascii="Times New Roman" w:hAnsi="Times New Roman" w:cs="Times New Roman"/>
                <w:color w:val="000000" w:themeColor="text1"/>
                <w:sz w:val="24"/>
                <w:highlight w:val="none"/>
                <w14:textFill>
                  <w14:solidFill>
                    <w14:schemeClr w14:val="tx1"/>
                  </w14:solidFill>
                </w14:textFill>
              </w:rPr>
              <w:t>t/a，由环卫部门收集后集中处理。</w:t>
            </w:r>
          </w:p>
          <w:p w14:paraId="7D06B943">
            <w:pPr>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eastAsia="zh-CN" w:bidi="ar"/>
                <w14:textFill>
                  <w14:solidFill>
                    <w14:schemeClr w14:val="tx1"/>
                  </w14:solidFill>
                </w14:textFill>
              </w:rPr>
              <w:t>综上所述，</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项目</w:t>
            </w:r>
            <w:r>
              <w:rPr>
                <w:rFonts w:hint="default" w:ascii="Times New Roman" w:hAnsi="Times New Roman" w:eastAsia="宋体" w:cs="Times New Roman"/>
                <w:color w:val="000000" w:themeColor="text1"/>
                <w:kern w:val="0"/>
                <w:sz w:val="24"/>
                <w:szCs w:val="24"/>
                <w:highlight w:val="none"/>
                <w:lang w:eastAsia="zh-CN" w:bidi="ar"/>
                <w14:textFill>
                  <w14:solidFill>
                    <w14:schemeClr w14:val="tx1"/>
                  </w14:solidFill>
                </w14:textFill>
              </w:rPr>
              <w:t>一般工业固废及生活垃圾</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固体废物污染源源强核算结果及相关参数一览表</w:t>
            </w:r>
            <w:r>
              <w:rPr>
                <w:rFonts w:hint="default" w:ascii="Times New Roman" w:hAnsi="Times New Roman" w:eastAsia="宋体" w:cs="Times New Roman"/>
                <w:color w:val="000000" w:themeColor="text1"/>
                <w:kern w:val="0"/>
                <w:sz w:val="24"/>
                <w:szCs w:val="24"/>
                <w:highlight w:val="none"/>
                <w:lang w:eastAsia="zh-CN" w:bidi="ar"/>
                <w14:textFill>
                  <w14:solidFill>
                    <w14:schemeClr w14:val="tx1"/>
                  </w14:solidFill>
                </w14:textFill>
              </w:rPr>
              <w:t>详见表</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4.5-1。</w:t>
            </w:r>
          </w:p>
          <w:p w14:paraId="06778E93">
            <w:pPr>
              <w:keepNext/>
              <w:keepLines w:val="0"/>
              <w:pageBreakBefore w:val="0"/>
              <w:widowControl w:val="0"/>
              <w:kinsoku/>
              <w:wordWrap/>
              <w:overflowPunct w:val="0"/>
              <w:topLinePunct w:val="0"/>
              <w:autoSpaceDE/>
              <w:autoSpaceDN/>
              <w:bidi w:val="0"/>
              <w:adjustRightInd/>
              <w:snapToGrid w:val="0"/>
              <w:spacing w:before="157" w:beforeLines="50" w:after="0" w:line="240" w:lineRule="auto"/>
              <w:ind w:left="0" w:firstLine="0"/>
              <w:jc w:val="center"/>
              <w:textAlignment w:val="auto"/>
              <w:outlineLvl w:val="9"/>
              <w:rPr>
                <w:rFonts w:hint="default" w:ascii="Times New Roman" w:hAnsi="Times New Roman" w:eastAsia="黑体" w:cs="Times New Roman"/>
                <w:color w:val="000000" w:themeColor="text1"/>
                <w:sz w:val="24"/>
                <w:szCs w:val="24"/>
                <w:highlight w:val="none"/>
                <w14:textFill>
                  <w14:solidFill>
                    <w14:schemeClr w14:val="tx1"/>
                  </w14:solidFill>
                </w14:textFill>
              </w:rPr>
            </w:pPr>
            <w:r>
              <w:rPr>
                <w:rFonts w:hint="default" w:ascii="Times New Roman" w:hAnsi="Times New Roman" w:eastAsia="黑体" w:cs="Times New Roman"/>
                <w:color w:val="000000" w:themeColor="text1"/>
                <w:sz w:val="24"/>
                <w:szCs w:val="24"/>
                <w:highlight w:val="none"/>
                <w:lang w:eastAsia="zh-CN"/>
                <w14:textFill>
                  <w14:solidFill>
                    <w14:schemeClr w14:val="tx1"/>
                  </w14:solidFill>
                </w14:textFill>
              </w:rPr>
              <w:t>表</w:t>
            </w:r>
            <w:r>
              <w:rPr>
                <w:rFonts w:hint="default" w:ascii="Times New Roman" w:hAnsi="Times New Roman" w:eastAsia="黑体" w:cs="Times New Roman"/>
                <w:color w:val="000000" w:themeColor="text1"/>
                <w:sz w:val="24"/>
                <w:szCs w:val="24"/>
                <w:highlight w:val="none"/>
                <w:lang w:val="en-US" w:eastAsia="zh-CN"/>
                <w14:textFill>
                  <w14:solidFill>
                    <w14:schemeClr w14:val="tx1"/>
                  </w14:solidFill>
                </w14:textFill>
              </w:rPr>
              <w:t xml:space="preserve">4.5-1 </w:t>
            </w:r>
            <w:r>
              <w:rPr>
                <w:rFonts w:hint="default" w:ascii="Times New Roman" w:hAnsi="Times New Roman" w:eastAsia="黑体" w:cs="Times New Roman"/>
                <w:color w:val="000000" w:themeColor="text1"/>
                <w:sz w:val="24"/>
                <w:szCs w:val="24"/>
                <w:highlight w:val="none"/>
                <w14:textFill>
                  <w14:solidFill>
                    <w14:schemeClr w14:val="tx1"/>
                  </w14:solidFill>
                </w14:textFill>
              </w:rPr>
              <w:t>固体废物污染源源强核算结果及相关参数一览表</w:t>
            </w:r>
          </w:p>
          <w:tbl>
            <w:tblPr>
              <w:tblStyle w:val="28"/>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28" w:type="dxa"/>
                <w:bottom w:w="0" w:type="dxa"/>
                <w:right w:w="28" w:type="dxa"/>
              </w:tblCellMar>
            </w:tblPr>
            <w:tblGrid>
              <w:gridCol w:w="721"/>
              <w:gridCol w:w="1106"/>
              <w:gridCol w:w="1310"/>
              <w:gridCol w:w="1208"/>
              <w:gridCol w:w="909"/>
              <w:gridCol w:w="629"/>
              <w:gridCol w:w="842"/>
              <w:gridCol w:w="1613"/>
            </w:tblGrid>
            <w:tr w14:paraId="2F449E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32" w:type="pct"/>
                  <w:vMerge w:val="restart"/>
                  <w:shd w:val="clear" w:color="auto" w:fill="auto"/>
                  <w:noWrap w:val="0"/>
                  <w:vAlign w:val="center"/>
                </w:tcPr>
                <w:p w14:paraId="2C817935">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产生</w:t>
                  </w:r>
                </w:p>
                <w:p w14:paraId="6E4E95C4">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环节</w:t>
                  </w:r>
                </w:p>
              </w:tc>
              <w:tc>
                <w:tcPr>
                  <w:tcW w:w="663" w:type="pct"/>
                  <w:vMerge w:val="restart"/>
                  <w:shd w:val="clear" w:color="auto" w:fill="auto"/>
                  <w:noWrap w:val="0"/>
                  <w:vAlign w:val="center"/>
                </w:tcPr>
                <w:p w14:paraId="0A379417">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固体废物</w:t>
                  </w:r>
                </w:p>
                <w:p w14:paraId="49597C51">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名称</w:t>
                  </w:r>
                </w:p>
              </w:tc>
              <w:tc>
                <w:tcPr>
                  <w:tcW w:w="785" w:type="pct"/>
                  <w:vMerge w:val="restart"/>
                  <w:shd w:val="clear" w:color="auto" w:fill="auto"/>
                  <w:noWrap w:val="0"/>
                  <w:vAlign w:val="center"/>
                </w:tcPr>
                <w:p w14:paraId="717DC5F5">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代码</w:t>
                  </w:r>
                </w:p>
              </w:tc>
              <w:tc>
                <w:tcPr>
                  <w:tcW w:w="724" w:type="pct"/>
                  <w:vMerge w:val="restart"/>
                  <w:shd w:val="clear" w:color="auto" w:fill="auto"/>
                  <w:noWrap w:val="0"/>
                  <w:vAlign w:val="center"/>
                </w:tcPr>
                <w:p w14:paraId="5C0CE656">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固废属性</w:t>
                  </w:r>
                </w:p>
              </w:tc>
              <w:tc>
                <w:tcPr>
                  <w:tcW w:w="545" w:type="pct"/>
                  <w:shd w:val="clear" w:color="auto" w:fill="auto"/>
                  <w:noWrap w:val="0"/>
                  <w:vAlign w:val="center"/>
                </w:tcPr>
                <w:p w14:paraId="51E78CCA">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产生情况</w:t>
                  </w:r>
                </w:p>
              </w:tc>
              <w:tc>
                <w:tcPr>
                  <w:tcW w:w="882" w:type="pct"/>
                  <w:gridSpan w:val="2"/>
                  <w:shd w:val="clear" w:color="auto" w:fill="auto"/>
                  <w:noWrap w:val="0"/>
                  <w:vAlign w:val="center"/>
                </w:tcPr>
                <w:p w14:paraId="3B65E689">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处置措施</w:t>
                  </w:r>
                </w:p>
              </w:tc>
              <w:tc>
                <w:tcPr>
                  <w:tcW w:w="967" w:type="pct"/>
                  <w:vMerge w:val="restart"/>
                  <w:shd w:val="clear" w:color="auto" w:fill="auto"/>
                  <w:noWrap w:val="0"/>
                  <w:vAlign w:val="center"/>
                </w:tcPr>
                <w:p w14:paraId="6B579332">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最终去向</w:t>
                  </w:r>
                </w:p>
              </w:tc>
            </w:tr>
            <w:tr w14:paraId="3F44CA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397" w:hRule="atLeast"/>
                <w:jc w:val="center"/>
              </w:trPr>
              <w:tc>
                <w:tcPr>
                  <w:tcW w:w="432" w:type="pct"/>
                  <w:vMerge w:val="continue"/>
                  <w:shd w:val="clear" w:color="auto" w:fill="auto"/>
                  <w:noWrap w:val="0"/>
                  <w:vAlign w:val="center"/>
                </w:tcPr>
                <w:p w14:paraId="3582BEAF">
                  <w:pPr>
                    <w:pStyle w:val="96"/>
                    <w:rPr>
                      <w:rFonts w:hint="default" w:ascii="Times New Roman" w:hAnsi="Times New Roman" w:eastAsia="宋体" w:cs="Times New Roman"/>
                      <w:color w:val="auto"/>
                      <w:kern w:val="2"/>
                      <w:sz w:val="18"/>
                      <w:szCs w:val="18"/>
                      <w:highlight w:val="none"/>
                      <w:lang w:val="en-US" w:eastAsia="zh-CN" w:bidi="ar-SA"/>
                    </w:rPr>
                  </w:pPr>
                </w:p>
              </w:tc>
              <w:tc>
                <w:tcPr>
                  <w:tcW w:w="663" w:type="pct"/>
                  <w:vMerge w:val="continue"/>
                  <w:shd w:val="clear" w:color="auto" w:fill="auto"/>
                  <w:noWrap w:val="0"/>
                  <w:vAlign w:val="center"/>
                </w:tcPr>
                <w:p w14:paraId="52AF6618">
                  <w:pPr>
                    <w:pStyle w:val="96"/>
                    <w:rPr>
                      <w:rFonts w:hint="default" w:ascii="Times New Roman" w:hAnsi="Times New Roman" w:eastAsia="宋体" w:cs="Times New Roman"/>
                      <w:color w:val="auto"/>
                      <w:kern w:val="2"/>
                      <w:sz w:val="18"/>
                      <w:szCs w:val="18"/>
                      <w:highlight w:val="none"/>
                      <w:lang w:val="en-US" w:eastAsia="zh-CN" w:bidi="ar-SA"/>
                    </w:rPr>
                  </w:pPr>
                </w:p>
              </w:tc>
              <w:tc>
                <w:tcPr>
                  <w:tcW w:w="785" w:type="pct"/>
                  <w:vMerge w:val="continue"/>
                  <w:shd w:val="clear" w:color="auto" w:fill="auto"/>
                  <w:noWrap w:val="0"/>
                  <w:vAlign w:val="center"/>
                </w:tcPr>
                <w:p w14:paraId="307B0EE6">
                  <w:pPr>
                    <w:pStyle w:val="96"/>
                    <w:rPr>
                      <w:rFonts w:hint="default" w:ascii="Times New Roman" w:hAnsi="Times New Roman" w:eastAsia="宋体" w:cs="Times New Roman"/>
                      <w:color w:val="auto"/>
                      <w:kern w:val="2"/>
                      <w:sz w:val="18"/>
                      <w:szCs w:val="18"/>
                      <w:highlight w:val="none"/>
                      <w:lang w:val="en-US" w:eastAsia="zh-CN" w:bidi="ar-SA"/>
                    </w:rPr>
                  </w:pPr>
                </w:p>
              </w:tc>
              <w:tc>
                <w:tcPr>
                  <w:tcW w:w="724" w:type="pct"/>
                  <w:vMerge w:val="continue"/>
                  <w:shd w:val="clear" w:color="auto" w:fill="auto"/>
                  <w:noWrap w:val="0"/>
                  <w:vAlign w:val="center"/>
                </w:tcPr>
                <w:p w14:paraId="7E918282">
                  <w:pPr>
                    <w:pStyle w:val="96"/>
                    <w:rPr>
                      <w:rFonts w:hint="default" w:ascii="Times New Roman" w:hAnsi="Times New Roman" w:eastAsia="宋体" w:cs="Times New Roman"/>
                      <w:color w:val="auto"/>
                      <w:kern w:val="2"/>
                      <w:sz w:val="18"/>
                      <w:szCs w:val="18"/>
                      <w:highlight w:val="none"/>
                      <w:lang w:val="en-US" w:eastAsia="zh-CN" w:bidi="ar-SA"/>
                    </w:rPr>
                  </w:pPr>
                </w:p>
              </w:tc>
              <w:tc>
                <w:tcPr>
                  <w:tcW w:w="545" w:type="pct"/>
                  <w:shd w:val="clear" w:color="auto" w:fill="auto"/>
                  <w:noWrap w:val="0"/>
                  <w:vAlign w:val="center"/>
                </w:tcPr>
                <w:p w14:paraId="2294CA4B">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产生量t/a</w:t>
                  </w:r>
                </w:p>
              </w:tc>
              <w:tc>
                <w:tcPr>
                  <w:tcW w:w="377" w:type="pct"/>
                  <w:shd w:val="clear" w:color="auto" w:fill="auto"/>
                  <w:noWrap w:val="0"/>
                  <w:vAlign w:val="center"/>
                </w:tcPr>
                <w:p w14:paraId="10367BE6">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工艺</w:t>
                  </w:r>
                </w:p>
              </w:tc>
              <w:tc>
                <w:tcPr>
                  <w:tcW w:w="504" w:type="pct"/>
                  <w:shd w:val="clear" w:color="auto" w:fill="auto"/>
                  <w:noWrap w:val="0"/>
                  <w:vAlign w:val="center"/>
                </w:tcPr>
                <w:p w14:paraId="2CE2921A">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处置量t/a</w:t>
                  </w:r>
                </w:p>
              </w:tc>
              <w:tc>
                <w:tcPr>
                  <w:tcW w:w="967" w:type="pct"/>
                  <w:vMerge w:val="continue"/>
                  <w:shd w:val="clear" w:color="auto" w:fill="auto"/>
                  <w:noWrap w:val="0"/>
                  <w:vAlign w:val="center"/>
                </w:tcPr>
                <w:p w14:paraId="19891784">
                  <w:pPr>
                    <w:pStyle w:val="96"/>
                    <w:rPr>
                      <w:rFonts w:hint="default" w:ascii="Times New Roman" w:hAnsi="Times New Roman" w:eastAsia="宋体" w:cs="Times New Roman"/>
                      <w:color w:val="auto"/>
                      <w:kern w:val="2"/>
                      <w:sz w:val="18"/>
                      <w:szCs w:val="18"/>
                      <w:highlight w:val="none"/>
                      <w:lang w:val="en-US" w:eastAsia="zh-CN" w:bidi="ar-SA"/>
                    </w:rPr>
                  </w:pPr>
                </w:p>
              </w:tc>
            </w:tr>
            <w:tr w14:paraId="3690BD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397" w:hRule="atLeast"/>
                <w:jc w:val="center"/>
              </w:trPr>
              <w:tc>
                <w:tcPr>
                  <w:tcW w:w="432" w:type="pct"/>
                  <w:shd w:val="clear" w:color="auto" w:fill="auto"/>
                  <w:noWrap w:val="0"/>
                  <w:vAlign w:val="center"/>
                </w:tcPr>
                <w:p w14:paraId="457EEB94">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分选</w:t>
                  </w:r>
                </w:p>
              </w:tc>
              <w:tc>
                <w:tcPr>
                  <w:tcW w:w="663" w:type="pct"/>
                  <w:shd w:val="clear" w:color="auto" w:fill="auto"/>
                  <w:noWrap w:val="0"/>
                  <w:vAlign w:val="center"/>
                </w:tcPr>
                <w:p w14:paraId="4EC3E8F7">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废包装材料</w:t>
                  </w:r>
                </w:p>
              </w:tc>
              <w:tc>
                <w:tcPr>
                  <w:tcW w:w="785" w:type="pct"/>
                  <w:shd w:val="clear" w:color="auto" w:fill="auto"/>
                  <w:noWrap w:val="0"/>
                  <w:vAlign w:val="center"/>
                </w:tcPr>
                <w:p w14:paraId="043EADE1">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900-003-S17</w:t>
                  </w:r>
                </w:p>
              </w:tc>
              <w:tc>
                <w:tcPr>
                  <w:tcW w:w="724" w:type="pct"/>
                  <w:shd w:val="clear" w:color="auto" w:fill="auto"/>
                  <w:noWrap w:val="0"/>
                  <w:vAlign w:val="center"/>
                </w:tcPr>
                <w:p w14:paraId="34C7D65E">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一般工业固废</w:t>
                  </w:r>
                </w:p>
              </w:tc>
              <w:tc>
                <w:tcPr>
                  <w:tcW w:w="545" w:type="pct"/>
                  <w:shd w:val="clear" w:color="auto" w:fill="auto"/>
                  <w:noWrap w:val="0"/>
                  <w:vAlign w:val="center"/>
                </w:tcPr>
                <w:p w14:paraId="7EFF896F">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21.6</w:t>
                  </w:r>
                </w:p>
              </w:tc>
              <w:tc>
                <w:tcPr>
                  <w:tcW w:w="377" w:type="pct"/>
                  <w:vMerge w:val="restart"/>
                  <w:shd w:val="clear" w:color="auto" w:fill="auto"/>
                  <w:noWrap w:val="0"/>
                  <w:vAlign w:val="center"/>
                </w:tcPr>
                <w:p w14:paraId="25FDBFD5">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综合</w:t>
                  </w:r>
                </w:p>
                <w:p w14:paraId="5A50EE07">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利用</w:t>
                  </w:r>
                </w:p>
              </w:tc>
              <w:tc>
                <w:tcPr>
                  <w:tcW w:w="842" w:type="dxa"/>
                  <w:shd w:val="clear" w:color="auto" w:fill="auto"/>
                  <w:noWrap w:val="0"/>
                  <w:vAlign w:val="center"/>
                </w:tcPr>
                <w:p w14:paraId="0F82E94B">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21.6</w:t>
                  </w:r>
                </w:p>
              </w:tc>
              <w:tc>
                <w:tcPr>
                  <w:tcW w:w="967" w:type="pct"/>
                  <w:shd w:val="clear" w:color="auto" w:fill="auto"/>
                  <w:noWrap w:val="0"/>
                  <w:vAlign w:val="center"/>
                </w:tcPr>
                <w:p w14:paraId="7872F937">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外售综合利用</w:t>
                  </w:r>
                </w:p>
              </w:tc>
            </w:tr>
            <w:tr w14:paraId="0FB729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397" w:hRule="atLeast"/>
                <w:jc w:val="center"/>
              </w:trPr>
              <w:tc>
                <w:tcPr>
                  <w:tcW w:w="432" w:type="pct"/>
                  <w:vMerge w:val="restart"/>
                  <w:shd w:val="clear" w:color="auto" w:fill="auto"/>
                  <w:noWrap w:val="0"/>
                  <w:vAlign w:val="center"/>
                </w:tcPr>
                <w:p w14:paraId="5F7A5344">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清洗</w:t>
                  </w:r>
                </w:p>
              </w:tc>
              <w:tc>
                <w:tcPr>
                  <w:tcW w:w="663" w:type="pct"/>
                  <w:shd w:val="clear" w:color="auto" w:fill="auto"/>
                  <w:noWrap w:val="0"/>
                  <w:vAlign w:val="center"/>
                </w:tcPr>
                <w:p w14:paraId="35BCE997">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清洗沉渣</w:t>
                  </w:r>
                </w:p>
              </w:tc>
              <w:tc>
                <w:tcPr>
                  <w:tcW w:w="785" w:type="pct"/>
                  <w:shd w:val="clear" w:color="auto" w:fill="auto"/>
                  <w:noWrap w:val="0"/>
                  <w:vAlign w:val="center"/>
                </w:tcPr>
                <w:p w14:paraId="1FA18CF5">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900-003-S17</w:t>
                  </w:r>
                </w:p>
              </w:tc>
              <w:tc>
                <w:tcPr>
                  <w:tcW w:w="724" w:type="pct"/>
                  <w:shd w:val="clear" w:color="auto" w:fill="auto"/>
                  <w:noWrap w:val="0"/>
                  <w:vAlign w:val="center"/>
                </w:tcPr>
                <w:p w14:paraId="0C8B95CE">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一般工业固废</w:t>
                  </w:r>
                </w:p>
              </w:tc>
              <w:tc>
                <w:tcPr>
                  <w:tcW w:w="545" w:type="pct"/>
                  <w:shd w:val="clear" w:color="auto" w:fill="auto"/>
                  <w:noWrap w:val="0"/>
                  <w:vAlign w:val="center"/>
                </w:tcPr>
                <w:p w14:paraId="614F3B9D">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87.52</w:t>
                  </w:r>
                </w:p>
              </w:tc>
              <w:tc>
                <w:tcPr>
                  <w:tcW w:w="377" w:type="pct"/>
                  <w:vMerge w:val="continue"/>
                  <w:shd w:val="clear" w:color="auto" w:fill="auto"/>
                  <w:noWrap w:val="0"/>
                  <w:vAlign w:val="center"/>
                </w:tcPr>
                <w:p w14:paraId="13A6AA91">
                  <w:pPr>
                    <w:pStyle w:val="96"/>
                    <w:rPr>
                      <w:rFonts w:hint="default" w:ascii="Times New Roman" w:hAnsi="Times New Roman" w:eastAsia="宋体" w:cs="Times New Roman"/>
                      <w:color w:val="auto"/>
                      <w:kern w:val="2"/>
                      <w:sz w:val="18"/>
                      <w:szCs w:val="18"/>
                      <w:highlight w:val="none"/>
                      <w:lang w:val="en-US" w:eastAsia="zh-CN" w:bidi="ar-SA"/>
                    </w:rPr>
                  </w:pPr>
                </w:p>
              </w:tc>
              <w:tc>
                <w:tcPr>
                  <w:tcW w:w="842" w:type="dxa"/>
                  <w:shd w:val="clear" w:color="auto" w:fill="auto"/>
                  <w:noWrap w:val="0"/>
                  <w:vAlign w:val="center"/>
                </w:tcPr>
                <w:p w14:paraId="012C7BB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87.52</w:t>
                  </w:r>
                </w:p>
              </w:tc>
              <w:tc>
                <w:tcPr>
                  <w:tcW w:w="967" w:type="pct"/>
                  <w:shd w:val="clear" w:color="auto" w:fill="auto"/>
                  <w:noWrap w:val="0"/>
                  <w:vAlign w:val="center"/>
                </w:tcPr>
                <w:p w14:paraId="43DCCD01">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外售综合利用</w:t>
                  </w:r>
                </w:p>
              </w:tc>
            </w:tr>
            <w:tr w14:paraId="70BB75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397" w:hRule="atLeast"/>
                <w:jc w:val="center"/>
              </w:trPr>
              <w:tc>
                <w:tcPr>
                  <w:tcW w:w="432" w:type="pct"/>
                  <w:vMerge w:val="continue"/>
                  <w:shd w:val="clear" w:color="auto" w:fill="auto"/>
                  <w:noWrap w:val="0"/>
                  <w:vAlign w:val="center"/>
                </w:tcPr>
                <w:p w14:paraId="7EAC208C">
                  <w:pPr>
                    <w:pStyle w:val="96"/>
                    <w:rPr>
                      <w:rFonts w:hint="default" w:ascii="Times New Roman" w:hAnsi="Times New Roman" w:eastAsia="宋体" w:cs="Times New Roman"/>
                      <w:color w:val="auto"/>
                      <w:kern w:val="2"/>
                      <w:sz w:val="18"/>
                      <w:szCs w:val="18"/>
                      <w:highlight w:val="none"/>
                      <w:lang w:val="en-US" w:eastAsia="zh-CN" w:bidi="ar-SA"/>
                    </w:rPr>
                  </w:pPr>
                </w:p>
              </w:tc>
              <w:tc>
                <w:tcPr>
                  <w:tcW w:w="663" w:type="pct"/>
                  <w:shd w:val="clear" w:color="auto" w:fill="auto"/>
                  <w:noWrap w:val="0"/>
                  <w:vAlign w:val="center"/>
                </w:tcPr>
                <w:p w14:paraId="3D184326">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废纸浆、废纸屑</w:t>
                  </w:r>
                </w:p>
              </w:tc>
              <w:tc>
                <w:tcPr>
                  <w:tcW w:w="785" w:type="pct"/>
                  <w:shd w:val="clear" w:color="auto" w:fill="auto"/>
                  <w:noWrap w:val="0"/>
                  <w:vAlign w:val="center"/>
                </w:tcPr>
                <w:p w14:paraId="7779ECD8">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900-005-S17</w:t>
                  </w:r>
                </w:p>
              </w:tc>
              <w:tc>
                <w:tcPr>
                  <w:tcW w:w="724" w:type="pct"/>
                  <w:shd w:val="clear" w:color="auto" w:fill="auto"/>
                  <w:noWrap w:val="0"/>
                  <w:vAlign w:val="center"/>
                </w:tcPr>
                <w:p w14:paraId="61E862FF">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一般工业固废</w:t>
                  </w:r>
                </w:p>
              </w:tc>
              <w:tc>
                <w:tcPr>
                  <w:tcW w:w="545" w:type="pct"/>
                  <w:shd w:val="clear" w:color="auto" w:fill="auto"/>
                  <w:noWrap w:val="0"/>
                  <w:vAlign w:val="center"/>
                </w:tcPr>
                <w:p w14:paraId="6FC63BE0">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16.8</w:t>
                  </w:r>
                </w:p>
              </w:tc>
              <w:tc>
                <w:tcPr>
                  <w:tcW w:w="377" w:type="pct"/>
                  <w:vMerge w:val="continue"/>
                  <w:shd w:val="clear" w:color="auto" w:fill="auto"/>
                  <w:noWrap w:val="0"/>
                  <w:vAlign w:val="center"/>
                </w:tcPr>
                <w:p w14:paraId="072641C3">
                  <w:pPr>
                    <w:pStyle w:val="96"/>
                    <w:rPr>
                      <w:rFonts w:hint="default" w:ascii="Times New Roman" w:hAnsi="Times New Roman" w:eastAsia="宋体" w:cs="Times New Roman"/>
                      <w:color w:val="auto"/>
                      <w:kern w:val="2"/>
                      <w:sz w:val="18"/>
                      <w:szCs w:val="18"/>
                      <w:highlight w:val="none"/>
                      <w:lang w:val="en-US" w:eastAsia="zh-CN" w:bidi="ar-SA"/>
                    </w:rPr>
                  </w:pPr>
                </w:p>
              </w:tc>
              <w:tc>
                <w:tcPr>
                  <w:tcW w:w="842" w:type="dxa"/>
                  <w:shd w:val="clear" w:color="auto" w:fill="auto"/>
                  <w:noWrap w:val="0"/>
                  <w:vAlign w:val="center"/>
                </w:tcPr>
                <w:p w14:paraId="7FF76DD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16.8</w:t>
                  </w:r>
                </w:p>
              </w:tc>
              <w:tc>
                <w:tcPr>
                  <w:tcW w:w="967" w:type="pct"/>
                  <w:shd w:val="clear" w:color="auto" w:fill="auto"/>
                  <w:noWrap w:val="0"/>
                  <w:vAlign w:val="center"/>
                </w:tcPr>
                <w:p w14:paraId="1E81421C">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外售综合利用</w:t>
                  </w:r>
                </w:p>
              </w:tc>
            </w:tr>
            <w:tr w14:paraId="23F9FD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397" w:hRule="atLeast"/>
                <w:jc w:val="center"/>
              </w:trPr>
              <w:tc>
                <w:tcPr>
                  <w:tcW w:w="432" w:type="pct"/>
                  <w:shd w:val="clear" w:color="auto" w:fill="auto"/>
                  <w:noWrap w:val="0"/>
                  <w:vAlign w:val="center"/>
                </w:tcPr>
                <w:p w14:paraId="2E32C15F">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污水处理设施</w:t>
                  </w:r>
                </w:p>
              </w:tc>
              <w:tc>
                <w:tcPr>
                  <w:tcW w:w="663" w:type="pct"/>
                  <w:shd w:val="clear" w:color="auto" w:fill="auto"/>
                  <w:noWrap w:val="0"/>
                  <w:vAlign w:val="center"/>
                </w:tcPr>
                <w:p w14:paraId="05368DD4">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污泥</w:t>
                  </w:r>
                </w:p>
              </w:tc>
              <w:tc>
                <w:tcPr>
                  <w:tcW w:w="785" w:type="pct"/>
                  <w:shd w:val="clear" w:color="auto" w:fill="auto"/>
                  <w:noWrap w:val="0"/>
                  <w:vAlign w:val="center"/>
                </w:tcPr>
                <w:p w14:paraId="458AB5AA">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900-099-S07</w:t>
                  </w:r>
                </w:p>
              </w:tc>
              <w:tc>
                <w:tcPr>
                  <w:tcW w:w="724" w:type="pct"/>
                  <w:shd w:val="clear" w:color="auto" w:fill="auto"/>
                  <w:noWrap w:val="0"/>
                  <w:vAlign w:val="center"/>
                </w:tcPr>
                <w:p w14:paraId="4FD75C79">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一般工业固废</w:t>
                  </w:r>
                </w:p>
              </w:tc>
              <w:tc>
                <w:tcPr>
                  <w:tcW w:w="545" w:type="pct"/>
                  <w:shd w:val="clear" w:color="auto" w:fill="auto"/>
                  <w:noWrap w:val="0"/>
                  <w:vAlign w:val="center"/>
                </w:tcPr>
                <w:p w14:paraId="2ED25D59">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2.5</w:t>
                  </w:r>
                </w:p>
              </w:tc>
              <w:tc>
                <w:tcPr>
                  <w:tcW w:w="377" w:type="pct"/>
                  <w:vMerge w:val="continue"/>
                  <w:shd w:val="clear" w:color="auto" w:fill="auto"/>
                  <w:noWrap w:val="0"/>
                  <w:vAlign w:val="center"/>
                </w:tcPr>
                <w:p w14:paraId="2CD8E34A">
                  <w:pPr>
                    <w:pStyle w:val="96"/>
                    <w:rPr>
                      <w:rFonts w:hint="default" w:ascii="Times New Roman" w:hAnsi="Times New Roman" w:eastAsia="宋体" w:cs="Times New Roman"/>
                      <w:color w:val="auto"/>
                      <w:kern w:val="2"/>
                      <w:sz w:val="18"/>
                      <w:szCs w:val="18"/>
                      <w:highlight w:val="none"/>
                      <w:lang w:val="en-US" w:eastAsia="zh-CN" w:bidi="ar-SA"/>
                    </w:rPr>
                  </w:pPr>
                </w:p>
              </w:tc>
              <w:tc>
                <w:tcPr>
                  <w:tcW w:w="842" w:type="dxa"/>
                  <w:shd w:val="clear" w:color="auto" w:fill="auto"/>
                  <w:noWrap w:val="0"/>
                  <w:vAlign w:val="center"/>
                </w:tcPr>
                <w:p w14:paraId="2EF696C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2.5</w:t>
                  </w:r>
                </w:p>
              </w:tc>
              <w:tc>
                <w:tcPr>
                  <w:tcW w:w="967" w:type="pct"/>
                  <w:shd w:val="clear" w:color="auto" w:fill="auto"/>
                  <w:noWrap w:val="0"/>
                  <w:vAlign w:val="center"/>
                </w:tcPr>
                <w:p w14:paraId="2EE4D3F2">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外售综合利用</w:t>
                  </w:r>
                </w:p>
              </w:tc>
            </w:tr>
            <w:tr w14:paraId="57865E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397" w:hRule="atLeast"/>
                <w:jc w:val="center"/>
              </w:trPr>
              <w:tc>
                <w:tcPr>
                  <w:tcW w:w="432" w:type="pct"/>
                  <w:shd w:val="clear" w:color="auto" w:fill="auto"/>
                  <w:noWrap w:val="0"/>
                  <w:vAlign w:val="center"/>
                </w:tcPr>
                <w:p w14:paraId="1B129BA8">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办公区</w:t>
                  </w:r>
                </w:p>
              </w:tc>
              <w:tc>
                <w:tcPr>
                  <w:tcW w:w="663" w:type="pct"/>
                  <w:shd w:val="clear" w:color="auto" w:fill="auto"/>
                  <w:noWrap w:val="0"/>
                  <w:vAlign w:val="center"/>
                </w:tcPr>
                <w:p w14:paraId="16E5D5BC">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生活垃圾</w:t>
                  </w:r>
                </w:p>
              </w:tc>
              <w:tc>
                <w:tcPr>
                  <w:tcW w:w="785" w:type="pct"/>
                  <w:shd w:val="clear" w:color="auto" w:fill="auto"/>
                  <w:noWrap w:val="0"/>
                  <w:vAlign w:val="center"/>
                </w:tcPr>
                <w:p w14:paraId="1FBB3233">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w:t>
                  </w:r>
                </w:p>
              </w:tc>
              <w:tc>
                <w:tcPr>
                  <w:tcW w:w="724" w:type="pct"/>
                  <w:shd w:val="clear" w:color="auto" w:fill="auto"/>
                  <w:noWrap w:val="0"/>
                  <w:vAlign w:val="center"/>
                </w:tcPr>
                <w:p w14:paraId="33CFB7D8">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生活垃圾</w:t>
                  </w:r>
                </w:p>
              </w:tc>
              <w:tc>
                <w:tcPr>
                  <w:tcW w:w="545" w:type="pct"/>
                  <w:shd w:val="clear" w:color="auto" w:fill="auto"/>
                  <w:noWrap w:val="0"/>
                  <w:vAlign w:val="center"/>
                </w:tcPr>
                <w:p w14:paraId="3CBBB8D8">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1.19</w:t>
                  </w:r>
                </w:p>
              </w:tc>
              <w:tc>
                <w:tcPr>
                  <w:tcW w:w="377" w:type="pct"/>
                  <w:shd w:val="clear" w:color="auto" w:fill="auto"/>
                  <w:noWrap w:val="0"/>
                  <w:vAlign w:val="center"/>
                </w:tcPr>
                <w:p w14:paraId="331FF270">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清运</w:t>
                  </w:r>
                </w:p>
              </w:tc>
              <w:tc>
                <w:tcPr>
                  <w:tcW w:w="842" w:type="dxa"/>
                  <w:shd w:val="clear" w:color="auto" w:fill="auto"/>
                  <w:noWrap w:val="0"/>
                  <w:vAlign w:val="center"/>
                </w:tcPr>
                <w:p w14:paraId="66E34845">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1.19</w:t>
                  </w:r>
                </w:p>
              </w:tc>
              <w:tc>
                <w:tcPr>
                  <w:tcW w:w="967" w:type="pct"/>
                  <w:shd w:val="clear" w:color="auto" w:fill="auto"/>
                  <w:noWrap w:val="0"/>
                  <w:vAlign w:val="center"/>
                </w:tcPr>
                <w:p w14:paraId="1CCA8F99">
                  <w:pPr>
                    <w:pStyle w:val="96"/>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环卫部门统一处置</w:t>
                  </w:r>
                </w:p>
              </w:tc>
            </w:tr>
          </w:tbl>
          <w:p w14:paraId="218E37F0">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kern w:val="0"/>
                <w:sz w:val="24"/>
                <w14:textFill>
                  <w14:solidFill>
                    <w14:schemeClr w14:val="tx1"/>
                  </w14:solidFill>
                </w14:textFill>
              </w:rPr>
              <w:t>4.</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5.2</w:t>
            </w:r>
            <w:r>
              <w:rPr>
                <w:rFonts w:hint="default" w:ascii="Times New Roman" w:hAnsi="Times New Roman" w:eastAsia="宋体" w:cs="Times New Roman"/>
                <w:b/>
                <w:bCs/>
                <w:color w:val="000000" w:themeColor="text1"/>
                <w:kern w:val="0"/>
                <w:sz w:val="24"/>
                <w14:textFill>
                  <w14:solidFill>
                    <w14:schemeClr w14:val="tx1"/>
                  </w14:solidFill>
                </w14:textFill>
              </w:rPr>
              <w:t xml:space="preserve"> </w:t>
            </w:r>
            <w:r>
              <w:rPr>
                <w:rFonts w:hint="default" w:ascii="Times New Roman" w:hAnsi="Times New Roman" w:eastAsia="宋体" w:cs="Times New Roman"/>
                <w:b/>
                <w:color w:val="000000" w:themeColor="text1"/>
                <w:sz w:val="24"/>
                <w14:textFill>
                  <w14:solidFill>
                    <w14:schemeClr w14:val="tx1"/>
                  </w14:solidFill>
                </w14:textFill>
              </w:rPr>
              <w:t>固体废物管理要求</w:t>
            </w:r>
          </w:p>
          <w:p w14:paraId="554BD42E">
            <w:pPr>
              <w:pStyle w:val="111"/>
              <w:adjustRightInd w:val="0"/>
              <w:snapToGrid w:val="0"/>
              <w:spacing w:line="360" w:lineRule="auto"/>
              <w:ind w:firstLine="480"/>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根据国家《一般工业固体废物贮存和填埋污染控制标准》（GB18599-2020）的要求，一般工业固体废物的贮存和管理应做到：</w:t>
            </w:r>
          </w:p>
          <w:p w14:paraId="402B1DED">
            <w:pPr>
              <w:pStyle w:val="111"/>
              <w:adjustRightInd w:val="0"/>
              <w:snapToGrid w:val="0"/>
              <w:spacing w:line="360" w:lineRule="auto"/>
              <w:ind w:firstLine="480"/>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①一般工业固体废物应按Ⅰ类和Ⅱ类废物分别储存，建立分类收集房。不允许将危险废物和生活垃圾混入。</w:t>
            </w:r>
          </w:p>
          <w:p w14:paraId="4C37F22F">
            <w:pPr>
              <w:pStyle w:val="111"/>
              <w:adjustRightInd w:val="0"/>
              <w:snapToGrid w:val="0"/>
              <w:spacing w:line="360" w:lineRule="auto"/>
              <w:ind w:firstLine="480"/>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②尽量将可利用的一般工业固体废物回收、利用。</w:t>
            </w:r>
          </w:p>
          <w:p w14:paraId="2E6F15F5">
            <w:pPr>
              <w:pStyle w:val="111"/>
              <w:adjustRightInd w:val="0"/>
              <w:snapToGrid w:val="0"/>
              <w:spacing w:line="360" w:lineRule="auto"/>
              <w:ind w:firstLine="480"/>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③临时储存地点必须建有雨棚，不允许露天堆放，以防止雨水冲刷，雨水应通过场地四周导流渠流向雨水排放管；临时堆放场地为水泥铺设地面，以防渗漏。</w:t>
            </w:r>
          </w:p>
          <w:p w14:paraId="2AFA8370">
            <w:pPr>
              <w:pStyle w:val="111"/>
              <w:adjustRightInd w:val="0"/>
              <w:snapToGrid w:val="0"/>
              <w:spacing w:line="360" w:lineRule="auto"/>
              <w:ind w:firstLine="480"/>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④为加强管理监督，贮存、处置场所应按《环境保护图形标志－固体废物贮存（处置）场所》（GB15562.2-1995）设置环境保护图形标志。</w:t>
            </w:r>
          </w:p>
          <w:p w14:paraId="17CB9B50">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Style w:val="46"/>
                <w:rFonts w:hint="default" w:ascii="Times New Roman" w:hAnsi="Times New Roman" w:eastAsia="宋体" w:cs="Times New Roman"/>
                <w:b/>
                <w:bCs/>
                <w:color w:val="000000" w:themeColor="text1"/>
                <w:sz w:val="28"/>
                <w:szCs w:val="28"/>
                <w:highlight w:val="none"/>
                <w:lang w:eastAsia="zh-CN"/>
                <w14:textFill>
                  <w14:solidFill>
                    <w14:schemeClr w14:val="tx1"/>
                  </w14:solidFill>
                </w14:textFill>
              </w:rPr>
            </w:pPr>
            <w:r>
              <w:rPr>
                <w:rStyle w:val="46"/>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t>4.6</w:t>
            </w:r>
            <w:r>
              <w:rPr>
                <w:rStyle w:val="46"/>
                <w:rFonts w:hint="default" w:ascii="Times New Roman" w:hAnsi="Times New Roman" w:eastAsia="宋体" w:cs="Times New Roman"/>
                <w:b/>
                <w:bCs/>
                <w:color w:val="000000" w:themeColor="text1"/>
                <w:sz w:val="28"/>
                <w:szCs w:val="28"/>
                <w:highlight w:val="none"/>
                <w:lang w:eastAsia="zh-CN"/>
                <w14:textFill>
                  <w14:solidFill>
                    <w14:schemeClr w14:val="tx1"/>
                  </w14:solidFill>
                </w14:textFill>
              </w:rPr>
              <w:t>地下水、土壤环境影响和保护措施</w:t>
            </w:r>
          </w:p>
          <w:p w14:paraId="472C8184">
            <w:pPr>
              <w:spacing w:line="360" w:lineRule="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4.6.1 地下水、土壤环境影响分析</w:t>
            </w:r>
          </w:p>
          <w:p w14:paraId="2C63754D">
            <w:pPr>
              <w:pStyle w:val="71"/>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lang w:val="en-US" w:eastAsia="zh-CN"/>
                <w14:textFill>
                  <w14:solidFill>
                    <w14:schemeClr w14:val="tx1"/>
                  </w14:solidFill>
                </w14:textFill>
              </w:rPr>
              <w:t>地下水</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环境</w:t>
            </w:r>
          </w:p>
          <w:p w14:paraId="02C1C7DB">
            <w:pPr>
              <w:pStyle w:val="71"/>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项目</w:t>
            </w:r>
            <w:r>
              <w:rPr>
                <w:rFonts w:hint="default" w:ascii="Times New Roman" w:hAnsi="Times New Roman" w:cs="Times New Roman"/>
                <w:color w:val="000000" w:themeColor="text1"/>
                <w:lang w:val="en-US" w:eastAsia="zh-CN"/>
                <w14:textFill>
                  <w14:solidFill>
                    <w14:schemeClr w14:val="tx1"/>
                  </w14:solidFill>
                </w14:textFill>
              </w:rPr>
              <w:t>废水</w:t>
            </w:r>
            <w:r>
              <w:rPr>
                <w:rFonts w:hint="default" w:ascii="Times New Roman" w:hAnsi="Times New Roman" w:eastAsia="宋体" w:cs="Times New Roman"/>
                <w:color w:val="000000" w:themeColor="text1"/>
                <w:lang w:eastAsia="zh-CN"/>
                <w14:textFill>
                  <w14:solidFill>
                    <w14:schemeClr w14:val="tx1"/>
                  </w14:solidFill>
                </w14:textFill>
              </w:rPr>
              <w:t>经处理达标后排入市政污水管网，送往</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江镜华侨农场污水处理厂</w:t>
            </w:r>
            <w:r>
              <w:rPr>
                <w:rFonts w:hint="default" w:ascii="Times New Roman" w:hAnsi="Times New Roman" w:eastAsia="宋体" w:cs="Times New Roman"/>
                <w:color w:val="000000" w:themeColor="text1"/>
                <w:shd w:val="clear" w:color="auto" w:fill="FFFFFF"/>
                <w:lang w:eastAsia="zh-CN"/>
                <w14:textFill>
                  <w14:solidFill>
                    <w14:schemeClr w14:val="tx1"/>
                  </w14:solidFill>
                </w14:textFill>
              </w:rPr>
              <w:t>集中处理，</w:t>
            </w:r>
            <w:r>
              <w:rPr>
                <w:rFonts w:hint="default" w:ascii="Times New Roman" w:hAnsi="Times New Roman" w:eastAsia="宋体" w:cs="Times New Roman"/>
                <w:color w:val="000000" w:themeColor="text1"/>
                <w:spacing w:val="0"/>
                <w:sz w:val="24"/>
                <w:szCs w:val="24"/>
                <w:lang w:eastAsia="zh-CN"/>
                <w14:textFill>
                  <w14:solidFill>
                    <w14:schemeClr w14:val="tx1"/>
                  </w14:solidFill>
                </w14:textFill>
              </w:rPr>
              <w:t>项目废水不含有毒有害污染物，不含重金属等污染物，废水</w:t>
            </w:r>
            <w:r>
              <w:rPr>
                <w:rFonts w:hint="default" w:ascii="Times New Roman" w:hAnsi="Times New Roman" w:eastAsia="宋体" w:cs="Times New Roman"/>
                <w:color w:val="000000" w:themeColor="text1"/>
                <w:spacing w:val="0"/>
                <w:sz w:val="24"/>
                <w:szCs w:val="24"/>
                <w14:textFill>
                  <w14:solidFill>
                    <w14:schemeClr w14:val="tx1"/>
                  </w14:solidFill>
                </w14:textFill>
              </w:rPr>
              <w:t>不易渗漏和进入地下水。</w:t>
            </w:r>
            <w:r>
              <w:rPr>
                <w:rFonts w:hint="default" w:ascii="Times New Roman" w:hAnsi="Times New Roman" w:eastAsia="宋体" w:cs="Times New Roman"/>
                <w:color w:val="000000" w:themeColor="text1"/>
                <w14:textFill>
                  <w14:solidFill>
                    <w14:schemeClr w14:val="tx1"/>
                  </w14:solidFill>
                </w14:textFill>
              </w:rPr>
              <w:t>根据现场调查，项目评价区域无饮用水水源地，</w:t>
            </w:r>
            <w:r>
              <w:rPr>
                <w:rFonts w:hint="default" w:ascii="Times New Roman" w:hAnsi="Times New Roman" w:eastAsia="宋体" w:cs="Times New Roman"/>
                <w:color w:val="000000" w:themeColor="text1"/>
                <w:lang w:eastAsia="zh-CN"/>
                <w14:textFill>
                  <w14:solidFill>
                    <w14:schemeClr w14:val="tx1"/>
                  </w14:solidFill>
                </w14:textFill>
              </w:rPr>
              <w:t>区域</w:t>
            </w:r>
            <w:r>
              <w:rPr>
                <w:rFonts w:hint="default" w:ascii="Times New Roman" w:hAnsi="Times New Roman" w:eastAsia="宋体" w:cs="Times New Roman"/>
                <w:color w:val="000000" w:themeColor="text1"/>
                <w14:textFill>
                  <w14:solidFill>
                    <w14:schemeClr w14:val="tx1"/>
                  </w14:solidFill>
                </w14:textFill>
              </w:rPr>
              <w:t>已全部开通自来水管网、生活用水采用自来水。</w:t>
            </w:r>
          </w:p>
          <w:p w14:paraId="148D2ADF">
            <w:pPr>
              <w:pStyle w:val="71"/>
              <w:rPr>
                <w:rFonts w:hint="default" w:ascii="Times New Roman" w:hAnsi="Times New Roman" w:eastAsia="宋体" w:cs="Times New Roman"/>
                <w:color w:val="000000" w:themeColor="text1"/>
                <w:spacing w:val="0"/>
                <w:sz w:val="24"/>
                <w:szCs w:val="24"/>
                <w14:textFill>
                  <w14:solidFill>
                    <w14:schemeClr w14:val="tx1"/>
                  </w14:solidFill>
                </w14:textFill>
              </w:rPr>
            </w:pPr>
            <w:r>
              <w:rPr>
                <w:rFonts w:hint="default" w:ascii="Times New Roman" w:hAnsi="Times New Roman" w:eastAsia="宋体" w:cs="Times New Roman"/>
                <w:color w:val="000000" w:themeColor="text1"/>
                <w:spacing w:val="0"/>
                <w:sz w:val="24"/>
                <w:szCs w:val="24"/>
                <w:lang w:eastAsia="zh-CN"/>
                <w14:textFill>
                  <w14:solidFill>
                    <w14:schemeClr w14:val="tx1"/>
                  </w14:solidFill>
                </w14:textFill>
              </w:rPr>
              <w:t>项目一般工业固废</w:t>
            </w:r>
            <w:r>
              <w:rPr>
                <w:rFonts w:hint="default" w:ascii="Times New Roman" w:hAnsi="Times New Roman" w:eastAsia="宋体" w:cs="Times New Roman"/>
                <w:color w:val="000000" w:themeColor="text1"/>
                <w:spacing w:val="0"/>
                <w:sz w:val="24"/>
                <w:szCs w:val="24"/>
                <w14:textFill>
                  <w14:solidFill>
                    <w14:schemeClr w14:val="tx1"/>
                  </w14:solidFill>
                </w14:textFill>
              </w:rPr>
              <w:t>暂存</w:t>
            </w:r>
            <w:r>
              <w:rPr>
                <w:rFonts w:hint="default" w:ascii="Times New Roman" w:hAnsi="Times New Roman" w:eastAsia="宋体" w:cs="Times New Roman"/>
                <w:color w:val="000000" w:themeColor="text1"/>
                <w:spacing w:val="0"/>
                <w:sz w:val="24"/>
                <w:szCs w:val="24"/>
                <w:lang w:eastAsia="zh-CN"/>
                <w14:textFill>
                  <w14:solidFill>
                    <w14:schemeClr w14:val="tx1"/>
                  </w14:solidFill>
                </w14:textFill>
              </w:rPr>
              <w:t>场所严格按照一般工业固体废物贮存和填埋污染控制标准(GB18599-2020)</w:t>
            </w:r>
            <w:r>
              <w:rPr>
                <w:rFonts w:hint="default" w:ascii="Times New Roman" w:hAnsi="Times New Roman" w:eastAsia="宋体" w:cs="Times New Roman"/>
                <w:color w:val="000000" w:themeColor="text1"/>
                <w:spacing w:val="0"/>
                <w:sz w:val="24"/>
                <w:szCs w:val="24"/>
                <w14:textFill>
                  <w14:solidFill>
                    <w14:schemeClr w14:val="tx1"/>
                  </w14:solidFill>
                </w14:textFill>
              </w:rPr>
              <w:t>中固废临时贮存场所的要求进行建设，具备防风、防雨、防晒、防渗漏等要求。在正常工况，不会对评价区地下水产生明显影响，其影响程度是可接受的。</w:t>
            </w:r>
          </w:p>
          <w:p w14:paraId="69513BFF">
            <w:pPr>
              <w:pStyle w:val="71"/>
              <w:rPr>
                <w:rFonts w:hint="default" w:ascii="Times New Roman" w:hAnsi="Times New Roman" w:eastAsia="宋体" w:cs="Times New Roman"/>
                <w:color w:val="000000" w:themeColor="text1"/>
                <w:spacing w:val="0"/>
                <w:sz w:val="24"/>
                <w:szCs w:val="24"/>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综上所述，</w:t>
            </w:r>
            <w:r>
              <w:rPr>
                <w:rFonts w:hint="default" w:ascii="Times New Roman" w:hAnsi="Times New Roman" w:eastAsia="宋体" w:cs="Times New Roman"/>
                <w:color w:val="000000" w:themeColor="text1"/>
                <w:spacing w:val="0"/>
                <w:sz w:val="24"/>
                <w:szCs w:val="24"/>
                <w:lang w:eastAsia="zh-CN"/>
                <w14:textFill>
                  <w14:solidFill>
                    <w14:schemeClr w14:val="tx1"/>
                  </w14:solidFill>
                </w14:textFill>
              </w:rPr>
              <w:t>项目</w:t>
            </w:r>
            <w:r>
              <w:rPr>
                <w:rFonts w:hint="default" w:ascii="Times New Roman" w:hAnsi="Times New Roman" w:eastAsia="宋体" w:cs="Times New Roman"/>
                <w:color w:val="000000" w:themeColor="text1"/>
                <w:spacing w:val="0"/>
                <w:sz w:val="24"/>
                <w:szCs w:val="24"/>
                <w14:textFill>
                  <w14:solidFill>
                    <w14:schemeClr w14:val="tx1"/>
                  </w14:solidFill>
                </w14:textFill>
              </w:rPr>
              <w:t>在正常运行工况下，项目对地下水影响不大。但公司应加强管理，杜绝防渗层破裂等事故影响。</w:t>
            </w:r>
          </w:p>
          <w:p w14:paraId="356411CF">
            <w:pPr>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(2)土壤环境</w:t>
            </w:r>
          </w:p>
          <w:p w14:paraId="2FA8D954">
            <w:pPr>
              <w:spacing w:line="360" w:lineRule="auto"/>
              <w:ind w:firstLine="480" w:firstLine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根据土壤污染物的来源不同，可将土壤污染分为废水污染型、废气污染型、固体废物污染型、农业污染型和生物污染型。该项目土壤污染将以废</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水</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固废</w:t>
            </w:r>
            <w:r>
              <w:rPr>
                <w:rFonts w:hint="default" w:ascii="Times New Roman" w:hAnsi="Times New Roman" w:eastAsia="宋体" w:cs="Times New Roman"/>
                <w:color w:val="000000" w:themeColor="text1"/>
                <w:sz w:val="24"/>
                <w:szCs w:val="24"/>
                <w:highlight w:val="none"/>
                <w14:textFill>
                  <w14:solidFill>
                    <w14:schemeClr w14:val="tx1"/>
                  </w14:solidFill>
                </w14:textFill>
              </w:rPr>
              <w:t>污染型为主。项目</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生产废水</w:t>
            </w:r>
            <w:r>
              <w:rPr>
                <w:rFonts w:hint="default" w:ascii="Times New Roman" w:hAnsi="Times New Roman" w:eastAsia="宋体" w:cs="Times New Roman"/>
                <w:color w:val="000000" w:themeColor="text1"/>
                <w:sz w:val="24"/>
                <w:szCs w:val="24"/>
                <w:highlight w:val="none"/>
                <w:lang w:val="en-GB" w:eastAsia="zh-CN"/>
                <w14:textFill>
                  <w14:solidFill>
                    <w14:schemeClr w14:val="tx1"/>
                  </w14:solidFill>
                </w14:textFill>
              </w:rPr>
              <w:t>排入市政污水管网</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。正常情况下，项目运营期废水对土壤环境的影响不大。</w:t>
            </w:r>
          </w:p>
          <w:p w14:paraId="13BC35AD">
            <w:pPr>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综上所述，</w:t>
            </w:r>
            <w:r>
              <w:rPr>
                <w:rFonts w:hint="default" w:ascii="Times New Roman" w:hAnsi="Times New Roman" w:eastAsia="宋体" w:cs="Times New Roman"/>
                <w:color w:val="000000" w:themeColor="text1"/>
                <w:spacing w:val="0"/>
                <w:sz w:val="24"/>
                <w:szCs w:val="24"/>
                <w:lang w:eastAsia="zh-CN"/>
                <w14:textFill>
                  <w14:solidFill>
                    <w14:schemeClr w14:val="tx1"/>
                  </w14:solidFill>
                </w14:textFill>
              </w:rPr>
              <w:t>项目</w:t>
            </w:r>
            <w:r>
              <w:rPr>
                <w:rFonts w:hint="default" w:ascii="Times New Roman" w:hAnsi="Times New Roman" w:eastAsia="宋体" w:cs="Times New Roman"/>
                <w:color w:val="000000" w:themeColor="text1"/>
                <w:spacing w:val="0"/>
                <w:sz w:val="24"/>
                <w:szCs w:val="24"/>
                <w14:textFill>
                  <w14:solidFill>
                    <w14:schemeClr w14:val="tx1"/>
                  </w14:solidFill>
                </w14:textFill>
              </w:rPr>
              <w:t>在正常运行工况下，项目对</w:t>
            </w:r>
            <w:r>
              <w:rPr>
                <w:rFonts w:hint="default" w:ascii="Times New Roman" w:hAnsi="Times New Roman" w:eastAsia="宋体" w:cs="Times New Roman"/>
                <w:color w:val="000000" w:themeColor="text1"/>
                <w:spacing w:val="0"/>
                <w:sz w:val="24"/>
                <w:szCs w:val="24"/>
                <w:lang w:eastAsia="zh-CN"/>
                <w14:textFill>
                  <w14:solidFill>
                    <w14:schemeClr w14:val="tx1"/>
                  </w14:solidFill>
                </w14:textFill>
              </w:rPr>
              <w:t>土壤环境</w:t>
            </w:r>
            <w:r>
              <w:rPr>
                <w:rFonts w:hint="default" w:ascii="Times New Roman" w:hAnsi="Times New Roman" w:eastAsia="宋体" w:cs="Times New Roman"/>
                <w:color w:val="000000" w:themeColor="text1"/>
                <w:spacing w:val="0"/>
                <w:sz w:val="24"/>
                <w:szCs w:val="24"/>
                <w14:textFill>
                  <w14:solidFill>
                    <w14:schemeClr w14:val="tx1"/>
                  </w14:solidFill>
                </w14:textFill>
              </w:rPr>
              <w:t>影响不大</w:t>
            </w:r>
            <w:r>
              <w:rPr>
                <w:rFonts w:hint="default" w:ascii="Times New Roman" w:hAnsi="Times New Roman" w:eastAsia="宋体" w:cs="Times New Roman"/>
                <w:color w:val="000000" w:themeColor="text1"/>
                <w:spacing w:val="0"/>
                <w:sz w:val="24"/>
                <w:szCs w:val="24"/>
                <w:lang w:eastAsia="zh-CN"/>
                <w14:textFill>
                  <w14:solidFill>
                    <w14:schemeClr w14:val="tx1"/>
                  </w14:solidFill>
                </w14:textFill>
              </w:rPr>
              <w:t>，建设单位应</w:t>
            </w:r>
            <w:r>
              <w:rPr>
                <w:rFonts w:hint="default" w:ascii="Times New Roman" w:hAnsi="Times New Roman" w:eastAsia="宋体" w:cs="Times New Roman"/>
                <w:color w:val="000000" w:themeColor="text1"/>
                <w:sz w:val="24"/>
                <w:szCs w:val="24"/>
                <w:highlight w:val="none"/>
                <w14:textFill>
                  <w14:solidFill>
                    <w14:schemeClr w14:val="tx1"/>
                  </w14:solidFill>
                </w14:textFill>
              </w:rPr>
              <w:t>加强污染源控制和土壤污染防治，防止排放事故出现，则对该区域土壤环境影响总体不大，是可以接受的。</w:t>
            </w:r>
          </w:p>
          <w:p w14:paraId="2223779A">
            <w:pPr>
              <w:spacing w:line="360" w:lineRule="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4.6.2地下水、土壤环境防控措施</w:t>
            </w:r>
          </w:p>
          <w:p w14:paraId="251365CB">
            <w:pPr>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(1)防渗措施</w:t>
            </w:r>
          </w:p>
          <w:p w14:paraId="7AD3D008">
            <w:pPr>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①合理进行防渗区域划分</w:t>
            </w:r>
          </w:p>
          <w:p w14:paraId="382C2A5B">
            <w:pPr>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根据本项目厂区可能泄漏至地面区域污染物的性质和生产单元的构筑方式，将厂区划分为重点污染防治区、一般污染防治区，针对不同的区域提出相应的防渗要求。结合项目的特点，项目防渗防治分区见表4.5-1。</w:t>
            </w:r>
          </w:p>
          <w:p w14:paraId="49F03A7E">
            <w:pPr>
              <w:pStyle w:val="78"/>
              <w:spacing w:before="120"/>
              <w:rPr>
                <w:rFonts w:hint="default" w:ascii="Times New Roman" w:hAnsi="Times New Roman" w:eastAsia="宋体" w:cs="Times New Roman"/>
                <w:color w:val="000000" w:themeColor="text1"/>
                <w:sz w:val="24"/>
                <w:highlight w:val="none"/>
                <w14:textFill>
                  <w14:solidFill>
                    <w14:schemeClr w14:val="tx1"/>
                  </w14:solidFill>
                </w14:textFill>
              </w:rPr>
            </w:pPr>
          </w:p>
          <w:p w14:paraId="05ECE4CB">
            <w:pPr>
              <w:pStyle w:val="78"/>
              <w:spacing w:before="12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黑体" w:cs="Times New Roman"/>
                <w:color w:val="000000" w:themeColor="text1"/>
                <w:sz w:val="24"/>
                <w:highlight w:val="none"/>
                <w14:textFill>
                  <w14:solidFill>
                    <w14:schemeClr w14:val="tx1"/>
                  </w14:solidFill>
                </w14:textFill>
              </w:rPr>
              <w:t>表</w:t>
            </w:r>
            <w:r>
              <w:rPr>
                <w:rFonts w:hint="default" w:ascii="Times New Roman" w:hAnsi="Times New Roman" w:eastAsia="黑体" w:cs="Times New Roman"/>
                <w:color w:val="000000" w:themeColor="text1"/>
                <w:sz w:val="24"/>
                <w:highlight w:val="none"/>
                <w:lang w:val="en-US" w:eastAsia="zh-CN"/>
                <w14:textFill>
                  <w14:solidFill>
                    <w14:schemeClr w14:val="tx1"/>
                  </w14:solidFill>
                </w14:textFill>
              </w:rPr>
              <w:t xml:space="preserve">4.5-1 </w:t>
            </w:r>
            <w:r>
              <w:rPr>
                <w:rFonts w:hint="default" w:ascii="Times New Roman" w:hAnsi="Times New Roman" w:eastAsia="黑体" w:cs="Times New Roman"/>
                <w:color w:val="000000" w:themeColor="text1"/>
                <w:sz w:val="24"/>
                <w:highlight w:val="none"/>
                <w14:textFill>
                  <w14:solidFill>
                    <w14:schemeClr w14:val="tx1"/>
                  </w14:solidFill>
                </w14:textFill>
              </w:rPr>
              <w:t xml:space="preserve"> </w:t>
            </w:r>
            <w:r>
              <w:rPr>
                <w:rFonts w:hint="default" w:ascii="Times New Roman" w:hAnsi="Times New Roman" w:eastAsia="黑体" w:cs="Times New Roman"/>
                <w:color w:val="000000" w:themeColor="text1"/>
                <w:sz w:val="24"/>
                <w:highlight w:val="none"/>
                <w:lang w:eastAsia="zh-CN"/>
                <w14:textFill>
                  <w14:solidFill>
                    <w14:schemeClr w14:val="tx1"/>
                  </w14:solidFill>
                </w14:textFill>
              </w:rPr>
              <w:t>土壤</w:t>
            </w:r>
            <w:r>
              <w:rPr>
                <w:rFonts w:hint="default" w:ascii="Times New Roman" w:hAnsi="Times New Roman" w:eastAsia="黑体" w:cs="Times New Roman"/>
                <w:color w:val="000000" w:themeColor="text1"/>
                <w:sz w:val="24"/>
                <w:highlight w:val="none"/>
                <w14:textFill>
                  <w14:solidFill>
                    <w14:schemeClr w14:val="tx1"/>
                  </w14:solidFill>
                </w14:textFill>
              </w:rPr>
              <w:t>污染防治分区一览表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243"/>
              <w:gridCol w:w="1007"/>
              <w:gridCol w:w="3560"/>
              <w:gridCol w:w="1533"/>
            </w:tblGrid>
            <w:tr w14:paraId="4DD565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44" w:type="pct"/>
                  <w:tcBorders>
                    <w:top w:val="single" w:color="auto" w:sz="12" w:space="0"/>
                  </w:tcBorders>
                  <w:noWrap w:val="0"/>
                  <w:vAlign w:val="center"/>
                </w:tcPr>
                <w:p w14:paraId="50D10128">
                  <w:pPr>
                    <w:pStyle w:val="90"/>
                    <w:spacing w:line="340" w:lineRule="exac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防治分区</w:t>
                  </w:r>
                </w:p>
              </w:tc>
              <w:tc>
                <w:tcPr>
                  <w:tcW w:w="603" w:type="pct"/>
                  <w:tcBorders>
                    <w:top w:val="single" w:color="auto" w:sz="12" w:space="0"/>
                  </w:tcBorders>
                  <w:noWrap w:val="0"/>
                  <w:vAlign w:val="center"/>
                </w:tcPr>
                <w:p w14:paraId="0426641A">
                  <w:pPr>
                    <w:pStyle w:val="90"/>
                    <w:spacing w:line="340" w:lineRule="exac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序号</w:t>
                  </w:r>
                </w:p>
              </w:tc>
              <w:tc>
                <w:tcPr>
                  <w:tcW w:w="2132" w:type="pct"/>
                  <w:tcBorders>
                    <w:top w:val="single" w:color="auto" w:sz="12" w:space="0"/>
                  </w:tcBorders>
                  <w:noWrap w:val="0"/>
                  <w:vAlign w:val="center"/>
                </w:tcPr>
                <w:p w14:paraId="76B6CFE2">
                  <w:pPr>
                    <w:pStyle w:val="90"/>
                    <w:spacing w:line="340" w:lineRule="exac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装置或者构筑物名称</w:t>
                  </w:r>
                </w:p>
              </w:tc>
              <w:tc>
                <w:tcPr>
                  <w:tcW w:w="918" w:type="pct"/>
                  <w:tcBorders>
                    <w:top w:val="single" w:color="auto" w:sz="12" w:space="0"/>
                  </w:tcBorders>
                  <w:noWrap w:val="0"/>
                  <w:vAlign w:val="center"/>
                </w:tcPr>
                <w:p w14:paraId="34ECBA8F">
                  <w:pPr>
                    <w:pStyle w:val="90"/>
                    <w:spacing w:line="340" w:lineRule="exac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防渗区域</w:t>
                  </w:r>
                </w:p>
              </w:tc>
            </w:tr>
            <w:tr w14:paraId="2D6DF2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44" w:type="pct"/>
                  <w:noWrap w:val="0"/>
                  <w:vAlign w:val="center"/>
                </w:tcPr>
                <w:p w14:paraId="2F3B9E11">
                  <w:pPr>
                    <w:pStyle w:val="90"/>
                    <w:spacing w:line="340" w:lineRule="exac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重点污染防治区</w:t>
                  </w:r>
                </w:p>
              </w:tc>
              <w:tc>
                <w:tcPr>
                  <w:tcW w:w="603" w:type="pct"/>
                  <w:noWrap w:val="0"/>
                  <w:vAlign w:val="center"/>
                </w:tcPr>
                <w:p w14:paraId="67924164">
                  <w:pPr>
                    <w:pStyle w:val="90"/>
                    <w:spacing w:line="340" w:lineRule="exac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2132" w:type="pct"/>
                  <w:noWrap w:val="0"/>
                  <w:vAlign w:val="center"/>
                </w:tcPr>
                <w:p w14:paraId="24E419A8">
                  <w:pPr>
                    <w:pStyle w:val="90"/>
                    <w:spacing w:line="340" w:lineRule="exact"/>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污水处理设施</w:t>
                  </w:r>
                </w:p>
              </w:tc>
              <w:tc>
                <w:tcPr>
                  <w:tcW w:w="918" w:type="pct"/>
                  <w:noWrap w:val="0"/>
                  <w:vAlign w:val="center"/>
                </w:tcPr>
                <w:p w14:paraId="2342AE35">
                  <w:pPr>
                    <w:pStyle w:val="90"/>
                    <w:spacing w:line="340" w:lineRule="exact"/>
                    <w:jc w:val="center"/>
                    <w:rPr>
                      <w:rFonts w:hint="default" w:ascii="Times New Roman" w:hAnsi="Times New Roman" w:eastAsia="宋体" w:cs="Times New Roman"/>
                      <w:color w:val="000000" w:themeColor="text1"/>
                      <w:kern w:val="0"/>
                      <w:sz w:val="21"/>
                      <w:szCs w:val="21"/>
                      <w:highlight w:val="none"/>
                      <w:lang w:val="en-US" w:eastAsia="zh-CN" w:bidi="he-IL"/>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地面</w:t>
                  </w:r>
                </w:p>
              </w:tc>
            </w:tr>
            <w:tr w14:paraId="416DE2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44" w:type="pct"/>
                  <w:tcBorders>
                    <w:bottom w:val="single" w:color="auto" w:sz="12" w:space="0"/>
                  </w:tcBorders>
                  <w:noWrap w:val="0"/>
                  <w:vAlign w:val="center"/>
                </w:tcPr>
                <w:p w14:paraId="7E1BA6CD">
                  <w:pPr>
                    <w:pStyle w:val="90"/>
                    <w:spacing w:line="340" w:lineRule="exac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一般污染防治区</w:t>
                  </w:r>
                </w:p>
              </w:tc>
              <w:tc>
                <w:tcPr>
                  <w:tcW w:w="603" w:type="pct"/>
                  <w:tcBorders>
                    <w:bottom w:val="single" w:color="auto" w:sz="12" w:space="0"/>
                  </w:tcBorders>
                  <w:noWrap w:val="0"/>
                  <w:vAlign w:val="center"/>
                </w:tcPr>
                <w:p w14:paraId="7ACFAA13">
                  <w:pPr>
                    <w:pStyle w:val="90"/>
                    <w:spacing w:line="340" w:lineRule="exact"/>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2132" w:type="pct"/>
                  <w:tcBorders>
                    <w:bottom w:val="single" w:color="auto" w:sz="12" w:space="0"/>
                  </w:tcBorders>
                  <w:noWrap w:val="0"/>
                  <w:vAlign w:val="center"/>
                </w:tcPr>
                <w:p w14:paraId="3B922B19">
                  <w:pPr>
                    <w:pStyle w:val="90"/>
                    <w:spacing w:line="340" w:lineRule="exact"/>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一般工业固废间、项目生产车间</w:t>
                  </w:r>
                </w:p>
              </w:tc>
              <w:tc>
                <w:tcPr>
                  <w:tcW w:w="918" w:type="pct"/>
                  <w:tcBorders>
                    <w:bottom w:val="single" w:color="auto" w:sz="12" w:space="0"/>
                  </w:tcBorders>
                  <w:noWrap w:val="0"/>
                  <w:vAlign w:val="center"/>
                </w:tcPr>
                <w:p w14:paraId="166DC953">
                  <w:pPr>
                    <w:pStyle w:val="90"/>
                    <w:spacing w:line="340" w:lineRule="exac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地面</w:t>
                  </w:r>
                </w:p>
              </w:tc>
            </w:tr>
          </w:tbl>
          <w:p w14:paraId="212C090D">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防渗要求</w:t>
            </w:r>
          </w:p>
          <w:p w14:paraId="1F3E5FE8">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重点污染区防渗要求：根据《环境影响评价技术导则地下水环境》</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14:textFill>
                  <w14:solidFill>
                    <w14:schemeClr w14:val="tx1"/>
                  </w14:solidFill>
                </w14:textFill>
              </w:rPr>
              <w:t>HJ610-2016</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14:textFill>
                  <w14:solidFill>
                    <w14:schemeClr w14:val="tx1"/>
                  </w14:solidFill>
                </w14:textFill>
              </w:rPr>
              <w:t>的要求，重点防治区的防渗性能应等效黏土防渗层≥6.0m，渗透系数≤1.0×10</w:t>
            </w:r>
            <w:r>
              <w:rPr>
                <w:rFonts w:hint="default" w:ascii="Times New Roman" w:hAnsi="Times New Roman" w:eastAsia="宋体" w:cs="Times New Roman"/>
                <w:color w:val="000000" w:themeColor="text1"/>
                <w:kern w:val="0"/>
                <w:sz w:val="24"/>
                <w:szCs w:val="24"/>
                <w:vertAlign w:val="superscript"/>
                <w14:textFill>
                  <w14:solidFill>
                    <w14:schemeClr w14:val="tx1"/>
                  </w14:solidFill>
                </w14:textFill>
              </w:rPr>
              <w:t>-7</w:t>
            </w:r>
            <w:r>
              <w:rPr>
                <w:rFonts w:hint="default" w:ascii="Times New Roman" w:hAnsi="Times New Roman" w:eastAsia="宋体" w:cs="Times New Roman"/>
                <w:color w:val="000000" w:themeColor="text1"/>
                <w:kern w:val="0"/>
                <w:sz w:val="24"/>
                <w:szCs w:val="24"/>
                <w14:textFill>
                  <w14:solidFill>
                    <w14:schemeClr w14:val="tx1"/>
                  </w14:solidFill>
                </w14:textFill>
              </w:rPr>
              <w:t>cm/s。重点防渗区应按照《危险废物污染防治技术政策》</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及</w:t>
            </w:r>
            <w:r>
              <w:rPr>
                <w:rFonts w:hint="default" w:ascii="Times New Roman" w:hAnsi="Times New Roman" w:eastAsia="宋体" w:cs="Times New Roman"/>
                <w:color w:val="000000" w:themeColor="text1"/>
                <w:sz w:val="24"/>
                <w:szCs w:val="24"/>
                <w:lang w:eastAsia="zh-CN"/>
                <w14:textFill>
                  <w14:solidFill>
                    <w14:schemeClr w14:val="tx1"/>
                  </w14:solidFill>
                </w14:textFill>
              </w:rPr>
              <w:t>《危险废物贮存污染控制标准》(GB18597-2023)</w:t>
            </w:r>
            <w:r>
              <w:rPr>
                <w:rFonts w:hint="default" w:ascii="Times New Roman" w:hAnsi="Times New Roman" w:eastAsia="宋体" w:cs="Times New Roman"/>
                <w:color w:val="000000" w:themeColor="text1"/>
                <w:kern w:val="0"/>
                <w:sz w:val="24"/>
                <w:szCs w:val="24"/>
                <w14:textFill>
                  <w14:solidFill>
                    <w14:schemeClr w14:val="tx1"/>
                  </w14:solidFill>
                </w14:textFill>
              </w:rPr>
              <w:t>等危险废物处理的相关标准、法律法规的要求</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kern w:val="0"/>
                <w:sz w:val="24"/>
                <w:szCs w:val="24"/>
                <w14:textFill>
                  <w14:solidFill>
                    <w14:schemeClr w14:val="tx1"/>
                  </w14:solidFill>
                </w14:textFill>
              </w:rPr>
              <w:t>一般污染区防渗要求：根据《环境影响评价技术导则地下水环境》</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14:textFill>
                  <w14:solidFill>
                    <w14:schemeClr w14:val="tx1"/>
                  </w14:solidFill>
                </w14:textFill>
              </w:rPr>
              <w:t>HJ610-2016</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14:textFill>
                  <w14:solidFill>
                    <w14:schemeClr w14:val="tx1"/>
                  </w14:solidFill>
                </w14:textFill>
              </w:rPr>
              <w:t>，一般防渗区的防渗性能等效黏土防渗层≥1.5m，渗透系数≤1.0×10</w:t>
            </w:r>
            <w:r>
              <w:rPr>
                <w:rFonts w:hint="default" w:ascii="Times New Roman" w:hAnsi="Times New Roman" w:eastAsia="宋体" w:cs="Times New Roman"/>
                <w:color w:val="000000" w:themeColor="text1"/>
                <w:kern w:val="0"/>
                <w:sz w:val="24"/>
                <w:szCs w:val="24"/>
                <w:vertAlign w:val="superscript"/>
                <w14:textFill>
                  <w14:solidFill>
                    <w14:schemeClr w14:val="tx1"/>
                  </w14:solidFill>
                </w14:textFill>
              </w:rPr>
              <w:t>-7</w:t>
            </w:r>
            <w:r>
              <w:rPr>
                <w:rFonts w:hint="default" w:ascii="Times New Roman" w:hAnsi="Times New Roman" w:eastAsia="宋体" w:cs="Times New Roman"/>
                <w:color w:val="000000" w:themeColor="text1"/>
                <w:kern w:val="0"/>
                <w:sz w:val="24"/>
                <w:szCs w:val="24"/>
                <w14:textFill>
                  <w14:solidFill>
                    <w14:schemeClr w14:val="tx1"/>
                  </w14:solidFill>
                </w14:textFill>
              </w:rPr>
              <w:t>cm/s。一般工业固体废物暂存场一般防渗区应按照</w:t>
            </w:r>
            <w:r>
              <w:rPr>
                <w:rFonts w:hint="default" w:ascii="Times New Roman" w:hAnsi="Times New Roman" w:eastAsia="宋体" w:cs="Times New Roman"/>
                <w:color w:val="auto"/>
                <w:spacing w:val="0"/>
                <w:position w:val="0"/>
                <w:sz w:val="24"/>
                <w:szCs w:val="24"/>
                <w:u w:val="none" w:color="auto"/>
              </w:rPr>
              <w:t>《一般工业固体废物贮存和填埋污染控制标准》</w:t>
            </w:r>
            <w:r>
              <w:rPr>
                <w:rFonts w:hint="default" w:ascii="Times New Roman" w:hAnsi="Times New Roman" w:eastAsia="宋体" w:cs="Times New Roman"/>
                <w:color w:val="auto"/>
                <w:spacing w:val="0"/>
                <w:position w:val="0"/>
                <w:sz w:val="24"/>
                <w:szCs w:val="24"/>
                <w:u w:val="none" w:color="auto"/>
                <w:lang w:eastAsia="zh-CN"/>
              </w:rPr>
              <w:t>(</w:t>
            </w:r>
            <w:r>
              <w:rPr>
                <w:rFonts w:hint="default" w:ascii="Times New Roman" w:hAnsi="Times New Roman" w:eastAsia="Times New Roman" w:cs="Times New Roman"/>
                <w:color w:val="auto"/>
                <w:spacing w:val="0"/>
                <w:position w:val="0"/>
                <w:sz w:val="24"/>
                <w:szCs w:val="24"/>
                <w:u w:val="none" w:color="auto"/>
              </w:rPr>
              <w:t>GB18599-2020</w:t>
            </w:r>
            <w:r>
              <w:rPr>
                <w:rFonts w:hint="default" w:ascii="Times New Roman" w:hAnsi="Times New Roman" w:eastAsia="宋体" w:cs="Times New Roman"/>
                <w:color w:val="auto"/>
                <w:spacing w:val="0"/>
                <w:position w:val="0"/>
                <w:sz w:val="24"/>
                <w:szCs w:val="24"/>
                <w:u w:val="none" w:color="auto"/>
                <w:lang w:eastAsia="zh-CN"/>
              </w:rPr>
              <w:t>)</w:t>
            </w:r>
            <w:r>
              <w:rPr>
                <w:rFonts w:hint="default" w:ascii="Times New Roman" w:hAnsi="Times New Roman" w:eastAsia="宋体" w:cs="Times New Roman"/>
                <w:color w:val="000000" w:themeColor="text1"/>
                <w:kern w:val="0"/>
                <w:sz w:val="24"/>
                <w:szCs w:val="24"/>
                <w14:textFill>
                  <w14:solidFill>
                    <w14:schemeClr w14:val="tx1"/>
                  </w14:solidFill>
                </w14:textFill>
              </w:rPr>
              <w:t>进行设计</w:t>
            </w:r>
            <w:r>
              <w:rPr>
                <w:rFonts w:hint="eastAsia" w:cs="Times New Roman"/>
                <w:color w:val="000000" w:themeColor="text1"/>
                <w:kern w:val="0"/>
                <w:sz w:val="24"/>
                <w:szCs w:val="24"/>
                <w:lang w:val="en-US" w:eastAsia="zh-CN"/>
                <w14:textFill>
                  <w14:solidFill>
                    <w14:schemeClr w14:val="tx1"/>
                  </w14:solidFill>
                </w14:textFill>
              </w:rPr>
              <w:t>且</w:t>
            </w:r>
            <w:r>
              <w:rPr>
                <w:rFonts w:hint="default" w:ascii="Times New Roman" w:hAnsi="Times New Roman" w:eastAsia="宋体" w:cs="Times New Roman"/>
                <w:color w:val="000000" w:themeColor="text1"/>
                <w:sz w:val="24"/>
                <w:szCs w:val="24"/>
                <w:highlight w:val="none"/>
                <w14:textFill>
                  <w14:solidFill>
                    <w14:schemeClr w14:val="tx1"/>
                  </w14:solidFill>
                </w14:textFill>
              </w:rPr>
              <w:t>具有防雨、防渗、防风、防日晒的功能。</w:t>
            </w:r>
          </w:p>
          <w:p w14:paraId="54A7264C">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(3)监控措施</w:t>
            </w:r>
          </w:p>
          <w:p w14:paraId="59B87373">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①建立健全环境管理和监测制度，保证各环保设施正常运转，同时强化风险防范意识，如遇环保设施不能正常运转，应立即停产检修。</w:t>
            </w:r>
          </w:p>
          <w:p w14:paraId="2940FF2F">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②若发生生产废水处理设施泄漏等，必要时委托有资质的单位对厂址周边地下水、土壤等进行跟踪监测，掌握厂址周边污染变化趋势。</w:t>
            </w:r>
          </w:p>
          <w:p w14:paraId="45C0211A">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③在今后的生产活动中，做好设备的维护、检修，杜绝跑、冒、滴、漏现象。同时，加强污染物产生主要环节的收集治理，加强厂区的安全防护、环境风险防范措施，以便及时发现事故隐患，及时采取有效的应对措施。</w:t>
            </w:r>
          </w:p>
          <w:p w14:paraId="06A6BF54">
            <w:pPr>
              <w:spacing w:line="360" w:lineRule="auto"/>
              <w:ind w:left="0" w:leftChars="0" w:firstLine="0" w:firstLineChars="0"/>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4.6.3 跟踪监测要求</w:t>
            </w:r>
          </w:p>
          <w:p w14:paraId="130129D3">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本项目选址于闽台（福州）蓝色经济产业园（租赁</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福州锦佳商贸有限公司B37栋厂房（二期）</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），周边以工业企业为主，项目周边地下水、土壤环境相对不敏感，采取有效的防渗措施后，项目对地下水、土壤环境影响很小，因此，本评价不对项目地下水、土壤环境提出跟踪监测要求。</w:t>
            </w:r>
          </w:p>
          <w:p w14:paraId="55AE51D2">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Style w:val="46"/>
                <w:rFonts w:hint="default" w:ascii="Times New Roman" w:hAnsi="Times New Roman" w:eastAsia="宋体" w:cs="Times New Roman"/>
                <w:b/>
                <w:bCs/>
                <w:color w:val="000000" w:themeColor="text1"/>
                <w:sz w:val="28"/>
                <w:szCs w:val="28"/>
                <w:highlight w:val="none"/>
                <w:lang w:eastAsia="zh-CN"/>
                <w14:textFill>
                  <w14:solidFill>
                    <w14:schemeClr w14:val="tx1"/>
                  </w14:solidFill>
                </w14:textFill>
              </w:rPr>
            </w:pPr>
            <w:r>
              <w:rPr>
                <w:rStyle w:val="46"/>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t>4.7</w:t>
            </w:r>
            <w:r>
              <w:rPr>
                <w:rStyle w:val="46"/>
                <w:rFonts w:hint="default" w:ascii="Times New Roman" w:hAnsi="Times New Roman" w:eastAsia="宋体" w:cs="Times New Roman"/>
                <w:b/>
                <w:bCs/>
                <w:color w:val="000000" w:themeColor="text1"/>
                <w:sz w:val="28"/>
                <w:szCs w:val="28"/>
                <w:highlight w:val="none"/>
                <w:lang w:eastAsia="zh-CN"/>
                <w14:textFill>
                  <w14:solidFill>
                    <w14:schemeClr w14:val="tx1"/>
                  </w14:solidFill>
                </w14:textFill>
              </w:rPr>
              <w:t>环境</w:t>
            </w:r>
            <w:r>
              <w:rPr>
                <w:rStyle w:val="46"/>
                <w:rFonts w:hint="default" w:ascii="Times New Roman" w:hAnsi="Times New Roman" w:cs="Times New Roman"/>
                <w:b/>
                <w:bCs/>
                <w:color w:val="000000" w:themeColor="text1"/>
                <w:sz w:val="28"/>
                <w:szCs w:val="28"/>
                <w:highlight w:val="none"/>
                <w:lang w:eastAsia="zh-CN"/>
                <w14:textFill>
                  <w14:solidFill>
                    <w14:schemeClr w14:val="tx1"/>
                  </w14:solidFill>
                </w14:textFill>
              </w:rPr>
              <w:t>风险</w:t>
            </w:r>
            <w:r>
              <w:rPr>
                <w:rStyle w:val="46"/>
                <w:rFonts w:hint="default" w:ascii="Times New Roman" w:hAnsi="Times New Roman" w:eastAsia="宋体" w:cs="Times New Roman"/>
                <w:b/>
                <w:bCs/>
                <w:color w:val="000000" w:themeColor="text1"/>
                <w:sz w:val="28"/>
                <w:szCs w:val="28"/>
                <w:highlight w:val="none"/>
                <w:lang w:eastAsia="zh-CN"/>
                <w14:textFill>
                  <w14:solidFill>
                    <w14:schemeClr w14:val="tx1"/>
                  </w14:solidFill>
                </w14:textFill>
              </w:rPr>
              <w:t>影响和保护措施</w:t>
            </w:r>
          </w:p>
          <w:p w14:paraId="2F979752">
            <w:pPr>
              <w:pStyle w:val="48"/>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firstLineChars="200"/>
              <w:textAlignment w:val="baseline"/>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本项目生产过程中主要使用未被病人污染的一次性废弃塑料输液瓶（袋）、</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医用未经污染的一次性玻璃瓶</w:t>
            </w:r>
            <w:r>
              <w:rPr>
                <w:rFonts w:hint="default" w:ascii="Times New Roman" w:hAnsi="Times New Roman" w:eastAsia="宋体" w:cs="Times New Roman"/>
                <w:color w:val="000000" w:themeColor="text1"/>
                <w:sz w:val="24"/>
                <w:szCs w:val="24"/>
                <w:highlight w:val="none"/>
                <w14:textFill>
                  <w14:solidFill>
                    <w14:schemeClr w14:val="tx1"/>
                  </w14:solidFill>
                </w14:textFill>
              </w:rPr>
              <w:t>以及其他日常生活废弃塑料作为原材料，不</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涉及</w:t>
            </w:r>
            <w:r>
              <w:rPr>
                <w:rFonts w:hint="default" w:ascii="Times New Roman" w:hAnsi="Times New Roman" w:eastAsia="宋体" w:cs="Times New Roman"/>
                <w:color w:val="000000" w:themeColor="text1"/>
                <w:sz w:val="24"/>
                <w:szCs w:val="24"/>
                <w:highlight w:val="none"/>
                <w14:textFill>
                  <w14:solidFill>
                    <w14:schemeClr w14:val="tx1"/>
                  </w14:solidFill>
                </w14:textFill>
              </w:rPr>
              <w:t>其他化学药剂进行加工使用；经检索《建设项目环境风险评价技术导则》</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HJ169-2018</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附录B，项目不涉及有毒有害和易燃易爆等危险物质。</w:t>
            </w:r>
          </w:p>
          <w:p w14:paraId="5B6D525C">
            <w:pPr>
              <w:pStyle w:val="85"/>
              <w:keepNext w:val="0"/>
              <w:keepLines w:val="0"/>
              <w:pageBreakBefore w:val="0"/>
              <w:widowControl w:val="0"/>
              <w:kinsoku/>
              <w:wordWrap/>
              <w:overflowPunct/>
              <w:topLinePunct w:val="0"/>
              <w:autoSpaceDE/>
              <w:autoSpaceDN/>
              <w:bidi w:val="0"/>
              <w:adjustRightInd w:val="0"/>
              <w:snapToGrid w:val="0"/>
              <w:spacing w:before="191" w:beforeLines="50" w:line="240" w:lineRule="auto"/>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val="0"/>
                <w:bCs/>
                <w:color w:val="000000" w:themeColor="text1"/>
                <w14:textFill>
                  <w14:solidFill>
                    <w14:schemeClr w14:val="tx1"/>
                  </w14:solidFill>
                </w14:textFill>
              </w:rPr>
              <w:t>表</w:t>
            </w:r>
            <w:r>
              <w:rPr>
                <w:rFonts w:hint="default" w:ascii="Times New Roman" w:hAnsi="Times New Roman" w:eastAsia="宋体" w:cs="Times New Roman"/>
                <w:b w:val="0"/>
                <w:bCs/>
                <w:color w:val="000000" w:themeColor="text1"/>
                <w:lang w:val="en-US" w:eastAsia="zh-CN"/>
                <w14:textFill>
                  <w14:solidFill>
                    <w14:schemeClr w14:val="tx1"/>
                  </w14:solidFill>
                </w14:textFill>
              </w:rPr>
              <w:t xml:space="preserve">4.6-1 </w:t>
            </w:r>
            <w:r>
              <w:rPr>
                <w:rFonts w:hint="default" w:ascii="Times New Roman" w:hAnsi="Times New Roman" w:eastAsia="宋体" w:cs="Times New Roman"/>
                <w:b w:val="0"/>
                <w:bCs/>
                <w:color w:val="000000" w:themeColor="text1"/>
                <w14:textFill>
                  <w14:solidFill>
                    <w14:schemeClr w14:val="tx1"/>
                  </w14:solidFill>
                </w14:textFill>
              </w:rPr>
              <w:t>建设项目环境风险简单分析内容表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564"/>
              <w:gridCol w:w="6782"/>
            </w:tblGrid>
            <w:tr w14:paraId="0C2C54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937" w:type="pct"/>
                  <w:tcBorders>
                    <w:tl2br w:val="nil"/>
                    <w:tr2bl w:val="nil"/>
                  </w:tcBorders>
                  <w:noWrap w:val="0"/>
                  <w:vAlign w:val="center"/>
                </w:tcPr>
                <w:p w14:paraId="748BFCAE">
                  <w:pPr>
                    <w:pStyle w:val="65"/>
                    <w:keepNext w:val="0"/>
                    <w:keepLines w:val="0"/>
                    <w:pageBreakBefore w:val="0"/>
                    <w:widowControl w:val="0"/>
                    <w:kinsoku/>
                    <w:wordWrap/>
                    <w:overflowPunct/>
                    <w:topLinePunct w:val="0"/>
                    <w:autoSpaceDE/>
                    <w:autoSpaceDN/>
                    <w:bidi w:val="0"/>
                    <w:adjustRightInd w:val="0"/>
                    <w:snapToGrid w:val="0"/>
                    <w:spacing w:line="340" w:lineRule="exact"/>
                    <w:textAlignment w:val="auto"/>
                    <w:rPr>
                      <w:rStyle w:val="61"/>
                      <w:rFonts w:hint="default" w:ascii="Times New Roman" w:hAnsi="Times New Roman" w:eastAsia="宋体" w:cs="Times New Roman"/>
                      <w:b/>
                      <w:color w:val="000000" w:themeColor="text1"/>
                      <w:spacing w:val="0"/>
                      <w:sz w:val="21"/>
                      <w:szCs w:val="24"/>
                      <w14:textFill>
                        <w14:solidFill>
                          <w14:schemeClr w14:val="tx1"/>
                        </w14:solidFill>
                      </w14:textFill>
                    </w:rPr>
                  </w:pPr>
                  <w:r>
                    <w:rPr>
                      <w:rStyle w:val="61"/>
                      <w:rFonts w:hint="default" w:ascii="Times New Roman" w:hAnsi="Times New Roman" w:eastAsia="宋体" w:cs="Times New Roman"/>
                      <w:b/>
                      <w:color w:val="000000" w:themeColor="text1"/>
                      <w:spacing w:val="0"/>
                      <w:sz w:val="21"/>
                      <w:szCs w:val="24"/>
                      <w14:textFill>
                        <w14:solidFill>
                          <w14:schemeClr w14:val="tx1"/>
                        </w14:solidFill>
                      </w14:textFill>
                    </w:rPr>
                    <w:t>建设项目名称</w:t>
                  </w:r>
                </w:p>
              </w:tc>
              <w:tc>
                <w:tcPr>
                  <w:tcW w:w="4062" w:type="pct"/>
                  <w:tcBorders>
                    <w:tl2br w:val="nil"/>
                    <w:tr2bl w:val="nil"/>
                  </w:tcBorders>
                  <w:noWrap w:val="0"/>
                  <w:vAlign w:val="center"/>
                </w:tcPr>
                <w:p w14:paraId="3F540916">
                  <w:pPr>
                    <w:pStyle w:val="65"/>
                    <w:keepNext w:val="0"/>
                    <w:keepLines w:val="0"/>
                    <w:pageBreakBefore w:val="0"/>
                    <w:widowControl w:val="0"/>
                    <w:kinsoku/>
                    <w:wordWrap/>
                    <w:overflowPunct/>
                    <w:topLinePunct w:val="0"/>
                    <w:autoSpaceDE/>
                    <w:autoSpaceDN/>
                    <w:bidi w:val="0"/>
                    <w:adjustRightInd w:val="0"/>
                    <w:snapToGrid w:val="0"/>
                    <w:spacing w:line="340" w:lineRule="exact"/>
                    <w:textAlignment w:val="auto"/>
                    <w:rPr>
                      <w:rStyle w:val="61"/>
                      <w:rFonts w:hint="default" w:ascii="Times New Roman" w:hAnsi="Times New Roman" w:eastAsia="宋体" w:cs="Times New Roman"/>
                      <w:b/>
                      <w:color w:val="000000" w:themeColor="text1"/>
                      <w:spacing w:val="0"/>
                      <w:sz w:val="21"/>
                      <w:szCs w:val="24"/>
                      <w14:textFill>
                        <w14:solidFill>
                          <w14:schemeClr w14:val="tx1"/>
                        </w14:solidFill>
                      </w14:textFill>
                    </w:rPr>
                  </w:pPr>
                  <w:r>
                    <w:rPr>
                      <w:rFonts w:hint="default" w:ascii="Times New Roman" w:hAnsi="Times New Roman" w:cs="Times New Roman"/>
                      <w:b w:val="0"/>
                      <w:bCs/>
                      <w:color w:val="000000" w:themeColor="text1"/>
                      <w:lang w:val="en-US" w:eastAsia="zh-CN"/>
                      <w14:textFill>
                        <w14:solidFill>
                          <w14:schemeClr w14:val="tx1"/>
                        </w14:solidFill>
                      </w14:textFill>
                    </w:rPr>
                    <w:t>年回收加工输液瓶（袋）10400吨、年回收加工破碎生活塑料4000吨</w:t>
                  </w:r>
                  <w:r>
                    <w:rPr>
                      <w:rFonts w:hint="eastAsia" w:cs="Times New Roman"/>
                      <w:b w:val="0"/>
                      <w:bCs/>
                      <w:color w:val="000000" w:themeColor="text1"/>
                      <w:lang w:val="en-US" w:eastAsia="zh-CN"/>
                      <w14:textFill>
                        <w14:solidFill>
                          <w14:schemeClr w14:val="tx1"/>
                        </w14:solidFill>
                      </w14:textFill>
                    </w:rPr>
                    <w:t>项目</w:t>
                  </w:r>
                </w:p>
              </w:tc>
            </w:tr>
            <w:tr w14:paraId="796631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37" w:type="pct"/>
                  <w:tcBorders>
                    <w:tl2br w:val="nil"/>
                    <w:tr2bl w:val="nil"/>
                  </w:tcBorders>
                  <w:noWrap w:val="0"/>
                  <w:vAlign w:val="center"/>
                </w:tcPr>
                <w:p w14:paraId="4B924F4A">
                  <w:pPr>
                    <w:pStyle w:val="65"/>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建设项目地点</w:t>
                  </w:r>
                </w:p>
              </w:tc>
              <w:tc>
                <w:tcPr>
                  <w:tcW w:w="4062" w:type="pct"/>
                  <w:tcBorders>
                    <w:tl2br w:val="nil"/>
                    <w:tr2bl w:val="nil"/>
                  </w:tcBorders>
                  <w:noWrap w:val="0"/>
                  <w:vAlign w:val="center"/>
                </w:tcPr>
                <w:p w14:paraId="5A86068D">
                  <w:pPr>
                    <w:pStyle w:val="84"/>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福建省福州市福清市江镜镇闽台（福州）蓝色经济产业园（租赁</w:t>
                  </w:r>
                  <w:r>
                    <w:rPr>
                      <w:rFonts w:hint="default" w:ascii="Times New Roman" w:hAnsi="Times New Roman" w:cs="Times New Roman"/>
                      <w:color w:val="000000" w:themeColor="text1"/>
                      <w:szCs w:val="21"/>
                      <w:lang w:eastAsia="zh-CN"/>
                      <w14:textFill>
                        <w14:solidFill>
                          <w14:schemeClr w14:val="tx1"/>
                        </w14:solidFill>
                      </w14:textFill>
                    </w:rPr>
                    <w:t>福州锦佳商贸有限公司B37栋厂房（二期）</w:t>
                  </w:r>
                  <w:r>
                    <w:rPr>
                      <w:rFonts w:hint="default" w:ascii="Times New Roman" w:hAnsi="Times New Roman" w:eastAsia="宋体" w:cs="Times New Roman"/>
                      <w:color w:val="000000" w:themeColor="text1"/>
                      <w:szCs w:val="21"/>
                      <w:lang w:eastAsia="zh-CN"/>
                      <w14:textFill>
                        <w14:solidFill>
                          <w14:schemeClr w14:val="tx1"/>
                        </w14:solidFill>
                      </w14:textFill>
                    </w:rPr>
                    <w:t>）</w:t>
                  </w:r>
                </w:p>
              </w:tc>
            </w:tr>
            <w:tr w14:paraId="087DD1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37" w:type="pct"/>
                  <w:tcBorders>
                    <w:tl2br w:val="nil"/>
                    <w:tr2bl w:val="nil"/>
                  </w:tcBorders>
                  <w:noWrap w:val="0"/>
                  <w:vAlign w:val="center"/>
                </w:tcPr>
                <w:p w14:paraId="279B19E8">
                  <w:pPr>
                    <w:pStyle w:val="65"/>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地理坐标</w:t>
                  </w:r>
                </w:p>
              </w:tc>
              <w:tc>
                <w:tcPr>
                  <w:tcW w:w="4062" w:type="pct"/>
                  <w:tcBorders>
                    <w:tl2br w:val="nil"/>
                    <w:tr2bl w:val="nil"/>
                  </w:tcBorders>
                  <w:noWrap w:val="0"/>
                  <w:vAlign w:val="center"/>
                </w:tcPr>
                <w:p w14:paraId="774FFA3B">
                  <w:pPr>
                    <w:pStyle w:val="84"/>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经度：119°23′12.59</w:t>
                  </w:r>
                  <w:r>
                    <w:rPr>
                      <w:rFonts w:hint="default" w:ascii="Times New Roman" w:hAnsi="Times New Roman" w:cs="Times New Roman"/>
                      <w:color w:val="000000" w:themeColor="text1"/>
                      <w:szCs w:val="21"/>
                      <w:lang w:val="en-US" w:eastAsia="zh-CN"/>
                      <w14:textFill>
                        <w14:solidFill>
                          <w14:schemeClr w14:val="tx1"/>
                        </w14:solidFill>
                      </w14:textFill>
                    </w:rPr>
                    <w:t>6</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w:t>
                  </w:r>
                  <w:r>
                    <w:rPr>
                      <w:rFonts w:hint="default" w:ascii="Times New Roman" w:hAnsi="Times New Roman" w:eastAsia="宋体" w:cs="Times New Roman"/>
                      <w:color w:val="000000" w:themeColor="text1"/>
                      <w:szCs w:val="21"/>
                      <w:lang w:eastAsia="zh-CN"/>
                      <w14:textFill>
                        <w14:solidFill>
                          <w14:schemeClr w14:val="tx1"/>
                        </w14:solidFill>
                      </w14:textFill>
                    </w:rPr>
                    <w:t>纬度：25°31′42.906″</w:t>
                  </w:r>
                </w:p>
              </w:tc>
            </w:tr>
            <w:tr w14:paraId="03D4D0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37" w:type="pct"/>
                  <w:tcBorders>
                    <w:tl2br w:val="nil"/>
                    <w:tr2bl w:val="nil"/>
                  </w:tcBorders>
                  <w:noWrap w:val="0"/>
                  <w:vAlign w:val="center"/>
                </w:tcPr>
                <w:p w14:paraId="58A00168">
                  <w:pPr>
                    <w:pStyle w:val="65"/>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潜在事故类型</w:t>
                  </w:r>
                </w:p>
              </w:tc>
              <w:tc>
                <w:tcPr>
                  <w:tcW w:w="4062" w:type="pct"/>
                  <w:tcBorders>
                    <w:tl2br w:val="nil"/>
                    <w:tr2bl w:val="nil"/>
                  </w:tcBorders>
                  <w:noWrap w:val="0"/>
                  <w:vAlign w:val="center"/>
                </w:tcPr>
                <w:p w14:paraId="0779B0A8">
                  <w:pPr>
                    <w:pStyle w:val="84"/>
                    <w:keepNext w:val="0"/>
                    <w:keepLines w:val="0"/>
                    <w:pageBreakBefore w:val="0"/>
                    <w:widowControl w:val="0"/>
                    <w:kinsoku/>
                    <w:wordWrap/>
                    <w:overflowPunct/>
                    <w:topLinePunct w:val="0"/>
                    <w:autoSpaceDE/>
                    <w:autoSpaceDN/>
                    <w:bidi w:val="0"/>
                    <w:adjustRightInd w:val="0"/>
                    <w:snapToGrid w:val="0"/>
                    <w:spacing w:line="340" w:lineRule="exact"/>
                    <w:jc w:val="both"/>
                    <w:textAlignment w:val="auto"/>
                    <w:rPr>
                      <w:rStyle w:val="61"/>
                      <w:rFonts w:hint="default" w:ascii="Times New Roman" w:hAnsi="Times New Roman" w:eastAsia="宋体" w:cs="Times New Roman"/>
                      <w:color w:val="000000" w:themeColor="text1"/>
                      <w:spacing w:val="0"/>
                      <w:sz w:val="21"/>
                      <w:szCs w:val="20"/>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火灾风险</w:t>
                  </w:r>
                </w:p>
              </w:tc>
            </w:tr>
            <w:tr w14:paraId="502146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37" w:type="pct"/>
                  <w:tcBorders>
                    <w:tl2br w:val="nil"/>
                    <w:tr2bl w:val="nil"/>
                  </w:tcBorders>
                  <w:noWrap w:val="0"/>
                  <w:vAlign w:val="center"/>
                </w:tcPr>
                <w:p w14:paraId="2931DB40">
                  <w:pPr>
                    <w:pStyle w:val="65"/>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环境影响途径及危害后果</w:t>
                  </w:r>
                </w:p>
              </w:tc>
              <w:tc>
                <w:tcPr>
                  <w:tcW w:w="4062" w:type="pct"/>
                  <w:tcBorders>
                    <w:tl2br w:val="nil"/>
                    <w:tr2bl w:val="nil"/>
                  </w:tcBorders>
                  <w:noWrap w:val="0"/>
                  <w:vAlign w:val="center"/>
                </w:tcPr>
                <w:p w14:paraId="4EACAAAD">
                  <w:pPr>
                    <w:pStyle w:val="84"/>
                    <w:keepNext w:val="0"/>
                    <w:keepLines w:val="0"/>
                    <w:pageBreakBefore w:val="0"/>
                    <w:widowControl w:val="0"/>
                    <w:kinsoku/>
                    <w:wordWrap/>
                    <w:overflowPunct/>
                    <w:topLinePunct w:val="0"/>
                    <w:autoSpaceDE/>
                    <w:autoSpaceDN/>
                    <w:bidi w:val="0"/>
                    <w:adjustRightInd w:val="0"/>
                    <w:snapToGrid w:val="0"/>
                    <w:spacing w:line="340" w:lineRule="exact"/>
                    <w:jc w:val="both"/>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引起火灾的因素较多，如电器设备老化，设备维护管理和使用不当，明火管理不当、吸烟等，此时若遇火源可发生火灾危险。</w:t>
                  </w:r>
                </w:p>
                <w:p w14:paraId="039587A2">
                  <w:pPr>
                    <w:pStyle w:val="84"/>
                    <w:keepNext w:val="0"/>
                    <w:keepLines w:val="0"/>
                    <w:pageBreakBefore w:val="0"/>
                    <w:widowControl w:val="0"/>
                    <w:kinsoku/>
                    <w:wordWrap/>
                    <w:overflowPunct/>
                    <w:topLinePunct w:val="0"/>
                    <w:autoSpaceDE/>
                    <w:autoSpaceDN/>
                    <w:bidi w:val="0"/>
                    <w:adjustRightInd w:val="0"/>
                    <w:snapToGrid w:val="0"/>
                    <w:spacing w:line="340" w:lineRule="exact"/>
                    <w:jc w:val="both"/>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火灾产生的热辐射、浓烟、有害气体等直接进入环境，火灾扑救过程产生的消防废水直接排入周边水体</w:t>
                  </w:r>
                  <w:r>
                    <w:rPr>
                      <w:rFonts w:hint="default" w:ascii="Times New Roman" w:hAnsi="Times New Roman" w:cs="Times New Roman"/>
                      <w:color w:val="000000" w:themeColor="text1"/>
                      <w:sz w:val="21"/>
                      <w:szCs w:val="21"/>
                      <w:lang w:eastAsia="zh-CN"/>
                      <w14:textFill>
                        <w14:solidFill>
                          <w14:schemeClr w14:val="tx1"/>
                        </w14:solidFill>
                      </w14:textFill>
                    </w:rPr>
                    <w:t>。</w:t>
                  </w:r>
                </w:p>
              </w:tc>
            </w:tr>
            <w:tr w14:paraId="7B9E89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37" w:type="pct"/>
                  <w:tcBorders>
                    <w:tl2br w:val="nil"/>
                    <w:tr2bl w:val="nil"/>
                  </w:tcBorders>
                  <w:noWrap w:val="0"/>
                  <w:vAlign w:val="center"/>
                </w:tcPr>
                <w:p w14:paraId="4714199F">
                  <w:pPr>
                    <w:pStyle w:val="65"/>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风险防范措施要求</w:t>
                  </w:r>
                </w:p>
              </w:tc>
              <w:tc>
                <w:tcPr>
                  <w:tcW w:w="4062" w:type="pct"/>
                  <w:tcBorders>
                    <w:tl2br w:val="nil"/>
                    <w:tr2bl w:val="nil"/>
                  </w:tcBorders>
                  <w:noWrap w:val="0"/>
                  <w:vAlign w:val="center"/>
                </w:tcPr>
                <w:p w14:paraId="57D71CE6">
                  <w:pPr>
                    <w:pStyle w:val="84"/>
                    <w:keepNext w:val="0"/>
                    <w:keepLines w:val="0"/>
                    <w:pageBreakBefore w:val="0"/>
                    <w:widowControl w:val="0"/>
                    <w:kinsoku/>
                    <w:wordWrap/>
                    <w:overflowPunct/>
                    <w:topLinePunct w:val="0"/>
                    <w:autoSpaceDE/>
                    <w:autoSpaceDN/>
                    <w:bidi w:val="0"/>
                    <w:adjustRightInd w:val="0"/>
                    <w:snapToGrid w:val="0"/>
                    <w:spacing w:line="340" w:lineRule="exact"/>
                    <w:jc w:val="both"/>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①加强安全管理，强化员工安全意识，提高事故防范措施；</w:t>
                  </w:r>
                </w:p>
                <w:p w14:paraId="3959DCCA">
                  <w:pPr>
                    <w:pStyle w:val="84"/>
                    <w:keepNext w:val="0"/>
                    <w:keepLines w:val="0"/>
                    <w:pageBreakBefore w:val="0"/>
                    <w:widowControl w:val="0"/>
                    <w:kinsoku/>
                    <w:wordWrap/>
                    <w:overflowPunct/>
                    <w:topLinePunct w:val="0"/>
                    <w:autoSpaceDE/>
                    <w:autoSpaceDN/>
                    <w:bidi w:val="0"/>
                    <w:adjustRightInd w:val="0"/>
                    <w:snapToGrid w:val="0"/>
                    <w:spacing w:line="340" w:lineRule="exact"/>
                    <w:jc w:val="both"/>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②加强生产管理，强化防火意识，生产车间禁止烟火，坚决杜绝火灾事故发生；</w:t>
                  </w:r>
                </w:p>
                <w:p w14:paraId="755CB842">
                  <w:pPr>
                    <w:pStyle w:val="84"/>
                    <w:keepNext w:val="0"/>
                    <w:keepLines w:val="0"/>
                    <w:pageBreakBefore w:val="0"/>
                    <w:widowControl w:val="0"/>
                    <w:kinsoku/>
                    <w:wordWrap/>
                    <w:overflowPunct/>
                    <w:topLinePunct w:val="0"/>
                    <w:autoSpaceDE/>
                    <w:autoSpaceDN/>
                    <w:bidi w:val="0"/>
                    <w:adjustRightInd w:val="0"/>
                    <w:snapToGrid w:val="0"/>
                    <w:spacing w:line="340" w:lineRule="exact"/>
                    <w:jc w:val="both"/>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③厂区严格按消防规范进行设计，配备必要的消防通道、消防栓、灭火器材，明确消防人员，制定消防制度，加强职工消防知识培训。</w:t>
                  </w:r>
                </w:p>
                <w:p w14:paraId="376FA70F">
                  <w:pPr>
                    <w:pStyle w:val="84"/>
                    <w:keepNext w:val="0"/>
                    <w:keepLines w:val="0"/>
                    <w:pageBreakBefore w:val="0"/>
                    <w:widowControl w:val="0"/>
                    <w:kinsoku/>
                    <w:wordWrap/>
                    <w:overflowPunct/>
                    <w:topLinePunct w:val="0"/>
                    <w:autoSpaceDE/>
                    <w:autoSpaceDN/>
                    <w:bidi w:val="0"/>
                    <w:adjustRightInd w:val="0"/>
                    <w:snapToGrid w:val="0"/>
                    <w:spacing w:line="340" w:lineRule="exact"/>
                    <w:jc w:val="both"/>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④做好仓库的安全管理工作，仓库要单独设置，隔离火源，仓库应张贴严禁烟火警示牌，配备消防器材，加强仓库管理人员的防火教育，杜绝火灾事故发生。</w:t>
                  </w:r>
                </w:p>
              </w:tc>
            </w:tr>
          </w:tbl>
          <w:p w14:paraId="26B3792E">
            <w:pPr>
              <w:pStyle w:val="3"/>
              <w:keepNext/>
              <w:keepLines/>
              <w:pageBreakBefore w:val="0"/>
              <w:widowControl w:val="0"/>
              <w:numPr>
                <w:ilvl w:val="1"/>
                <w:numId w:val="0"/>
              </w:numPr>
              <w:kinsoku/>
              <w:wordWrap/>
              <w:overflowPunct/>
              <w:topLinePunct w:val="0"/>
              <w:autoSpaceDE/>
              <w:autoSpaceDN/>
              <w:bidi w:val="0"/>
              <w:adjustRightInd/>
              <w:snapToGrid/>
              <w:spacing w:before="157" w:beforeLines="50"/>
              <w:ind w:leftChars="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r>
              <w:rPr>
                <w:rFonts w:hint="default" w:ascii="Times New Roman" w:hAnsi="Times New Roman" w:cs="Times New Roman"/>
                <w:color w:val="000000" w:themeColor="text1"/>
                <w:lang w:val="en-US"/>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 xml:space="preserve"> 环保投资概算</w:t>
            </w:r>
          </w:p>
          <w:p w14:paraId="4AE0D1A7">
            <w:pPr>
              <w:autoSpaceDE w:val="0"/>
              <w:autoSpaceDN w:val="0"/>
              <w:spacing w:line="360" w:lineRule="auto"/>
              <w:ind w:firstLine="480" w:firstLineChars="200"/>
              <w:textAlignment w:val="bottom"/>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项目的环保设施投资主要内容及估算如表4.</w:t>
            </w:r>
            <w:r>
              <w:rPr>
                <w:rFonts w:hint="default" w:ascii="Times New Roman" w:hAnsi="Times New Roman" w:cs="Times New Roman"/>
                <w:color w:val="000000" w:themeColor="text1"/>
                <w:sz w:val="24"/>
                <w:lang w:val="en-US" w:eastAsia="zh-CN"/>
                <w14:textFill>
                  <w14:solidFill>
                    <w14:schemeClr w14:val="tx1"/>
                  </w14:solidFill>
                </w14:textFill>
              </w:rPr>
              <w:t>8</w:t>
            </w:r>
            <w:r>
              <w:rPr>
                <w:rFonts w:hint="default" w:ascii="Times New Roman" w:hAnsi="Times New Roman" w:cs="Times New Roman"/>
                <w:color w:val="000000" w:themeColor="text1"/>
                <w:sz w:val="24"/>
                <w14:textFill>
                  <w14:solidFill>
                    <w14:schemeClr w14:val="tx1"/>
                  </w14:solidFill>
                </w14:textFill>
              </w:rPr>
              <w:t>-1所示：</w:t>
            </w:r>
          </w:p>
          <w:p w14:paraId="31E51020">
            <w:pPr>
              <w:pStyle w:val="123"/>
              <w:bidi w:val="0"/>
              <w:rPr>
                <w:rFonts w:hint="default" w:ascii="Times New Roman" w:hAnsi="Times New Roman" w:cs="Times New Roman"/>
                <w:color w:val="auto"/>
              </w:rPr>
            </w:pPr>
            <w:r>
              <w:rPr>
                <w:rFonts w:hint="default" w:ascii="Times New Roman" w:hAnsi="Times New Roman" w:cs="Times New Roman"/>
                <w:color w:val="auto"/>
              </w:rPr>
              <w:t>表4.</w:t>
            </w:r>
            <w:r>
              <w:rPr>
                <w:rFonts w:hint="default" w:ascii="Times New Roman" w:hAnsi="Times New Roman" w:cs="Times New Roman"/>
                <w:color w:val="auto"/>
                <w:lang w:val="en-US" w:eastAsia="zh-CN"/>
              </w:rPr>
              <w:t>8</w:t>
            </w:r>
            <w:r>
              <w:rPr>
                <w:rFonts w:hint="default" w:ascii="Times New Roman" w:hAnsi="Times New Roman" w:cs="Times New Roman"/>
                <w:color w:val="auto"/>
              </w:rPr>
              <w:t>-1  环保措施投资估算表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72"/>
              <w:gridCol w:w="5838"/>
              <w:gridCol w:w="1133"/>
            </w:tblGrid>
            <w:tr w14:paraId="4F2970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 w:type="pct"/>
                  <w:noWrap w:val="0"/>
                  <w:vAlign w:val="center"/>
                </w:tcPr>
                <w:p w14:paraId="305C0425">
                  <w:pPr>
                    <w:pStyle w:val="126"/>
                    <w:bidi w:val="0"/>
                    <w:rPr>
                      <w:rFonts w:hint="default" w:ascii="Times New Roman" w:hAnsi="Times New Roman" w:cs="Times New Roman"/>
                      <w:color w:val="auto"/>
                    </w:rPr>
                  </w:pPr>
                  <w:r>
                    <w:rPr>
                      <w:rFonts w:hint="default" w:ascii="Times New Roman" w:hAnsi="Times New Roman" w:cs="Times New Roman"/>
                      <w:color w:val="auto"/>
                    </w:rPr>
                    <w:t>污染源</w:t>
                  </w:r>
                </w:p>
              </w:tc>
              <w:tc>
                <w:tcPr>
                  <w:tcW w:w="3498" w:type="pct"/>
                  <w:noWrap w:val="0"/>
                  <w:vAlign w:val="center"/>
                </w:tcPr>
                <w:p w14:paraId="4ADC11B5">
                  <w:pPr>
                    <w:pStyle w:val="126"/>
                    <w:bidi w:val="0"/>
                    <w:rPr>
                      <w:rFonts w:hint="default" w:ascii="Times New Roman" w:hAnsi="Times New Roman" w:cs="Times New Roman"/>
                      <w:color w:val="auto"/>
                    </w:rPr>
                  </w:pPr>
                  <w:r>
                    <w:rPr>
                      <w:rFonts w:hint="default" w:ascii="Times New Roman" w:hAnsi="Times New Roman" w:cs="Times New Roman"/>
                      <w:color w:val="auto"/>
                    </w:rPr>
                    <w:t>治理措施或设施</w:t>
                  </w:r>
                </w:p>
              </w:tc>
              <w:tc>
                <w:tcPr>
                  <w:tcW w:w="679" w:type="pct"/>
                  <w:noWrap w:val="0"/>
                  <w:vAlign w:val="center"/>
                </w:tcPr>
                <w:p w14:paraId="20D35596">
                  <w:pPr>
                    <w:pStyle w:val="126"/>
                    <w:bidi w:val="0"/>
                    <w:rPr>
                      <w:rFonts w:hint="default" w:ascii="Times New Roman" w:hAnsi="Times New Roman" w:cs="Times New Roman"/>
                      <w:color w:val="auto"/>
                    </w:rPr>
                  </w:pPr>
                  <w:r>
                    <w:rPr>
                      <w:rFonts w:hint="default" w:ascii="Times New Roman" w:hAnsi="Times New Roman" w:cs="Times New Roman"/>
                      <w:color w:val="auto"/>
                    </w:rPr>
                    <w:t>投资</w:t>
                  </w:r>
                </w:p>
              </w:tc>
            </w:tr>
            <w:tr w14:paraId="747997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 w:type="pct"/>
                  <w:vMerge w:val="restart"/>
                  <w:noWrap w:val="0"/>
                  <w:vAlign w:val="center"/>
                </w:tcPr>
                <w:p w14:paraId="597FB772">
                  <w:pPr>
                    <w:pStyle w:val="126"/>
                    <w:bidi w:val="0"/>
                    <w:rPr>
                      <w:rFonts w:hint="default" w:ascii="Times New Roman" w:hAnsi="Times New Roman" w:cs="Times New Roman"/>
                      <w:color w:val="auto"/>
                    </w:rPr>
                  </w:pPr>
                  <w:r>
                    <w:rPr>
                      <w:rFonts w:hint="default" w:ascii="Times New Roman" w:hAnsi="Times New Roman" w:cs="Times New Roman"/>
                      <w:color w:val="auto"/>
                    </w:rPr>
                    <w:t>废水</w:t>
                  </w:r>
                </w:p>
              </w:tc>
              <w:tc>
                <w:tcPr>
                  <w:tcW w:w="3498" w:type="pct"/>
                  <w:noWrap w:val="0"/>
                  <w:vAlign w:val="center"/>
                </w:tcPr>
                <w:p w14:paraId="0A077CD4">
                  <w:pPr>
                    <w:pStyle w:val="126"/>
                    <w:bidi w:val="0"/>
                    <w:rPr>
                      <w:rFonts w:hint="default" w:ascii="Times New Roman" w:hAnsi="Times New Roman" w:cs="Times New Roman"/>
                      <w:color w:val="auto"/>
                    </w:rPr>
                  </w:pPr>
                  <w:r>
                    <w:rPr>
                      <w:rFonts w:hint="default" w:ascii="Times New Roman" w:hAnsi="Times New Roman" w:cs="Times New Roman"/>
                      <w:color w:val="auto"/>
                      <w:lang w:val="zh-CN"/>
                    </w:rPr>
                    <w:t>依托厂区内已建化粪池及污水收集管道</w:t>
                  </w:r>
                </w:p>
              </w:tc>
              <w:tc>
                <w:tcPr>
                  <w:tcW w:w="679" w:type="pct"/>
                  <w:noWrap w:val="0"/>
                  <w:vAlign w:val="center"/>
                </w:tcPr>
                <w:p w14:paraId="13484EDB">
                  <w:pPr>
                    <w:pStyle w:val="12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r>
            <w:tr w14:paraId="489D83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 w:type="pct"/>
                  <w:vMerge w:val="continue"/>
                  <w:noWrap w:val="0"/>
                  <w:vAlign w:val="center"/>
                </w:tcPr>
                <w:p w14:paraId="6AAA1DCD">
                  <w:pPr>
                    <w:pStyle w:val="126"/>
                    <w:bidi w:val="0"/>
                    <w:rPr>
                      <w:rFonts w:hint="default" w:ascii="Times New Roman" w:hAnsi="Times New Roman" w:cs="Times New Roman"/>
                      <w:color w:val="auto"/>
                    </w:rPr>
                  </w:pPr>
                </w:p>
              </w:tc>
              <w:tc>
                <w:tcPr>
                  <w:tcW w:w="3498" w:type="pct"/>
                  <w:noWrap w:val="0"/>
                  <w:vAlign w:val="center"/>
                </w:tcPr>
                <w:p w14:paraId="38271578">
                  <w:pPr>
                    <w:pStyle w:val="126"/>
                    <w:bidi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新建污水处理设施及回用管道，处理规模为40m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/d</w:t>
                  </w:r>
                </w:p>
              </w:tc>
              <w:tc>
                <w:tcPr>
                  <w:tcW w:w="679" w:type="pct"/>
                  <w:noWrap w:val="0"/>
                  <w:vAlign w:val="center"/>
                </w:tcPr>
                <w:p w14:paraId="19F1703D">
                  <w:pPr>
                    <w:pStyle w:val="126"/>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20</w:t>
                  </w:r>
                  <w:r>
                    <w:rPr>
                      <w:rFonts w:hint="default" w:ascii="Times New Roman" w:hAnsi="Times New Roman" w:cs="Times New Roman"/>
                      <w:color w:val="auto"/>
                    </w:rPr>
                    <w:t>万元</w:t>
                  </w:r>
                </w:p>
              </w:tc>
            </w:tr>
            <w:tr w14:paraId="2AAD41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 w:type="pct"/>
                  <w:noWrap w:val="0"/>
                  <w:vAlign w:val="center"/>
                </w:tcPr>
                <w:p w14:paraId="1B587EA9">
                  <w:pPr>
                    <w:pStyle w:val="126"/>
                    <w:bidi w:val="0"/>
                    <w:rPr>
                      <w:rFonts w:hint="default" w:ascii="Times New Roman" w:hAnsi="Times New Roman" w:cs="Times New Roman"/>
                      <w:color w:val="auto"/>
                    </w:rPr>
                  </w:pPr>
                  <w:r>
                    <w:rPr>
                      <w:rFonts w:hint="default" w:ascii="Times New Roman" w:hAnsi="Times New Roman" w:cs="Times New Roman"/>
                      <w:color w:val="auto"/>
                    </w:rPr>
                    <w:t>废气</w:t>
                  </w:r>
                </w:p>
              </w:tc>
              <w:tc>
                <w:tcPr>
                  <w:tcW w:w="3498" w:type="pct"/>
                  <w:noWrap w:val="0"/>
                  <w:vAlign w:val="center"/>
                </w:tcPr>
                <w:p w14:paraId="53A82052">
                  <w:pPr>
                    <w:pStyle w:val="126"/>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p>
              </w:tc>
              <w:tc>
                <w:tcPr>
                  <w:tcW w:w="679" w:type="pct"/>
                  <w:noWrap w:val="0"/>
                  <w:vAlign w:val="center"/>
                </w:tcPr>
                <w:p w14:paraId="79D3003E">
                  <w:pPr>
                    <w:pStyle w:val="126"/>
                    <w:bidi w:val="0"/>
                    <w:rPr>
                      <w:rFonts w:hint="default" w:ascii="Times New Roman" w:hAnsi="Times New Roman" w:cs="Times New Roman"/>
                      <w:color w:val="auto"/>
                      <w:lang w:val="en-US"/>
                    </w:rPr>
                  </w:pPr>
                </w:p>
              </w:tc>
            </w:tr>
            <w:tr w14:paraId="172C0B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 w:type="pct"/>
                  <w:noWrap w:val="0"/>
                  <w:vAlign w:val="center"/>
                </w:tcPr>
                <w:p w14:paraId="47BDECEA">
                  <w:pPr>
                    <w:pStyle w:val="126"/>
                    <w:bidi w:val="0"/>
                    <w:rPr>
                      <w:rFonts w:hint="default" w:ascii="Times New Roman" w:hAnsi="Times New Roman" w:cs="Times New Roman"/>
                      <w:color w:val="auto"/>
                    </w:rPr>
                  </w:pPr>
                  <w:r>
                    <w:rPr>
                      <w:rFonts w:hint="default" w:ascii="Times New Roman" w:hAnsi="Times New Roman" w:cs="Times New Roman"/>
                      <w:color w:val="auto"/>
                    </w:rPr>
                    <w:t>噪声</w:t>
                  </w:r>
                </w:p>
              </w:tc>
              <w:tc>
                <w:tcPr>
                  <w:tcW w:w="3498" w:type="pct"/>
                  <w:noWrap w:val="0"/>
                  <w:vAlign w:val="center"/>
                </w:tcPr>
                <w:p w14:paraId="2B2FE481">
                  <w:pPr>
                    <w:pStyle w:val="126"/>
                    <w:bidi w:val="0"/>
                    <w:rPr>
                      <w:rFonts w:hint="default" w:ascii="Times New Roman" w:hAnsi="Times New Roman" w:cs="Times New Roman"/>
                      <w:color w:val="auto"/>
                    </w:rPr>
                  </w:pPr>
                  <w:r>
                    <w:rPr>
                      <w:rFonts w:hint="default" w:ascii="Times New Roman" w:hAnsi="Times New Roman" w:cs="Times New Roman"/>
                      <w:color w:val="auto"/>
                    </w:rPr>
                    <w:t>隔声、减振等综合降噪措施</w:t>
                  </w:r>
                </w:p>
              </w:tc>
              <w:tc>
                <w:tcPr>
                  <w:tcW w:w="679" w:type="pct"/>
                  <w:noWrap w:val="0"/>
                  <w:vAlign w:val="center"/>
                </w:tcPr>
                <w:p w14:paraId="6B548B45">
                  <w:pPr>
                    <w:pStyle w:val="126"/>
                    <w:bidi w:val="0"/>
                    <w:rPr>
                      <w:rFonts w:hint="default" w:ascii="Times New Roman" w:hAnsi="Times New Roman" w:cs="Times New Roman"/>
                      <w:color w:val="auto"/>
                    </w:rPr>
                  </w:pPr>
                  <w:r>
                    <w:rPr>
                      <w:rFonts w:hint="default" w:ascii="Times New Roman" w:hAnsi="Times New Roman" w:cs="Times New Roman"/>
                      <w:color w:val="auto"/>
                      <w:lang w:val="en-US" w:eastAsia="zh-CN"/>
                    </w:rPr>
                    <w:t>2</w:t>
                  </w:r>
                  <w:r>
                    <w:rPr>
                      <w:rFonts w:hint="default" w:ascii="Times New Roman" w:hAnsi="Times New Roman" w:cs="Times New Roman"/>
                      <w:color w:val="auto"/>
                    </w:rPr>
                    <w:t>万元</w:t>
                  </w:r>
                </w:p>
              </w:tc>
            </w:tr>
            <w:tr w14:paraId="63AD60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 w:type="pct"/>
                  <w:noWrap w:val="0"/>
                  <w:vAlign w:val="center"/>
                </w:tcPr>
                <w:p w14:paraId="4836904F">
                  <w:pPr>
                    <w:pStyle w:val="126"/>
                    <w:bidi w:val="0"/>
                    <w:rPr>
                      <w:rFonts w:hint="default" w:ascii="Times New Roman" w:hAnsi="Times New Roman" w:cs="Times New Roman"/>
                      <w:color w:val="auto"/>
                    </w:rPr>
                  </w:pPr>
                  <w:r>
                    <w:rPr>
                      <w:rFonts w:hint="default" w:ascii="Times New Roman" w:hAnsi="Times New Roman" w:cs="Times New Roman"/>
                      <w:color w:val="auto"/>
                    </w:rPr>
                    <w:t>固体废物</w:t>
                  </w:r>
                </w:p>
              </w:tc>
              <w:tc>
                <w:tcPr>
                  <w:tcW w:w="3498" w:type="pct"/>
                  <w:noWrap w:val="0"/>
                  <w:vAlign w:val="center"/>
                </w:tcPr>
                <w:p w14:paraId="6EE299B0">
                  <w:pPr>
                    <w:pStyle w:val="126"/>
                    <w:bidi w:val="0"/>
                    <w:rPr>
                      <w:rFonts w:hint="default" w:ascii="Times New Roman" w:hAnsi="Times New Roman" w:cs="Times New Roman"/>
                      <w:color w:val="auto"/>
                    </w:rPr>
                  </w:pPr>
                  <w:r>
                    <w:rPr>
                      <w:rFonts w:hint="default" w:ascii="Times New Roman" w:hAnsi="Times New Roman" w:cs="Times New Roman"/>
                      <w:color w:val="auto"/>
                    </w:rPr>
                    <w:t>固废收集装置</w:t>
                  </w:r>
                </w:p>
              </w:tc>
              <w:tc>
                <w:tcPr>
                  <w:tcW w:w="679" w:type="pct"/>
                  <w:noWrap w:val="0"/>
                  <w:vAlign w:val="center"/>
                </w:tcPr>
                <w:p w14:paraId="0BA0EDC5">
                  <w:pPr>
                    <w:pStyle w:val="126"/>
                    <w:bidi w:val="0"/>
                    <w:rPr>
                      <w:rFonts w:hint="default" w:ascii="Times New Roman" w:hAnsi="Times New Roman" w:cs="Times New Roman"/>
                      <w:color w:val="auto"/>
                    </w:rPr>
                  </w:pPr>
                  <w:r>
                    <w:rPr>
                      <w:rFonts w:hint="eastAsia" w:ascii="Times New Roman" w:hAnsi="Times New Roman" w:cs="Times New Roman"/>
                      <w:color w:val="auto"/>
                      <w:lang w:val="en-US" w:eastAsia="zh-CN"/>
                    </w:rPr>
                    <w:t>2</w:t>
                  </w:r>
                  <w:r>
                    <w:rPr>
                      <w:rFonts w:hint="default" w:ascii="Times New Roman" w:hAnsi="Times New Roman" w:cs="Times New Roman"/>
                      <w:color w:val="auto"/>
                    </w:rPr>
                    <w:t>万元</w:t>
                  </w:r>
                </w:p>
              </w:tc>
            </w:tr>
            <w:tr w14:paraId="61057E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0" w:type="pct"/>
                  <w:gridSpan w:val="2"/>
                  <w:noWrap w:val="0"/>
                  <w:vAlign w:val="center"/>
                </w:tcPr>
                <w:p w14:paraId="67356372">
                  <w:pPr>
                    <w:pStyle w:val="126"/>
                    <w:bidi w:val="0"/>
                    <w:rPr>
                      <w:rFonts w:hint="default" w:ascii="Times New Roman" w:hAnsi="Times New Roman" w:cs="Times New Roman"/>
                      <w:color w:val="auto"/>
                    </w:rPr>
                  </w:pPr>
                  <w:r>
                    <w:rPr>
                      <w:rFonts w:hint="default" w:ascii="Times New Roman" w:hAnsi="Times New Roman" w:cs="Times New Roman"/>
                      <w:color w:val="auto"/>
                    </w:rPr>
                    <w:t>总计</w:t>
                  </w:r>
                </w:p>
              </w:tc>
              <w:tc>
                <w:tcPr>
                  <w:tcW w:w="679" w:type="pct"/>
                  <w:noWrap w:val="0"/>
                  <w:vAlign w:val="center"/>
                </w:tcPr>
                <w:p w14:paraId="1E8A4E3F">
                  <w:pPr>
                    <w:pStyle w:val="126"/>
                    <w:bidi w:val="0"/>
                    <w:rPr>
                      <w:rFonts w:hint="default" w:ascii="Times New Roman" w:hAnsi="Times New Roman" w:cs="Times New Roman"/>
                      <w:color w:val="auto"/>
                    </w:rPr>
                  </w:pPr>
                  <w:r>
                    <w:rPr>
                      <w:rFonts w:hint="default" w:ascii="Times New Roman" w:hAnsi="Times New Roman" w:cs="Times New Roman"/>
                      <w:color w:val="auto"/>
                      <w:lang w:val="en-US" w:eastAsia="zh-CN"/>
                    </w:rPr>
                    <w:t>2</w:t>
                  </w:r>
                  <w:r>
                    <w:rPr>
                      <w:rFonts w:hint="eastAsia" w:ascii="Times New Roman" w:hAnsi="Times New Roman" w:cs="Times New Roman"/>
                      <w:color w:val="auto"/>
                      <w:lang w:val="en-US" w:eastAsia="zh-CN"/>
                    </w:rPr>
                    <w:t>4</w:t>
                  </w:r>
                  <w:r>
                    <w:rPr>
                      <w:rFonts w:hint="default" w:ascii="Times New Roman" w:hAnsi="Times New Roman" w:cs="Times New Roman"/>
                      <w:color w:val="auto"/>
                    </w:rPr>
                    <w:t>万元</w:t>
                  </w:r>
                </w:p>
              </w:tc>
            </w:tr>
          </w:tbl>
          <w:p w14:paraId="2B10439E">
            <w:pPr>
              <w:adjustRightInd w:val="0"/>
              <w:snapToGrid w:val="0"/>
              <w:rPr>
                <w:rFonts w:hint="default" w:ascii="Times New Roman" w:hAnsi="Times New Roman" w:eastAsia="宋体" w:cs="Times New Roman"/>
                <w:bCs/>
                <w:color w:val="000000" w:themeColor="text1"/>
                <w:spacing w:val="-10"/>
                <w:szCs w:val="21"/>
                <w14:textFill>
                  <w14:solidFill>
                    <w14:schemeClr w14:val="tx1"/>
                  </w14:solidFill>
                </w14:textFill>
              </w:rPr>
            </w:pPr>
          </w:p>
        </w:tc>
      </w:tr>
    </w:tbl>
    <w:p w14:paraId="4BB133A3">
      <w:pPr>
        <w:pStyle w:val="23"/>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2979D1FE">
      <w:pPr>
        <w:pStyle w:val="23"/>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pPr>
      <w:bookmarkStart w:id="22" w:name="_Toc991"/>
      <w:r>
        <w:rPr>
          <w:rFonts w:hint="default" w:ascii="Times New Roman" w:hAnsi="Times New Roman" w:eastAsia="黑体" w:cs="Times New Roman"/>
          <w:snapToGrid w:val="0"/>
          <w:color w:val="000000" w:themeColor="text1"/>
          <w:sz w:val="30"/>
          <w:szCs w:val="30"/>
          <w14:textFill>
            <w14:solidFill>
              <w14:schemeClr w14:val="tx1"/>
            </w14:solidFill>
          </w14:textFill>
        </w:rPr>
        <w:t>五、</w:t>
      </w:r>
      <w:bookmarkStart w:id="23" w:name="_Hlk54167917"/>
      <w:r>
        <w:rPr>
          <w:rFonts w:hint="default" w:ascii="Times New Roman" w:hAnsi="Times New Roman" w:eastAsia="黑体" w:cs="Times New Roman"/>
          <w:snapToGrid w:val="0"/>
          <w:color w:val="000000" w:themeColor="text1"/>
          <w:sz w:val="30"/>
          <w:szCs w:val="30"/>
          <w14:textFill>
            <w14:solidFill>
              <w14:schemeClr w14:val="tx1"/>
            </w14:solidFill>
          </w14:textFill>
        </w:rPr>
        <w:t>环境保护措施监督检查清单</w:t>
      </w:r>
      <w:bookmarkEnd w:id="22"/>
      <w:bookmarkEnd w:id="23"/>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1193"/>
        <w:gridCol w:w="1313"/>
        <w:gridCol w:w="1832"/>
        <w:gridCol w:w="3402"/>
      </w:tblGrid>
      <w:tr w14:paraId="5A6F32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tcBorders>
              <w:tl2br w:val="single" w:color="auto" w:sz="4" w:space="0"/>
            </w:tcBorders>
            <w:noWrap w:val="0"/>
            <w:vAlign w:val="top"/>
          </w:tcPr>
          <w:p w14:paraId="40008A1E">
            <w:pPr>
              <w:keepNext w:val="0"/>
              <w:keepLines w:val="0"/>
              <w:pageBreakBefore w:val="0"/>
              <w:widowControl w:val="0"/>
              <w:kinsoku/>
              <w:wordWrap/>
              <w:overflowPunct/>
              <w:topLinePunct w:val="0"/>
              <w:bidi w:val="0"/>
              <w:adjustRightInd w:val="0"/>
              <w:snapToGrid w:val="0"/>
              <w:spacing w:line="340" w:lineRule="exact"/>
              <w:jc w:val="right"/>
              <w:textAlignment w:val="auto"/>
              <w:rPr>
                <w:rFonts w:hint="default" w:ascii="Times New Roman" w:hAnsi="Times New Roman" w:eastAsia="宋体" w:cs="Times New Roman"/>
                <w:color w:val="000000" w:themeColor="text1"/>
                <w:spacing w:val="0"/>
                <w:szCs w:val="21"/>
                <w14:textFill>
                  <w14:solidFill>
                    <w14:schemeClr w14:val="tx1"/>
                  </w14:solidFill>
                </w14:textFill>
              </w:rPr>
            </w:pPr>
            <w:r>
              <w:rPr>
                <w:rFonts w:hint="default" w:ascii="Times New Roman" w:hAnsi="Times New Roman" w:eastAsia="宋体" w:cs="Times New Roman"/>
                <w:color w:val="000000" w:themeColor="text1"/>
                <w:spacing w:val="0"/>
                <w:szCs w:val="21"/>
                <w14:textFill>
                  <w14:solidFill>
                    <w14:schemeClr w14:val="tx1"/>
                  </w14:solidFill>
                </w14:textFill>
              </w:rPr>
              <w:t>内容</w:t>
            </w:r>
          </w:p>
          <w:p w14:paraId="622FDA69">
            <w:pPr>
              <w:keepNext w:val="0"/>
              <w:keepLines w:val="0"/>
              <w:pageBreakBefore w:val="0"/>
              <w:widowControl w:val="0"/>
              <w:kinsoku/>
              <w:wordWrap/>
              <w:overflowPunct/>
              <w:topLinePunct w:val="0"/>
              <w:bidi w:val="0"/>
              <w:adjustRightInd w:val="0"/>
              <w:snapToGrid w:val="0"/>
              <w:spacing w:line="340" w:lineRule="exact"/>
              <w:textAlignment w:val="auto"/>
              <w:rPr>
                <w:rFonts w:hint="default" w:ascii="Times New Roman" w:hAnsi="Times New Roman" w:eastAsia="宋体" w:cs="Times New Roman"/>
                <w:color w:val="000000" w:themeColor="text1"/>
                <w:spacing w:val="0"/>
                <w:szCs w:val="21"/>
                <w14:textFill>
                  <w14:solidFill>
                    <w14:schemeClr w14:val="tx1"/>
                  </w14:solidFill>
                </w14:textFill>
              </w:rPr>
            </w:pPr>
          </w:p>
          <w:p w14:paraId="02C0C3E3">
            <w:pPr>
              <w:keepNext w:val="0"/>
              <w:keepLines w:val="0"/>
              <w:pageBreakBefore w:val="0"/>
              <w:widowControl w:val="0"/>
              <w:kinsoku/>
              <w:wordWrap/>
              <w:overflowPunct/>
              <w:topLinePunct w:val="0"/>
              <w:bidi w:val="0"/>
              <w:adjustRightInd w:val="0"/>
              <w:snapToGrid w:val="0"/>
              <w:spacing w:line="340" w:lineRule="exact"/>
              <w:textAlignment w:val="auto"/>
              <w:rPr>
                <w:rFonts w:hint="default" w:ascii="Times New Roman" w:hAnsi="Times New Roman" w:eastAsia="宋体" w:cs="Times New Roman"/>
                <w:color w:val="000000" w:themeColor="text1"/>
                <w:spacing w:val="0"/>
                <w:szCs w:val="21"/>
                <w14:textFill>
                  <w14:solidFill>
                    <w14:schemeClr w14:val="tx1"/>
                  </w14:solidFill>
                </w14:textFill>
              </w:rPr>
            </w:pPr>
            <w:r>
              <w:rPr>
                <w:rFonts w:hint="default" w:ascii="Times New Roman" w:hAnsi="Times New Roman" w:eastAsia="宋体" w:cs="Times New Roman"/>
                <w:color w:val="000000" w:themeColor="text1"/>
                <w:spacing w:val="0"/>
                <w:szCs w:val="21"/>
                <w14:textFill>
                  <w14:solidFill>
                    <w14:schemeClr w14:val="tx1"/>
                  </w14:solidFill>
                </w14:textFill>
              </w:rPr>
              <w:t>要素</w:t>
            </w:r>
          </w:p>
        </w:tc>
        <w:tc>
          <w:tcPr>
            <w:tcW w:w="1193" w:type="dxa"/>
            <w:noWrap w:val="0"/>
            <w:vAlign w:val="center"/>
          </w:tcPr>
          <w:p w14:paraId="270F8637">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pacing w:val="0"/>
                <w:szCs w:val="21"/>
                <w14:textFill>
                  <w14:solidFill>
                    <w14:schemeClr w14:val="tx1"/>
                  </w14:solidFill>
                </w14:textFill>
              </w:rPr>
            </w:pPr>
            <w:r>
              <w:rPr>
                <w:rFonts w:hint="default" w:ascii="Times New Roman" w:hAnsi="Times New Roman" w:eastAsia="宋体" w:cs="Times New Roman"/>
                <w:color w:val="000000" w:themeColor="text1"/>
                <w:spacing w:val="0"/>
                <w:szCs w:val="21"/>
                <w14:textFill>
                  <w14:solidFill>
                    <w14:schemeClr w14:val="tx1"/>
                  </w14:solidFill>
                </w14:textFill>
              </w:rPr>
              <w:t>排放口(编号、名称)/污染源</w:t>
            </w:r>
          </w:p>
        </w:tc>
        <w:tc>
          <w:tcPr>
            <w:tcW w:w="1313" w:type="dxa"/>
            <w:noWrap w:val="0"/>
            <w:vAlign w:val="center"/>
          </w:tcPr>
          <w:p w14:paraId="569A2DC6">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pacing w:val="0"/>
                <w:szCs w:val="21"/>
                <w14:textFill>
                  <w14:solidFill>
                    <w14:schemeClr w14:val="tx1"/>
                  </w14:solidFill>
                </w14:textFill>
              </w:rPr>
            </w:pPr>
            <w:r>
              <w:rPr>
                <w:rFonts w:hint="default" w:ascii="Times New Roman" w:hAnsi="Times New Roman" w:eastAsia="宋体" w:cs="Times New Roman"/>
                <w:color w:val="000000" w:themeColor="text1"/>
                <w:spacing w:val="0"/>
                <w:szCs w:val="21"/>
                <w14:textFill>
                  <w14:solidFill>
                    <w14:schemeClr w14:val="tx1"/>
                  </w14:solidFill>
                </w14:textFill>
              </w:rPr>
              <w:t>污染物</w:t>
            </w:r>
          </w:p>
          <w:p w14:paraId="32E87C73">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pacing w:val="0"/>
                <w:szCs w:val="21"/>
                <w14:textFill>
                  <w14:solidFill>
                    <w14:schemeClr w14:val="tx1"/>
                  </w14:solidFill>
                </w14:textFill>
              </w:rPr>
            </w:pPr>
            <w:r>
              <w:rPr>
                <w:rFonts w:hint="default" w:ascii="Times New Roman" w:hAnsi="Times New Roman" w:eastAsia="宋体" w:cs="Times New Roman"/>
                <w:color w:val="000000" w:themeColor="text1"/>
                <w:spacing w:val="0"/>
                <w:szCs w:val="21"/>
                <w14:textFill>
                  <w14:solidFill>
                    <w14:schemeClr w14:val="tx1"/>
                  </w14:solidFill>
                </w14:textFill>
              </w:rPr>
              <w:t>项目</w:t>
            </w:r>
          </w:p>
        </w:tc>
        <w:tc>
          <w:tcPr>
            <w:tcW w:w="1832" w:type="dxa"/>
            <w:noWrap w:val="0"/>
            <w:vAlign w:val="center"/>
          </w:tcPr>
          <w:p w14:paraId="6A525549">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pacing w:val="0"/>
                <w:szCs w:val="21"/>
                <w14:textFill>
                  <w14:solidFill>
                    <w14:schemeClr w14:val="tx1"/>
                  </w14:solidFill>
                </w14:textFill>
              </w:rPr>
            </w:pPr>
            <w:r>
              <w:rPr>
                <w:rFonts w:hint="default" w:ascii="Times New Roman" w:hAnsi="Times New Roman" w:eastAsia="宋体" w:cs="Times New Roman"/>
                <w:color w:val="000000" w:themeColor="text1"/>
                <w:spacing w:val="0"/>
                <w:szCs w:val="21"/>
                <w14:textFill>
                  <w14:solidFill>
                    <w14:schemeClr w14:val="tx1"/>
                  </w14:solidFill>
                </w14:textFill>
              </w:rPr>
              <w:t>环境保护措施</w:t>
            </w:r>
          </w:p>
        </w:tc>
        <w:tc>
          <w:tcPr>
            <w:tcW w:w="3402" w:type="dxa"/>
            <w:noWrap w:val="0"/>
            <w:vAlign w:val="center"/>
          </w:tcPr>
          <w:p w14:paraId="079EB736">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pacing w:val="0"/>
                <w:szCs w:val="21"/>
                <w14:textFill>
                  <w14:solidFill>
                    <w14:schemeClr w14:val="tx1"/>
                  </w14:solidFill>
                </w14:textFill>
              </w:rPr>
            </w:pPr>
            <w:r>
              <w:rPr>
                <w:rFonts w:hint="default" w:ascii="Times New Roman" w:hAnsi="Times New Roman" w:eastAsia="宋体" w:cs="Times New Roman"/>
                <w:color w:val="000000" w:themeColor="text1"/>
                <w:spacing w:val="0"/>
                <w:szCs w:val="21"/>
                <w14:textFill>
                  <w14:solidFill>
                    <w14:schemeClr w14:val="tx1"/>
                  </w14:solidFill>
                </w14:textFill>
              </w:rPr>
              <w:t>执行标准</w:t>
            </w:r>
          </w:p>
        </w:tc>
      </w:tr>
      <w:tr w14:paraId="51EDC7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14:paraId="64121563">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pacing w:val="0"/>
                <w:szCs w:val="21"/>
                <w14:textFill>
                  <w14:solidFill>
                    <w14:schemeClr w14:val="tx1"/>
                  </w14:solidFill>
                </w14:textFill>
              </w:rPr>
            </w:pPr>
            <w:r>
              <w:rPr>
                <w:rFonts w:hint="default" w:ascii="Times New Roman" w:hAnsi="Times New Roman" w:eastAsia="宋体" w:cs="Times New Roman"/>
                <w:color w:val="000000" w:themeColor="text1"/>
                <w:spacing w:val="0"/>
                <w:szCs w:val="21"/>
                <w14:textFill>
                  <w14:solidFill>
                    <w14:schemeClr w14:val="tx1"/>
                  </w14:solidFill>
                </w14:textFill>
              </w:rPr>
              <w:t>大气环境</w:t>
            </w:r>
          </w:p>
        </w:tc>
        <w:tc>
          <w:tcPr>
            <w:tcW w:w="1193" w:type="dxa"/>
            <w:shd w:val="clear" w:color="auto" w:fill="auto"/>
            <w:noWrap w:val="0"/>
            <w:vAlign w:val="center"/>
          </w:tcPr>
          <w:p w14:paraId="0D694C6E">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Cs w:val="21"/>
                <w:lang w:val="en-US" w:eastAsia="zh-CN"/>
              </w:rPr>
              <w:t>厂界</w:t>
            </w:r>
          </w:p>
        </w:tc>
        <w:tc>
          <w:tcPr>
            <w:tcW w:w="1313" w:type="dxa"/>
            <w:shd w:val="clear" w:color="auto" w:fill="auto"/>
            <w:noWrap w:val="0"/>
            <w:vAlign w:val="center"/>
          </w:tcPr>
          <w:p w14:paraId="63C27149">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leftChars="0" w:firstLine="0" w:firstLineChars="0"/>
              <w:jc w:val="center"/>
              <w:textAlignment w:val="auto"/>
              <w:rPr>
                <w:rFonts w:hint="default" w:ascii="Times New Roman" w:hAnsi="Times New Roman" w:eastAsia="宋体" w:cs="Times New Roman"/>
                <w:b w:val="0"/>
                <w:bCs/>
                <w:color w:val="auto"/>
                <w:spacing w:val="0"/>
                <w:kern w:val="0"/>
                <w:sz w:val="21"/>
                <w:szCs w:val="21"/>
                <w:lang w:val="en-US" w:eastAsia="zh-CN" w:bidi="he-IL"/>
              </w:rPr>
            </w:pPr>
            <w:r>
              <w:rPr>
                <w:rFonts w:hint="default" w:ascii="Times New Roman" w:hAnsi="Times New Roman" w:cs="Times New Roman"/>
                <w:color w:val="auto"/>
                <w:sz w:val="21"/>
                <w:szCs w:val="21"/>
                <w:highlight w:val="none"/>
                <w:lang w:eastAsia="zh-CN"/>
              </w:rPr>
              <w:t>臭气浓度</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氨、硫化氢</w:t>
            </w:r>
          </w:p>
        </w:tc>
        <w:tc>
          <w:tcPr>
            <w:tcW w:w="1832" w:type="dxa"/>
            <w:noWrap w:val="0"/>
            <w:vAlign w:val="center"/>
          </w:tcPr>
          <w:p w14:paraId="6EC25DE1">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lang w:val="en-US"/>
              </w:rPr>
            </w:pPr>
            <w:r>
              <w:rPr>
                <w:rFonts w:hint="eastAsia" w:ascii="Times New Roman" w:hAnsi="Times New Roman" w:eastAsia="宋体" w:cs="Times New Roman"/>
                <w:color w:val="auto"/>
                <w:spacing w:val="0"/>
                <w:kern w:val="0"/>
                <w:sz w:val="21"/>
                <w:szCs w:val="21"/>
                <w:highlight w:val="none"/>
                <w:lang w:val="en-US" w:eastAsia="zh-CN" w:bidi="he-IL"/>
              </w:rPr>
              <w:t>加强车间通风</w:t>
            </w:r>
          </w:p>
        </w:tc>
        <w:tc>
          <w:tcPr>
            <w:tcW w:w="3402" w:type="dxa"/>
            <w:noWrap w:val="0"/>
            <w:vAlign w:val="center"/>
          </w:tcPr>
          <w:p w14:paraId="0EAB96ED">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lang w:val="en-US"/>
              </w:rPr>
            </w:pPr>
            <w:r>
              <w:rPr>
                <w:rFonts w:hint="default" w:ascii="Times New Roman" w:hAnsi="Times New Roman" w:eastAsia="宋体" w:cs="Times New Roman"/>
                <w:color w:val="auto"/>
                <w:spacing w:val="0"/>
                <w:sz w:val="21"/>
                <w:szCs w:val="21"/>
                <w:lang w:val="en-US" w:eastAsia="zh-CN"/>
              </w:rPr>
              <w:t>臭气浓度</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氨、硫化氢</w:t>
            </w:r>
            <w:r>
              <w:rPr>
                <w:rFonts w:hint="default" w:ascii="Times New Roman" w:hAnsi="Times New Roman" w:eastAsia="宋体" w:cs="Times New Roman"/>
                <w:color w:val="auto"/>
                <w:spacing w:val="0"/>
                <w:sz w:val="21"/>
                <w:szCs w:val="21"/>
                <w:lang w:val="en-US" w:eastAsia="zh-CN"/>
              </w:rPr>
              <w:t>执行</w:t>
            </w:r>
            <w:r>
              <w:rPr>
                <w:rFonts w:hint="default" w:ascii="Times New Roman" w:hAnsi="Times New Roman" w:eastAsia="宋体" w:cs="Times New Roman"/>
                <w:color w:val="auto"/>
                <w:sz w:val="21"/>
                <w:szCs w:val="21"/>
              </w:rPr>
              <w:t>《恶臭污染物排放标准》(GB14554-93)</w:t>
            </w:r>
            <w:r>
              <w:rPr>
                <w:rFonts w:hint="default" w:ascii="Times New Roman" w:hAnsi="Times New Roman" w:eastAsia="宋体" w:cs="Times New Roman"/>
                <w:color w:val="auto"/>
                <w:sz w:val="21"/>
                <w:szCs w:val="21"/>
                <w:lang w:eastAsia="zh-CN"/>
              </w:rPr>
              <w:t>表</w:t>
            </w:r>
            <w:r>
              <w:rPr>
                <w:rFonts w:hint="default" w:ascii="Times New Roman" w:hAnsi="Times New Roman" w:eastAsia="宋体" w:cs="Times New Roman"/>
                <w:color w:val="auto"/>
                <w:sz w:val="21"/>
                <w:szCs w:val="21"/>
                <w:lang w:val="en-US" w:eastAsia="zh-CN"/>
              </w:rPr>
              <w:t>1标准(</w:t>
            </w:r>
            <w:r>
              <w:rPr>
                <w:rFonts w:hint="default" w:ascii="Times New Roman" w:hAnsi="Times New Roman" w:eastAsia="宋体" w:cs="Times New Roman"/>
                <w:color w:val="auto"/>
                <w:spacing w:val="0"/>
                <w:sz w:val="21"/>
                <w:szCs w:val="21"/>
                <w:shd w:val="clear" w:color="auto" w:fill="FFFFFF"/>
                <w:vertAlign w:val="baseline"/>
                <w:lang w:val="en-US" w:eastAsia="zh-CN"/>
              </w:rPr>
              <w:t>臭气浓度</w:t>
            </w:r>
            <w:r>
              <w:rPr>
                <w:rFonts w:hint="default" w:ascii="Times New Roman" w:hAnsi="Times New Roman" w:eastAsia="宋体" w:cs="Times New Roman"/>
                <w:color w:val="auto"/>
                <w:spacing w:val="0"/>
                <w:sz w:val="21"/>
                <w:szCs w:val="21"/>
                <w:shd w:val="clear" w:color="auto" w:fill="FFFFFF"/>
                <w:lang w:val="en-US" w:eastAsia="zh-CN"/>
              </w:rPr>
              <w:t>≤20</w:t>
            </w:r>
            <w:r>
              <w:rPr>
                <w:rFonts w:hint="eastAsia" w:ascii="Times New Roman" w:hAnsi="Times New Roman" w:eastAsia="宋体" w:cs="Times New Roman"/>
                <w:color w:val="auto"/>
                <w:spacing w:val="0"/>
                <w:sz w:val="21"/>
                <w:szCs w:val="21"/>
                <w:shd w:val="clear" w:color="auto" w:fill="FFFFFF"/>
                <w:lang w:val="en-US" w:eastAsia="zh-CN"/>
              </w:rPr>
              <w:t>、氨</w:t>
            </w:r>
            <w:r>
              <w:rPr>
                <w:rFonts w:hint="default" w:ascii="Times New Roman" w:hAnsi="Times New Roman" w:eastAsia="宋体" w:cs="Times New Roman"/>
                <w:color w:val="auto"/>
                <w:spacing w:val="0"/>
                <w:sz w:val="21"/>
                <w:szCs w:val="21"/>
                <w:shd w:val="clear" w:color="auto" w:fill="FFFFFF"/>
                <w:lang w:val="en-US" w:eastAsia="zh-CN"/>
              </w:rPr>
              <w:t>≤</w:t>
            </w:r>
            <w:r>
              <w:rPr>
                <w:rFonts w:hint="eastAsia" w:ascii="Times New Roman" w:hAnsi="Times New Roman" w:eastAsia="宋体" w:cs="Times New Roman"/>
                <w:color w:val="auto"/>
                <w:spacing w:val="0"/>
                <w:sz w:val="21"/>
                <w:szCs w:val="21"/>
                <w:shd w:val="clear" w:color="auto" w:fill="FFFFFF"/>
                <w:lang w:val="en-US" w:eastAsia="zh-CN"/>
              </w:rPr>
              <w:t>1.5</w:t>
            </w:r>
            <w:r>
              <w:rPr>
                <w:bCs/>
                <w:color w:val="auto"/>
                <w:kern w:val="0"/>
                <w:sz w:val="21"/>
                <w:szCs w:val="21"/>
              </w:rPr>
              <w:t>mg/m</w:t>
            </w:r>
            <w:r>
              <w:rPr>
                <w:bCs/>
                <w:color w:val="auto"/>
                <w:kern w:val="0"/>
                <w:sz w:val="21"/>
                <w:szCs w:val="21"/>
                <w:vertAlign w:val="superscript"/>
              </w:rPr>
              <w:t>3</w:t>
            </w:r>
            <w:r>
              <w:rPr>
                <w:rFonts w:hint="eastAsia" w:ascii="Times New Roman" w:hAnsi="Times New Roman" w:eastAsia="宋体" w:cs="Times New Roman"/>
                <w:color w:val="auto"/>
                <w:spacing w:val="0"/>
                <w:sz w:val="21"/>
                <w:szCs w:val="21"/>
                <w:shd w:val="clear" w:color="auto" w:fill="FFFFFF"/>
                <w:lang w:val="en-US" w:eastAsia="zh-CN"/>
              </w:rPr>
              <w:t>、硫化氢</w:t>
            </w:r>
            <w:r>
              <w:rPr>
                <w:rFonts w:hint="default" w:ascii="Times New Roman" w:hAnsi="Times New Roman" w:eastAsia="宋体" w:cs="Times New Roman"/>
                <w:color w:val="auto"/>
                <w:spacing w:val="0"/>
                <w:sz w:val="21"/>
                <w:szCs w:val="21"/>
                <w:shd w:val="clear" w:color="auto" w:fill="FFFFFF"/>
                <w:lang w:val="en-US" w:eastAsia="zh-CN"/>
              </w:rPr>
              <w:t>≤</w:t>
            </w:r>
            <w:r>
              <w:rPr>
                <w:rFonts w:hint="eastAsia" w:ascii="Times New Roman" w:hAnsi="Times New Roman" w:eastAsia="宋体" w:cs="Times New Roman"/>
                <w:color w:val="auto"/>
                <w:spacing w:val="0"/>
                <w:sz w:val="21"/>
                <w:szCs w:val="21"/>
                <w:shd w:val="clear" w:color="auto" w:fill="FFFFFF"/>
                <w:lang w:val="en-US" w:eastAsia="zh-CN"/>
              </w:rPr>
              <w:t>0.06</w:t>
            </w:r>
            <w:r>
              <w:rPr>
                <w:rFonts w:hint="default" w:ascii="Times New Roman" w:hAnsi="Times New Roman" w:eastAsia="宋体" w:cs="Times New Roman"/>
                <w:color w:val="auto"/>
                <w:sz w:val="21"/>
                <w:szCs w:val="21"/>
                <w:lang w:val="en-US" w:eastAsia="zh-CN"/>
              </w:rPr>
              <w:t>)</w:t>
            </w:r>
            <w:r>
              <w:rPr>
                <w:bCs/>
                <w:color w:val="auto"/>
                <w:kern w:val="0"/>
                <w:sz w:val="21"/>
                <w:szCs w:val="21"/>
              </w:rPr>
              <w:t>mg/m</w:t>
            </w:r>
            <w:r>
              <w:rPr>
                <w:bCs/>
                <w:color w:val="auto"/>
                <w:kern w:val="0"/>
                <w:sz w:val="21"/>
                <w:szCs w:val="21"/>
                <w:vertAlign w:val="superscript"/>
              </w:rPr>
              <w:t>3</w:t>
            </w:r>
          </w:p>
        </w:tc>
      </w:tr>
      <w:tr w14:paraId="6F9A28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Merge w:val="restart"/>
            <w:noWrap w:val="0"/>
            <w:vAlign w:val="center"/>
          </w:tcPr>
          <w:p w14:paraId="42F04580">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pacing w:val="0"/>
                <w:szCs w:val="21"/>
                <w14:textFill>
                  <w14:solidFill>
                    <w14:schemeClr w14:val="tx1"/>
                  </w14:solidFill>
                </w14:textFill>
              </w:rPr>
            </w:pPr>
            <w:r>
              <w:rPr>
                <w:rFonts w:hint="default" w:ascii="Times New Roman" w:hAnsi="Times New Roman" w:eastAsia="宋体" w:cs="Times New Roman"/>
                <w:color w:val="000000" w:themeColor="text1"/>
                <w:spacing w:val="0"/>
                <w:szCs w:val="21"/>
                <w14:textFill>
                  <w14:solidFill>
                    <w14:schemeClr w14:val="tx1"/>
                  </w14:solidFill>
                </w14:textFill>
              </w:rPr>
              <w:t>地表水</w:t>
            </w:r>
          </w:p>
          <w:p w14:paraId="27EE2B57">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Cs w:val="21"/>
                <w14:textFill>
                  <w14:solidFill>
                    <w14:schemeClr w14:val="tx1"/>
                  </w14:solidFill>
                </w14:textFill>
              </w:rPr>
              <w:t>环境</w:t>
            </w:r>
          </w:p>
        </w:tc>
        <w:tc>
          <w:tcPr>
            <w:tcW w:w="1193" w:type="dxa"/>
            <w:noWrap w:val="0"/>
            <w:vAlign w:val="center"/>
          </w:tcPr>
          <w:p w14:paraId="0DC6B75D">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pacing w:val="0"/>
                <w:szCs w:val="21"/>
                <w14:textFill>
                  <w14:solidFill>
                    <w14:schemeClr w14:val="tx1"/>
                  </w14:solidFill>
                </w14:textFill>
              </w:rPr>
            </w:pPr>
            <w:r>
              <w:rPr>
                <w:rFonts w:hint="default" w:ascii="Times New Roman" w:hAnsi="Times New Roman" w:eastAsia="宋体" w:cs="Times New Roman"/>
                <w:color w:val="000000" w:themeColor="text1"/>
                <w:spacing w:val="0"/>
                <w:szCs w:val="21"/>
                <w14:textFill>
                  <w14:solidFill>
                    <w14:schemeClr w14:val="tx1"/>
                  </w14:solidFill>
                </w14:textFill>
              </w:rPr>
              <w:t>生活污水</w:t>
            </w:r>
          </w:p>
        </w:tc>
        <w:tc>
          <w:tcPr>
            <w:tcW w:w="1313" w:type="dxa"/>
            <w:noWrap w:val="0"/>
            <w:vAlign w:val="center"/>
          </w:tcPr>
          <w:p w14:paraId="2C6BD9F8">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spacing w:val="0"/>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pH、COD、BOD</w:t>
            </w:r>
            <w:r>
              <w:rPr>
                <w:rFonts w:hint="default" w:ascii="Times New Roman" w:hAnsi="Times New Roman" w:eastAsia="宋体" w:cs="Times New Roman"/>
                <w:color w:val="000000" w:themeColor="text1"/>
                <w:spacing w:val="0"/>
                <w:sz w:val="21"/>
                <w:szCs w:val="21"/>
                <w:highlight w:val="none"/>
                <w:vertAlign w:val="subscript"/>
                <w14:textFill>
                  <w14:solidFill>
                    <w14:schemeClr w14:val="tx1"/>
                  </w14:solidFill>
                </w14:textFill>
              </w:rPr>
              <w:t>5</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、悬浮物、氨氮</w:t>
            </w:r>
          </w:p>
        </w:tc>
        <w:tc>
          <w:tcPr>
            <w:tcW w:w="1832" w:type="dxa"/>
            <w:noWrap w:val="0"/>
            <w:vAlign w:val="center"/>
          </w:tcPr>
          <w:p w14:paraId="1EA1EC53">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rPr>
            </w:pPr>
            <w:r>
              <w:rPr>
                <w:rFonts w:hint="default" w:ascii="Times New Roman" w:hAnsi="Times New Roman" w:eastAsia="宋体" w:cs="Times New Roman"/>
                <w:color w:val="auto"/>
                <w:spacing w:val="0"/>
                <w:sz w:val="21"/>
                <w:szCs w:val="21"/>
                <w:highlight w:val="none"/>
              </w:rPr>
              <w:t>生活污水</w:t>
            </w:r>
            <w:r>
              <w:rPr>
                <w:rFonts w:hint="default" w:ascii="Times New Roman" w:hAnsi="Times New Roman" w:eastAsia="宋体" w:cs="Times New Roman"/>
                <w:color w:val="auto"/>
                <w:spacing w:val="0"/>
                <w:sz w:val="21"/>
                <w:szCs w:val="21"/>
                <w:highlight w:val="none"/>
                <w:lang w:eastAsia="zh-CN"/>
              </w:rPr>
              <w:t>依托园区内现有的化粪池收集预处理后排入市政污水管网</w:t>
            </w:r>
          </w:p>
        </w:tc>
        <w:tc>
          <w:tcPr>
            <w:tcW w:w="3402" w:type="dxa"/>
            <w:vMerge w:val="restart"/>
            <w:noWrap w:val="0"/>
            <w:vAlign w:val="center"/>
          </w:tcPr>
          <w:p w14:paraId="1C226AB3">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rPr>
              <w:t>pH、COD、BOD</w:t>
            </w:r>
            <w:r>
              <w:rPr>
                <w:rFonts w:hint="default" w:ascii="Times New Roman" w:hAnsi="Times New Roman" w:eastAsia="宋体" w:cs="Times New Roman"/>
                <w:color w:val="auto"/>
                <w:spacing w:val="0"/>
                <w:sz w:val="21"/>
                <w:szCs w:val="21"/>
                <w:highlight w:val="none"/>
                <w:vertAlign w:val="subscript"/>
              </w:rPr>
              <w:t>5</w:t>
            </w:r>
            <w:r>
              <w:rPr>
                <w:rFonts w:hint="default" w:ascii="Times New Roman" w:hAnsi="Times New Roman" w:eastAsia="宋体" w:cs="Times New Roman"/>
                <w:color w:val="auto"/>
                <w:spacing w:val="0"/>
                <w:sz w:val="21"/>
                <w:szCs w:val="21"/>
                <w:highlight w:val="none"/>
              </w:rPr>
              <w:t>、悬浮物</w:t>
            </w:r>
            <w:r>
              <w:rPr>
                <w:rFonts w:hint="eastAsia" w:ascii="Times New Roman" w:hAnsi="Times New Roman" w:cs="Times New Roman"/>
                <w:color w:val="auto"/>
                <w:spacing w:val="0"/>
                <w:sz w:val="21"/>
                <w:szCs w:val="21"/>
                <w:highlight w:val="none"/>
                <w:lang w:eastAsia="zh-CN"/>
              </w:rPr>
              <w:t>、</w:t>
            </w:r>
            <w:r>
              <w:rPr>
                <w:rFonts w:hint="eastAsia" w:ascii="Times New Roman" w:hAnsi="Times New Roman" w:cs="Times New Roman"/>
                <w:color w:val="auto"/>
                <w:spacing w:val="0"/>
                <w:sz w:val="21"/>
                <w:szCs w:val="21"/>
                <w:highlight w:val="none"/>
                <w:lang w:val="en-US" w:eastAsia="zh-CN"/>
              </w:rPr>
              <w:t>石油类</w:t>
            </w:r>
            <w:r>
              <w:rPr>
                <w:rFonts w:hint="default" w:ascii="Times New Roman" w:hAnsi="Times New Roman" w:cs="Times New Roman"/>
                <w:color w:val="auto"/>
                <w:spacing w:val="0"/>
                <w:sz w:val="21"/>
                <w:szCs w:val="21"/>
                <w:highlight w:val="none"/>
                <w:lang w:eastAsia="zh-CN"/>
              </w:rPr>
              <w:t>执行</w:t>
            </w:r>
            <w:r>
              <w:rPr>
                <w:rFonts w:hint="default" w:ascii="Times New Roman" w:hAnsi="Times New Roman" w:eastAsia="宋体" w:cs="Times New Roman"/>
                <w:color w:val="auto"/>
                <w:spacing w:val="0"/>
                <w:sz w:val="21"/>
                <w:szCs w:val="21"/>
                <w:highlight w:val="none"/>
              </w:rPr>
              <w:t>《污水综合排放标准》(GB8978-1996)表4中三级排放标准</w:t>
            </w:r>
            <w:r>
              <w:rPr>
                <w:rFonts w:hint="default" w:ascii="Times New Roman" w:hAnsi="Times New Roman" w:cs="Times New Roman"/>
                <w:color w:val="auto"/>
                <w:spacing w:val="0"/>
                <w:sz w:val="21"/>
                <w:szCs w:val="21"/>
                <w:highlight w:val="none"/>
                <w:lang w:eastAsia="zh-CN"/>
              </w:rPr>
              <w:t>；氨氮</w:t>
            </w:r>
            <w:r>
              <w:rPr>
                <w:rFonts w:hint="eastAsia" w:ascii="Times New Roman" w:hAnsi="Times New Roman" w:cs="Times New Roman"/>
                <w:color w:val="auto"/>
                <w:spacing w:val="0"/>
                <w:sz w:val="21"/>
                <w:szCs w:val="21"/>
                <w:highlight w:val="none"/>
                <w:lang w:eastAsia="zh-CN"/>
              </w:rPr>
              <w:t>、</w:t>
            </w:r>
            <w:r>
              <w:rPr>
                <w:rFonts w:hint="eastAsia" w:ascii="Times New Roman" w:hAnsi="Times New Roman" w:cs="Times New Roman"/>
                <w:color w:val="auto"/>
                <w:spacing w:val="0"/>
                <w:sz w:val="21"/>
                <w:szCs w:val="21"/>
                <w:highlight w:val="none"/>
                <w:lang w:val="en-US" w:eastAsia="zh-CN"/>
              </w:rPr>
              <w:t>总氮、总磷</w:t>
            </w:r>
            <w:r>
              <w:rPr>
                <w:rFonts w:hint="default" w:ascii="Times New Roman" w:hAnsi="Times New Roman" w:cs="Times New Roman"/>
                <w:color w:val="auto"/>
                <w:spacing w:val="0"/>
                <w:sz w:val="21"/>
                <w:szCs w:val="21"/>
                <w:highlight w:val="none"/>
                <w:lang w:eastAsia="zh-CN"/>
              </w:rPr>
              <w:t>执行</w:t>
            </w:r>
            <w:r>
              <w:rPr>
                <w:rFonts w:hint="default" w:ascii="Times New Roman" w:hAnsi="Times New Roman" w:eastAsia="宋体" w:cs="Times New Roman"/>
                <w:color w:val="auto"/>
                <w:spacing w:val="0"/>
                <w:sz w:val="21"/>
                <w:szCs w:val="21"/>
                <w:highlight w:val="none"/>
              </w:rPr>
              <w:t>《污水排入城镇下水道水质标准》(GB/T 31962-2015)表1中B级标准</w:t>
            </w:r>
            <w:r>
              <w:rPr>
                <w:rFonts w:hint="default" w:ascii="Times New Roman" w:hAnsi="Times New Roman" w:eastAsia="宋体" w:cs="Times New Roman"/>
                <w:color w:val="auto"/>
                <w:spacing w:val="0"/>
                <w:sz w:val="21"/>
                <w:szCs w:val="21"/>
                <w:highlight w:val="none"/>
                <w:lang w:eastAsia="zh-CN"/>
              </w:rPr>
              <w:t>限值</w:t>
            </w:r>
            <w:r>
              <w:rPr>
                <w:rFonts w:hint="default" w:ascii="Times New Roman" w:hAnsi="Times New Roman" w:eastAsia="宋体" w:cs="Times New Roman"/>
                <w:color w:val="auto"/>
                <w:spacing w:val="0"/>
                <w:sz w:val="21"/>
                <w:szCs w:val="21"/>
                <w:highlight w:val="none"/>
              </w:rPr>
              <w:t>(即pH6 ~ 9</w:t>
            </w:r>
            <w:r>
              <w:rPr>
                <w:rFonts w:hint="default" w:ascii="Times New Roman" w:hAnsi="Times New Roman" w:eastAsia="宋体" w:cs="Times New Roman"/>
                <w:color w:val="auto"/>
                <w:spacing w:val="0"/>
                <w:sz w:val="21"/>
                <w:szCs w:val="21"/>
                <w:highlight w:val="none"/>
                <w:lang w:val="en-US" w:eastAsia="zh-CN"/>
              </w:rPr>
              <w:t>(无量纲)</w:t>
            </w:r>
            <w:r>
              <w:rPr>
                <w:rFonts w:hint="default"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lang w:val="en-US" w:eastAsia="zh-CN"/>
              </w:rPr>
              <w:t>COD</w:t>
            </w:r>
            <w:r>
              <w:rPr>
                <w:rFonts w:hint="default" w:ascii="Times New Roman" w:hAnsi="Times New Roman" w:eastAsia="宋体" w:cs="Times New Roman"/>
                <w:color w:val="auto"/>
                <w:spacing w:val="0"/>
                <w:sz w:val="21"/>
                <w:szCs w:val="21"/>
                <w:highlight w:val="none"/>
              </w:rPr>
              <w:t>≤</w:t>
            </w:r>
            <w:r>
              <w:rPr>
                <w:rFonts w:hint="default" w:ascii="Times New Roman" w:hAnsi="Times New Roman" w:eastAsia="宋体" w:cs="Times New Roman"/>
                <w:color w:val="auto"/>
                <w:spacing w:val="0"/>
                <w:sz w:val="21"/>
                <w:szCs w:val="21"/>
                <w:highlight w:val="none"/>
                <w:lang w:val="en-US" w:eastAsia="zh-CN"/>
              </w:rPr>
              <w:t>50</w:t>
            </w:r>
            <w:r>
              <w:rPr>
                <w:rFonts w:hint="default" w:ascii="Times New Roman" w:hAnsi="Times New Roman" w:eastAsia="宋体" w:cs="Times New Roman"/>
                <w:color w:val="auto"/>
                <w:spacing w:val="0"/>
                <w:sz w:val="21"/>
                <w:szCs w:val="21"/>
                <w:highlight w:val="none"/>
              </w:rPr>
              <w:t>0mg/L</w:t>
            </w:r>
            <w:r>
              <w:rPr>
                <w:rFonts w:hint="default"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BOD</w:t>
            </w:r>
            <w:r>
              <w:rPr>
                <w:rFonts w:hint="default" w:ascii="Times New Roman" w:hAnsi="Times New Roman" w:eastAsia="宋体" w:cs="Times New Roman"/>
                <w:color w:val="auto"/>
                <w:spacing w:val="0"/>
                <w:sz w:val="21"/>
                <w:szCs w:val="21"/>
                <w:highlight w:val="none"/>
                <w:vertAlign w:val="subscript"/>
              </w:rPr>
              <w:t>5</w:t>
            </w:r>
            <w:r>
              <w:rPr>
                <w:rFonts w:hint="default" w:ascii="Times New Roman" w:hAnsi="Times New Roman" w:eastAsia="宋体" w:cs="Times New Roman"/>
                <w:color w:val="auto"/>
                <w:spacing w:val="0"/>
                <w:sz w:val="21"/>
                <w:szCs w:val="21"/>
                <w:highlight w:val="none"/>
              </w:rPr>
              <w:t>≤</w:t>
            </w:r>
            <w:r>
              <w:rPr>
                <w:rFonts w:hint="default" w:ascii="Times New Roman" w:hAnsi="Times New Roman" w:eastAsia="宋体" w:cs="Times New Roman"/>
                <w:color w:val="auto"/>
                <w:spacing w:val="0"/>
                <w:sz w:val="21"/>
                <w:szCs w:val="21"/>
                <w:highlight w:val="none"/>
                <w:lang w:val="en-US" w:eastAsia="zh-CN"/>
              </w:rPr>
              <w:t>30</w:t>
            </w:r>
            <w:r>
              <w:rPr>
                <w:rFonts w:hint="default" w:ascii="Times New Roman" w:hAnsi="Times New Roman" w:eastAsia="宋体" w:cs="Times New Roman"/>
                <w:color w:val="auto"/>
                <w:spacing w:val="0"/>
                <w:sz w:val="21"/>
                <w:szCs w:val="21"/>
                <w:highlight w:val="none"/>
              </w:rPr>
              <w:t>0mg/L</w:t>
            </w:r>
            <w:r>
              <w:rPr>
                <w:rFonts w:hint="default"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lang w:val="en-US" w:eastAsia="zh-CN"/>
              </w:rPr>
              <w:t>SS</w:t>
            </w:r>
            <w:r>
              <w:rPr>
                <w:rFonts w:hint="default" w:ascii="Times New Roman" w:hAnsi="Times New Roman" w:eastAsia="宋体" w:cs="Times New Roman"/>
                <w:color w:val="auto"/>
                <w:spacing w:val="0"/>
                <w:sz w:val="21"/>
                <w:szCs w:val="21"/>
                <w:highlight w:val="none"/>
              </w:rPr>
              <w:t>≤</w:t>
            </w:r>
            <w:r>
              <w:rPr>
                <w:rFonts w:hint="default" w:ascii="Times New Roman" w:hAnsi="Times New Roman" w:eastAsia="宋体" w:cs="Times New Roman"/>
                <w:color w:val="auto"/>
                <w:spacing w:val="0"/>
                <w:sz w:val="21"/>
                <w:szCs w:val="21"/>
                <w:highlight w:val="none"/>
                <w:lang w:val="en-US" w:eastAsia="zh-CN"/>
              </w:rPr>
              <w:t>40</w:t>
            </w:r>
            <w:r>
              <w:rPr>
                <w:rFonts w:hint="default" w:ascii="Times New Roman" w:hAnsi="Times New Roman" w:eastAsia="宋体" w:cs="Times New Roman"/>
                <w:color w:val="auto"/>
                <w:spacing w:val="0"/>
                <w:sz w:val="21"/>
                <w:szCs w:val="21"/>
                <w:highlight w:val="none"/>
              </w:rPr>
              <w:t>0mg/L</w:t>
            </w:r>
            <w:r>
              <w:rPr>
                <w:rFonts w:hint="default" w:ascii="Times New Roman" w:hAnsi="Times New Roman" w:eastAsia="宋体" w:cs="Times New Roman"/>
                <w:color w:val="auto"/>
                <w:spacing w:val="0"/>
                <w:sz w:val="21"/>
                <w:szCs w:val="21"/>
                <w:highlight w:val="none"/>
                <w:lang w:eastAsia="zh-CN"/>
              </w:rPr>
              <w:t>、</w:t>
            </w:r>
            <w:r>
              <w:rPr>
                <w:rFonts w:hint="eastAsia" w:ascii="Times New Roman" w:hAnsi="Times New Roman" w:eastAsia="宋体" w:cs="Times New Roman"/>
                <w:color w:val="auto"/>
                <w:spacing w:val="0"/>
                <w:sz w:val="21"/>
                <w:szCs w:val="21"/>
                <w:highlight w:val="none"/>
                <w:lang w:val="en-US" w:eastAsia="zh-CN"/>
              </w:rPr>
              <w:t>石油类</w:t>
            </w:r>
            <w:r>
              <w:rPr>
                <w:rFonts w:hint="default" w:ascii="Times New Roman" w:hAnsi="Times New Roman" w:eastAsia="宋体" w:cs="Times New Roman"/>
                <w:color w:val="auto"/>
                <w:spacing w:val="0"/>
                <w:sz w:val="21"/>
                <w:szCs w:val="21"/>
                <w:highlight w:val="none"/>
              </w:rPr>
              <w:t>≤</w:t>
            </w:r>
            <w:r>
              <w:rPr>
                <w:rFonts w:hint="eastAsia" w:ascii="Times New Roman" w:hAnsi="Times New Roman" w:eastAsia="宋体" w:cs="Times New Roman"/>
                <w:color w:val="auto"/>
                <w:spacing w:val="0"/>
                <w:sz w:val="21"/>
                <w:szCs w:val="21"/>
                <w:highlight w:val="none"/>
                <w:lang w:val="en-US" w:eastAsia="zh-CN"/>
              </w:rPr>
              <w:t>2</w:t>
            </w:r>
            <w:r>
              <w:rPr>
                <w:rFonts w:hint="default" w:ascii="Times New Roman" w:hAnsi="Times New Roman" w:eastAsia="宋体" w:cs="Times New Roman"/>
                <w:color w:val="auto"/>
                <w:spacing w:val="0"/>
                <w:sz w:val="21"/>
                <w:szCs w:val="21"/>
                <w:highlight w:val="none"/>
              </w:rPr>
              <w:t>0mg/L</w:t>
            </w:r>
            <w:r>
              <w:rPr>
                <w:rFonts w:hint="default"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NH</w:t>
            </w:r>
            <w:r>
              <w:rPr>
                <w:rFonts w:hint="default" w:ascii="Times New Roman" w:hAnsi="Times New Roman" w:eastAsia="宋体" w:cs="Times New Roman"/>
                <w:color w:val="auto"/>
                <w:spacing w:val="0"/>
                <w:sz w:val="21"/>
                <w:szCs w:val="21"/>
                <w:highlight w:val="none"/>
                <w:vertAlign w:val="subscript"/>
              </w:rPr>
              <w:t>3</w:t>
            </w:r>
            <w:r>
              <w:rPr>
                <w:rFonts w:hint="default" w:ascii="Times New Roman" w:hAnsi="Times New Roman" w:eastAsia="宋体" w:cs="Times New Roman"/>
                <w:color w:val="auto"/>
                <w:spacing w:val="0"/>
                <w:sz w:val="21"/>
                <w:szCs w:val="21"/>
                <w:highlight w:val="none"/>
              </w:rPr>
              <w:t>-N≤</w:t>
            </w:r>
            <w:r>
              <w:rPr>
                <w:rFonts w:hint="default" w:ascii="Times New Roman" w:hAnsi="Times New Roman" w:eastAsia="宋体" w:cs="Times New Roman"/>
                <w:color w:val="auto"/>
                <w:spacing w:val="0"/>
                <w:sz w:val="21"/>
                <w:szCs w:val="21"/>
                <w:highlight w:val="none"/>
                <w:lang w:val="en-US" w:eastAsia="zh-CN"/>
              </w:rPr>
              <w:t>45</w:t>
            </w:r>
            <w:r>
              <w:rPr>
                <w:rFonts w:hint="default" w:ascii="Times New Roman" w:hAnsi="Times New Roman" w:eastAsia="宋体" w:cs="Times New Roman"/>
                <w:color w:val="auto"/>
                <w:spacing w:val="0"/>
                <w:sz w:val="21"/>
                <w:szCs w:val="21"/>
                <w:highlight w:val="none"/>
              </w:rPr>
              <w:t>mg/L</w:t>
            </w:r>
            <w:r>
              <w:rPr>
                <w:rFonts w:hint="default" w:ascii="Times New Roman" w:hAnsi="Times New Roman" w:eastAsia="宋体" w:cs="Times New Roman"/>
                <w:color w:val="auto"/>
                <w:spacing w:val="0"/>
                <w:sz w:val="21"/>
                <w:szCs w:val="21"/>
                <w:highlight w:val="none"/>
                <w:lang w:eastAsia="zh-CN"/>
              </w:rPr>
              <w:t>、</w:t>
            </w:r>
            <w:r>
              <w:rPr>
                <w:rFonts w:hint="eastAsia" w:ascii="Times New Roman" w:hAnsi="Times New Roman" w:eastAsia="宋体" w:cs="Times New Roman"/>
                <w:color w:val="auto"/>
                <w:spacing w:val="0"/>
                <w:sz w:val="21"/>
                <w:szCs w:val="21"/>
                <w:highlight w:val="none"/>
                <w:lang w:val="en-US" w:eastAsia="zh-CN"/>
              </w:rPr>
              <w:t>T</w:t>
            </w:r>
            <w:r>
              <w:rPr>
                <w:rFonts w:hint="default" w:ascii="Times New Roman" w:hAnsi="Times New Roman" w:eastAsia="宋体" w:cs="Times New Roman"/>
                <w:color w:val="auto"/>
                <w:spacing w:val="0"/>
                <w:sz w:val="21"/>
                <w:szCs w:val="21"/>
                <w:highlight w:val="none"/>
              </w:rPr>
              <w:t>N≤</w:t>
            </w:r>
            <w:r>
              <w:rPr>
                <w:rFonts w:hint="eastAsia" w:ascii="Times New Roman" w:hAnsi="Times New Roman" w:eastAsia="宋体" w:cs="Times New Roman"/>
                <w:color w:val="auto"/>
                <w:spacing w:val="0"/>
                <w:sz w:val="21"/>
                <w:szCs w:val="21"/>
                <w:highlight w:val="none"/>
                <w:lang w:val="en-US" w:eastAsia="zh-CN"/>
              </w:rPr>
              <w:t>70</w:t>
            </w:r>
            <w:r>
              <w:rPr>
                <w:rFonts w:hint="default" w:ascii="Times New Roman" w:hAnsi="Times New Roman" w:eastAsia="宋体" w:cs="Times New Roman"/>
                <w:color w:val="auto"/>
                <w:spacing w:val="0"/>
                <w:sz w:val="21"/>
                <w:szCs w:val="21"/>
                <w:highlight w:val="none"/>
              </w:rPr>
              <w:t>mg/L</w:t>
            </w:r>
            <w:r>
              <w:rPr>
                <w:rFonts w:hint="default" w:ascii="Times New Roman" w:hAnsi="Times New Roman" w:eastAsia="宋体" w:cs="Times New Roman"/>
                <w:color w:val="auto"/>
                <w:spacing w:val="0"/>
                <w:sz w:val="21"/>
                <w:szCs w:val="21"/>
                <w:highlight w:val="none"/>
                <w:lang w:eastAsia="zh-CN"/>
              </w:rPr>
              <w:t>、</w:t>
            </w:r>
            <w:r>
              <w:rPr>
                <w:rFonts w:hint="eastAsia" w:ascii="Times New Roman" w:hAnsi="Times New Roman" w:eastAsia="宋体" w:cs="Times New Roman"/>
                <w:color w:val="auto"/>
                <w:spacing w:val="0"/>
                <w:sz w:val="21"/>
                <w:szCs w:val="21"/>
                <w:highlight w:val="none"/>
                <w:lang w:val="en-US" w:eastAsia="zh-CN"/>
              </w:rPr>
              <w:t>TP</w:t>
            </w:r>
            <w:r>
              <w:rPr>
                <w:rFonts w:hint="default" w:ascii="Times New Roman" w:hAnsi="Times New Roman" w:eastAsia="宋体" w:cs="Times New Roman"/>
                <w:color w:val="auto"/>
                <w:spacing w:val="0"/>
                <w:sz w:val="21"/>
                <w:szCs w:val="21"/>
                <w:highlight w:val="none"/>
              </w:rPr>
              <w:t>≤</w:t>
            </w:r>
            <w:r>
              <w:rPr>
                <w:rFonts w:hint="eastAsia" w:ascii="Times New Roman" w:hAnsi="Times New Roman" w:eastAsia="宋体" w:cs="Times New Roman"/>
                <w:color w:val="auto"/>
                <w:spacing w:val="0"/>
                <w:sz w:val="21"/>
                <w:szCs w:val="21"/>
                <w:highlight w:val="none"/>
                <w:lang w:val="en-US" w:eastAsia="zh-CN"/>
              </w:rPr>
              <w:t>8</w:t>
            </w:r>
            <w:r>
              <w:rPr>
                <w:rFonts w:hint="default" w:ascii="Times New Roman" w:hAnsi="Times New Roman" w:eastAsia="宋体" w:cs="Times New Roman"/>
                <w:color w:val="auto"/>
                <w:spacing w:val="0"/>
                <w:sz w:val="21"/>
                <w:szCs w:val="21"/>
                <w:highlight w:val="none"/>
              </w:rPr>
              <w:t>mg/L)</w:t>
            </w:r>
          </w:p>
        </w:tc>
      </w:tr>
      <w:tr w14:paraId="789166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Merge w:val="continue"/>
            <w:noWrap w:val="0"/>
            <w:vAlign w:val="center"/>
          </w:tcPr>
          <w:p w14:paraId="34D24A6F">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pacing w:val="0"/>
                <w:szCs w:val="21"/>
                <w14:textFill>
                  <w14:solidFill>
                    <w14:schemeClr w14:val="tx1"/>
                  </w14:solidFill>
                </w14:textFill>
              </w:rPr>
            </w:pPr>
          </w:p>
        </w:tc>
        <w:tc>
          <w:tcPr>
            <w:tcW w:w="1193" w:type="dxa"/>
            <w:noWrap w:val="0"/>
            <w:vAlign w:val="center"/>
          </w:tcPr>
          <w:p w14:paraId="525D1FEE">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pacing w:val="0"/>
                <w:szCs w:val="21"/>
                <w:lang w:val="en-US" w:eastAsia="zh-CN"/>
                <w14:textFill>
                  <w14:solidFill>
                    <w14:schemeClr w14:val="tx1"/>
                  </w14:solidFill>
                </w14:textFill>
              </w:rPr>
            </w:pPr>
            <w:r>
              <w:rPr>
                <w:rFonts w:hint="default" w:ascii="Times New Roman" w:hAnsi="Times New Roman" w:cs="Times New Roman"/>
                <w:color w:val="000000" w:themeColor="text1"/>
                <w:spacing w:val="0"/>
                <w:szCs w:val="21"/>
                <w:lang w:val="en-US" w:eastAsia="zh-CN"/>
                <w14:textFill>
                  <w14:solidFill>
                    <w14:schemeClr w14:val="tx1"/>
                  </w14:solidFill>
                </w14:textFill>
              </w:rPr>
              <w:t>生产废水</w:t>
            </w:r>
          </w:p>
        </w:tc>
        <w:tc>
          <w:tcPr>
            <w:tcW w:w="1313" w:type="dxa"/>
            <w:noWrap w:val="0"/>
            <w:vAlign w:val="center"/>
          </w:tcPr>
          <w:p w14:paraId="0FBA5FA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pH、COD、BOD</w:t>
            </w:r>
            <w:r>
              <w:rPr>
                <w:rFonts w:hint="default" w:ascii="Times New Roman" w:hAnsi="Times New Roman" w:eastAsia="宋体" w:cs="Times New Roman"/>
                <w:color w:val="000000" w:themeColor="text1"/>
                <w:spacing w:val="0"/>
                <w:sz w:val="21"/>
                <w:szCs w:val="21"/>
                <w:highlight w:val="none"/>
                <w:vertAlign w:val="subscript"/>
                <w14:textFill>
                  <w14:solidFill>
                    <w14:schemeClr w14:val="tx1"/>
                  </w14:solidFill>
                </w14:textFill>
              </w:rPr>
              <w:t>5</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、悬浮物、氨氮</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石油类、TN、TP</w:t>
            </w:r>
          </w:p>
        </w:tc>
        <w:tc>
          <w:tcPr>
            <w:tcW w:w="1832" w:type="dxa"/>
            <w:noWrap w:val="0"/>
            <w:vAlign w:val="center"/>
          </w:tcPr>
          <w:p w14:paraId="56E9F5B7">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auto"/>
                <w:spacing w:val="0"/>
                <w:sz w:val="21"/>
                <w:szCs w:val="21"/>
              </w:rPr>
              <w:t>生产废水收集后经自建污水处理设施处理，处理后约60%的废水回用于生产，剩余40%通过园区管网排入</w:t>
            </w:r>
            <w:r>
              <w:rPr>
                <w:rFonts w:hint="default" w:ascii="Times New Roman" w:hAnsi="Times New Roman" w:eastAsia="宋体" w:cs="Times New Roman"/>
                <w:color w:val="auto"/>
                <w:spacing w:val="0"/>
                <w:sz w:val="21"/>
                <w:szCs w:val="21"/>
                <w:lang w:eastAsia="zh-CN"/>
              </w:rPr>
              <w:t>江镜华侨农场污水处理厂</w:t>
            </w:r>
            <w:r>
              <w:rPr>
                <w:rFonts w:hint="default" w:ascii="Times New Roman" w:hAnsi="Times New Roman" w:eastAsia="宋体" w:cs="Times New Roman"/>
                <w:color w:val="auto"/>
                <w:spacing w:val="0"/>
                <w:sz w:val="21"/>
                <w:szCs w:val="21"/>
              </w:rPr>
              <w:t>处理。</w:t>
            </w:r>
          </w:p>
        </w:tc>
        <w:tc>
          <w:tcPr>
            <w:tcW w:w="3402" w:type="dxa"/>
            <w:vMerge w:val="continue"/>
            <w:noWrap w:val="0"/>
            <w:vAlign w:val="center"/>
          </w:tcPr>
          <w:p w14:paraId="224BEBA1">
            <w:pPr>
              <w:keepNext w:val="0"/>
              <w:keepLines w:val="0"/>
              <w:pageBreakBefore w:val="0"/>
              <w:widowControl w:val="0"/>
              <w:tabs>
                <w:tab w:val="left" w:pos="840"/>
              </w:tabs>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p>
        </w:tc>
      </w:tr>
      <w:tr w14:paraId="49C4CC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40" w:hRule="atLeast"/>
          <w:jc w:val="center"/>
        </w:trPr>
        <w:tc>
          <w:tcPr>
            <w:tcW w:w="1060" w:type="dxa"/>
            <w:noWrap w:val="0"/>
            <w:vAlign w:val="center"/>
          </w:tcPr>
          <w:p w14:paraId="178C532B">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pacing w:val="0"/>
                <w:szCs w:val="21"/>
                <w14:textFill>
                  <w14:solidFill>
                    <w14:schemeClr w14:val="tx1"/>
                  </w14:solidFill>
                </w14:textFill>
              </w:rPr>
            </w:pPr>
            <w:r>
              <w:rPr>
                <w:rFonts w:hint="default" w:ascii="Times New Roman" w:hAnsi="Times New Roman" w:eastAsia="宋体" w:cs="Times New Roman"/>
                <w:color w:val="000000" w:themeColor="text1"/>
                <w:spacing w:val="0"/>
                <w:szCs w:val="21"/>
                <w14:textFill>
                  <w14:solidFill>
                    <w14:schemeClr w14:val="tx1"/>
                  </w14:solidFill>
                </w14:textFill>
              </w:rPr>
              <w:t>声环境</w:t>
            </w:r>
          </w:p>
        </w:tc>
        <w:tc>
          <w:tcPr>
            <w:tcW w:w="1193" w:type="dxa"/>
            <w:noWrap w:val="0"/>
            <w:vAlign w:val="center"/>
          </w:tcPr>
          <w:p w14:paraId="46342324">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pacing w:val="0"/>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Cs w:val="21"/>
                <w14:textFill>
                  <w14:solidFill>
                    <w14:schemeClr w14:val="tx1"/>
                  </w14:solidFill>
                </w14:textFill>
              </w:rPr>
              <w:t>厂界四周</w:t>
            </w:r>
            <w:r>
              <w:rPr>
                <w:rFonts w:hint="default" w:ascii="Times New Roman" w:hAnsi="Times New Roman" w:eastAsia="宋体" w:cs="Times New Roman"/>
                <w:color w:val="000000" w:themeColor="text1"/>
                <w:spacing w:val="0"/>
                <w:szCs w:val="21"/>
                <w:lang w:eastAsia="zh-CN"/>
                <w14:textFill>
                  <w14:solidFill>
                    <w14:schemeClr w14:val="tx1"/>
                  </w14:solidFill>
                </w14:textFill>
              </w:rPr>
              <w:t>外</w:t>
            </w:r>
            <w:r>
              <w:rPr>
                <w:rFonts w:hint="default" w:ascii="Times New Roman" w:hAnsi="Times New Roman" w:eastAsia="宋体" w:cs="Times New Roman"/>
                <w:color w:val="000000" w:themeColor="text1"/>
                <w:spacing w:val="0"/>
                <w:szCs w:val="21"/>
                <w:lang w:val="en-US" w:eastAsia="zh-CN"/>
                <w14:textFill>
                  <w14:solidFill>
                    <w14:schemeClr w14:val="tx1"/>
                  </w14:solidFill>
                </w14:textFill>
              </w:rPr>
              <w:t>1m</w:t>
            </w:r>
          </w:p>
        </w:tc>
        <w:tc>
          <w:tcPr>
            <w:tcW w:w="1313" w:type="dxa"/>
            <w:noWrap w:val="0"/>
            <w:vAlign w:val="center"/>
          </w:tcPr>
          <w:p w14:paraId="686E0F0F">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color w:val="000000" w:themeColor="text1"/>
                <w:spacing w:val="0"/>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等效A声级</w:t>
            </w:r>
          </w:p>
        </w:tc>
        <w:tc>
          <w:tcPr>
            <w:tcW w:w="1832" w:type="dxa"/>
            <w:noWrap w:val="0"/>
            <w:vAlign w:val="center"/>
          </w:tcPr>
          <w:p w14:paraId="74A5C4E3">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pacing w:val="0"/>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GB" w:eastAsia="zh-CN"/>
                <w14:textFill>
                  <w14:solidFill>
                    <w14:schemeClr w14:val="tx1"/>
                  </w14:solidFill>
                </w14:textFill>
              </w:rPr>
              <w:t>选用低噪声设备，加强设备维护，</w:t>
            </w:r>
            <w:r>
              <w:rPr>
                <w:rFonts w:hint="default" w:ascii="Times New Roman" w:hAnsi="Times New Roman" w:eastAsia="宋体" w:cs="Times New Roman"/>
                <w:color w:val="000000" w:themeColor="text1"/>
                <w:spacing w:val="0"/>
                <w:sz w:val="21"/>
                <w:szCs w:val="21"/>
                <w:highlight w:val="none"/>
                <w:lang w:val="en-GB"/>
                <w14:textFill>
                  <w14:solidFill>
                    <w14:schemeClr w14:val="tx1"/>
                  </w14:solidFill>
                </w14:textFill>
              </w:rPr>
              <w:t>高噪声设备设置基础减振、隔声等措施</w:t>
            </w:r>
          </w:p>
        </w:tc>
        <w:tc>
          <w:tcPr>
            <w:tcW w:w="3402" w:type="dxa"/>
            <w:noWrap w:val="0"/>
            <w:vAlign w:val="center"/>
          </w:tcPr>
          <w:p w14:paraId="0DE92AEA">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pacing w:val="0"/>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满足</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《工业企业厂界环境噪声排放标准》(GB12348-2008)中</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3类标准</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(昼间≤</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65</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dB(A)</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、夜间</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55</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dB(A))</w:t>
            </w:r>
          </w:p>
        </w:tc>
      </w:tr>
      <w:tr w14:paraId="195295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2" w:hRule="atLeast"/>
          <w:jc w:val="center"/>
        </w:trPr>
        <w:tc>
          <w:tcPr>
            <w:tcW w:w="1060" w:type="dxa"/>
            <w:vMerge w:val="restart"/>
            <w:noWrap w:val="0"/>
            <w:vAlign w:val="center"/>
          </w:tcPr>
          <w:p w14:paraId="02CA1533">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pacing w:val="0"/>
                <w:szCs w:val="21"/>
                <w14:textFill>
                  <w14:solidFill>
                    <w14:schemeClr w14:val="tx1"/>
                  </w14:solidFill>
                </w14:textFill>
              </w:rPr>
            </w:pPr>
            <w:r>
              <w:rPr>
                <w:rFonts w:hint="default" w:ascii="Times New Roman" w:hAnsi="Times New Roman" w:eastAsia="宋体" w:cs="Times New Roman"/>
                <w:color w:val="000000" w:themeColor="text1"/>
                <w:spacing w:val="0"/>
                <w:szCs w:val="21"/>
                <w14:textFill>
                  <w14:solidFill>
                    <w14:schemeClr w14:val="tx1"/>
                  </w14:solidFill>
                </w14:textFill>
              </w:rPr>
              <w:t>固体废物</w:t>
            </w:r>
          </w:p>
        </w:tc>
        <w:tc>
          <w:tcPr>
            <w:tcW w:w="1193" w:type="dxa"/>
            <w:noWrap w:val="0"/>
            <w:vAlign w:val="center"/>
          </w:tcPr>
          <w:p w14:paraId="6E8025BE">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lang w:eastAsia="zh-CN"/>
              </w:rPr>
            </w:pPr>
            <w:r>
              <w:rPr>
                <w:rFonts w:hint="default" w:ascii="Times New Roman" w:hAnsi="Times New Roman" w:eastAsia="宋体" w:cs="Times New Roman"/>
                <w:color w:val="auto"/>
                <w:spacing w:val="0"/>
                <w:szCs w:val="21"/>
                <w:lang w:val="en-GB" w:eastAsia="zh-CN"/>
              </w:rPr>
              <w:t>一般工业固废</w:t>
            </w:r>
          </w:p>
        </w:tc>
        <w:tc>
          <w:tcPr>
            <w:tcW w:w="1313" w:type="dxa"/>
            <w:noWrap w:val="0"/>
            <w:vAlign w:val="center"/>
          </w:tcPr>
          <w:p w14:paraId="6796563D">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lang w:val="en-US" w:eastAsia="zh-CN"/>
              </w:rPr>
            </w:pPr>
            <w:r>
              <w:rPr>
                <w:rFonts w:hint="default" w:ascii="Times New Roman" w:hAnsi="Times New Roman" w:eastAsia="宋体" w:cs="Times New Roman"/>
                <w:color w:val="auto"/>
                <w:spacing w:val="0"/>
                <w:szCs w:val="21"/>
                <w:lang w:eastAsia="zh-CN"/>
              </w:rPr>
              <w:t>废包装材料、</w:t>
            </w:r>
            <w:r>
              <w:rPr>
                <w:rFonts w:hint="eastAsia" w:ascii="Times New Roman" w:hAnsi="Times New Roman" w:cs="Times New Roman"/>
                <w:color w:val="auto"/>
                <w:spacing w:val="0"/>
                <w:szCs w:val="21"/>
                <w:lang w:val="en-US" w:eastAsia="zh-CN"/>
              </w:rPr>
              <w:t>清洗沉渣</w:t>
            </w:r>
            <w:r>
              <w:rPr>
                <w:rFonts w:hint="default" w:ascii="Times New Roman" w:hAnsi="Times New Roman" w:eastAsia="宋体" w:cs="Times New Roman"/>
                <w:color w:val="auto"/>
                <w:spacing w:val="0"/>
                <w:szCs w:val="21"/>
                <w:lang w:eastAsia="zh-CN"/>
              </w:rPr>
              <w:t>、</w:t>
            </w:r>
            <w:r>
              <w:rPr>
                <w:rFonts w:hint="eastAsia" w:ascii="Times New Roman" w:hAnsi="Times New Roman" w:cs="Times New Roman"/>
                <w:color w:val="auto"/>
                <w:spacing w:val="0"/>
                <w:szCs w:val="21"/>
                <w:lang w:val="en-US" w:eastAsia="zh-CN"/>
              </w:rPr>
              <w:t>污泥、废纸浆等</w:t>
            </w:r>
          </w:p>
        </w:tc>
        <w:tc>
          <w:tcPr>
            <w:tcW w:w="1832" w:type="dxa"/>
            <w:noWrap w:val="0"/>
            <w:vAlign w:val="center"/>
          </w:tcPr>
          <w:p w14:paraId="41F4DE40">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lang w:val="en-GB"/>
              </w:rPr>
            </w:pPr>
            <w:r>
              <w:rPr>
                <w:rFonts w:hint="default" w:ascii="Times New Roman" w:hAnsi="Times New Roman" w:eastAsia="宋体" w:cs="Times New Roman"/>
                <w:color w:val="auto"/>
                <w:spacing w:val="0"/>
                <w:szCs w:val="21"/>
                <w:lang w:val="en-GB"/>
              </w:rPr>
              <w:t>设置一般工业固废暂存间，妥善分类收集后出售给回收企业综合利用</w:t>
            </w:r>
          </w:p>
        </w:tc>
        <w:tc>
          <w:tcPr>
            <w:tcW w:w="3402" w:type="dxa"/>
            <w:noWrap w:val="0"/>
            <w:vAlign w:val="center"/>
          </w:tcPr>
          <w:p w14:paraId="0427A533">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lang w:eastAsia="zh-CN"/>
              </w:rPr>
            </w:pPr>
            <w:r>
              <w:rPr>
                <w:rFonts w:hint="default" w:ascii="Times New Roman" w:hAnsi="Times New Roman" w:eastAsia="宋体" w:cs="Times New Roman"/>
                <w:color w:val="auto"/>
                <w:spacing w:val="0"/>
                <w:szCs w:val="21"/>
                <w:lang w:val="en-GB"/>
              </w:rPr>
              <w:t>满足</w:t>
            </w:r>
            <w:r>
              <w:rPr>
                <w:rFonts w:hint="default" w:ascii="Times New Roman" w:hAnsi="Times New Roman" w:eastAsia="宋体" w:cs="Times New Roman"/>
                <w:color w:val="auto"/>
                <w:spacing w:val="0"/>
                <w:szCs w:val="21"/>
                <w:lang w:eastAsia="zh-CN"/>
              </w:rPr>
              <w:t>一般工业固体废物贮存和填埋污染控制标准(GB18599-2020)</w:t>
            </w:r>
            <w:r>
              <w:rPr>
                <w:rFonts w:hint="default" w:ascii="Times New Roman" w:hAnsi="Times New Roman" w:eastAsia="宋体" w:cs="Times New Roman"/>
                <w:color w:val="auto"/>
                <w:spacing w:val="0"/>
                <w:szCs w:val="21"/>
                <w:lang w:val="en-GB"/>
              </w:rPr>
              <w:t>的相关要求</w:t>
            </w:r>
          </w:p>
        </w:tc>
      </w:tr>
      <w:tr w14:paraId="596A58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1060" w:type="dxa"/>
            <w:vMerge w:val="continue"/>
            <w:noWrap w:val="0"/>
            <w:vAlign w:val="center"/>
          </w:tcPr>
          <w:p w14:paraId="509A609E">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pacing w:val="0"/>
                <w:szCs w:val="21"/>
                <w14:textFill>
                  <w14:solidFill>
                    <w14:schemeClr w14:val="tx1"/>
                  </w14:solidFill>
                </w14:textFill>
              </w:rPr>
            </w:pPr>
          </w:p>
        </w:tc>
        <w:tc>
          <w:tcPr>
            <w:tcW w:w="1193" w:type="dxa"/>
            <w:noWrap w:val="0"/>
            <w:vAlign w:val="center"/>
          </w:tcPr>
          <w:p w14:paraId="56563212">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lang w:eastAsia="zh-CN"/>
              </w:rPr>
            </w:pPr>
            <w:r>
              <w:rPr>
                <w:rFonts w:hint="default" w:ascii="Times New Roman" w:hAnsi="Times New Roman" w:eastAsia="宋体" w:cs="Times New Roman"/>
                <w:color w:val="auto"/>
                <w:spacing w:val="0"/>
                <w:szCs w:val="21"/>
                <w:lang w:eastAsia="zh-CN"/>
              </w:rPr>
              <w:t>生活垃圾</w:t>
            </w:r>
          </w:p>
        </w:tc>
        <w:tc>
          <w:tcPr>
            <w:tcW w:w="1313" w:type="dxa"/>
            <w:noWrap w:val="0"/>
            <w:vAlign w:val="center"/>
          </w:tcPr>
          <w:p w14:paraId="4FCC3BB3">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lang w:eastAsia="zh-CN"/>
              </w:rPr>
            </w:pPr>
            <w:r>
              <w:rPr>
                <w:rFonts w:hint="default" w:ascii="Times New Roman" w:hAnsi="Times New Roman" w:eastAsia="宋体" w:cs="Times New Roman"/>
                <w:color w:val="auto"/>
                <w:spacing w:val="0"/>
                <w:szCs w:val="21"/>
                <w:lang w:eastAsia="zh-CN"/>
              </w:rPr>
              <w:t>生活垃圾</w:t>
            </w:r>
          </w:p>
        </w:tc>
        <w:tc>
          <w:tcPr>
            <w:tcW w:w="1832" w:type="dxa"/>
            <w:noWrap w:val="0"/>
            <w:vAlign w:val="center"/>
          </w:tcPr>
          <w:p w14:paraId="25C534BF">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rPr>
            </w:pPr>
            <w:r>
              <w:rPr>
                <w:rFonts w:hint="default" w:ascii="Times New Roman" w:hAnsi="Times New Roman" w:eastAsia="宋体" w:cs="Times New Roman"/>
                <w:color w:val="auto"/>
                <w:spacing w:val="0"/>
                <w:szCs w:val="21"/>
              </w:rPr>
              <w:t>由垃圾桶收集，由市政环卫部门统一清运处理</w:t>
            </w:r>
          </w:p>
        </w:tc>
        <w:tc>
          <w:tcPr>
            <w:tcW w:w="3402" w:type="dxa"/>
            <w:noWrap w:val="0"/>
            <w:vAlign w:val="center"/>
          </w:tcPr>
          <w:p w14:paraId="07D9D33C">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auto"/>
                <w:spacing w:val="0"/>
                <w:szCs w:val="21"/>
                <w:lang w:eastAsia="zh-CN"/>
              </w:rPr>
            </w:pPr>
            <w:r>
              <w:rPr>
                <w:rFonts w:hint="default" w:ascii="Times New Roman" w:hAnsi="Times New Roman" w:eastAsia="宋体" w:cs="Times New Roman"/>
                <w:color w:val="auto"/>
                <w:spacing w:val="0"/>
                <w:szCs w:val="21"/>
                <w:lang w:eastAsia="zh-CN"/>
              </w:rPr>
              <w:t>验收落实</w:t>
            </w:r>
          </w:p>
        </w:tc>
      </w:tr>
      <w:tr w14:paraId="0501B6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14:paraId="49028638">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pacing w:val="0"/>
                <w:szCs w:val="21"/>
                <w14:textFill>
                  <w14:solidFill>
                    <w14:schemeClr w14:val="tx1"/>
                  </w14:solidFill>
                </w14:textFill>
              </w:rPr>
            </w:pPr>
            <w:r>
              <w:rPr>
                <w:rFonts w:hint="default" w:ascii="Times New Roman" w:hAnsi="Times New Roman" w:eastAsia="宋体" w:cs="Times New Roman"/>
                <w:color w:val="000000" w:themeColor="text1"/>
                <w:spacing w:val="0"/>
                <w:szCs w:val="21"/>
                <w14:textFill>
                  <w14:solidFill>
                    <w14:schemeClr w14:val="tx1"/>
                  </w14:solidFill>
                </w14:textFill>
              </w:rPr>
              <w:t>土壤及地下水污染防治措施</w:t>
            </w:r>
          </w:p>
        </w:tc>
        <w:tc>
          <w:tcPr>
            <w:tcW w:w="7740" w:type="dxa"/>
            <w:gridSpan w:val="4"/>
            <w:noWrap w:val="0"/>
            <w:vAlign w:val="center"/>
          </w:tcPr>
          <w:p w14:paraId="78DF6FD0">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合理进行防渗区域划分</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废水处理设施所在位置</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地面采取防渗，按</w:t>
            </w:r>
            <w:r>
              <w:rPr>
                <w:rFonts w:hint="default" w:ascii="Times New Roman" w:hAnsi="Times New Roman" w:eastAsia="宋体" w:cs="Times New Roman"/>
                <w:color w:val="000000" w:themeColor="text1"/>
                <w:spacing w:val="0"/>
                <w:sz w:val="21"/>
                <w:szCs w:val="21"/>
                <w14:textFill>
                  <w14:solidFill>
                    <w14:schemeClr w14:val="tx1"/>
                  </w14:solidFill>
                </w14:textFill>
              </w:rPr>
              <w:t>重点污染区防渗要求</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进行建设；一般工业固废间、项目生产车间等按</w:t>
            </w:r>
            <w:r>
              <w:rPr>
                <w:rFonts w:hint="default" w:ascii="Times New Roman" w:hAnsi="Times New Roman" w:eastAsia="宋体" w:cs="Times New Roman"/>
                <w:color w:val="000000" w:themeColor="text1"/>
                <w:spacing w:val="0"/>
                <w:sz w:val="21"/>
                <w:szCs w:val="21"/>
                <w14:textFill>
                  <w14:solidFill>
                    <w14:schemeClr w14:val="tx1"/>
                  </w14:solidFill>
                </w14:textFill>
              </w:rPr>
              <w:t>一般污染区防渗要求</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进行建设</w:t>
            </w:r>
            <w:r>
              <w:rPr>
                <w:rFonts w:hint="eastAsia" w:cs="Times New Roman"/>
                <w:color w:val="000000" w:themeColor="text1"/>
                <w:spacing w:val="0"/>
                <w:sz w:val="21"/>
                <w:szCs w:val="21"/>
                <w:lang w:eastAsia="zh-CN"/>
                <w14:textFill>
                  <w14:solidFill>
                    <w14:schemeClr w14:val="tx1"/>
                  </w14:solidFill>
                </w14:textFill>
              </w:rPr>
              <w:t>且</w:t>
            </w:r>
            <w:r>
              <w:rPr>
                <w:rFonts w:hint="default" w:ascii="Times New Roman" w:hAnsi="Times New Roman" w:eastAsia="宋体" w:cs="Times New Roman"/>
                <w:color w:val="000000" w:themeColor="text1"/>
                <w:spacing w:val="0"/>
                <w:sz w:val="21"/>
                <w:szCs w:val="21"/>
                <w14:textFill>
                  <w14:solidFill>
                    <w14:schemeClr w14:val="tx1"/>
                  </w14:solidFill>
                </w14:textFill>
              </w:rPr>
              <w:t>具有防雨、防渗、防风、防日晒</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等</w:t>
            </w:r>
            <w:r>
              <w:rPr>
                <w:rFonts w:hint="default" w:ascii="Times New Roman" w:hAnsi="Times New Roman" w:eastAsia="宋体" w:cs="Times New Roman"/>
                <w:color w:val="000000" w:themeColor="text1"/>
                <w:spacing w:val="0"/>
                <w:sz w:val="21"/>
                <w:szCs w:val="21"/>
                <w14:textFill>
                  <w14:solidFill>
                    <w14:schemeClr w14:val="tx1"/>
                  </w14:solidFill>
                </w14:textFill>
              </w:rPr>
              <w:t>功能</w:t>
            </w:r>
          </w:p>
        </w:tc>
      </w:tr>
      <w:tr w14:paraId="4DD723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14:paraId="2DC732B5">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pacing w:val="0"/>
                <w:szCs w:val="21"/>
                <w14:textFill>
                  <w14:solidFill>
                    <w14:schemeClr w14:val="tx1"/>
                  </w14:solidFill>
                </w14:textFill>
              </w:rPr>
            </w:pPr>
            <w:r>
              <w:rPr>
                <w:rFonts w:hint="default" w:ascii="Times New Roman" w:hAnsi="Times New Roman" w:eastAsia="宋体" w:cs="Times New Roman"/>
                <w:color w:val="000000" w:themeColor="text1"/>
                <w:spacing w:val="0"/>
                <w:szCs w:val="21"/>
                <w14:textFill>
                  <w14:solidFill>
                    <w14:schemeClr w14:val="tx1"/>
                  </w14:solidFill>
                </w14:textFill>
              </w:rPr>
              <w:t>生态保护措施</w:t>
            </w:r>
          </w:p>
        </w:tc>
        <w:tc>
          <w:tcPr>
            <w:tcW w:w="7740" w:type="dxa"/>
            <w:gridSpan w:val="4"/>
            <w:noWrap w:val="0"/>
            <w:vAlign w:val="center"/>
          </w:tcPr>
          <w:p w14:paraId="6716B487">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无</w:t>
            </w:r>
          </w:p>
        </w:tc>
      </w:tr>
      <w:tr w14:paraId="615805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14:paraId="75997413">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pacing w:val="0"/>
                <w:szCs w:val="21"/>
                <w14:textFill>
                  <w14:solidFill>
                    <w14:schemeClr w14:val="tx1"/>
                  </w14:solidFill>
                </w14:textFill>
              </w:rPr>
            </w:pPr>
            <w:r>
              <w:rPr>
                <w:rFonts w:hint="default" w:ascii="Times New Roman" w:hAnsi="Times New Roman" w:eastAsia="宋体" w:cs="Times New Roman"/>
                <w:color w:val="000000" w:themeColor="text1"/>
                <w:spacing w:val="0"/>
                <w:szCs w:val="21"/>
                <w14:textFill>
                  <w14:solidFill>
                    <w14:schemeClr w14:val="tx1"/>
                  </w14:solidFill>
                </w14:textFill>
              </w:rPr>
              <w:t>环境风险</w:t>
            </w:r>
          </w:p>
          <w:p w14:paraId="39F10531">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pacing w:val="0"/>
                <w:szCs w:val="21"/>
                <w14:textFill>
                  <w14:solidFill>
                    <w14:schemeClr w14:val="tx1"/>
                  </w14:solidFill>
                </w14:textFill>
              </w:rPr>
            </w:pPr>
            <w:r>
              <w:rPr>
                <w:rFonts w:hint="default" w:ascii="Times New Roman" w:hAnsi="Times New Roman" w:eastAsia="宋体" w:cs="Times New Roman"/>
                <w:color w:val="000000" w:themeColor="text1"/>
                <w:spacing w:val="0"/>
                <w:szCs w:val="21"/>
                <w14:textFill>
                  <w14:solidFill>
                    <w14:schemeClr w14:val="tx1"/>
                  </w14:solidFill>
                </w14:textFill>
              </w:rPr>
              <w:t>防范措施</w:t>
            </w:r>
          </w:p>
        </w:tc>
        <w:tc>
          <w:tcPr>
            <w:tcW w:w="7740" w:type="dxa"/>
            <w:gridSpan w:val="4"/>
            <w:noWrap w:val="0"/>
            <w:vAlign w:val="center"/>
          </w:tcPr>
          <w:p w14:paraId="44499641">
            <w:pPr>
              <w:keepNext w:val="0"/>
              <w:keepLines w:val="0"/>
              <w:pageBreakBefore w:val="0"/>
              <w:widowControl w:val="0"/>
              <w:kinsoku/>
              <w:wordWrap/>
              <w:overflowPunct/>
              <w:topLinePunct w:val="0"/>
              <w:bidi w:val="0"/>
              <w:adjustRightInd w:val="0"/>
              <w:snapToGrid w:val="0"/>
              <w:spacing w:line="340" w:lineRule="exact"/>
              <w:jc w:val="left"/>
              <w:textAlignment w:val="auto"/>
              <w:rPr>
                <w:rFonts w:hint="default" w:ascii="Times New Roman" w:hAnsi="Times New Roman" w:eastAsia="宋体" w:cs="Times New Roman"/>
                <w:color w:val="000000" w:themeColor="text1"/>
                <w:spacing w:val="0"/>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地面采取防渗、设置围堰等风险防范措施；</w:t>
            </w:r>
            <w:r>
              <w:rPr>
                <w:rFonts w:hint="default" w:ascii="Times New Roman" w:hAnsi="Times New Roman" w:eastAsia="宋体" w:cs="Times New Roman"/>
                <w:color w:val="000000" w:themeColor="text1"/>
                <w:spacing w:val="0"/>
                <w:sz w:val="21"/>
                <w:szCs w:val="21"/>
                <w14:textFill>
                  <w14:solidFill>
                    <w14:schemeClr w14:val="tx1"/>
                  </w14:solidFill>
                </w14:textFill>
              </w:rPr>
              <w:t>厂区内严禁烟火</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w:t>
            </w:r>
          </w:p>
        </w:tc>
      </w:tr>
      <w:tr w14:paraId="4B2A5A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14:paraId="6F31F7CC">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其他环境</w:t>
            </w:r>
          </w:p>
          <w:p w14:paraId="20AA2423">
            <w:pPr>
              <w:keepNext w:val="0"/>
              <w:keepLines w:val="0"/>
              <w:pageBreakBefore w:val="0"/>
              <w:widowControl w:val="0"/>
              <w:kinsoku/>
              <w:wordWrap/>
              <w:overflowPunct/>
              <w:topLinePunct w:val="0"/>
              <w:bidi w:val="0"/>
              <w:adjustRightInd w:val="0"/>
              <w:snapToGrid w:val="0"/>
              <w:spacing w:line="340" w:lineRule="exact"/>
              <w:jc w:val="center"/>
              <w:textAlignment w:val="auto"/>
              <w:rPr>
                <w:rFonts w:hint="default" w:ascii="Times New Roman" w:hAnsi="Times New Roman" w:eastAsia="宋体" w:cs="Times New Roman"/>
                <w:color w:val="000000" w:themeColor="text1"/>
                <w:spacing w:val="0"/>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管理要求</w:t>
            </w:r>
          </w:p>
        </w:tc>
        <w:tc>
          <w:tcPr>
            <w:tcW w:w="7740" w:type="dxa"/>
            <w:gridSpan w:val="4"/>
            <w:noWrap w:val="0"/>
            <w:vAlign w:val="center"/>
          </w:tcPr>
          <w:p w14:paraId="10688A3A">
            <w:pPr>
              <w:keepNext w:val="0"/>
              <w:keepLines w:val="0"/>
              <w:pageBreakBefore w:val="0"/>
              <w:widowControl w:val="0"/>
              <w:kinsoku/>
              <w:wordWrap/>
              <w:overflowPunct/>
              <w:topLinePunct w:val="0"/>
              <w:bidi w:val="0"/>
              <w:adjustRightInd w:val="0"/>
              <w:snapToGrid w:val="0"/>
              <w:spacing w:line="340" w:lineRule="exact"/>
              <w:jc w:val="left"/>
              <w:textAlignment w:val="auto"/>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1、</w:t>
            </w:r>
            <w:r>
              <w:rPr>
                <w:rFonts w:hint="default" w:ascii="Times New Roman" w:hAnsi="Times New Roman" w:eastAsia="宋体" w:cs="Times New Roman"/>
                <w:b/>
                <w:bCs/>
                <w:color w:val="000000" w:themeColor="text1"/>
                <w:spacing w:val="0"/>
                <w:sz w:val="21"/>
                <w:szCs w:val="21"/>
                <w14:textFill>
                  <w14:solidFill>
                    <w14:schemeClr w14:val="tx1"/>
                  </w14:solidFill>
                </w14:textFill>
              </w:rPr>
              <w:t>竣工环境保护验收</w:t>
            </w:r>
          </w:p>
          <w:p w14:paraId="185481EC">
            <w:pPr>
              <w:keepNext w:val="0"/>
              <w:keepLines w:val="0"/>
              <w:pageBreakBefore w:val="0"/>
              <w:widowControl w:val="0"/>
              <w:kinsoku/>
              <w:wordWrap/>
              <w:overflowPunct/>
              <w:topLinePunct w:val="0"/>
              <w:autoSpaceDE/>
              <w:autoSpaceDN/>
              <w:bidi w:val="0"/>
              <w:adjustRightInd w:val="0"/>
              <w:snapToGrid w:val="0"/>
              <w:spacing w:line="340" w:lineRule="exact"/>
              <w:ind w:firstLine="420" w:firstLineChars="200"/>
              <w:jc w:val="left"/>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根据《建设项目竣工环境保护验收暂行办法》的规定，建设项目竣工后，建设单位应当如实查验、监测、记载建设项目环境保护设施的建设和调试情况，编制验收监测报告</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表</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w:t>
            </w:r>
          </w:p>
          <w:p w14:paraId="57703313">
            <w:pPr>
              <w:keepNext w:val="0"/>
              <w:keepLines w:val="0"/>
              <w:pageBreakBefore w:val="0"/>
              <w:widowControl w:val="0"/>
              <w:kinsoku/>
              <w:wordWrap/>
              <w:overflowPunct/>
              <w:topLinePunct w:val="0"/>
              <w:bidi w:val="0"/>
              <w:adjustRightInd w:val="0"/>
              <w:snapToGrid w:val="0"/>
              <w:spacing w:line="340" w:lineRule="exact"/>
              <w:jc w:val="both"/>
              <w:textAlignment w:val="auto"/>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pacing w:val="0"/>
                <w:sz w:val="21"/>
                <w:szCs w:val="21"/>
                <w14:textFill>
                  <w14:solidFill>
                    <w14:schemeClr w14:val="tx1"/>
                  </w14:solidFill>
                </w14:textFill>
              </w:rPr>
              <w:t>排污许可</w:t>
            </w:r>
            <w:r>
              <w:rPr>
                <w:rFonts w:hint="default" w:ascii="Times New Roman" w:hAnsi="Times New Roman" w:eastAsia="宋体" w:cs="Times New Roman"/>
                <w:b/>
                <w:bCs/>
                <w:color w:val="000000" w:themeColor="text1"/>
                <w:spacing w:val="0"/>
                <w:sz w:val="21"/>
                <w:szCs w:val="21"/>
                <w:lang w:eastAsia="zh-CN"/>
                <w14:textFill>
                  <w14:solidFill>
                    <w14:schemeClr w14:val="tx1"/>
                  </w14:solidFill>
                </w14:textFill>
              </w:rPr>
              <w:t>管理要求</w:t>
            </w:r>
          </w:p>
          <w:p w14:paraId="6947BAA3">
            <w:pPr>
              <w:keepNext w:val="0"/>
              <w:keepLines w:val="0"/>
              <w:pageBreakBefore w:val="0"/>
              <w:widowControl w:val="0"/>
              <w:kinsoku/>
              <w:wordWrap/>
              <w:overflowPunct/>
              <w:topLinePunct w:val="0"/>
              <w:autoSpaceDE/>
              <w:autoSpaceDN/>
              <w:bidi w:val="0"/>
              <w:adjustRightInd w:val="0"/>
              <w:snapToGrid w:val="0"/>
              <w:spacing w:line="340" w:lineRule="exact"/>
              <w:ind w:firstLine="420" w:firstLineChars="200"/>
              <w:jc w:val="left"/>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根据《固定污染源排污许可分类管理名录(2019年版)》(生态环境部 第11号)可知，</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本项目</w:t>
            </w:r>
            <w:r>
              <w:rPr>
                <w:rFonts w:hint="default" w:ascii="Times New Roman" w:hAnsi="Times New Roman" w:eastAsia="宋体" w:cs="Times New Roman"/>
                <w:color w:val="000000" w:themeColor="text1"/>
                <w:spacing w:val="0"/>
                <w:sz w:val="21"/>
                <w:szCs w:val="21"/>
                <w14:textFill>
                  <w14:solidFill>
                    <w14:schemeClr w14:val="tx1"/>
                  </w14:solidFill>
                </w14:textFill>
              </w:rPr>
              <w:t>实行排污许可</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简化</w:t>
            </w:r>
            <w:r>
              <w:rPr>
                <w:rFonts w:hint="default" w:ascii="Times New Roman" w:hAnsi="Times New Roman" w:eastAsia="宋体" w:cs="Times New Roman"/>
                <w:color w:val="000000" w:themeColor="text1"/>
                <w:spacing w:val="0"/>
                <w:sz w:val="21"/>
                <w:szCs w:val="21"/>
                <w14:textFill>
                  <w14:solidFill>
                    <w14:schemeClr w14:val="tx1"/>
                  </w14:solidFill>
                </w14:textFill>
              </w:rPr>
              <w:t>管理</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(详见表5.1-1)</w:t>
            </w:r>
            <w:r>
              <w:rPr>
                <w:rFonts w:hint="default" w:ascii="Times New Roman" w:hAnsi="Times New Roman" w:eastAsia="宋体" w:cs="Times New Roman"/>
                <w:color w:val="000000" w:themeColor="text1"/>
                <w:spacing w:val="0"/>
                <w:sz w:val="21"/>
                <w:szCs w:val="21"/>
                <w14:textFill>
                  <w14:solidFill>
                    <w14:schemeClr w14:val="tx1"/>
                  </w14:solidFill>
                </w14:textFill>
              </w:rPr>
              <w:t>；</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因此，建设单位</w:t>
            </w:r>
            <w:r>
              <w:rPr>
                <w:rFonts w:hint="default" w:ascii="Times New Roman" w:hAnsi="Times New Roman" w:eastAsia="宋体" w:cs="Times New Roman"/>
                <w:color w:val="000000" w:themeColor="text1"/>
                <w:spacing w:val="0"/>
                <w:sz w:val="21"/>
                <w:szCs w:val="21"/>
                <w14:textFill>
                  <w14:solidFill>
                    <w14:schemeClr w14:val="tx1"/>
                  </w14:solidFill>
                </w14:textFill>
              </w:rPr>
              <w:t>应当在启动生产设施或者发生实际排污之前</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在</w:t>
            </w:r>
            <w:r>
              <w:rPr>
                <w:rFonts w:hint="default" w:ascii="Times New Roman" w:hAnsi="Times New Roman" w:eastAsia="宋体" w:cs="Times New Roman"/>
                <w:color w:val="000000" w:themeColor="text1"/>
                <w:spacing w:val="0"/>
                <w:sz w:val="21"/>
                <w:szCs w:val="21"/>
                <w14:textFill>
                  <w14:solidFill>
                    <w14:schemeClr w14:val="tx1"/>
                  </w14:solidFill>
                </w14:textFill>
              </w:rPr>
              <w:t>全国排污许可证管理信息平台</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进行排污许可</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申领</w:t>
            </w:r>
            <w:r>
              <w:rPr>
                <w:rFonts w:hint="default" w:ascii="Times New Roman" w:hAnsi="Times New Roman" w:eastAsia="宋体" w:cs="Times New Roman"/>
                <w:color w:val="000000" w:themeColor="text1"/>
                <w:spacing w:val="0"/>
                <w:sz w:val="21"/>
                <w:szCs w:val="21"/>
                <w14:textFill>
                  <w14:solidFill>
                    <w14:schemeClr w14:val="tx1"/>
                  </w14:solidFill>
                </w14:textFill>
              </w:rPr>
              <w:t>。</w:t>
            </w:r>
          </w:p>
          <w:p w14:paraId="0653345F">
            <w:pPr>
              <w:pStyle w:val="75"/>
              <w:keepNext w:val="0"/>
              <w:keepLines w:val="0"/>
              <w:pageBreakBefore w:val="0"/>
              <w:widowControl w:val="0"/>
              <w:kinsoku/>
              <w:wordWrap/>
              <w:overflowPunct/>
              <w:topLinePunct w:val="0"/>
              <w:autoSpaceDE/>
              <w:autoSpaceDN/>
              <w:bidi w:val="0"/>
              <w:adjustRightInd/>
              <w:snapToGrid/>
              <w:spacing w:before="191" w:beforeLines="50" w:line="240" w:lineRule="auto"/>
              <w:ind w:left="0" w:leftChars="0" w:firstLine="0" w:firstLineChars="0"/>
              <w:jc w:val="center"/>
              <w:textAlignment w:val="auto"/>
              <w:rPr>
                <w:rFonts w:hint="default" w:ascii="Times New Roman" w:hAnsi="Times New Roman" w:eastAsia="宋体" w:cs="Times New Roman"/>
                <w:color w:val="000000" w:themeColor="text1"/>
                <w:szCs w:val="22"/>
                <w:lang w:val="en-US" w:eastAsia="zh-CN"/>
                <w14:textFill>
                  <w14:solidFill>
                    <w14:schemeClr w14:val="tx1"/>
                  </w14:solidFill>
                </w14:textFill>
              </w:rPr>
            </w:pPr>
            <w:r>
              <w:rPr>
                <w:rFonts w:hint="default" w:ascii="Times New Roman" w:hAnsi="Times New Roman" w:eastAsia="黑体" w:cs="Times New Roman"/>
                <w:b w:val="0"/>
                <w:bCs w:val="0"/>
                <w:color w:val="000000" w:themeColor="text1"/>
                <w:kern w:val="2"/>
                <w:sz w:val="21"/>
                <w:szCs w:val="21"/>
                <w14:textFill>
                  <w14:solidFill>
                    <w14:schemeClr w14:val="tx1"/>
                  </w14:solidFill>
                </w14:textFill>
              </w:rPr>
              <w:t>表</w:t>
            </w:r>
            <w:r>
              <w:rPr>
                <w:rFonts w:hint="default" w:ascii="Times New Roman" w:hAnsi="Times New Roman" w:eastAsia="黑体" w:cs="Times New Roman"/>
                <w:b w:val="0"/>
                <w:bCs w:val="0"/>
                <w:color w:val="000000" w:themeColor="text1"/>
                <w:kern w:val="2"/>
                <w:sz w:val="21"/>
                <w:szCs w:val="21"/>
                <w:lang w:val="en-US" w:eastAsia="zh-CN"/>
                <w14:textFill>
                  <w14:solidFill>
                    <w14:schemeClr w14:val="tx1"/>
                  </w14:solidFill>
                </w14:textFill>
              </w:rPr>
              <w:t>5.1</w:t>
            </w:r>
            <w:r>
              <w:rPr>
                <w:rFonts w:hint="default" w:ascii="Times New Roman" w:hAnsi="Times New Roman" w:eastAsia="黑体" w:cs="Times New Roman"/>
                <w:b w:val="0"/>
                <w:bCs w:val="0"/>
                <w:color w:val="000000" w:themeColor="text1"/>
                <w:kern w:val="2"/>
                <w:sz w:val="21"/>
                <w:szCs w:val="21"/>
                <w14:textFill>
                  <w14:solidFill>
                    <w14:schemeClr w14:val="tx1"/>
                  </w14:solidFill>
                </w14:textFill>
              </w:rPr>
              <w:t>-1  固定污染源排污许可分类管理名录</w:t>
            </w:r>
            <w:r>
              <w:rPr>
                <w:rFonts w:hint="default" w:ascii="Times New Roman" w:hAnsi="Times New Roman" w:eastAsia="黑体" w:cs="Times New Roman"/>
                <w:b w:val="0"/>
                <w:bCs w:val="0"/>
                <w:color w:val="000000" w:themeColor="text1"/>
                <w:kern w:val="2"/>
                <w:sz w:val="21"/>
                <w:szCs w:val="21"/>
                <w:lang w:val="en-US" w:eastAsia="zh-CN"/>
                <w14:textFill>
                  <w14:solidFill>
                    <w14:schemeClr w14:val="tx1"/>
                  </w14:solidFill>
                </w14:textFill>
              </w:rPr>
              <w:t>(摘录)</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6"/>
              <w:gridCol w:w="2292"/>
              <w:gridCol w:w="1019"/>
              <w:gridCol w:w="2876"/>
              <w:gridCol w:w="781"/>
            </w:tblGrid>
            <w:tr w14:paraId="5AF550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tcBorders>
                    <w:tl2br w:val="nil"/>
                    <w:tr2bl w:val="nil"/>
                  </w:tcBorders>
                  <w:shd w:val="clear" w:color="auto" w:fill="auto"/>
                  <w:noWrap w:val="0"/>
                  <w:vAlign w:val="center"/>
                </w:tcPr>
                <w:p w14:paraId="338DB7A6">
                  <w:pPr>
                    <w:keepNext w:val="0"/>
                    <w:keepLines w:val="0"/>
                    <w:pageBreakBefore w:val="0"/>
                    <w:widowControl w:val="0"/>
                    <w:kinsoku/>
                    <w:wordWrap/>
                    <w:overflowPunct/>
                    <w:topLinePunct w:val="0"/>
                    <w:autoSpaceDE/>
                    <w:autoSpaceDN/>
                    <w:bidi w:val="0"/>
                    <w:spacing w:line="3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序号</w:t>
                  </w:r>
                </w:p>
              </w:tc>
              <w:tc>
                <w:tcPr>
                  <w:tcW w:w="1523" w:type="pct"/>
                  <w:tcBorders>
                    <w:tl2br w:val="nil"/>
                    <w:tr2bl w:val="nil"/>
                  </w:tcBorders>
                  <w:shd w:val="clear" w:color="auto" w:fill="auto"/>
                  <w:noWrap w:val="0"/>
                  <w:vAlign w:val="center"/>
                </w:tcPr>
                <w:p w14:paraId="7C931655">
                  <w:pPr>
                    <w:keepNext w:val="0"/>
                    <w:keepLines w:val="0"/>
                    <w:pageBreakBefore w:val="0"/>
                    <w:widowControl w:val="0"/>
                    <w:kinsoku/>
                    <w:wordWrap/>
                    <w:overflowPunct/>
                    <w:topLinePunct w:val="0"/>
                    <w:autoSpaceDE/>
                    <w:autoSpaceDN/>
                    <w:bidi w:val="0"/>
                    <w:spacing w:line="3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行业类别</w:t>
                  </w:r>
                </w:p>
              </w:tc>
              <w:tc>
                <w:tcPr>
                  <w:tcW w:w="677" w:type="pct"/>
                  <w:tcBorders>
                    <w:tl2br w:val="nil"/>
                    <w:tr2bl w:val="nil"/>
                  </w:tcBorders>
                  <w:shd w:val="clear" w:color="auto" w:fill="auto"/>
                  <w:noWrap w:val="0"/>
                  <w:vAlign w:val="center"/>
                </w:tcPr>
                <w:p w14:paraId="4D5C920E">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重点管理</w:t>
                  </w:r>
                </w:p>
              </w:tc>
              <w:tc>
                <w:tcPr>
                  <w:tcW w:w="1911" w:type="pct"/>
                  <w:tcBorders>
                    <w:tl2br w:val="nil"/>
                    <w:tr2bl w:val="nil"/>
                  </w:tcBorders>
                  <w:shd w:val="clear" w:color="auto" w:fill="BEBEBE" w:themeFill="background1" w:themeFillShade="BF"/>
                  <w:noWrap w:val="0"/>
                  <w:vAlign w:val="center"/>
                </w:tcPr>
                <w:p w14:paraId="1215E547">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简化管理</w:t>
                  </w:r>
                </w:p>
              </w:tc>
              <w:tc>
                <w:tcPr>
                  <w:tcW w:w="517" w:type="pct"/>
                  <w:tcBorders>
                    <w:tl2br w:val="nil"/>
                    <w:tr2bl w:val="nil"/>
                  </w:tcBorders>
                  <w:shd w:val="clear" w:color="auto" w:fill="auto"/>
                  <w:noWrap w:val="0"/>
                  <w:vAlign w:val="center"/>
                </w:tcPr>
                <w:p w14:paraId="193C7BDC">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登记管理</w:t>
                  </w:r>
                </w:p>
              </w:tc>
            </w:tr>
            <w:tr w14:paraId="68675D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l2br w:val="nil"/>
                    <w:tr2bl w:val="nil"/>
                  </w:tcBorders>
                  <w:shd w:val="clear" w:color="auto" w:fill="BEBEBE" w:themeFill="background1" w:themeFillShade="BF"/>
                  <w:noWrap w:val="0"/>
                  <w:vAlign w:val="center"/>
                </w:tcPr>
                <w:p w14:paraId="17F6E0B3">
                  <w:pPr>
                    <w:keepNext w:val="0"/>
                    <w:keepLines w:val="0"/>
                    <w:pageBreakBefore w:val="0"/>
                    <w:widowControl w:val="0"/>
                    <w:kinsoku/>
                    <w:wordWrap/>
                    <w:overflowPunct/>
                    <w:topLinePunct w:val="0"/>
                    <w:autoSpaceDE/>
                    <w:autoSpaceDN/>
                    <w:bidi w:val="0"/>
                    <w:adjustRightInd w:val="0"/>
                    <w:snapToGrid w:val="0"/>
                    <w:spacing w:line="340" w:lineRule="exact"/>
                    <w:jc w:val="both"/>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三十七、废弃资源综合利用业 42</w:t>
                  </w:r>
                </w:p>
              </w:tc>
            </w:tr>
            <w:tr w14:paraId="0B295A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tcBorders>
                    <w:tl2br w:val="nil"/>
                    <w:tr2bl w:val="nil"/>
                  </w:tcBorders>
                  <w:shd w:val="clear" w:color="auto" w:fill="auto"/>
                  <w:noWrap w:val="0"/>
                  <w:vAlign w:val="center"/>
                </w:tcPr>
                <w:p w14:paraId="1A52179A">
                  <w:pPr>
                    <w:keepNext w:val="0"/>
                    <w:keepLines w:val="0"/>
                    <w:pageBreakBefore w:val="0"/>
                    <w:widowControl w:val="0"/>
                    <w:kinsoku/>
                    <w:wordWrap/>
                    <w:overflowPunct/>
                    <w:topLinePunct w:val="0"/>
                    <w:autoSpaceDE/>
                    <w:autoSpaceDN/>
                    <w:bidi w:val="0"/>
                    <w:spacing w:line="3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93</w:t>
                  </w:r>
                </w:p>
              </w:tc>
              <w:tc>
                <w:tcPr>
                  <w:tcW w:w="1523" w:type="pct"/>
                  <w:tcBorders>
                    <w:tl2br w:val="nil"/>
                    <w:tr2bl w:val="nil"/>
                  </w:tcBorders>
                  <w:shd w:val="clear" w:color="auto" w:fill="auto"/>
                  <w:noWrap w:val="0"/>
                  <w:vAlign w:val="center"/>
                </w:tcPr>
                <w:p w14:paraId="3CEF5465">
                  <w:pPr>
                    <w:keepNext w:val="0"/>
                    <w:keepLines w:val="0"/>
                    <w:pageBreakBefore w:val="0"/>
                    <w:widowControl/>
                    <w:suppressLineNumbers w:val="0"/>
                    <w:kinsoku/>
                    <w:wordWrap/>
                    <w:overflowPunct/>
                    <w:topLinePunct w:val="0"/>
                    <w:autoSpaceDE/>
                    <w:autoSpaceDN/>
                    <w:bidi w:val="0"/>
                    <w:spacing w:line="3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金属废料和碎屑加工处理421，非金属废料和碎屑加工处理 422</w:t>
                  </w:r>
                </w:p>
              </w:tc>
              <w:tc>
                <w:tcPr>
                  <w:tcW w:w="677" w:type="pct"/>
                  <w:tcBorders>
                    <w:tl2br w:val="nil"/>
                    <w:tr2bl w:val="nil"/>
                  </w:tcBorders>
                  <w:shd w:val="clear" w:color="auto" w:fill="auto"/>
                  <w:noWrap w:val="0"/>
                  <w:vAlign w:val="center"/>
                </w:tcPr>
                <w:p w14:paraId="20B6C0C3">
                  <w:pPr>
                    <w:keepNext w:val="0"/>
                    <w:keepLines w:val="0"/>
                    <w:pageBreakBefore w:val="0"/>
                    <w:widowControl/>
                    <w:suppressLineNumbers w:val="0"/>
                    <w:kinsoku/>
                    <w:wordWrap/>
                    <w:overflowPunct/>
                    <w:topLinePunct w:val="0"/>
                    <w:autoSpaceDE/>
                    <w:autoSpaceDN/>
                    <w:bidi w:val="0"/>
                    <w:spacing w:line="3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废电池、废油、废轮胎加工处理</w:t>
                  </w:r>
                </w:p>
              </w:tc>
              <w:tc>
                <w:tcPr>
                  <w:tcW w:w="1911" w:type="pct"/>
                  <w:tcBorders>
                    <w:tl2br w:val="nil"/>
                    <w:tr2bl w:val="nil"/>
                  </w:tcBorders>
                  <w:shd w:val="clear" w:color="auto" w:fill="BEBEBE" w:themeFill="background1" w:themeFillShade="BF"/>
                  <w:noWrap w:val="0"/>
                  <w:vAlign w:val="center"/>
                </w:tcPr>
                <w:p w14:paraId="33F152BA">
                  <w:pPr>
                    <w:keepNext w:val="0"/>
                    <w:keepLines w:val="0"/>
                    <w:pageBreakBefore w:val="0"/>
                    <w:widowControl/>
                    <w:suppressLineNumbers w:val="0"/>
                    <w:kinsoku/>
                    <w:wordWrap/>
                    <w:overflowPunct/>
                    <w:topLinePunct w:val="0"/>
                    <w:autoSpaceDE/>
                    <w:autoSpaceDN/>
                    <w:bidi w:val="0"/>
                    <w:spacing w:line="3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废弃电器电子产品、废机动车、废电机、废电线电缆、废塑料、废船、含水洗工艺的其他废料和碎屑加工处理</w:t>
                  </w:r>
                </w:p>
              </w:tc>
              <w:tc>
                <w:tcPr>
                  <w:tcW w:w="517" w:type="pct"/>
                  <w:tcBorders>
                    <w:tl2br w:val="nil"/>
                    <w:tr2bl w:val="nil"/>
                  </w:tcBorders>
                  <w:shd w:val="clear" w:color="auto" w:fill="auto"/>
                  <w:noWrap w:val="0"/>
                  <w:vAlign w:val="center"/>
                </w:tcPr>
                <w:p w14:paraId="519249E6">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其他</w:t>
                  </w:r>
                </w:p>
              </w:tc>
            </w:tr>
          </w:tbl>
          <w:p w14:paraId="3D36705F">
            <w:pPr>
              <w:numPr>
                <w:ilvl w:val="0"/>
                <w:numId w:val="12"/>
              </w:numPr>
              <w:adjustRightInd w:val="0"/>
              <w:snapToGrid w:val="0"/>
              <w:spacing w:line="340" w:lineRule="exact"/>
              <w:jc w:val="left"/>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Cs w:val="21"/>
                <w:lang w:val="en-US" w:eastAsia="zh-CN"/>
                <w14:textFill>
                  <w14:solidFill>
                    <w14:schemeClr w14:val="tx1"/>
                  </w14:solidFill>
                </w14:textFill>
              </w:rPr>
              <w:t>排污口规范化管理要求</w:t>
            </w:r>
          </w:p>
          <w:p w14:paraId="62FF8B3F">
            <w:pPr>
              <w:keepNext w:val="0"/>
              <w:keepLines w:val="0"/>
              <w:pageBreakBefore w:val="0"/>
              <w:widowControl w:val="0"/>
              <w:kinsoku/>
              <w:wordWrap/>
              <w:overflowPunct/>
              <w:topLinePunct w:val="0"/>
              <w:autoSpaceDE/>
              <w:autoSpaceDN/>
              <w:bidi w:val="0"/>
              <w:adjustRightInd w:val="0"/>
              <w:snapToGrid w:val="0"/>
              <w:spacing w:line="340" w:lineRule="exact"/>
              <w:ind w:firstLine="420" w:firstLineChars="20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排污口规范化</w:t>
            </w:r>
            <w:r>
              <w:rPr>
                <w:rFonts w:hint="default" w:ascii="Times New Roman" w:hAnsi="Times New Roman" w:eastAsia="宋体" w:cs="Times New Roman"/>
                <w:color w:val="000000" w:themeColor="text1"/>
                <w:sz w:val="21"/>
                <w:szCs w:val="21"/>
                <w14:textFill>
                  <w14:solidFill>
                    <w14:schemeClr w14:val="tx1"/>
                  </w14:solidFill>
                </w14:textFill>
              </w:rPr>
              <w:t>图标</w:t>
            </w:r>
            <w:r>
              <w:rPr>
                <w:rFonts w:hint="default" w:ascii="Times New Roman" w:hAnsi="Times New Roman" w:eastAsia="宋体" w:cs="Times New Roman"/>
                <w:color w:val="000000" w:themeColor="text1"/>
                <w:sz w:val="21"/>
                <w:szCs w:val="21"/>
                <w:lang w:eastAsia="zh-CN"/>
                <w14:textFill>
                  <w14:solidFill>
                    <w14:schemeClr w14:val="tx1"/>
                  </w14:solidFill>
                </w14:textFill>
              </w:rPr>
              <w:t>按照</w:t>
            </w:r>
            <w:r>
              <w:rPr>
                <w:rFonts w:hint="default" w:ascii="Times New Roman" w:hAnsi="Times New Roman" w:eastAsia="宋体" w:cs="Times New Roman"/>
                <w:color w:val="000000" w:themeColor="text1"/>
                <w:sz w:val="21"/>
                <w:szCs w:val="21"/>
                <w14:textFill>
                  <w14:solidFill>
                    <w14:schemeClr w14:val="tx1"/>
                  </w14:solidFill>
                </w14:textFill>
              </w:rPr>
              <w:t>《环境保护图形标志—排放口(源)》(GB15563.1-1995)</w:t>
            </w:r>
            <w:r>
              <w:rPr>
                <w:rFonts w:hint="default" w:ascii="Times New Roman" w:hAnsi="Times New Roman" w:eastAsia="宋体" w:cs="Times New Roman"/>
                <w:color w:val="000000" w:themeColor="text1"/>
                <w:sz w:val="21"/>
                <w:szCs w:val="21"/>
                <w:lang w:eastAsia="zh-CN"/>
                <w14:textFill>
                  <w14:solidFill>
                    <w14:schemeClr w14:val="tx1"/>
                  </w14:solidFill>
                </w14:textFill>
              </w:rPr>
              <w:t>要求进行，具体详见表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5.1-2。</w:t>
            </w:r>
          </w:p>
          <w:p w14:paraId="06EA5AF2">
            <w:pPr>
              <w:spacing w:before="120" w:beforeLines="50"/>
              <w:jc w:val="center"/>
              <w:rPr>
                <w:rFonts w:hint="default" w:ascii="Times New Roman" w:hAnsi="Times New Roman" w:eastAsia="宋体" w:cs="Times New Roman"/>
                <w:color w:val="000000" w:themeColor="text1"/>
                <w:spacing w:val="8"/>
                <w:sz w:val="24"/>
                <w:szCs w:val="24"/>
                <w:highlight w:val="none"/>
                <w:lang w:bidi="ar"/>
                <w14:textFill>
                  <w14:solidFill>
                    <w14:schemeClr w14:val="tx1"/>
                  </w14:solidFill>
                </w14:textFill>
              </w:rPr>
            </w:pPr>
            <w:r>
              <w:rPr>
                <w:rFonts w:hint="default" w:ascii="Times New Roman" w:hAnsi="Times New Roman" w:eastAsia="黑体" w:cs="Times New Roman"/>
                <w:color w:val="000000" w:themeColor="text1"/>
                <w:spacing w:val="8"/>
                <w:sz w:val="21"/>
                <w:szCs w:val="21"/>
                <w:highlight w:val="none"/>
                <w:lang w:bidi="ar"/>
                <w14:textFill>
                  <w14:solidFill>
                    <w14:schemeClr w14:val="tx1"/>
                  </w14:solidFill>
                </w14:textFill>
              </w:rPr>
              <w:t>表</w:t>
            </w:r>
            <w:r>
              <w:rPr>
                <w:rFonts w:hint="default" w:ascii="Times New Roman" w:hAnsi="Times New Roman" w:eastAsia="黑体" w:cs="Times New Roman"/>
                <w:color w:val="000000" w:themeColor="text1"/>
                <w:spacing w:val="8"/>
                <w:sz w:val="21"/>
                <w:szCs w:val="21"/>
                <w:highlight w:val="none"/>
                <w:lang w:val="en-US" w:eastAsia="zh-CN" w:bidi="ar"/>
                <w14:textFill>
                  <w14:solidFill>
                    <w14:schemeClr w14:val="tx1"/>
                  </w14:solidFill>
                </w14:textFill>
              </w:rPr>
              <w:t>5.1-2</w:t>
            </w:r>
            <w:r>
              <w:rPr>
                <w:rFonts w:hint="default" w:ascii="Times New Roman" w:hAnsi="Times New Roman" w:eastAsia="黑体" w:cs="Times New Roman"/>
                <w:color w:val="000000" w:themeColor="text1"/>
                <w:spacing w:val="8"/>
                <w:sz w:val="21"/>
                <w:szCs w:val="21"/>
                <w:highlight w:val="none"/>
                <w:lang w:bidi="ar"/>
                <w14:textFill>
                  <w14:solidFill>
                    <w14:schemeClr w14:val="tx1"/>
                  </w14:solidFill>
                </w14:textFill>
              </w:rPr>
              <w:t xml:space="preserve">  排污口图形符号(提示标志)一览表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77"/>
              <w:gridCol w:w="1914"/>
              <w:gridCol w:w="1915"/>
              <w:gridCol w:w="1915"/>
            </w:tblGrid>
            <w:tr w14:paraId="7A4611F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181" w:type="pct"/>
                  <w:tcBorders>
                    <w:tl2br w:val="nil"/>
                    <w:tr2bl w:val="nil"/>
                  </w:tcBorders>
                  <w:noWrap w:val="0"/>
                  <w:vAlign w:val="center"/>
                </w:tcPr>
                <w:p w14:paraId="4B08B292">
                  <w:pPr>
                    <w:pStyle w:val="90"/>
                    <w:keepNext w:val="0"/>
                    <w:keepLines w:val="0"/>
                    <w:pageBreakBefore w:val="0"/>
                    <w:widowControl w:val="0"/>
                    <w:kinsoku/>
                    <w:wordWrap/>
                    <w:overflowPunct/>
                    <w:topLinePunct w:val="0"/>
                    <w:bidi w:val="0"/>
                    <w:adjustRightInd w:val="0"/>
                    <w:snapToGrid w:val="0"/>
                    <w:spacing w:line="280" w:lineRule="exact"/>
                    <w:jc w:val="right"/>
                    <w:textAlignment w:val="auto"/>
                    <w:rPr>
                      <w:rFonts w:hint="default" w:ascii="Times New Roman" w:hAnsi="Times New Roman" w:eastAsia="宋体" w:cs="Times New Roman"/>
                      <w:color w:val="000000" w:themeColor="text1"/>
                      <w:sz w:val="18"/>
                      <w:szCs w:val="18"/>
                      <w:highlight w:val="none"/>
                      <w:lang w:val="en-GB"/>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GB"/>
                      <w14:textFill>
                        <w14:solidFill>
                          <w14:schemeClr w14:val="tx1"/>
                        </w14:solidFill>
                      </w14:textFill>
                    </w:rPr>
                    <w:t xml:space="preserve">  排放部位</w:t>
                  </w:r>
                </w:p>
                <w:p w14:paraId="311E8BC7">
                  <w:pPr>
                    <w:pStyle w:val="90"/>
                    <w:keepNext w:val="0"/>
                    <w:keepLines w:val="0"/>
                    <w:pageBreakBefore w:val="0"/>
                    <w:widowControl w:val="0"/>
                    <w:kinsoku/>
                    <w:wordWrap/>
                    <w:overflowPunct/>
                    <w:topLinePunct w:val="0"/>
                    <w:bidi w:val="0"/>
                    <w:adjustRightInd w:val="0"/>
                    <w:snapToGrid w:val="0"/>
                    <w:spacing w:line="280" w:lineRule="exact"/>
                    <w:jc w:val="both"/>
                    <w:textAlignment w:val="auto"/>
                    <w:rPr>
                      <w:rFonts w:hint="default" w:ascii="Times New Roman" w:hAnsi="Times New Roman" w:eastAsia="宋体" w:cs="Times New Roman"/>
                      <w:color w:val="000000" w:themeColor="text1"/>
                      <w:sz w:val="18"/>
                      <w:szCs w:val="18"/>
                      <w:highlight w:val="none"/>
                      <w:lang w:val="en-GB"/>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GB"/>
                      <w14:textFill>
                        <w14:solidFill>
                          <w14:schemeClr w14:val="tx1"/>
                        </w14:solidFill>
                      </w14:textFill>
                    </w:rPr>
                    <w:t>项目</w:t>
                  </w:r>
                </w:p>
              </w:tc>
              <w:tc>
                <w:tcPr>
                  <w:tcW w:w="1272" w:type="pct"/>
                  <w:tcBorders>
                    <w:tl2br w:val="nil"/>
                    <w:tr2bl w:val="nil"/>
                  </w:tcBorders>
                  <w:noWrap w:val="0"/>
                  <w:vAlign w:val="center"/>
                </w:tcPr>
                <w:p w14:paraId="3E8CEE87">
                  <w:pPr>
                    <w:pStyle w:val="90"/>
                    <w:keepNext w:val="0"/>
                    <w:keepLines w:val="0"/>
                    <w:pageBreakBefore w:val="0"/>
                    <w:widowControl w:val="0"/>
                    <w:kinsoku/>
                    <w:wordWrap/>
                    <w:overflowPunct/>
                    <w:topLinePunct w:val="0"/>
                    <w:bidi w:val="0"/>
                    <w:adjustRightInd w:val="0"/>
                    <w:snapToGrid w:val="0"/>
                    <w:spacing w:line="280" w:lineRule="exact"/>
                    <w:textAlignment w:val="auto"/>
                    <w:rPr>
                      <w:rFonts w:hint="default" w:ascii="Times New Roman" w:hAnsi="Times New Roman" w:eastAsia="宋体" w:cs="Times New Roman"/>
                      <w:color w:val="000000" w:themeColor="text1"/>
                      <w:sz w:val="18"/>
                      <w:szCs w:val="18"/>
                      <w:highlight w:val="none"/>
                      <w:lang w:val="en-GB"/>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GB"/>
                      <w14:textFill>
                        <w14:solidFill>
                          <w14:schemeClr w14:val="tx1"/>
                        </w14:solidFill>
                      </w14:textFill>
                    </w:rPr>
                    <w:t>污水排放口</w:t>
                  </w:r>
                </w:p>
              </w:tc>
              <w:tc>
                <w:tcPr>
                  <w:tcW w:w="1272" w:type="pct"/>
                  <w:tcBorders>
                    <w:tl2br w:val="nil"/>
                    <w:tr2bl w:val="nil"/>
                  </w:tcBorders>
                  <w:noWrap w:val="0"/>
                  <w:vAlign w:val="center"/>
                </w:tcPr>
                <w:p w14:paraId="7ADD0B65">
                  <w:pPr>
                    <w:pStyle w:val="90"/>
                    <w:keepNext w:val="0"/>
                    <w:keepLines w:val="0"/>
                    <w:pageBreakBefore w:val="0"/>
                    <w:widowControl w:val="0"/>
                    <w:kinsoku/>
                    <w:wordWrap/>
                    <w:overflowPunct/>
                    <w:topLinePunct w:val="0"/>
                    <w:bidi w:val="0"/>
                    <w:adjustRightInd w:val="0"/>
                    <w:snapToGrid w:val="0"/>
                    <w:spacing w:line="280" w:lineRule="exact"/>
                    <w:textAlignment w:val="auto"/>
                    <w:rPr>
                      <w:rFonts w:hint="default" w:ascii="Times New Roman" w:hAnsi="Times New Roman" w:eastAsia="宋体" w:cs="Times New Roman"/>
                      <w:color w:val="000000" w:themeColor="text1"/>
                      <w:sz w:val="18"/>
                      <w:szCs w:val="18"/>
                      <w:highlight w:val="none"/>
                      <w:lang w:val="en-GB"/>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GB"/>
                      <w14:textFill>
                        <w14:solidFill>
                          <w14:schemeClr w14:val="tx1"/>
                        </w14:solidFill>
                      </w14:textFill>
                    </w:rPr>
                    <w:t>噪声排放源</w:t>
                  </w:r>
                </w:p>
              </w:tc>
              <w:tc>
                <w:tcPr>
                  <w:tcW w:w="1272" w:type="pct"/>
                  <w:tcBorders>
                    <w:tl2br w:val="nil"/>
                    <w:tr2bl w:val="nil"/>
                  </w:tcBorders>
                  <w:noWrap w:val="0"/>
                  <w:vAlign w:val="center"/>
                </w:tcPr>
                <w:p w14:paraId="65EF7435">
                  <w:pPr>
                    <w:pStyle w:val="90"/>
                    <w:keepNext w:val="0"/>
                    <w:keepLines w:val="0"/>
                    <w:pageBreakBefore w:val="0"/>
                    <w:widowControl w:val="0"/>
                    <w:kinsoku/>
                    <w:wordWrap/>
                    <w:overflowPunct/>
                    <w:topLinePunct w:val="0"/>
                    <w:bidi w:val="0"/>
                    <w:adjustRightInd w:val="0"/>
                    <w:snapToGrid w:val="0"/>
                    <w:spacing w:line="280" w:lineRule="exact"/>
                    <w:textAlignment w:val="auto"/>
                    <w:rPr>
                      <w:rFonts w:hint="default" w:ascii="Times New Roman" w:hAnsi="Times New Roman" w:eastAsia="宋体" w:cs="Times New Roman"/>
                      <w:color w:val="000000" w:themeColor="text1"/>
                      <w:sz w:val="18"/>
                      <w:szCs w:val="18"/>
                      <w:highlight w:val="none"/>
                      <w:lang w:val="en-GB"/>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GB"/>
                      <w14:textFill>
                        <w14:solidFill>
                          <w14:schemeClr w14:val="tx1"/>
                        </w14:solidFill>
                      </w14:textFill>
                    </w:rPr>
                    <w:t>一般工业固废</w:t>
                  </w:r>
                </w:p>
              </w:tc>
            </w:tr>
            <w:tr w14:paraId="34C9EC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181" w:type="pct"/>
                  <w:tcBorders>
                    <w:tl2br w:val="nil"/>
                    <w:tr2bl w:val="nil"/>
                  </w:tcBorders>
                  <w:noWrap w:val="0"/>
                  <w:vAlign w:val="center"/>
                </w:tcPr>
                <w:p w14:paraId="5803081A">
                  <w:pPr>
                    <w:pStyle w:val="90"/>
                    <w:keepNext w:val="0"/>
                    <w:keepLines w:val="0"/>
                    <w:pageBreakBefore w:val="0"/>
                    <w:widowControl w:val="0"/>
                    <w:kinsoku/>
                    <w:wordWrap/>
                    <w:overflowPunct/>
                    <w:topLinePunct w:val="0"/>
                    <w:bidi w:val="0"/>
                    <w:adjustRightInd w:val="0"/>
                    <w:snapToGrid w:val="0"/>
                    <w:spacing w:line="280" w:lineRule="exact"/>
                    <w:textAlignment w:val="auto"/>
                    <w:rPr>
                      <w:rFonts w:hint="default" w:ascii="Times New Roman" w:hAnsi="Times New Roman" w:eastAsia="宋体" w:cs="Times New Roman"/>
                      <w:color w:val="000000" w:themeColor="text1"/>
                      <w:sz w:val="18"/>
                      <w:szCs w:val="18"/>
                      <w:highlight w:val="none"/>
                      <w:lang w:val="en-GB"/>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GB"/>
                      <w14:textFill>
                        <w14:solidFill>
                          <w14:schemeClr w14:val="tx1"/>
                        </w14:solidFill>
                      </w14:textFill>
                    </w:rPr>
                    <w:t>图形符号</w:t>
                  </w:r>
                </w:p>
              </w:tc>
              <w:tc>
                <w:tcPr>
                  <w:tcW w:w="1272" w:type="pct"/>
                  <w:tcBorders>
                    <w:tl2br w:val="nil"/>
                    <w:tr2bl w:val="nil"/>
                  </w:tcBorders>
                  <w:noWrap w:val="0"/>
                  <w:vAlign w:val="center"/>
                </w:tcPr>
                <w:p w14:paraId="3F142DE8">
                  <w:pPr>
                    <w:keepNext w:val="0"/>
                    <w:keepLines w:val="0"/>
                    <w:pageBreakBefore w:val="0"/>
                    <w:widowControl w:val="0"/>
                    <w:kinsoku/>
                    <w:wordWrap/>
                    <w:overflowPunct/>
                    <w:topLinePunct w:val="0"/>
                    <w:bidi w:val="0"/>
                    <w:adjustRightInd w:val="0"/>
                    <w:snapToGrid w:val="0"/>
                    <w:spacing w:line="280" w:lineRule="exact"/>
                    <w:ind w:firstLine="480"/>
                    <w:textAlignment w:val="auto"/>
                    <w:rPr>
                      <w:rFonts w:hint="default" w:ascii="Times New Roman" w:hAnsi="Times New Roman" w:eastAsia="宋体" w:cs="Times New Roman"/>
                      <w:color w:val="000000" w:themeColor="text1"/>
                      <w:sz w:val="18"/>
                      <w:szCs w:val="18"/>
                      <w:highlight w:val="none"/>
                      <w:lang w:val="en-GB"/>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drawing>
                      <wp:anchor distT="0" distB="0" distL="114300" distR="114300" simplePos="0" relativeHeight="251663360" behindDoc="0" locked="0" layoutInCell="1" allowOverlap="1">
                        <wp:simplePos x="0" y="0"/>
                        <wp:positionH relativeFrom="column">
                          <wp:posOffset>85090</wp:posOffset>
                        </wp:positionH>
                        <wp:positionV relativeFrom="paragraph">
                          <wp:posOffset>52705</wp:posOffset>
                        </wp:positionV>
                        <wp:extent cx="639445" cy="639445"/>
                        <wp:effectExtent l="0" t="0" r="8255" b="8255"/>
                        <wp:wrapNone/>
                        <wp:docPr id="51" name="图片 7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54" descr="1"/>
                                <pic:cNvPicPr>
                                  <a:picLocks noChangeAspect="1"/>
                                </pic:cNvPicPr>
                              </pic:nvPicPr>
                              <pic:blipFill>
                                <a:blip r:embed="rId29"/>
                                <a:stretch>
                                  <a:fillRect/>
                                </a:stretch>
                              </pic:blipFill>
                              <pic:spPr>
                                <a:xfrm>
                                  <a:off x="0" y="0"/>
                                  <a:ext cx="639445" cy="639445"/>
                                </a:xfrm>
                                <a:prstGeom prst="rect">
                                  <a:avLst/>
                                </a:prstGeom>
                                <a:noFill/>
                                <a:ln>
                                  <a:noFill/>
                                </a:ln>
                              </pic:spPr>
                            </pic:pic>
                          </a:graphicData>
                        </a:graphic>
                      </wp:anchor>
                    </w:drawing>
                  </w:r>
                </w:p>
                <w:p w14:paraId="1D49026D">
                  <w:pPr>
                    <w:keepNext w:val="0"/>
                    <w:keepLines w:val="0"/>
                    <w:pageBreakBefore w:val="0"/>
                    <w:widowControl w:val="0"/>
                    <w:kinsoku/>
                    <w:wordWrap/>
                    <w:overflowPunct/>
                    <w:topLinePunct w:val="0"/>
                    <w:bidi w:val="0"/>
                    <w:adjustRightInd w:val="0"/>
                    <w:snapToGrid w:val="0"/>
                    <w:spacing w:line="280" w:lineRule="exact"/>
                    <w:ind w:firstLine="420"/>
                    <w:textAlignment w:val="auto"/>
                    <w:rPr>
                      <w:rFonts w:hint="default" w:ascii="Times New Roman" w:hAnsi="Times New Roman" w:eastAsia="宋体" w:cs="Times New Roman"/>
                      <w:color w:val="000000" w:themeColor="text1"/>
                      <w:sz w:val="18"/>
                      <w:szCs w:val="18"/>
                      <w:highlight w:val="none"/>
                      <w:lang w:val="en-GB"/>
                      <w14:textFill>
                        <w14:solidFill>
                          <w14:schemeClr w14:val="tx1"/>
                        </w14:solidFill>
                      </w14:textFill>
                    </w:rPr>
                  </w:pPr>
                </w:p>
                <w:p w14:paraId="2030A398">
                  <w:pPr>
                    <w:keepNext w:val="0"/>
                    <w:keepLines w:val="0"/>
                    <w:pageBreakBefore w:val="0"/>
                    <w:widowControl w:val="0"/>
                    <w:kinsoku/>
                    <w:wordWrap/>
                    <w:overflowPunct/>
                    <w:topLinePunct w:val="0"/>
                    <w:bidi w:val="0"/>
                    <w:adjustRightInd w:val="0"/>
                    <w:snapToGrid w:val="0"/>
                    <w:spacing w:line="280" w:lineRule="exact"/>
                    <w:ind w:firstLine="420"/>
                    <w:textAlignment w:val="auto"/>
                    <w:rPr>
                      <w:rFonts w:hint="default" w:ascii="Times New Roman" w:hAnsi="Times New Roman" w:eastAsia="宋体" w:cs="Times New Roman"/>
                      <w:color w:val="000000" w:themeColor="text1"/>
                      <w:sz w:val="18"/>
                      <w:szCs w:val="18"/>
                      <w:highlight w:val="none"/>
                      <w:lang w:val="en-GB"/>
                      <w14:textFill>
                        <w14:solidFill>
                          <w14:schemeClr w14:val="tx1"/>
                        </w14:solidFill>
                      </w14:textFill>
                    </w:rPr>
                  </w:pPr>
                </w:p>
                <w:p w14:paraId="6CADF7CF">
                  <w:pPr>
                    <w:keepNext w:val="0"/>
                    <w:keepLines w:val="0"/>
                    <w:pageBreakBefore w:val="0"/>
                    <w:widowControl w:val="0"/>
                    <w:kinsoku/>
                    <w:wordWrap/>
                    <w:overflowPunct/>
                    <w:topLinePunct w:val="0"/>
                    <w:bidi w:val="0"/>
                    <w:adjustRightInd w:val="0"/>
                    <w:snapToGrid w:val="0"/>
                    <w:spacing w:line="280" w:lineRule="exact"/>
                    <w:ind w:firstLine="420"/>
                    <w:textAlignment w:val="auto"/>
                    <w:rPr>
                      <w:rFonts w:hint="default" w:ascii="Times New Roman" w:hAnsi="Times New Roman" w:eastAsia="宋体" w:cs="Times New Roman"/>
                      <w:color w:val="000000" w:themeColor="text1"/>
                      <w:sz w:val="18"/>
                      <w:szCs w:val="18"/>
                      <w:highlight w:val="none"/>
                      <w:lang w:val="en-GB"/>
                      <w14:textFill>
                        <w14:solidFill>
                          <w14:schemeClr w14:val="tx1"/>
                        </w14:solidFill>
                      </w14:textFill>
                    </w:rPr>
                  </w:pPr>
                </w:p>
              </w:tc>
              <w:tc>
                <w:tcPr>
                  <w:tcW w:w="1272" w:type="pct"/>
                  <w:tcBorders>
                    <w:tl2br w:val="nil"/>
                    <w:tr2bl w:val="nil"/>
                  </w:tcBorders>
                  <w:noWrap w:val="0"/>
                  <w:vAlign w:val="center"/>
                </w:tcPr>
                <w:p w14:paraId="5C10776E">
                  <w:pPr>
                    <w:keepNext w:val="0"/>
                    <w:keepLines w:val="0"/>
                    <w:pageBreakBefore w:val="0"/>
                    <w:widowControl w:val="0"/>
                    <w:kinsoku/>
                    <w:wordWrap/>
                    <w:overflowPunct/>
                    <w:topLinePunct w:val="0"/>
                    <w:bidi w:val="0"/>
                    <w:adjustRightInd w:val="0"/>
                    <w:snapToGrid w:val="0"/>
                    <w:spacing w:line="280" w:lineRule="exact"/>
                    <w:ind w:firstLine="480"/>
                    <w:textAlignment w:val="auto"/>
                    <w:rPr>
                      <w:rFonts w:hint="default" w:ascii="Times New Roman" w:hAnsi="Times New Roman" w:eastAsia="宋体" w:cs="Times New Roman"/>
                      <w:color w:val="000000" w:themeColor="text1"/>
                      <w:sz w:val="18"/>
                      <w:szCs w:val="18"/>
                      <w:highlight w:val="none"/>
                      <w:lang w:val="en-GB"/>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drawing>
                      <wp:anchor distT="0" distB="0" distL="114300" distR="114300" simplePos="0" relativeHeight="251664384" behindDoc="0" locked="0" layoutInCell="1" allowOverlap="1">
                        <wp:simplePos x="0" y="0"/>
                        <wp:positionH relativeFrom="column">
                          <wp:posOffset>97790</wp:posOffset>
                        </wp:positionH>
                        <wp:positionV relativeFrom="paragraph">
                          <wp:posOffset>59690</wp:posOffset>
                        </wp:positionV>
                        <wp:extent cx="640715" cy="640715"/>
                        <wp:effectExtent l="0" t="0" r="6985" b="6985"/>
                        <wp:wrapNone/>
                        <wp:docPr id="53" name="图片 756"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56" descr="点击看大图及详细资料"/>
                                <pic:cNvPicPr>
                                  <a:picLocks noChangeAspect="1"/>
                                </pic:cNvPicPr>
                              </pic:nvPicPr>
                              <pic:blipFill>
                                <a:blip r:embed="rId30"/>
                                <a:stretch>
                                  <a:fillRect/>
                                </a:stretch>
                              </pic:blipFill>
                              <pic:spPr>
                                <a:xfrm>
                                  <a:off x="0" y="0"/>
                                  <a:ext cx="640715" cy="640715"/>
                                </a:xfrm>
                                <a:prstGeom prst="rect">
                                  <a:avLst/>
                                </a:prstGeom>
                                <a:noFill/>
                                <a:ln>
                                  <a:noFill/>
                                </a:ln>
                              </pic:spPr>
                            </pic:pic>
                          </a:graphicData>
                        </a:graphic>
                      </wp:anchor>
                    </w:drawing>
                  </w:r>
                </w:p>
                <w:p w14:paraId="7D10CF16">
                  <w:pPr>
                    <w:keepNext w:val="0"/>
                    <w:keepLines w:val="0"/>
                    <w:pageBreakBefore w:val="0"/>
                    <w:widowControl w:val="0"/>
                    <w:kinsoku/>
                    <w:wordWrap/>
                    <w:overflowPunct/>
                    <w:topLinePunct w:val="0"/>
                    <w:bidi w:val="0"/>
                    <w:adjustRightInd w:val="0"/>
                    <w:snapToGrid w:val="0"/>
                    <w:spacing w:line="280" w:lineRule="exact"/>
                    <w:ind w:firstLine="420"/>
                    <w:textAlignment w:val="auto"/>
                    <w:rPr>
                      <w:rFonts w:hint="default" w:ascii="Times New Roman" w:hAnsi="Times New Roman" w:eastAsia="宋体" w:cs="Times New Roman"/>
                      <w:color w:val="000000" w:themeColor="text1"/>
                      <w:sz w:val="18"/>
                      <w:szCs w:val="18"/>
                      <w:highlight w:val="none"/>
                      <w:lang w:val="en-GB"/>
                      <w14:textFill>
                        <w14:solidFill>
                          <w14:schemeClr w14:val="tx1"/>
                        </w14:solidFill>
                      </w14:textFill>
                    </w:rPr>
                  </w:pPr>
                </w:p>
                <w:p w14:paraId="0DA61485">
                  <w:pPr>
                    <w:keepNext w:val="0"/>
                    <w:keepLines w:val="0"/>
                    <w:pageBreakBefore w:val="0"/>
                    <w:widowControl w:val="0"/>
                    <w:kinsoku/>
                    <w:wordWrap/>
                    <w:overflowPunct/>
                    <w:topLinePunct w:val="0"/>
                    <w:bidi w:val="0"/>
                    <w:adjustRightInd w:val="0"/>
                    <w:snapToGrid w:val="0"/>
                    <w:spacing w:line="280" w:lineRule="exact"/>
                    <w:ind w:firstLine="420"/>
                    <w:textAlignment w:val="auto"/>
                    <w:rPr>
                      <w:rFonts w:hint="default" w:ascii="Times New Roman" w:hAnsi="Times New Roman" w:eastAsia="宋体" w:cs="Times New Roman"/>
                      <w:color w:val="000000" w:themeColor="text1"/>
                      <w:sz w:val="18"/>
                      <w:szCs w:val="18"/>
                      <w:highlight w:val="none"/>
                      <w:lang w:val="en-GB"/>
                      <w14:textFill>
                        <w14:solidFill>
                          <w14:schemeClr w14:val="tx1"/>
                        </w14:solidFill>
                      </w14:textFill>
                    </w:rPr>
                  </w:pPr>
                </w:p>
              </w:tc>
              <w:tc>
                <w:tcPr>
                  <w:tcW w:w="1272" w:type="pct"/>
                  <w:tcBorders>
                    <w:tl2br w:val="nil"/>
                    <w:tr2bl w:val="nil"/>
                  </w:tcBorders>
                  <w:noWrap w:val="0"/>
                  <w:vAlign w:val="center"/>
                </w:tcPr>
                <w:p w14:paraId="3EA6DDBF">
                  <w:pPr>
                    <w:keepNext w:val="0"/>
                    <w:keepLines w:val="0"/>
                    <w:pageBreakBefore w:val="0"/>
                    <w:widowControl w:val="0"/>
                    <w:kinsoku/>
                    <w:wordWrap/>
                    <w:overflowPunct/>
                    <w:topLinePunct w:val="0"/>
                    <w:bidi w:val="0"/>
                    <w:adjustRightInd w:val="0"/>
                    <w:snapToGrid w:val="0"/>
                    <w:spacing w:line="280" w:lineRule="exact"/>
                    <w:ind w:firstLine="480"/>
                    <w:textAlignment w:val="auto"/>
                    <w:rPr>
                      <w:rFonts w:hint="default" w:ascii="Times New Roman" w:hAnsi="Times New Roman" w:eastAsia="宋体" w:cs="Times New Roman"/>
                      <w:color w:val="000000" w:themeColor="text1"/>
                      <w:sz w:val="18"/>
                      <w:szCs w:val="18"/>
                      <w:highlight w:val="none"/>
                      <w:lang w:val="en-GB"/>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drawing>
                      <wp:anchor distT="0" distB="0" distL="114300" distR="114300" simplePos="0" relativeHeight="251665408" behindDoc="0" locked="0" layoutInCell="1" allowOverlap="1">
                        <wp:simplePos x="0" y="0"/>
                        <wp:positionH relativeFrom="column">
                          <wp:posOffset>99060</wp:posOffset>
                        </wp:positionH>
                        <wp:positionV relativeFrom="paragraph">
                          <wp:posOffset>59690</wp:posOffset>
                        </wp:positionV>
                        <wp:extent cx="640715" cy="640715"/>
                        <wp:effectExtent l="0" t="0" r="6985" b="6985"/>
                        <wp:wrapNone/>
                        <wp:docPr id="54" name="图片 757" descr="一般固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57" descr="一般固废"/>
                                <pic:cNvPicPr>
                                  <a:picLocks noChangeAspect="1"/>
                                </pic:cNvPicPr>
                              </pic:nvPicPr>
                              <pic:blipFill>
                                <a:blip r:embed="rId31"/>
                                <a:stretch>
                                  <a:fillRect/>
                                </a:stretch>
                              </pic:blipFill>
                              <pic:spPr>
                                <a:xfrm>
                                  <a:off x="0" y="0"/>
                                  <a:ext cx="640715" cy="640715"/>
                                </a:xfrm>
                                <a:prstGeom prst="rect">
                                  <a:avLst/>
                                </a:prstGeom>
                                <a:noFill/>
                                <a:ln>
                                  <a:noFill/>
                                </a:ln>
                              </pic:spPr>
                            </pic:pic>
                          </a:graphicData>
                        </a:graphic>
                      </wp:anchor>
                    </w:drawing>
                  </w:r>
                </w:p>
              </w:tc>
            </w:tr>
            <w:tr w14:paraId="21A518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181" w:type="pct"/>
                  <w:tcBorders>
                    <w:tl2br w:val="nil"/>
                    <w:tr2bl w:val="nil"/>
                  </w:tcBorders>
                  <w:noWrap w:val="0"/>
                  <w:vAlign w:val="center"/>
                </w:tcPr>
                <w:p w14:paraId="273C1C80">
                  <w:pPr>
                    <w:pStyle w:val="90"/>
                    <w:keepNext w:val="0"/>
                    <w:keepLines w:val="0"/>
                    <w:pageBreakBefore w:val="0"/>
                    <w:widowControl w:val="0"/>
                    <w:kinsoku/>
                    <w:wordWrap/>
                    <w:overflowPunct/>
                    <w:topLinePunct w:val="0"/>
                    <w:bidi w:val="0"/>
                    <w:adjustRightInd w:val="0"/>
                    <w:snapToGrid w:val="0"/>
                    <w:spacing w:line="280" w:lineRule="exact"/>
                    <w:textAlignment w:val="auto"/>
                    <w:rPr>
                      <w:rFonts w:hint="default" w:ascii="Times New Roman" w:hAnsi="Times New Roman" w:eastAsia="宋体" w:cs="Times New Roman"/>
                      <w:color w:val="000000" w:themeColor="text1"/>
                      <w:sz w:val="18"/>
                      <w:szCs w:val="18"/>
                      <w:highlight w:val="none"/>
                      <w:lang w:val="en-GB"/>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GB"/>
                      <w14:textFill>
                        <w14:solidFill>
                          <w14:schemeClr w14:val="tx1"/>
                        </w14:solidFill>
                      </w14:textFill>
                    </w:rPr>
                    <w:t>形状</w:t>
                  </w:r>
                </w:p>
              </w:tc>
              <w:tc>
                <w:tcPr>
                  <w:tcW w:w="1272" w:type="pct"/>
                  <w:tcBorders>
                    <w:tl2br w:val="nil"/>
                    <w:tr2bl w:val="nil"/>
                  </w:tcBorders>
                  <w:noWrap w:val="0"/>
                  <w:vAlign w:val="center"/>
                </w:tcPr>
                <w:p w14:paraId="37EE7DFA">
                  <w:pPr>
                    <w:pStyle w:val="90"/>
                    <w:keepNext w:val="0"/>
                    <w:keepLines w:val="0"/>
                    <w:pageBreakBefore w:val="0"/>
                    <w:widowControl w:val="0"/>
                    <w:kinsoku/>
                    <w:wordWrap/>
                    <w:overflowPunct/>
                    <w:topLinePunct w:val="0"/>
                    <w:bidi w:val="0"/>
                    <w:adjustRightInd w:val="0"/>
                    <w:snapToGrid w:val="0"/>
                    <w:spacing w:line="280" w:lineRule="exact"/>
                    <w:textAlignment w:val="auto"/>
                    <w:rPr>
                      <w:rFonts w:hint="default" w:ascii="Times New Roman" w:hAnsi="Times New Roman" w:eastAsia="宋体" w:cs="Times New Roman"/>
                      <w:color w:val="000000" w:themeColor="text1"/>
                      <w:sz w:val="18"/>
                      <w:szCs w:val="18"/>
                      <w:highlight w:val="none"/>
                      <w:lang w:val="en-GB"/>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GB"/>
                      <w14:textFill>
                        <w14:solidFill>
                          <w14:schemeClr w14:val="tx1"/>
                        </w14:solidFill>
                      </w14:textFill>
                    </w:rPr>
                    <w:t>正方形边框</w:t>
                  </w:r>
                </w:p>
              </w:tc>
              <w:tc>
                <w:tcPr>
                  <w:tcW w:w="1272" w:type="pct"/>
                  <w:tcBorders>
                    <w:tl2br w:val="nil"/>
                    <w:tr2bl w:val="nil"/>
                  </w:tcBorders>
                  <w:noWrap w:val="0"/>
                  <w:vAlign w:val="center"/>
                </w:tcPr>
                <w:p w14:paraId="78E292AD">
                  <w:pPr>
                    <w:pStyle w:val="90"/>
                    <w:keepNext w:val="0"/>
                    <w:keepLines w:val="0"/>
                    <w:pageBreakBefore w:val="0"/>
                    <w:widowControl w:val="0"/>
                    <w:kinsoku/>
                    <w:wordWrap/>
                    <w:overflowPunct/>
                    <w:topLinePunct w:val="0"/>
                    <w:bidi w:val="0"/>
                    <w:adjustRightInd w:val="0"/>
                    <w:snapToGrid w:val="0"/>
                    <w:spacing w:line="280" w:lineRule="exact"/>
                    <w:textAlignment w:val="auto"/>
                    <w:rPr>
                      <w:rFonts w:hint="default" w:ascii="Times New Roman" w:hAnsi="Times New Roman" w:eastAsia="宋体" w:cs="Times New Roman"/>
                      <w:color w:val="000000" w:themeColor="text1"/>
                      <w:sz w:val="18"/>
                      <w:szCs w:val="18"/>
                      <w:highlight w:val="none"/>
                      <w:lang w:val="en-GB"/>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GB"/>
                      <w14:textFill>
                        <w14:solidFill>
                          <w14:schemeClr w14:val="tx1"/>
                        </w14:solidFill>
                      </w14:textFill>
                    </w:rPr>
                    <w:t>正方形边框</w:t>
                  </w:r>
                </w:p>
              </w:tc>
              <w:tc>
                <w:tcPr>
                  <w:tcW w:w="1272" w:type="pct"/>
                  <w:tcBorders>
                    <w:tl2br w:val="nil"/>
                    <w:tr2bl w:val="nil"/>
                  </w:tcBorders>
                  <w:noWrap w:val="0"/>
                  <w:vAlign w:val="center"/>
                </w:tcPr>
                <w:p w14:paraId="163499CD">
                  <w:pPr>
                    <w:pStyle w:val="90"/>
                    <w:keepNext w:val="0"/>
                    <w:keepLines w:val="0"/>
                    <w:pageBreakBefore w:val="0"/>
                    <w:widowControl w:val="0"/>
                    <w:kinsoku/>
                    <w:wordWrap/>
                    <w:overflowPunct/>
                    <w:topLinePunct w:val="0"/>
                    <w:bidi w:val="0"/>
                    <w:adjustRightInd w:val="0"/>
                    <w:snapToGrid w:val="0"/>
                    <w:spacing w:line="280" w:lineRule="exact"/>
                    <w:textAlignment w:val="auto"/>
                    <w:rPr>
                      <w:rFonts w:hint="default" w:ascii="Times New Roman" w:hAnsi="Times New Roman" w:eastAsia="宋体" w:cs="Times New Roman"/>
                      <w:color w:val="000000" w:themeColor="text1"/>
                      <w:sz w:val="18"/>
                      <w:szCs w:val="18"/>
                      <w:highlight w:val="none"/>
                      <w:lang w:val="en-GB"/>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GB"/>
                      <w14:textFill>
                        <w14:solidFill>
                          <w14:schemeClr w14:val="tx1"/>
                        </w14:solidFill>
                      </w14:textFill>
                    </w:rPr>
                    <w:t>三角形边框</w:t>
                  </w:r>
                </w:p>
              </w:tc>
            </w:tr>
            <w:tr w14:paraId="225C68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181" w:type="pct"/>
                  <w:tcBorders>
                    <w:tl2br w:val="nil"/>
                    <w:tr2bl w:val="nil"/>
                  </w:tcBorders>
                  <w:noWrap w:val="0"/>
                  <w:vAlign w:val="center"/>
                </w:tcPr>
                <w:p w14:paraId="21908AA4">
                  <w:pPr>
                    <w:pStyle w:val="90"/>
                    <w:keepNext w:val="0"/>
                    <w:keepLines w:val="0"/>
                    <w:pageBreakBefore w:val="0"/>
                    <w:widowControl w:val="0"/>
                    <w:kinsoku/>
                    <w:wordWrap/>
                    <w:overflowPunct/>
                    <w:topLinePunct w:val="0"/>
                    <w:bidi w:val="0"/>
                    <w:adjustRightInd w:val="0"/>
                    <w:snapToGrid w:val="0"/>
                    <w:spacing w:line="280" w:lineRule="exact"/>
                    <w:textAlignment w:val="auto"/>
                    <w:rPr>
                      <w:rFonts w:hint="default" w:ascii="Times New Roman" w:hAnsi="Times New Roman" w:eastAsia="宋体" w:cs="Times New Roman"/>
                      <w:color w:val="000000" w:themeColor="text1"/>
                      <w:sz w:val="18"/>
                      <w:szCs w:val="18"/>
                      <w:highlight w:val="none"/>
                      <w:lang w:val="en-GB"/>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GB"/>
                      <w14:textFill>
                        <w14:solidFill>
                          <w14:schemeClr w14:val="tx1"/>
                        </w14:solidFill>
                      </w14:textFill>
                    </w:rPr>
                    <w:t>背景颜色</w:t>
                  </w:r>
                </w:p>
              </w:tc>
              <w:tc>
                <w:tcPr>
                  <w:tcW w:w="1272" w:type="pct"/>
                  <w:tcBorders>
                    <w:tl2br w:val="nil"/>
                    <w:tr2bl w:val="nil"/>
                  </w:tcBorders>
                  <w:noWrap w:val="0"/>
                  <w:vAlign w:val="center"/>
                </w:tcPr>
                <w:p w14:paraId="1407E9FF">
                  <w:pPr>
                    <w:pStyle w:val="90"/>
                    <w:keepNext w:val="0"/>
                    <w:keepLines w:val="0"/>
                    <w:pageBreakBefore w:val="0"/>
                    <w:widowControl w:val="0"/>
                    <w:kinsoku/>
                    <w:wordWrap/>
                    <w:overflowPunct/>
                    <w:topLinePunct w:val="0"/>
                    <w:bidi w:val="0"/>
                    <w:adjustRightInd w:val="0"/>
                    <w:snapToGrid w:val="0"/>
                    <w:spacing w:line="280" w:lineRule="exact"/>
                    <w:textAlignment w:val="auto"/>
                    <w:rPr>
                      <w:rFonts w:hint="default" w:ascii="Times New Roman" w:hAnsi="Times New Roman" w:eastAsia="宋体" w:cs="Times New Roman"/>
                      <w:color w:val="000000" w:themeColor="text1"/>
                      <w:sz w:val="18"/>
                      <w:szCs w:val="18"/>
                      <w:highlight w:val="none"/>
                      <w:lang w:val="en-GB"/>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GB"/>
                      <w14:textFill>
                        <w14:solidFill>
                          <w14:schemeClr w14:val="tx1"/>
                        </w14:solidFill>
                      </w14:textFill>
                    </w:rPr>
                    <w:t>绿色</w:t>
                  </w:r>
                </w:p>
              </w:tc>
              <w:tc>
                <w:tcPr>
                  <w:tcW w:w="1272" w:type="pct"/>
                  <w:tcBorders>
                    <w:tl2br w:val="nil"/>
                    <w:tr2bl w:val="nil"/>
                  </w:tcBorders>
                  <w:noWrap w:val="0"/>
                  <w:vAlign w:val="center"/>
                </w:tcPr>
                <w:p w14:paraId="120302C7">
                  <w:pPr>
                    <w:pStyle w:val="90"/>
                    <w:keepNext w:val="0"/>
                    <w:keepLines w:val="0"/>
                    <w:pageBreakBefore w:val="0"/>
                    <w:widowControl w:val="0"/>
                    <w:kinsoku/>
                    <w:wordWrap/>
                    <w:overflowPunct/>
                    <w:topLinePunct w:val="0"/>
                    <w:bidi w:val="0"/>
                    <w:adjustRightInd w:val="0"/>
                    <w:snapToGrid w:val="0"/>
                    <w:spacing w:line="280" w:lineRule="exact"/>
                    <w:textAlignment w:val="auto"/>
                    <w:rPr>
                      <w:rFonts w:hint="default" w:ascii="Times New Roman" w:hAnsi="Times New Roman" w:eastAsia="宋体" w:cs="Times New Roman"/>
                      <w:color w:val="000000" w:themeColor="text1"/>
                      <w:sz w:val="18"/>
                      <w:szCs w:val="18"/>
                      <w:highlight w:val="none"/>
                      <w:lang w:val="en-GB"/>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GB"/>
                      <w14:textFill>
                        <w14:solidFill>
                          <w14:schemeClr w14:val="tx1"/>
                        </w14:solidFill>
                      </w14:textFill>
                    </w:rPr>
                    <w:t>绿色</w:t>
                  </w:r>
                </w:p>
              </w:tc>
              <w:tc>
                <w:tcPr>
                  <w:tcW w:w="1272" w:type="pct"/>
                  <w:tcBorders>
                    <w:tl2br w:val="nil"/>
                    <w:tr2bl w:val="nil"/>
                  </w:tcBorders>
                  <w:noWrap w:val="0"/>
                  <w:vAlign w:val="center"/>
                </w:tcPr>
                <w:p w14:paraId="2C1D1193">
                  <w:pPr>
                    <w:pStyle w:val="90"/>
                    <w:keepNext w:val="0"/>
                    <w:keepLines w:val="0"/>
                    <w:pageBreakBefore w:val="0"/>
                    <w:widowControl w:val="0"/>
                    <w:kinsoku/>
                    <w:wordWrap/>
                    <w:overflowPunct/>
                    <w:topLinePunct w:val="0"/>
                    <w:bidi w:val="0"/>
                    <w:adjustRightInd w:val="0"/>
                    <w:snapToGrid w:val="0"/>
                    <w:spacing w:line="280" w:lineRule="exact"/>
                    <w:textAlignment w:val="auto"/>
                    <w:rPr>
                      <w:rFonts w:hint="default" w:ascii="Times New Roman" w:hAnsi="Times New Roman" w:eastAsia="宋体" w:cs="Times New Roman"/>
                      <w:color w:val="000000" w:themeColor="text1"/>
                      <w:sz w:val="18"/>
                      <w:szCs w:val="18"/>
                      <w:highlight w:val="none"/>
                      <w:lang w:val="en-GB"/>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GB"/>
                      <w14:textFill>
                        <w14:solidFill>
                          <w14:schemeClr w14:val="tx1"/>
                        </w14:solidFill>
                      </w14:textFill>
                    </w:rPr>
                    <w:t>黄色</w:t>
                  </w:r>
                </w:p>
              </w:tc>
            </w:tr>
            <w:tr w14:paraId="08B60E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181" w:type="pct"/>
                  <w:tcBorders>
                    <w:tl2br w:val="nil"/>
                    <w:tr2bl w:val="nil"/>
                  </w:tcBorders>
                  <w:noWrap w:val="0"/>
                  <w:vAlign w:val="center"/>
                </w:tcPr>
                <w:p w14:paraId="2129E55A">
                  <w:pPr>
                    <w:pStyle w:val="90"/>
                    <w:keepNext w:val="0"/>
                    <w:keepLines w:val="0"/>
                    <w:pageBreakBefore w:val="0"/>
                    <w:widowControl w:val="0"/>
                    <w:kinsoku/>
                    <w:wordWrap/>
                    <w:overflowPunct/>
                    <w:topLinePunct w:val="0"/>
                    <w:bidi w:val="0"/>
                    <w:adjustRightInd w:val="0"/>
                    <w:snapToGrid w:val="0"/>
                    <w:spacing w:line="280" w:lineRule="exact"/>
                    <w:textAlignment w:val="auto"/>
                    <w:rPr>
                      <w:rFonts w:hint="default" w:ascii="Times New Roman" w:hAnsi="Times New Roman" w:eastAsia="宋体" w:cs="Times New Roman"/>
                      <w:color w:val="000000" w:themeColor="text1"/>
                      <w:sz w:val="18"/>
                      <w:szCs w:val="18"/>
                      <w:highlight w:val="none"/>
                      <w:lang w:val="en-GB"/>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GB"/>
                      <w14:textFill>
                        <w14:solidFill>
                          <w14:schemeClr w14:val="tx1"/>
                        </w14:solidFill>
                      </w14:textFill>
                    </w:rPr>
                    <w:t>图形颜色</w:t>
                  </w:r>
                </w:p>
              </w:tc>
              <w:tc>
                <w:tcPr>
                  <w:tcW w:w="1272" w:type="pct"/>
                  <w:tcBorders>
                    <w:tl2br w:val="nil"/>
                    <w:tr2bl w:val="nil"/>
                  </w:tcBorders>
                  <w:noWrap w:val="0"/>
                  <w:vAlign w:val="center"/>
                </w:tcPr>
                <w:p w14:paraId="55D74F53">
                  <w:pPr>
                    <w:pStyle w:val="90"/>
                    <w:keepNext w:val="0"/>
                    <w:keepLines w:val="0"/>
                    <w:pageBreakBefore w:val="0"/>
                    <w:widowControl w:val="0"/>
                    <w:kinsoku/>
                    <w:wordWrap/>
                    <w:overflowPunct/>
                    <w:topLinePunct w:val="0"/>
                    <w:bidi w:val="0"/>
                    <w:adjustRightInd w:val="0"/>
                    <w:snapToGrid w:val="0"/>
                    <w:spacing w:line="280" w:lineRule="exact"/>
                    <w:textAlignment w:val="auto"/>
                    <w:rPr>
                      <w:rFonts w:hint="default" w:ascii="Times New Roman" w:hAnsi="Times New Roman" w:eastAsia="宋体" w:cs="Times New Roman"/>
                      <w:color w:val="000000" w:themeColor="text1"/>
                      <w:sz w:val="18"/>
                      <w:szCs w:val="18"/>
                      <w:highlight w:val="none"/>
                      <w:lang w:val="en-GB"/>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GB"/>
                      <w14:textFill>
                        <w14:solidFill>
                          <w14:schemeClr w14:val="tx1"/>
                        </w14:solidFill>
                      </w14:textFill>
                    </w:rPr>
                    <w:t>白色</w:t>
                  </w:r>
                </w:p>
              </w:tc>
              <w:tc>
                <w:tcPr>
                  <w:tcW w:w="1272" w:type="pct"/>
                  <w:tcBorders>
                    <w:tl2br w:val="nil"/>
                    <w:tr2bl w:val="nil"/>
                  </w:tcBorders>
                  <w:noWrap w:val="0"/>
                  <w:vAlign w:val="center"/>
                </w:tcPr>
                <w:p w14:paraId="1B67089C">
                  <w:pPr>
                    <w:pStyle w:val="90"/>
                    <w:keepNext w:val="0"/>
                    <w:keepLines w:val="0"/>
                    <w:pageBreakBefore w:val="0"/>
                    <w:widowControl w:val="0"/>
                    <w:kinsoku/>
                    <w:wordWrap/>
                    <w:overflowPunct/>
                    <w:topLinePunct w:val="0"/>
                    <w:bidi w:val="0"/>
                    <w:adjustRightInd w:val="0"/>
                    <w:snapToGrid w:val="0"/>
                    <w:spacing w:line="280" w:lineRule="exact"/>
                    <w:textAlignment w:val="auto"/>
                    <w:rPr>
                      <w:rFonts w:hint="default" w:ascii="Times New Roman" w:hAnsi="Times New Roman" w:eastAsia="宋体" w:cs="Times New Roman"/>
                      <w:color w:val="000000" w:themeColor="text1"/>
                      <w:sz w:val="18"/>
                      <w:szCs w:val="18"/>
                      <w:highlight w:val="none"/>
                      <w:lang w:val="en-GB"/>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GB"/>
                      <w14:textFill>
                        <w14:solidFill>
                          <w14:schemeClr w14:val="tx1"/>
                        </w14:solidFill>
                      </w14:textFill>
                    </w:rPr>
                    <w:t>白色</w:t>
                  </w:r>
                </w:p>
              </w:tc>
              <w:tc>
                <w:tcPr>
                  <w:tcW w:w="1272" w:type="pct"/>
                  <w:tcBorders>
                    <w:tl2br w:val="nil"/>
                    <w:tr2bl w:val="nil"/>
                  </w:tcBorders>
                  <w:noWrap w:val="0"/>
                  <w:vAlign w:val="center"/>
                </w:tcPr>
                <w:p w14:paraId="1801F4C5">
                  <w:pPr>
                    <w:pStyle w:val="90"/>
                    <w:keepNext w:val="0"/>
                    <w:keepLines w:val="0"/>
                    <w:pageBreakBefore w:val="0"/>
                    <w:widowControl w:val="0"/>
                    <w:kinsoku/>
                    <w:wordWrap/>
                    <w:overflowPunct/>
                    <w:topLinePunct w:val="0"/>
                    <w:bidi w:val="0"/>
                    <w:adjustRightInd w:val="0"/>
                    <w:snapToGrid w:val="0"/>
                    <w:spacing w:line="280" w:lineRule="exact"/>
                    <w:textAlignment w:val="auto"/>
                    <w:rPr>
                      <w:rFonts w:hint="default" w:ascii="Times New Roman" w:hAnsi="Times New Roman" w:eastAsia="宋体" w:cs="Times New Roman"/>
                      <w:color w:val="000000" w:themeColor="text1"/>
                      <w:sz w:val="18"/>
                      <w:szCs w:val="18"/>
                      <w:highlight w:val="none"/>
                      <w:lang w:val="en-GB"/>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GB"/>
                      <w14:textFill>
                        <w14:solidFill>
                          <w14:schemeClr w14:val="tx1"/>
                        </w14:solidFill>
                      </w14:textFill>
                    </w:rPr>
                    <w:t>黑色</w:t>
                  </w:r>
                </w:p>
              </w:tc>
            </w:tr>
          </w:tbl>
          <w:p w14:paraId="1F61C61B">
            <w:pPr>
              <w:keepNext w:val="0"/>
              <w:keepLines w:val="0"/>
              <w:pageBreakBefore w:val="0"/>
              <w:widowControl w:val="0"/>
              <w:kinsoku/>
              <w:wordWrap/>
              <w:overflowPunct/>
              <w:topLinePunct w:val="0"/>
              <w:bidi w:val="0"/>
              <w:adjustRightInd w:val="0"/>
              <w:snapToGrid w:val="0"/>
              <w:spacing w:line="340" w:lineRule="exact"/>
              <w:jc w:val="left"/>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p>
          <w:p w14:paraId="31ADC171">
            <w:pPr>
              <w:keepNext w:val="0"/>
              <w:keepLines w:val="0"/>
              <w:pageBreakBefore w:val="0"/>
              <w:widowControl w:val="0"/>
              <w:kinsoku/>
              <w:wordWrap/>
              <w:overflowPunct/>
              <w:topLinePunct w:val="0"/>
              <w:bidi w:val="0"/>
              <w:adjustRightInd w:val="0"/>
              <w:snapToGrid w:val="0"/>
              <w:spacing w:line="340" w:lineRule="exact"/>
              <w:jc w:val="left"/>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p>
          <w:p w14:paraId="78F705EF">
            <w:pPr>
              <w:keepNext w:val="0"/>
              <w:keepLines w:val="0"/>
              <w:pageBreakBefore w:val="0"/>
              <w:widowControl w:val="0"/>
              <w:kinsoku/>
              <w:wordWrap/>
              <w:overflowPunct/>
              <w:topLinePunct w:val="0"/>
              <w:bidi w:val="0"/>
              <w:adjustRightInd w:val="0"/>
              <w:snapToGrid w:val="0"/>
              <w:spacing w:line="340" w:lineRule="exact"/>
              <w:jc w:val="left"/>
              <w:textAlignment w:val="auto"/>
              <w:rPr>
                <w:rFonts w:hint="default" w:ascii="Times New Roman" w:hAnsi="Times New Roman" w:eastAsia="宋体" w:cs="Times New Roman"/>
                <w:color w:val="000000" w:themeColor="text1"/>
                <w:spacing w:val="0"/>
                <w:szCs w:val="21"/>
                <w:lang w:val="en-US" w:eastAsia="zh-CN"/>
                <w14:textFill>
                  <w14:solidFill>
                    <w14:schemeClr w14:val="tx1"/>
                  </w14:solidFill>
                </w14:textFill>
              </w:rPr>
            </w:pPr>
          </w:p>
        </w:tc>
      </w:tr>
    </w:tbl>
    <w:p w14:paraId="12F70540">
      <w:pPr>
        <w:pStyle w:val="23"/>
        <w:jc w:val="center"/>
        <w:outlineLvl w:val="9"/>
        <w:rPr>
          <w:rFonts w:hint="default" w:ascii="Times New Roman" w:hAnsi="Times New Roman" w:eastAsia="黑体" w:cs="Times New Roman"/>
          <w:snapToGrid w:val="0"/>
          <w:color w:val="000000" w:themeColor="text1"/>
          <w:sz w:val="30"/>
          <w:szCs w:val="30"/>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103D611B">
      <w:pPr>
        <w:pStyle w:val="23"/>
        <w:keepNext w:val="0"/>
        <w:keepLines w:val="0"/>
        <w:pageBreakBefore w:val="0"/>
        <w:widowControl/>
        <w:kinsoku/>
        <w:wordWrap/>
        <w:overflowPunct/>
        <w:topLinePunct w:val="0"/>
        <w:autoSpaceDE/>
        <w:autoSpaceDN/>
        <w:bidi w:val="0"/>
        <w:adjustRightInd/>
        <w:snapToGrid/>
        <w:jc w:val="center"/>
        <w:textAlignment w:val="auto"/>
        <w:outlineLvl w:val="0"/>
        <w:rPr>
          <w:rFonts w:hint="default" w:ascii="Times New Roman" w:hAnsi="Times New Roman" w:eastAsia="黑体" w:cs="Times New Roman"/>
          <w:snapToGrid w:val="0"/>
          <w:color w:val="000000" w:themeColor="text1"/>
          <w:sz w:val="30"/>
          <w:szCs w:val="30"/>
          <w:lang w:eastAsia="zh-CN"/>
          <w14:textFill>
            <w14:solidFill>
              <w14:schemeClr w14:val="tx1"/>
            </w14:solidFill>
          </w14:textFill>
        </w:rPr>
      </w:pPr>
      <w:bookmarkStart w:id="24" w:name="_Toc29758"/>
      <w:r>
        <w:rPr>
          <w:rFonts w:hint="default" w:ascii="Times New Roman" w:hAnsi="Times New Roman" w:eastAsia="黑体" w:cs="Times New Roman"/>
          <w:snapToGrid w:val="0"/>
          <w:color w:val="000000" w:themeColor="text1"/>
          <w:sz w:val="30"/>
          <w:szCs w:val="30"/>
          <w14:textFill>
            <w14:solidFill>
              <w14:schemeClr w14:val="tx1"/>
            </w14:solidFill>
          </w14:textFill>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5610860" cy="7931785"/>
            <wp:effectExtent l="0" t="0" r="8890" b="12065"/>
            <wp:wrapNone/>
            <wp:docPr id="36" name="图片 36"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Scan"/>
                    <pic:cNvPicPr>
                      <a:picLocks noChangeAspect="1"/>
                    </pic:cNvPicPr>
                  </pic:nvPicPr>
                  <pic:blipFill>
                    <a:blip r:embed="rId32"/>
                    <a:stretch>
                      <a:fillRect/>
                    </a:stretch>
                  </pic:blipFill>
                  <pic:spPr>
                    <a:xfrm>
                      <a:off x="0" y="0"/>
                      <a:ext cx="5610860" cy="7931785"/>
                    </a:xfrm>
                    <a:prstGeom prst="rect">
                      <a:avLst/>
                    </a:prstGeom>
                  </pic:spPr>
                </pic:pic>
              </a:graphicData>
            </a:graphic>
          </wp:anchor>
        </w:drawing>
      </w:r>
      <w:r>
        <w:rPr>
          <w:rFonts w:hint="default" w:ascii="Times New Roman" w:hAnsi="Times New Roman" w:eastAsia="黑体" w:cs="Times New Roman"/>
          <w:snapToGrid w:val="0"/>
          <w:color w:val="000000" w:themeColor="text1"/>
          <w:sz w:val="30"/>
          <w:szCs w:val="30"/>
          <w14:textFill>
            <w14:solidFill>
              <w14:schemeClr w14:val="tx1"/>
            </w14:solidFill>
          </w14:textFill>
        </w:rPr>
        <w:t>六、结论</w:t>
      </w:r>
      <w:bookmarkEnd w:id="24"/>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7A67D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14:paraId="5B7FAE69">
            <w:pPr>
              <w:pStyle w:val="3"/>
              <w:numPr>
                <w:ilvl w:val="1"/>
                <w:numId w:val="0"/>
              </w:numPr>
              <w:bidi w:val="0"/>
              <w:ind w:leftChars="0"/>
              <w:rPr>
                <w:rFonts w:hint="default" w:ascii="Times New Roman" w:hAnsi="Times New Roman" w:cs="Times New Roman"/>
                <w:color w:val="000000" w:themeColor="text1"/>
                <w14:textFill>
                  <w14:solidFill>
                    <w14:schemeClr w14:val="tx1"/>
                  </w14:solidFill>
                </w14:textFill>
              </w:rPr>
            </w:pPr>
            <w:bookmarkStart w:id="25" w:name="_Toc27815"/>
            <w:r>
              <w:rPr>
                <w:rFonts w:hint="default" w:ascii="Times New Roman" w:hAnsi="Times New Roman" w:cs="Times New Roman"/>
                <w:color w:val="000000" w:themeColor="text1"/>
                <w14:textFill>
                  <w14:solidFill>
                    <w14:schemeClr w14:val="tx1"/>
                  </w14:solidFill>
                </w14:textFill>
              </w:rPr>
              <w:t>6.1 总结论</w:t>
            </w:r>
            <w:bookmarkEnd w:id="25"/>
          </w:p>
          <w:p w14:paraId="090BB98B">
            <w:pPr>
              <w:pStyle w:val="125"/>
              <w:bidi w:val="0"/>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福州市福清亿树资源再生有限公司年回收加工输液瓶（袋）10400吨、年回收加工破碎生活塑料4000吨项目</w:t>
            </w:r>
            <w:r>
              <w:rPr>
                <w:rFonts w:hint="default" w:ascii="Times New Roman" w:hAnsi="Times New Roman" w:cs="Times New Roman"/>
                <w:color w:val="000000" w:themeColor="text1"/>
                <w14:textFill>
                  <w14:solidFill>
                    <w14:schemeClr w14:val="tx1"/>
                  </w14:solidFill>
                </w14:textFill>
              </w:rPr>
              <w:t>位于</w:t>
            </w:r>
            <w:r>
              <w:rPr>
                <w:rFonts w:hint="eastAsia" w:ascii="Times New Roman" w:hAnsi="Times New Roman" w:cs="Times New Roman"/>
                <w:color w:val="000000" w:themeColor="text1"/>
                <w:lang w:eastAsia="zh-CN"/>
                <w14:textFill>
                  <w14:solidFill>
                    <w14:schemeClr w14:val="tx1"/>
                  </w14:solidFill>
                </w14:textFill>
              </w:rPr>
              <w:t>福建省福州市福清市江镜镇闽台（福州）蓝色经济产业园（租赁福州锦佳商贸有限公司B37栋厂房（二期））</w:t>
            </w:r>
            <w:r>
              <w:rPr>
                <w:rFonts w:hint="default" w:ascii="Times New Roman" w:hAnsi="Times New Roman" w:cs="Times New Roman"/>
                <w:color w:val="000000" w:themeColor="text1"/>
                <w14:textFill>
                  <w14:solidFill>
                    <w14:schemeClr w14:val="tx1"/>
                  </w14:solidFill>
                </w14:textFill>
              </w:rPr>
              <w:t>，项目建成后</w:t>
            </w:r>
            <w:r>
              <w:rPr>
                <w:rFonts w:hint="eastAsia" w:ascii="Times New Roman" w:hAnsi="Times New Roman" w:cs="Times New Roman"/>
                <w:color w:val="000000" w:themeColor="text1"/>
                <w:lang w:eastAsia="zh-CN"/>
                <w14:textFill>
                  <w14:solidFill>
                    <w14:schemeClr w14:val="tx1"/>
                  </w14:solidFill>
                </w14:textFill>
              </w:rPr>
              <w:t>年回收加工输液瓶（袋）10400吨、年回收加工破碎生活塑料4000吨</w:t>
            </w:r>
            <w:r>
              <w:rPr>
                <w:rFonts w:hint="default" w:ascii="Times New Roman" w:hAnsi="Times New Roman" w:cs="Times New Roman"/>
                <w:color w:val="000000" w:themeColor="text1"/>
                <w14:textFill>
                  <w14:solidFill>
                    <w14:schemeClr w14:val="tx1"/>
                  </w14:solidFill>
                </w14:textFill>
              </w:rPr>
              <w:t>，建设符合国家相关产业政策，符合</w:t>
            </w:r>
            <w:r>
              <w:rPr>
                <w:rFonts w:hint="default" w:ascii="Times New Roman" w:hAnsi="Times New Roman" w:cs="Times New Roman"/>
                <w:color w:val="000000" w:themeColor="text1"/>
                <w:lang w:val="en-US" w:eastAsia="zh-CN"/>
                <w14:textFill>
                  <w14:solidFill>
                    <w14:schemeClr w14:val="tx1"/>
                  </w14:solidFill>
                </w14:textFill>
              </w:rPr>
              <w:t>《闽台(福州)蓝色经济产业园总体规划修编(2017-2035)》</w:t>
            </w:r>
            <w:r>
              <w:rPr>
                <w:rFonts w:hint="default" w:ascii="Times New Roman" w:hAnsi="Times New Roman" w:cs="Times New Roman"/>
                <w:color w:val="000000" w:themeColor="text1"/>
                <w14:textFill>
                  <w14:solidFill>
                    <w14:schemeClr w14:val="tx1"/>
                  </w14:solidFill>
                </w14:textFill>
              </w:rPr>
              <w:t>、《闽台（福州）蓝色经济产业园总体规划修编（2017</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2035年）环境影响报告书》中的产业准入要求，其选址合理，总平面布置基本合理，并符合生态环境分区管控要求。通过对本项目的环境影响分析评价，项目运营过程中废水、废气、噪声、固废等污染物，对周围大气环境、水环境、声环境等造成一定不利影响，经采取综合性、积极有效的防治措施并确保污染物达标排放后，可避免或减少这些不利影响，影响均在环境可接受的范围内。</w:t>
            </w:r>
          </w:p>
          <w:p w14:paraId="4850837C">
            <w:pPr>
              <w:pStyle w:val="12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综上所述，在认真执行建设项目环境保护“三同时”制度，切实落实各项规划方案的要求，完成本次环境影响评价提出的各项污染防治措施，严格落实各项生态环境保护和污染防治措施和环境管理机构的要求的前提下，确保各污染物达标排放，对周围的环境影响较小。明确在各项生态环境保护和污染防治措施后，从环境保护角度分析，项目建设是可行的。</w:t>
            </w:r>
          </w:p>
          <w:p w14:paraId="4D24364C">
            <w:pPr>
              <w:pStyle w:val="125"/>
              <w:bidi w:val="0"/>
              <w:rPr>
                <w:rFonts w:hint="default" w:ascii="Times New Roman" w:hAnsi="Times New Roman" w:cs="Times New Roman"/>
                <w:color w:val="000000" w:themeColor="text1"/>
                <w14:textFill>
                  <w14:solidFill>
                    <w14:schemeClr w14:val="tx1"/>
                  </w14:solidFill>
                </w14:textFill>
              </w:rPr>
            </w:pPr>
          </w:p>
          <w:p w14:paraId="5F74AEAB">
            <w:pPr>
              <w:pStyle w:val="125"/>
              <w:bidi w:val="0"/>
              <w:rPr>
                <w:rFonts w:hint="default" w:ascii="Times New Roman" w:hAnsi="Times New Roman" w:cs="Times New Roman"/>
                <w:color w:val="000000" w:themeColor="text1"/>
                <w14:textFill>
                  <w14:solidFill>
                    <w14:schemeClr w14:val="tx1"/>
                  </w14:solidFill>
                </w14:textFill>
              </w:rPr>
            </w:pPr>
          </w:p>
          <w:p w14:paraId="1C69B795">
            <w:pPr>
              <w:pStyle w:val="125"/>
              <w:bidi w:val="0"/>
              <w:rPr>
                <w:rFonts w:hint="default" w:ascii="Times New Roman" w:hAnsi="Times New Roman" w:cs="Times New Roman"/>
                <w:color w:val="000000" w:themeColor="text1"/>
                <w14:textFill>
                  <w14:solidFill>
                    <w14:schemeClr w14:val="tx1"/>
                  </w14:solidFill>
                </w14:textFill>
              </w:rPr>
            </w:pPr>
          </w:p>
          <w:p w14:paraId="39FC2C99">
            <w:pPr>
              <w:keepNext w:val="0"/>
              <w:keepLines w:val="0"/>
              <w:pageBreakBefore w:val="0"/>
              <w:widowControl w:val="0"/>
              <w:kinsoku/>
              <w:wordWrap/>
              <w:overflowPunct/>
              <w:topLinePunct w:val="0"/>
              <w:autoSpaceDE/>
              <w:autoSpaceDN/>
              <w:bidi w:val="0"/>
              <w:adjustRightInd/>
              <w:snapToGrid/>
              <w:spacing w:line="360" w:lineRule="auto"/>
              <w:ind w:right="840" w:rightChars="400"/>
              <w:jc w:val="right"/>
              <w:textAlignment w:val="auto"/>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编制单位：福建中森亚环保科技有限公司</w:t>
            </w:r>
          </w:p>
          <w:p w14:paraId="50F119E6">
            <w:pPr>
              <w:keepNext w:val="0"/>
              <w:keepLines w:val="0"/>
              <w:pageBreakBefore w:val="0"/>
              <w:widowControl w:val="0"/>
              <w:kinsoku/>
              <w:wordWrap/>
              <w:overflowPunct/>
              <w:topLinePunct w:val="0"/>
              <w:autoSpaceDE/>
              <w:autoSpaceDN/>
              <w:bidi w:val="0"/>
              <w:adjustRightInd/>
              <w:snapToGrid/>
              <w:spacing w:line="360" w:lineRule="auto"/>
              <w:ind w:right="840" w:rightChars="400"/>
              <w:jc w:val="right"/>
              <w:textAlignment w:val="auto"/>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编制时间：202</w:t>
            </w:r>
            <w:r>
              <w:rPr>
                <w:rFonts w:hint="default" w:ascii="Times New Roman" w:hAnsi="Times New Roman" w:cs="Times New Roman"/>
                <w:b/>
                <w:bCs/>
                <w:color w:val="000000" w:themeColor="text1"/>
                <w:sz w:val="24"/>
                <w:szCs w:val="24"/>
                <w:lang w:val="en-US" w:eastAsia="zh-CN"/>
                <w14:textFill>
                  <w14:solidFill>
                    <w14:schemeClr w14:val="tx1"/>
                  </w14:solidFill>
                </w14:textFill>
              </w:rPr>
              <w:t>5</w:t>
            </w:r>
            <w:r>
              <w:rPr>
                <w:rFonts w:hint="default" w:ascii="Times New Roman" w:hAnsi="Times New Roman" w:cs="Times New Roman"/>
                <w:b/>
                <w:bCs/>
                <w:color w:val="000000" w:themeColor="text1"/>
                <w:sz w:val="24"/>
                <w:szCs w:val="24"/>
                <w14:textFill>
                  <w14:solidFill>
                    <w14:schemeClr w14:val="tx1"/>
                  </w14:solidFill>
                </w14:textFill>
              </w:rPr>
              <w:t>年</w:t>
            </w:r>
            <w:r>
              <w:rPr>
                <w:rFonts w:hint="default" w:ascii="Times New Roman" w:hAnsi="Times New Roman" w:cs="Times New Roman"/>
                <w:b/>
                <w:bCs/>
                <w:color w:val="000000" w:themeColor="text1"/>
                <w:sz w:val="24"/>
                <w:szCs w:val="24"/>
                <w:lang w:val="en-US" w:eastAsia="zh-CN"/>
                <w14:textFill>
                  <w14:solidFill>
                    <w14:schemeClr w14:val="tx1"/>
                  </w14:solidFill>
                </w14:textFill>
              </w:rPr>
              <w:t>11</w:t>
            </w:r>
            <w:r>
              <w:rPr>
                <w:rFonts w:hint="default" w:ascii="Times New Roman" w:hAnsi="Times New Roman" w:cs="Times New Roman"/>
                <w:b/>
                <w:bCs/>
                <w:color w:val="000000" w:themeColor="text1"/>
                <w:sz w:val="24"/>
                <w:szCs w:val="24"/>
                <w14:textFill>
                  <w14:solidFill>
                    <w14:schemeClr w14:val="tx1"/>
                  </w14:solidFill>
                </w14:textFill>
              </w:rPr>
              <w:t>月</w:t>
            </w:r>
          </w:p>
          <w:p w14:paraId="7F35E376">
            <w:pPr>
              <w:spacing w:line="360" w:lineRule="auto"/>
              <w:rPr>
                <w:rFonts w:hint="default" w:ascii="Times New Roman" w:hAnsi="Times New Roman" w:cs="Times New Roman"/>
                <w:color w:val="000000" w:themeColor="text1"/>
                <w:sz w:val="24"/>
                <w14:textFill>
                  <w14:solidFill>
                    <w14:schemeClr w14:val="tx1"/>
                  </w14:solidFill>
                </w14:textFill>
              </w:rPr>
            </w:pPr>
          </w:p>
          <w:p w14:paraId="5DD2CC02">
            <w:pPr>
              <w:pStyle w:val="10"/>
              <w:rPr>
                <w:rFonts w:hint="default" w:ascii="Times New Roman" w:hAnsi="Times New Roman" w:cs="Times New Roman"/>
                <w:color w:val="000000" w:themeColor="text1"/>
                <w:sz w:val="24"/>
                <w14:textFill>
                  <w14:solidFill>
                    <w14:schemeClr w14:val="tx1"/>
                  </w14:solidFill>
                </w14:textFill>
              </w:rPr>
            </w:pPr>
          </w:p>
          <w:p w14:paraId="5CC62C1C">
            <w:pPr>
              <w:rPr>
                <w:rFonts w:hint="default" w:ascii="Times New Roman" w:hAnsi="Times New Roman" w:cs="Times New Roman"/>
                <w:color w:val="000000" w:themeColor="text1"/>
                <w:sz w:val="24"/>
                <w14:textFill>
                  <w14:solidFill>
                    <w14:schemeClr w14:val="tx1"/>
                  </w14:solidFill>
                </w14:textFill>
              </w:rPr>
            </w:pPr>
          </w:p>
          <w:p w14:paraId="211D71C4">
            <w:pPr>
              <w:pStyle w:val="10"/>
              <w:rPr>
                <w:rFonts w:hint="default" w:ascii="Times New Roman" w:hAnsi="Times New Roman" w:cs="Times New Roman"/>
                <w:color w:val="000000" w:themeColor="text1"/>
                <w:sz w:val="24"/>
                <w14:textFill>
                  <w14:solidFill>
                    <w14:schemeClr w14:val="tx1"/>
                  </w14:solidFill>
                </w14:textFill>
              </w:rPr>
            </w:pPr>
          </w:p>
          <w:p w14:paraId="6D6F676E">
            <w:pPr>
              <w:pStyle w:val="13"/>
              <w:rPr>
                <w:rFonts w:hint="default" w:ascii="Times New Roman" w:hAnsi="Times New Roman" w:cs="Times New Roman"/>
                <w:color w:val="000000" w:themeColor="text1"/>
                <w:sz w:val="24"/>
                <w14:textFill>
                  <w14:solidFill>
                    <w14:schemeClr w14:val="tx1"/>
                  </w14:solidFill>
                </w14:textFill>
              </w:rPr>
            </w:pPr>
          </w:p>
          <w:p w14:paraId="230DACA5">
            <w:pPr>
              <w:rPr>
                <w:rFonts w:hint="default" w:ascii="Times New Roman" w:hAnsi="Times New Roman" w:cs="Times New Roman"/>
                <w:color w:val="000000" w:themeColor="text1"/>
                <w14:textFill>
                  <w14:solidFill>
                    <w14:schemeClr w14:val="tx1"/>
                  </w14:solidFill>
                </w14:textFill>
              </w:rPr>
            </w:pPr>
          </w:p>
        </w:tc>
      </w:tr>
    </w:tbl>
    <w:p w14:paraId="272ED379">
      <w:pPr>
        <w:rPr>
          <w:rFonts w:hint="default" w:ascii="Times New Roman" w:hAnsi="Times New Roman" w:eastAsia="宋体" w:cs="Times New Roman"/>
          <w:color w:val="000000" w:themeColor="text1"/>
          <w14:textFill>
            <w14:solidFill>
              <w14:schemeClr w14:val="tx1"/>
            </w14:solidFill>
          </w14:textFill>
        </w:rPr>
        <w:sectPr>
          <w:footerReference r:id="rId11"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453E7550">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textAlignment w:val="auto"/>
        <w:outlineLvl w:val="1"/>
        <w:rPr>
          <w:rFonts w:hint="default" w:ascii="Times New Roman" w:hAnsi="Times New Roman" w:eastAsia="宋体" w:cs="Times New Roman"/>
          <w:snapToGrid w:val="0"/>
          <w:color w:val="000000" w:themeColor="text1"/>
          <w:sz w:val="32"/>
          <w:szCs w:val="32"/>
          <w14:textFill>
            <w14:solidFill>
              <w14:schemeClr w14:val="tx1"/>
            </w14:solidFill>
          </w14:textFill>
        </w:rPr>
      </w:pPr>
      <w:r>
        <w:rPr>
          <w:rFonts w:hint="default" w:ascii="Times New Roman" w:hAnsi="Times New Roman" w:eastAsia="黑体" w:cs="Times New Roman"/>
          <w:b w:val="0"/>
          <w:bCs w:val="0"/>
          <w:snapToGrid w:val="0"/>
          <w:color w:val="000000" w:themeColor="text1"/>
          <w:sz w:val="32"/>
          <w:szCs w:val="32"/>
          <w14:textFill>
            <w14:solidFill>
              <w14:schemeClr w14:val="tx1"/>
            </w14:solidFill>
          </w14:textFill>
        </w:rPr>
        <w:t>附表</w:t>
      </w:r>
    </w:p>
    <w:p w14:paraId="042B50C3">
      <w:pPr>
        <w:pStyle w:val="23"/>
        <w:keepNext w:val="0"/>
        <w:keepLines w:val="0"/>
        <w:pageBreakBefore w:val="0"/>
        <w:widowControl/>
        <w:kinsoku/>
        <w:wordWrap/>
        <w:overflowPunct/>
        <w:topLinePunct w:val="0"/>
        <w:autoSpaceDE/>
        <w:autoSpaceDN/>
        <w:bidi w:val="0"/>
        <w:adjustRightInd w:val="0"/>
        <w:snapToGrid w:val="0"/>
        <w:spacing w:before="157" w:beforeLines="50" w:beforeAutospacing="0" w:after="0" w:afterAutospacing="0" w:line="240" w:lineRule="auto"/>
        <w:jc w:val="center"/>
        <w:textAlignment w:val="auto"/>
        <w:outlineLvl w:val="9"/>
        <w:rPr>
          <w:rFonts w:hint="default" w:ascii="Times New Roman" w:hAnsi="Times New Roman" w:eastAsia="黑体" w:cs="Times New Roman"/>
          <w:snapToGrid w:val="0"/>
          <w:color w:val="auto"/>
          <w:sz w:val="32"/>
          <w:szCs w:val="32"/>
          <w:highlight w:val="none"/>
          <w:lang w:val="en-US" w:eastAsia="zh-CN"/>
        </w:rPr>
      </w:pPr>
      <w:bookmarkStart w:id="26" w:name="_Toc9891"/>
      <w:r>
        <w:rPr>
          <w:rFonts w:hint="default" w:ascii="Times New Roman" w:hAnsi="Times New Roman" w:eastAsia="黑体" w:cs="Times New Roman"/>
          <w:snapToGrid w:val="0"/>
          <w:color w:val="auto"/>
          <w:sz w:val="32"/>
          <w:szCs w:val="32"/>
          <w:highlight w:val="none"/>
        </w:rPr>
        <w:t>建设项目污染物排放量汇总表</w:t>
      </w:r>
      <w:r>
        <w:rPr>
          <w:rFonts w:hint="default" w:ascii="Times New Roman" w:hAnsi="Times New Roman" w:eastAsia="黑体" w:cs="Times New Roman"/>
          <w:snapToGrid w:val="0"/>
          <w:color w:val="auto"/>
          <w:sz w:val="32"/>
          <w:szCs w:val="32"/>
          <w:highlight w:val="none"/>
          <w:lang w:val="en-US" w:eastAsia="zh-CN"/>
        </w:rPr>
        <w:t xml:space="preserve">  单位：t/a</w:t>
      </w:r>
      <w:bookmarkEnd w:id="26"/>
    </w:p>
    <w:tbl>
      <w:tblPr>
        <w:tblStyle w:val="28"/>
        <w:tblW w:w="499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02"/>
        <w:gridCol w:w="1497"/>
        <w:gridCol w:w="1652"/>
        <w:gridCol w:w="1226"/>
        <w:gridCol w:w="1652"/>
        <w:gridCol w:w="1522"/>
        <w:gridCol w:w="1704"/>
        <w:gridCol w:w="1918"/>
        <w:gridCol w:w="1251"/>
      </w:tblGrid>
      <w:tr w14:paraId="178BC9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507" w:type="pct"/>
            <w:tcBorders>
              <w:tl2br w:val="single" w:color="auto" w:sz="4" w:space="0"/>
            </w:tcBorders>
            <w:noWrap w:val="0"/>
            <w:tcMar>
              <w:left w:w="28" w:type="dxa"/>
              <w:right w:w="28" w:type="dxa"/>
            </w:tcMar>
            <w:vAlign w:val="center"/>
          </w:tcPr>
          <w:p w14:paraId="529CF433">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GB"/>
              </w:rPr>
              <w:t>项目</w:t>
            </w:r>
          </w:p>
          <w:p w14:paraId="604A282C">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jc w:val="both"/>
              <w:textAlignment w:val="auto"/>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lang w:val="en-GB"/>
              </w:rPr>
              <w:t>分类</w:t>
            </w:r>
          </w:p>
        </w:tc>
        <w:tc>
          <w:tcPr>
            <w:tcW w:w="541" w:type="pct"/>
            <w:noWrap w:val="0"/>
            <w:tcMar>
              <w:left w:w="28" w:type="dxa"/>
              <w:right w:w="28" w:type="dxa"/>
            </w:tcMar>
            <w:vAlign w:val="center"/>
          </w:tcPr>
          <w:p w14:paraId="42C546E6">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lang w:val="en-GB"/>
              </w:rPr>
              <w:t>污染物名称</w:t>
            </w:r>
          </w:p>
        </w:tc>
        <w:tc>
          <w:tcPr>
            <w:tcW w:w="597" w:type="pct"/>
            <w:noWrap w:val="0"/>
            <w:tcMar>
              <w:left w:w="28" w:type="dxa"/>
              <w:right w:w="28" w:type="dxa"/>
            </w:tcMar>
            <w:vAlign w:val="center"/>
          </w:tcPr>
          <w:p w14:paraId="6CED2209">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lang w:val="en-GB"/>
              </w:rPr>
              <w:t>现有工程</w:t>
            </w:r>
          </w:p>
          <w:p w14:paraId="29A5D8C5">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lang w:val="en-GB"/>
              </w:rPr>
              <w:t>排放量（固体废物产生量）</w:t>
            </w:r>
            <w:r>
              <w:rPr>
                <w:rFonts w:hint="default" w:ascii="Times New Roman" w:hAnsi="Times New Roman" w:eastAsia="宋体" w:cs="Times New Roman"/>
                <w:color w:val="auto"/>
                <w:sz w:val="24"/>
                <w:szCs w:val="24"/>
                <w:highlight w:val="none"/>
                <w:lang w:val="en-GB"/>
              </w:rPr>
              <w:fldChar w:fldCharType="begin"/>
            </w:r>
            <w:r>
              <w:rPr>
                <w:rFonts w:hint="default" w:ascii="Times New Roman" w:hAnsi="Times New Roman" w:eastAsia="宋体" w:cs="Times New Roman"/>
                <w:color w:val="auto"/>
                <w:sz w:val="24"/>
                <w:szCs w:val="24"/>
                <w:highlight w:val="none"/>
                <w:lang w:val="en-GB"/>
              </w:rPr>
              <w:instrText xml:space="preserve"> = 1 \* GB3 \* MERGEFORMAT </w:instrText>
            </w:r>
            <w:r>
              <w:rPr>
                <w:rFonts w:hint="default" w:ascii="Times New Roman" w:hAnsi="Times New Roman" w:eastAsia="宋体" w:cs="Times New Roman"/>
                <w:color w:val="auto"/>
                <w:sz w:val="24"/>
                <w:szCs w:val="24"/>
                <w:highlight w:val="none"/>
                <w:lang w:val="en-GB"/>
              </w:rPr>
              <w:fldChar w:fldCharType="separate"/>
            </w:r>
            <w:r>
              <w:rPr>
                <w:rFonts w:hint="default" w:ascii="Times New Roman" w:hAnsi="Times New Roman" w:eastAsia="宋体" w:cs="Times New Roman"/>
                <w:color w:val="auto"/>
                <w:sz w:val="24"/>
                <w:szCs w:val="24"/>
                <w:highlight w:val="none"/>
                <w:lang w:val="en-GB"/>
              </w:rPr>
              <w:t>①</w:t>
            </w:r>
            <w:r>
              <w:rPr>
                <w:rFonts w:hint="default" w:ascii="Times New Roman" w:hAnsi="Times New Roman" w:eastAsia="宋体" w:cs="Times New Roman"/>
                <w:color w:val="auto"/>
                <w:sz w:val="24"/>
                <w:szCs w:val="24"/>
                <w:highlight w:val="none"/>
                <w:lang w:val="en-GB"/>
              </w:rPr>
              <w:fldChar w:fldCharType="end"/>
            </w:r>
          </w:p>
        </w:tc>
        <w:tc>
          <w:tcPr>
            <w:tcW w:w="443" w:type="pct"/>
            <w:noWrap w:val="0"/>
            <w:tcMar>
              <w:left w:w="28" w:type="dxa"/>
              <w:right w:w="28" w:type="dxa"/>
            </w:tcMar>
            <w:vAlign w:val="center"/>
          </w:tcPr>
          <w:p w14:paraId="1AC32286">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lang w:val="en-GB"/>
              </w:rPr>
              <w:t>现有工程</w:t>
            </w:r>
          </w:p>
          <w:p w14:paraId="0839874F">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lang w:val="en-GB"/>
              </w:rPr>
              <w:t>许可排放量</w:t>
            </w:r>
            <w:r>
              <w:rPr>
                <w:rFonts w:hint="default" w:ascii="Times New Roman" w:hAnsi="Times New Roman" w:eastAsia="宋体" w:cs="Times New Roman"/>
                <w:color w:val="auto"/>
                <w:sz w:val="24"/>
                <w:szCs w:val="24"/>
                <w:highlight w:val="none"/>
                <w:lang w:val="en-GB"/>
              </w:rPr>
              <w:fldChar w:fldCharType="begin"/>
            </w:r>
            <w:r>
              <w:rPr>
                <w:rFonts w:hint="default" w:ascii="Times New Roman" w:hAnsi="Times New Roman" w:eastAsia="宋体" w:cs="Times New Roman"/>
                <w:color w:val="auto"/>
                <w:sz w:val="24"/>
                <w:szCs w:val="24"/>
                <w:highlight w:val="none"/>
                <w:lang w:val="en-GB"/>
              </w:rPr>
              <w:instrText xml:space="preserve"> = 2 \* GB3 \* MERGEFORMAT </w:instrText>
            </w:r>
            <w:r>
              <w:rPr>
                <w:rFonts w:hint="default" w:ascii="Times New Roman" w:hAnsi="Times New Roman" w:eastAsia="宋体" w:cs="Times New Roman"/>
                <w:color w:val="auto"/>
                <w:sz w:val="24"/>
                <w:szCs w:val="24"/>
                <w:highlight w:val="none"/>
                <w:lang w:val="en-GB"/>
              </w:rPr>
              <w:fldChar w:fldCharType="separate"/>
            </w:r>
            <w:r>
              <w:rPr>
                <w:rFonts w:hint="default" w:ascii="Times New Roman" w:hAnsi="Times New Roman" w:eastAsia="宋体" w:cs="Times New Roman"/>
                <w:color w:val="auto"/>
                <w:sz w:val="24"/>
                <w:szCs w:val="24"/>
                <w:highlight w:val="none"/>
                <w:lang w:val="en-GB"/>
              </w:rPr>
              <w:t>②</w:t>
            </w:r>
            <w:r>
              <w:rPr>
                <w:rFonts w:hint="default" w:ascii="Times New Roman" w:hAnsi="Times New Roman" w:eastAsia="宋体" w:cs="Times New Roman"/>
                <w:color w:val="auto"/>
                <w:sz w:val="24"/>
                <w:szCs w:val="24"/>
                <w:highlight w:val="none"/>
                <w:lang w:val="en-GB"/>
              </w:rPr>
              <w:fldChar w:fldCharType="end"/>
            </w:r>
          </w:p>
        </w:tc>
        <w:tc>
          <w:tcPr>
            <w:tcW w:w="597" w:type="pct"/>
            <w:noWrap w:val="0"/>
            <w:tcMar>
              <w:left w:w="28" w:type="dxa"/>
              <w:right w:w="28" w:type="dxa"/>
            </w:tcMar>
            <w:vAlign w:val="center"/>
          </w:tcPr>
          <w:p w14:paraId="26408148">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lang w:val="en-GB"/>
              </w:rPr>
              <w:t>在建工程</w:t>
            </w:r>
          </w:p>
          <w:p w14:paraId="3F0A3C64">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lang w:val="en-GB"/>
              </w:rPr>
              <w:t>排放量（固体废物产生量）</w:t>
            </w:r>
            <w:r>
              <w:rPr>
                <w:rFonts w:hint="default" w:ascii="Times New Roman" w:hAnsi="Times New Roman" w:eastAsia="宋体" w:cs="Times New Roman"/>
                <w:color w:val="auto"/>
                <w:sz w:val="24"/>
                <w:szCs w:val="24"/>
                <w:highlight w:val="none"/>
                <w:lang w:val="en-GB"/>
              </w:rPr>
              <w:fldChar w:fldCharType="begin"/>
            </w:r>
            <w:r>
              <w:rPr>
                <w:rFonts w:hint="default" w:ascii="Times New Roman" w:hAnsi="Times New Roman" w:eastAsia="宋体" w:cs="Times New Roman"/>
                <w:color w:val="auto"/>
                <w:sz w:val="24"/>
                <w:szCs w:val="24"/>
                <w:highlight w:val="none"/>
                <w:lang w:val="en-GB"/>
              </w:rPr>
              <w:instrText xml:space="preserve"> = 3 \* GB3 \* MERGEFORMAT </w:instrText>
            </w:r>
            <w:r>
              <w:rPr>
                <w:rFonts w:hint="default" w:ascii="Times New Roman" w:hAnsi="Times New Roman" w:eastAsia="宋体" w:cs="Times New Roman"/>
                <w:color w:val="auto"/>
                <w:sz w:val="24"/>
                <w:szCs w:val="24"/>
                <w:highlight w:val="none"/>
                <w:lang w:val="en-GB"/>
              </w:rPr>
              <w:fldChar w:fldCharType="separate"/>
            </w:r>
            <w:r>
              <w:rPr>
                <w:rFonts w:hint="default" w:ascii="Times New Roman" w:hAnsi="Times New Roman" w:eastAsia="宋体" w:cs="Times New Roman"/>
                <w:color w:val="auto"/>
                <w:sz w:val="24"/>
                <w:szCs w:val="24"/>
                <w:highlight w:val="none"/>
                <w:lang w:val="en-GB"/>
              </w:rPr>
              <w:t>③</w:t>
            </w:r>
            <w:r>
              <w:rPr>
                <w:rFonts w:hint="default" w:ascii="Times New Roman" w:hAnsi="Times New Roman" w:eastAsia="宋体" w:cs="Times New Roman"/>
                <w:color w:val="auto"/>
                <w:sz w:val="24"/>
                <w:szCs w:val="24"/>
                <w:highlight w:val="none"/>
                <w:lang w:val="en-GB"/>
              </w:rPr>
              <w:fldChar w:fldCharType="end"/>
            </w:r>
          </w:p>
        </w:tc>
        <w:tc>
          <w:tcPr>
            <w:tcW w:w="550" w:type="pct"/>
            <w:noWrap w:val="0"/>
            <w:tcMar>
              <w:left w:w="28" w:type="dxa"/>
              <w:right w:w="28" w:type="dxa"/>
            </w:tcMar>
            <w:vAlign w:val="center"/>
          </w:tcPr>
          <w:p w14:paraId="4F5A945E">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lang w:val="en-GB"/>
              </w:rPr>
              <w:t>本项目排放量（固体废物产生量）</w:t>
            </w:r>
            <w:r>
              <w:rPr>
                <w:rFonts w:hint="default" w:ascii="Times New Roman" w:hAnsi="Times New Roman" w:eastAsia="宋体" w:cs="Times New Roman"/>
                <w:color w:val="auto"/>
                <w:sz w:val="24"/>
                <w:szCs w:val="24"/>
                <w:highlight w:val="none"/>
                <w:lang w:val="en-GB"/>
              </w:rPr>
              <w:fldChar w:fldCharType="begin"/>
            </w:r>
            <w:r>
              <w:rPr>
                <w:rFonts w:hint="default" w:ascii="Times New Roman" w:hAnsi="Times New Roman" w:eastAsia="宋体" w:cs="Times New Roman"/>
                <w:color w:val="auto"/>
                <w:sz w:val="24"/>
                <w:szCs w:val="24"/>
                <w:highlight w:val="none"/>
                <w:lang w:val="en-GB"/>
              </w:rPr>
              <w:instrText xml:space="preserve"> = 4 \* GB3 \* MERGEFORMAT </w:instrText>
            </w:r>
            <w:r>
              <w:rPr>
                <w:rFonts w:hint="default" w:ascii="Times New Roman" w:hAnsi="Times New Roman" w:eastAsia="宋体" w:cs="Times New Roman"/>
                <w:color w:val="auto"/>
                <w:sz w:val="24"/>
                <w:szCs w:val="24"/>
                <w:highlight w:val="none"/>
                <w:lang w:val="en-GB"/>
              </w:rPr>
              <w:fldChar w:fldCharType="separate"/>
            </w:r>
            <w:r>
              <w:rPr>
                <w:rFonts w:hint="default" w:ascii="Times New Roman" w:hAnsi="Times New Roman" w:eastAsia="宋体" w:cs="Times New Roman"/>
                <w:color w:val="auto"/>
                <w:sz w:val="24"/>
                <w:szCs w:val="24"/>
                <w:highlight w:val="none"/>
                <w:lang w:val="en-GB"/>
              </w:rPr>
              <w:t>④</w:t>
            </w:r>
            <w:r>
              <w:rPr>
                <w:rFonts w:hint="default" w:ascii="Times New Roman" w:hAnsi="Times New Roman" w:eastAsia="宋体" w:cs="Times New Roman"/>
                <w:color w:val="auto"/>
                <w:sz w:val="24"/>
                <w:szCs w:val="24"/>
                <w:highlight w:val="none"/>
                <w:lang w:val="en-GB"/>
              </w:rPr>
              <w:fldChar w:fldCharType="end"/>
            </w:r>
          </w:p>
        </w:tc>
        <w:tc>
          <w:tcPr>
            <w:tcW w:w="616" w:type="pct"/>
            <w:noWrap w:val="0"/>
            <w:tcMar>
              <w:left w:w="28" w:type="dxa"/>
              <w:right w:w="28" w:type="dxa"/>
            </w:tcMar>
            <w:vAlign w:val="center"/>
          </w:tcPr>
          <w:p w14:paraId="6F496506">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lang w:val="en-GB"/>
              </w:rPr>
              <w:t>以新带老削减量（新建项目不填）</w:t>
            </w:r>
            <w:r>
              <w:rPr>
                <w:rFonts w:hint="default" w:ascii="Times New Roman" w:hAnsi="Times New Roman" w:eastAsia="宋体" w:cs="Times New Roman"/>
                <w:color w:val="auto"/>
                <w:sz w:val="24"/>
                <w:szCs w:val="24"/>
                <w:highlight w:val="none"/>
                <w:lang w:val="en-GB"/>
              </w:rPr>
              <w:fldChar w:fldCharType="begin"/>
            </w:r>
            <w:r>
              <w:rPr>
                <w:rFonts w:hint="default" w:ascii="Times New Roman" w:hAnsi="Times New Roman" w:eastAsia="宋体" w:cs="Times New Roman"/>
                <w:color w:val="auto"/>
                <w:sz w:val="24"/>
                <w:szCs w:val="24"/>
                <w:highlight w:val="none"/>
                <w:lang w:val="en-GB"/>
              </w:rPr>
              <w:instrText xml:space="preserve"> = 5 \* GB3 \* MERGEFORMAT </w:instrText>
            </w:r>
            <w:r>
              <w:rPr>
                <w:rFonts w:hint="default" w:ascii="Times New Roman" w:hAnsi="Times New Roman" w:eastAsia="宋体" w:cs="Times New Roman"/>
                <w:color w:val="auto"/>
                <w:sz w:val="24"/>
                <w:szCs w:val="24"/>
                <w:highlight w:val="none"/>
                <w:lang w:val="en-GB"/>
              </w:rPr>
              <w:fldChar w:fldCharType="separate"/>
            </w:r>
            <w:r>
              <w:rPr>
                <w:rFonts w:hint="default" w:ascii="Times New Roman" w:hAnsi="Times New Roman" w:eastAsia="宋体" w:cs="Times New Roman"/>
                <w:color w:val="auto"/>
                <w:sz w:val="24"/>
                <w:szCs w:val="24"/>
                <w:highlight w:val="none"/>
                <w:lang w:val="en-GB"/>
              </w:rPr>
              <w:t>⑤</w:t>
            </w:r>
            <w:r>
              <w:rPr>
                <w:rFonts w:hint="default" w:ascii="Times New Roman" w:hAnsi="Times New Roman" w:eastAsia="宋体" w:cs="Times New Roman"/>
                <w:color w:val="auto"/>
                <w:sz w:val="24"/>
                <w:szCs w:val="24"/>
                <w:highlight w:val="none"/>
                <w:lang w:val="en-GB"/>
              </w:rPr>
              <w:fldChar w:fldCharType="end"/>
            </w:r>
          </w:p>
        </w:tc>
        <w:tc>
          <w:tcPr>
            <w:tcW w:w="693" w:type="pct"/>
            <w:noWrap w:val="0"/>
            <w:tcMar>
              <w:left w:w="28" w:type="dxa"/>
              <w:right w:w="28" w:type="dxa"/>
            </w:tcMar>
            <w:vAlign w:val="center"/>
          </w:tcPr>
          <w:p w14:paraId="58B1CB88">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lang w:val="en-GB"/>
              </w:rPr>
              <w:t>本项目建成后</w:t>
            </w:r>
          </w:p>
          <w:p w14:paraId="7983334E">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lang w:val="en-GB"/>
              </w:rPr>
              <w:t>全厂排放量（固体废物产生量）</w:t>
            </w:r>
            <w:r>
              <w:rPr>
                <w:rFonts w:hint="default" w:ascii="Times New Roman" w:hAnsi="Times New Roman" w:eastAsia="宋体" w:cs="Times New Roman"/>
                <w:color w:val="auto"/>
                <w:sz w:val="24"/>
                <w:szCs w:val="24"/>
                <w:highlight w:val="none"/>
                <w:lang w:val="en-GB"/>
              </w:rPr>
              <w:fldChar w:fldCharType="begin"/>
            </w:r>
            <w:r>
              <w:rPr>
                <w:rFonts w:hint="default" w:ascii="Times New Roman" w:hAnsi="Times New Roman" w:eastAsia="宋体" w:cs="Times New Roman"/>
                <w:color w:val="auto"/>
                <w:sz w:val="24"/>
                <w:szCs w:val="24"/>
                <w:highlight w:val="none"/>
                <w:lang w:val="en-GB"/>
              </w:rPr>
              <w:instrText xml:space="preserve"> = 6 \* GB3 \* MERGEFORMAT </w:instrText>
            </w:r>
            <w:r>
              <w:rPr>
                <w:rFonts w:hint="default" w:ascii="Times New Roman" w:hAnsi="Times New Roman" w:eastAsia="宋体" w:cs="Times New Roman"/>
                <w:color w:val="auto"/>
                <w:sz w:val="24"/>
                <w:szCs w:val="24"/>
                <w:highlight w:val="none"/>
                <w:lang w:val="en-GB"/>
              </w:rPr>
              <w:fldChar w:fldCharType="separate"/>
            </w:r>
            <w:r>
              <w:rPr>
                <w:rFonts w:hint="default" w:ascii="Times New Roman" w:hAnsi="Times New Roman" w:eastAsia="宋体" w:cs="Times New Roman"/>
                <w:color w:val="auto"/>
                <w:sz w:val="24"/>
                <w:szCs w:val="24"/>
                <w:highlight w:val="none"/>
                <w:lang w:val="en-GB"/>
              </w:rPr>
              <w:t>⑥</w:t>
            </w:r>
            <w:r>
              <w:rPr>
                <w:rFonts w:hint="default" w:ascii="Times New Roman" w:hAnsi="Times New Roman" w:eastAsia="宋体" w:cs="Times New Roman"/>
                <w:color w:val="auto"/>
                <w:sz w:val="24"/>
                <w:szCs w:val="24"/>
                <w:highlight w:val="none"/>
                <w:lang w:val="en-GB"/>
              </w:rPr>
              <w:fldChar w:fldCharType="end"/>
            </w:r>
          </w:p>
        </w:tc>
        <w:tc>
          <w:tcPr>
            <w:tcW w:w="452" w:type="pct"/>
            <w:noWrap w:val="0"/>
            <w:tcMar>
              <w:left w:w="28" w:type="dxa"/>
              <w:right w:w="28" w:type="dxa"/>
            </w:tcMar>
            <w:vAlign w:val="center"/>
          </w:tcPr>
          <w:p w14:paraId="37063734">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lang w:val="en-GB"/>
              </w:rPr>
              <w:t>变化量</w:t>
            </w:r>
          </w:p>
          <w:p w14:paraId="0BCE5619">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lang w:val="en-GB"/>
              </w:rPr>
              <w:fldChar w:fldCharType="begin"/>
            </w:r>
            <w:r>
              <w:rPr>
                <w:rFonts w:hint="default" w:ascii="Times New Roman" w:hAnsi="Times New Roman" w:eastAsia="宋体" w:cs="Times New Roman"/>
                <w:color w:val="auto"/>
                <w:sz w:val="24"/>
                <w:szCs w:val="24"/>
                <w:highlight w:val="none"/>
                <w:lang w:val="en-GB"/>
              </w:rPr>
              <w:instrText xml:space="preserve"> = 7 \* GB3 \* MERGEFORMAT </w:instrText>
            </w:r>
            <w:r>
              <w:rPr>
                <w:rFonts w:hint="default" w:ascii="Times New Roman" w:hAnsi="Times New Roman" w:eastAsia="宋体" w:cs="Times New Roman"/>
                <w:color w:val="auto"/>
                <w:sz w:val="24"/>
                <w:szCs w:val="24"/>
                <w:highlight w:val="none"/>
                <w:lang w:val="en-GB"/>
              </w:rPr>
              <w:fldChar w:fldCharType="separate"/>
            </w:r>
            <w:r>
              <w:rPr>
                <w:rFonts w:hint="default" w:ascii="Times New Roman" w:hAnsi="Times New Roman" w:eastAsia="宋体" w:cs="Times New Roman"/>
                <w:color w:val="auto"/>
                <w:sz w:val="24"/>
                <w:szCs w:val="24"/>
                <w:highlight w:val="none"/>
                <w:lang w:val="en-GB"/>
              </w:rPr>
              <w:t>⑦</w:t>
            </w:r>
            <w:r>
              <w:rPr>
                <w:rFonts w:hint="default" w:ascii="Times New Roman" w:hAnsi="Times New Roman" w:eastAsia="宋体" w:cs="Times New Roman"/>
                <w:color w:val="auto"/>
                <w:sz w:val="24"/>
                <w:szCs w:val="24"/>
                <w:highlight w:val="none"/>
                <w:lang w:val="en-GB"/>
              </w:rPr>
              <w:fldChar w:fldCharType="end"/>
            </w:r>
          </w:p>
        </w:tc>
      </w:tr>
      <w:tr w14:paraId="085A31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07" w:type="pct"/>
            <w:vMerge w:val="restart"/>
            <w:noWrap w:val="0"/>
            <w:vAlign w:val="center"/>
          </w:tcPr>
          <w:p w14:paraId="67E7A01E">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lang w:val="en-GB"/>
              </w:rPr>
              <w:t>废水</w:t>
            </w:r>
          </w:p>
        </w:tc>
        <w:tc>
          <w:tcPr>
            <w:tcW w:w="541" w:type="pct"/>
            <w:noWrap w:val="0"/>
            <w:vAlign w:val="center"/>
          </w:tcPr>
          <w:p w14:paraId="0A7BE717">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COD</w:t>
            </w:r>
          </w:p>
        </w:tc>
        <w:tc>
          <w:tcPr>
            <w:tcW w:w="597" w:type="pct"/>
            <w:noWrap w:val="0"/>
            <w:vAlign w:val="center"/>
          </w:tcPr>
          <w:p w14:paraId="7955C1D5">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US" w:eastAsia="zh-CN"/>
              </w:rPr>
            </w:pPr>
          </w:p>
        </w:tc>
        <w:tc>
          <w:tcPr>
            <w:tcW w:w="443" w:type="pct"/>
            <w:noWrap w:val="0"/>
            <w:vAlign w:val="center"/>
          </w:tcPr>
          <w:p w14:paraId="03A443C6">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p>
        </w:tc>
        <w:tc>
          <w:tcPr>
            <w:tcW w:w="597" w:type="pct"/>
            <w:noWrap w:val="0"/>
            <w:vAlign w:val="center"/>
          </w:tcPr>
          <w:p w14:paraId="4B8C4C15">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US" w:eastAsia="zh-CN"/>
              </w:rPr>
            </w:pPr>
          </w:p>
        </w:tc>
        <w:tc>
          <w:tcPr>
            <w:tcW w:w="550" w:type="pct"/>
            <w:shd w:val="clear" w:color="auto" w:fill="auto"/>
            <w:noWrap w:val="0"/>
            <w:vAlign w:val="center"/>
          </w:tcPr>
          <w:p w14:paraId="4E0C1120">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leftChars="0" w:firstLine="0" w:firstLineChars="0"/>
              <w:textAlignment w:val="auto"/>
              <w:rPr>
                <w:rFonts w:hint="default" w:ascii="Times New Roman" w:hAnsi="Times New Roman" w:eastAsia="宋体" w:cs="Times New Roman"/>
                <w:color w:val="auto"/>
                <w:kern w:val="0"/>
                <w:sz w:val="24"/>
                <w:szCs w:val="24"/>
                <w:highlight w:val="none"/>
                <w:lang w:val="en-US" w:eastAsia="zh-CN" w:bidi="he-IL"/>
              </w:rPr>
            </w:pPr>
            <w:r>
              <w:rPr>
                <w:rFonts w:hint="eastAsia" w:ascii="Times New Roman" w:hAnsi="Times New Roman" w:cs="Times New Roman"/>
                <w:color w:val="auto"/>
                <w:sz w:val="24"/>
                <w:szCs w:val="24"/>
                <w:highlight w:val="none"/>
                <w:lang w:val="en-US" w:eastAsia="zh-CN"/>
              </w:rPr>
              <w:t>0.209</w:t>
            </w:r>
          </w:p>
        </w:tc>
        <w:tc>
          <w:tcPr>
            <w:tcW w:w="616" w:type="pct"/>
            <w:noWrap w:val="0"/>
            <w:vAlign w:val="center"/>
          </w:tcPr>
          <w:p w14:paraId="04BE8E54">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p>
        </w:tc>
        <w:tc>
          <w:tcPr>
            <w:tcW w:w="693" w:type="pct"/>
            <w:noWrap w:val="0"/>
            <w:vAlign w:val="center"/>
          </w:tcPr>
          <w:p w14:paraId="2E017C3E">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leftChars="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0.209</w:t>
            </w:r>
          </w:p>
        </w:tc>
        <w:tc>
          <w:tcPr>
            <w:tcW w:w="452" w:type="pct"/>
            <w:noWrap w:val="0"/>
            <w:vAlign w:val="center"/>
          </w:tcPr>
          <w:p w14:paraId="76CACC03">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leftChars="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+0.209</w:t>
            </w:r>
          </w:p>
        </w:tc>
      </w:tr>
      <w:tr w14:paraId="516DB1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07" w:type="pct"/>
            <w:vMerge w:val="continue"/>
            <w:noWrap w:val="0"/>
            <w:vAlign w:val="center"/>
          </w:tcPr>
          <w:p w14:paraId="71D36D83">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p>
        </w:tc>
        <w:tc>
          <w:tcPr>
            <w:tcW w:w="541" w:type="pct"/>
            <w:noWrap w:val="0"/>
            <w:vAlign w:val="center"/>
          </w:tcPr>
          <w:p w14:paraId="1861B69C">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BOD</w:t>
            </w:r>
            <w:r>
              <w:rPr>
                <w:rFonts w:hint="default" w:ascii="Times New Roman" w:hAnsi="Times New Roman" w:eastAsia="宋体" w:cs="Times New Roman"/>
                <w:color w:val="auto"/>
                <w:sz w:val="24"/>
                <w:szCs w:val="24"/>
                <w:highlight w:val="none"/>
                <w:vertAlign w:val="subscript"/>
                <w:lang w:val="en-US" w:eastAsia="zh-CN"/>
              </w:rPr>
              <w:t>5</w:t>
            </w:r>
          </w:p>
        </w:tc>
        <w:tc>
          <w:tcPr>
            <w:tcW w:w="597" w:type="pct"/>
            <w:noWrap w:val="0"/>
            <w:vAlign w:val="center"/>
          </w:tcPr>
          <w:p w14:paraId="6B7C74F7">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US" w:eastAsia="zh-CN"/>
              </w:rPr>
            </w:pPr>
          </w:p>
        </w:tc>
        <w:tc>
          <w:tcPr>
            <w:tcW w:w="443" w:type="pct"/>
            <w:noWrap w:val="0"/>
            <w:vAlign w:val="center"/>
          </w:tcPr>
          <w:p w14:paraId="77C2098C">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p>
        </w:tc>
        <w:tc>
          <w:tcPr>
            <w:tcW w:w="597" w:type="pct"/>
            <w:noWrap w:val="0"/>
            <w:vAlign w:val="center"/>
          </w:tcPr>
          <w:p w14:paraId="4373D116">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US" w:eastAsia="zh-CN"/>
              </w:rPr>
            </w:pPr>
          </w:p>
        </w:tc>
        <w:tc>
          <w:tcPr>
            <w:tcW w:w="550" w:type="pct"/>
            <w:shd w:val="clear" w:color="auto" w:fill="auto"/>
            <w:noWrap w:val="0"/>
            <w:vAlign w:val="center"/>
          </w:tcPr>
          <w:p w14:paraId="1900C2BC">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leftChars="0" w:firstLine="0" w:firstLineChars="0"/>
              <w:textAlignment w:val="auto"/>
              <w:rPr>
                <w:rFonts w:hint="default" w:ascii="Times New Roman" w:hAnsi="Times New Roman" w:eastAsia="宋体" w:cs="Times New Roman"/>
                <w:color w:val="auto"/>
                <w:kern w:val="0"/>
                <w:sz w:val="24"/>
                <w:szCs w:val="24"/>
                <w:highlight w:val="none"/>
                <w:lang w:val="en-US" w:eastAsia="zh-CN" w:bidi="he-IL"/>
              </w:rPr>
            </w:pPr>
            <w:r>
              <w:rPr>
                <w:rFonts w:hint="eastAsia" w:ascii="Times New Roman" w:hAnsi="Times New Roman" w:cs="Times New Roman"/>
                <w:color w:val="auto"/>
                <w:sz w:val="24"/>
                <w:szCs w:val="24"/>
                <w:highlight w:val="none"/>
                <w:lang w:val="en-US" w:eastAsia="zh-CN"/>
              </w:rPr>
              <w:t>0.077</w:t>
            </w:r>
          </w:p>
        </w:tc>
        <w:tc>
          <w:tcPr>
            <w:tcW w:w="616" w:type="pct"/>
            <w:noWrap w:val="0"/>
            <w:vAlign w:val="center"/>
          </w:tcPr>
          <w:p w14:paraId="0C84C33A">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p>
        </w:tc>
        <w:tc>
          <w:tcPr>
            <w:tcW w:w="693" w:type="pct"/>
            <w:noWrap w:val="0"/>
            <w:vAlign w:val="center"/>
          </w:tcPr>
          <w:p w14:paraId="20BA1DA5">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leftChars="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0.077</w:t>
            </w:r>
          </w:p>
        </w:tc>
        <w:tc>
          <w:tcPr>
            <w:tcW w:w="452" w:type="pct"/>
            <w:noWrap w:val="0"/>
            <w:vAlign w:val="center"/>
          </w:tcPr>
          <w:p w14:paraId="0B4E6C80">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leftChars="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+0.077</w:t>
            </w:r>
          </w:p>
        </w:tc>
      </w:tr>
      <w:tr w14:paraId="4BDECF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07" w:type="pct"/>
            <w:vMerge w:val="continue"/>
            <w:noWrap w:val="0"/>
            <w:vAlign w:val="center"/>
          </w:tcPr>
          <w:p w14:paraId="01117517">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p>
        </w:tc>
        <w:tc>
          <w:tcPr>
            <w:tcW w:w="541" w:type="pct"/>
            <w:noWrap w:val="0"/>
            <w:vAlign w:val="center"/>
          </w:tcPr>
          <w:p w14:paraId="17A18392">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SS</w:t>
            </w:r>
          </w:p>
        </w:tc>
        <w:tc>
          <w:tcPr>
            <w:tcW w:w="597" w:type="pct"/>
            <w:noWrap w:val="0"/>
            <w:vAlign w:val="center"/>
          </w:tcPr>
          <w:p w14:paraId="6915FCD9">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US" w:eastAsia="zh-CN"/>
              </w:rPr>
            </w:pPr>
          </w:p>
        </w:tc>
        <w:tc>
          <w:tcPr>
            <w:tcW w:w="443" w:type="pct"/>
            <w:noWrap w:val="0"/>
            <w:vAlign w:val="center"/>
          </w:tcPr>
          <w:p w14:paraId="71677FB6">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p>
        </w:tc>
        <w:tc>
          <w:tcPr>
            <w:tcW w:w="597" w:type="pct"/>
            <w:noWrap w:val="0"/>
            <w:vAlign w:val="center"/>
          </w:tcPr>
          <w:p w14:paraId="5B9E4772">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US" w:eastAsia="zh-CN"/>
              </w:rPr>
            </w:pPr>
          </w:p>
        </w:tc>
        <w:tc>
          <w:tcPr>
            <w:tcW w:w="550" w:type="pct"/>
            <w:shd w:val="clear" w:color="auto" w:fill="auto"/>
            <w:noWrap w:val="0"/>
            <w:vAlign w:val="center"/>
          </w:tcPr>
          <w:p w14:paraId="5EED69DC">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leftChars="0" w:firstLine="0" w:firstLineChars="0"/>
              <w:textAlignment w:val="auto"/>
              <w:rPr>
                <w:rFonts w:hint="default" w:ascii="Times New Roman" w:hAnsi="Times New Roman" w:eastAsia="宋体" w:cs="Times New Roman"/>
                <w:color w:val="auto"/>
                <w:kern w:val="0"/>
                <w:sz w:val="24"/>
                <w:szCs w:val="24"/>
                <w:highlight w:val="none"/>
                <w:lang w:val="en-US" w:eastAsia="zh-CN" w:bidi="he-IL"/>
              </w:rPr>
            </w:pPr>
            <w:r>
              <w:rPr>
                <w:rFonts w:hint="eastAsia" w:ascii="Times New Roman" w:hAnsi="Times New Roman" w:cs="Times New Roman"/>
                <w:color w:val="auto"/>
                <w:sz w:val="24"/>
                <w:szCs w:val="24"/>
                <w:highlight w:val="none"/>
                <w:lang w:val="en-US" w:eastAsia="zh-CN"/>
              </w:rPr>
              <w:t>0.036</w:t>
            </w:r>
          </w:p>
        </w:tc>
        <w:tc>
          <w:tcPr>
            <w:tcW w:w="616" w:type="pct"/>
            <w:noWrap w:val="0"/>
            <w:vAlign w:val="center"/>
          </w:tcPr>
          <w:p w14:paraId="077E8DBF">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p>
        </w:tc>
        <w:tc>
          <w:tcPr>
            <w:tcW w:w="693" w:type="pct"/>
            <w:noWrap w:val="0"/>
            <w:vAlign w:val="center"/>
          </w:tcPr>
          <w:p w14:paraId="7F908C01">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leftChars="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0.036</w:t>
            </w:r>
          </w:p>
        </w:tc>
        <w:tc>
          <w:tcPr>
            <w:tcW w:w="452" w:type="pct"/>
            <w:noWrap w:val="0"/>
            <w:vAlign w:val="center"/>
          </w:tcPr>
          <w:p w14:paraId="74BF388C">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leftChars="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+0.036</w:t>
            </w:r>
          </w:p>
        </w:tc>
      </w:tr>
      <w:tr w14:paraId="7FAE46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07" w:type="pct"/>
            <w:vMerge w:val="continue"/>
            <w:noWrap w:val="0"/>
            <w:vAlign w:val="center"/>
          </w:tcPr>
          <w:p w14:paraId="43AF9B18">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p>
        </w:tc>
        <w:tc>
          <w:tcPr>
            <w:tcW w:w="541" w:type="pct"/>
            <w:noWrap w:val="0"/>
            <w:vAlign w:val="center"/>
          </w:tcPr>
          <w:p w14:paraId="11028932">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NH</w:t>
            </w:r>
            <w:r>
              <w:rPr>
                <w:rFonts w:hint="default" w:ascii="Times New Roman" w:hAnsi="Times New Roman" w:eastAsia="宋体"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lang w:val="en-US" w:eastAsia="zh-CN"/>
              </w:rPr>
              <w:t>-N</w:t>
            </w:r>
          </w:p>
        </w:tc>
        <w:tc>
          <w:tcPr>
            <w:tcW w:w="597" w:type="pct"/>
            <w:noWrap w:val="0"/>
            <w:vAlign w:val="center"/>
          </w:tcPr>
          <w:p w14:paraId="0C81BDEB">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US" w:eastAsia="zh-CN"/>
              </w:rPr>
            </w:pPr>
          </w:p>
        </w:tc>
        <w:tc>
          <w:tcPr>
            <w:tcW w:w="443" w:type="pct"/>
            <w:noWrap w:val="0"/>
            <w:vAlign w:val="center"/>
          </w:tcPr>
          <w:p w14:paraId="3AB9B74B">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p>
        </w:tc>
        <w:tc>
          <w:tcPr>
            <w:tcW w:w="597" w:type="pct"/>
            <w:noWrap w:val="0"/>
            <w:vAlign w:val="center"/>
          </w:tcPr>
          <w:p w14:paraId="1E6FA443">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US" w:eastAsia="zh-CN"/>
              </w:rPr>
            </w:pPr>
          </w:p>
        </w:tc>
        <w:tc>
          <w:tcPr>
            <w:tcW w:w="550" w:type="pct"/>
            <w:shd w:val="clear" w:color="auto" w:fill="auto"/>
            <w:noWrap w:val="0"/>
            <w:vAlign w:val="center"/>
          </w:tcPr>
          <w:p w14:paraId="3074F6CF">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leftChars="0" w:firstLine="0" w:firstLineChars="0"/>
              <w:textAlignment w:val="auto"/>
              <w:rPr>
                <w:rFonts w:hint="default" w:ascii="Times New Roman" w:hAnsi="Times New Roman" w:eastAsia="宋体" w:cs="Times New Roman"/>
                <w:color w:val="auto"/>
                <w:kern w:val="0"/>
                <w:sz w:val="24"/>
                <w:szCs w:val="24"/>
                <w:highlight w:val="none"/>
                <w:lang w:val="en-US" w:eastAsia="zh-CN" w:bidi="he-IL"/>
              </w:rPr>
            </w:pPr>
            <w:r>
              <w:rPr>
                <w:rFonts w:hint="eastAsia" w:ascii="Times New Roman" w:hAnsi="Times New Roman" w:cs="Times New Roman"/>
                <w:color w:val="auto"/>
                <w:sz w:val="24"/>
                <w:szCs w:val="24"/>
                <w:highlight w:val="none"/>
                <w:lang w:val="en-US" w:eastAsia="zh-CN"/>
              </w:rPr>
              <w:t>0.024</w:t>
            </w:r>
          </w:p>
        </w:tc>
        <w:tc>
          <w:tcPr>
            <w:tcW w:w="616" w:type="pct"/>
            <w:noWrap w:val="0"/>
            <w:vAlign w:val="center"/>
          </w:tcPr>
          <w:p w14:paraId="517EBF30">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p>
        </w:tc>
        <w:tc>
          <w:tcPr>
            <w:tcW w:w="693" w:type="pct"/>
            <w:noWrap w:val="0"/>
            <w:vAlign w:val="center"/>
          </w:tcPr>
          <w:p w14:paraId="7586A362">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leftChars="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0.024</w:t>
            </w:r>
          </w:p>
        </w:tc>
        <w:tc>
          <w:tcPr>
            <w:tcW w:w="452" w:type="pct"/>
            <w:noWrap w:val="0"/>
            <w:vAlign w:val="center"/>
          </w:tcPr>
          <w:p w14:paraId="5C9DA418">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leftChars="0" w:firstLine="0" w:firstLineChars="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+0.024</w:t>
            </w:r>
          </w:p>
        </w:tc>
      </w:tr>
      <w:tr w14:paraId="5E16FD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07" w:type="pct"/>
            <w:vMerge w:val="continue"/>
            <w:noWrap w:val="0"/>
            <w:vAlign w:val="center"/>
          </w:tcPr>
          <w:p w14:paraId="5855546B">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p>
        </w:tc>
        <w:tc>
          <w:tcPr>
            <w:tcW w:w="541" w:type="pct"/>
            <w:noWrap w:val="0"/>
            <w:vAlign w:val="center"/>
          </w:tcPr>
          <w:p w14:paraId="5E99D981">
            <w:pPr>
              <w:pStyle w:val="134"/>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eastAsia="宋体" w:cs="Times New Roman"/>
                <w:color w:val="auto"/>
                <w:kern w:val="0"/>
                <w:sz w:val="24"/>
                <w:szCs w:val="24"/>
                <w:highlight w:val="none"/>
                <w:lang w:val="en-US" w:eastAsia="zh-CN" w:bidi="he-IL"/>
              </w:rPr>
            </w:pPr>
            <w:r>
              <w:rPr>
                <w:rFonts w:hint="default" w:ascii="Times New Roman" w:hAnsi="Times New Roman" w:eastAsia="宋体" w:cs="Times New Roman"/>
                <w:color w:val="auto"/>
                <w:kern w:val="0"/>
                <w:sz w:val="24"/>
                <w:szCs w:val="24"/>
                <w:highlight w:val="none"/>
                <w:lang w:val="en-US" w:eastAsia="zh-CN" w:bidi="he-IL"/>
              </w:rPr>
              <w:t>石油类</w:t>
            </w:r>
          </w:p>
        </w:tc>
        <w:tc>
          <w:tcPr>
            <w:tcW w:w="597" w:type="pct"/>
            <w:noWrap w:val="0"/>
            <w:vAlign w:val="center"/>
          </w:tcPr>
          <w:p w14:paraId="5761CA11">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US" w:eastAsia="zh-CN" w:bidi="he-IL"/>
              </w:rPr>
            </w:pPr>
          </w:p>
        </w:tc>
        <w:tc>
          <w:tcPr>
            <w:tcW w:w="443" w:type="pct"/>
            <w:noWrap w:val="0"/>
            <w:vAlign w:val="center"/>
          </w:tcPr>
          <w:p w14:paraId="7FDD940D">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GB" w:eastAsia="zh-CN" w:bidi="he-IL"/>
              </w:rPr>
            </w:pPr>
          </w:p>
        </w:tc>
        <w:tc>
          <w:tcPr>
            <w:tcW w:w="597" w:type="pct"/>
            <w:noWrap w:val="0"/>
            <w:vAlign w:val="center"/>
          </w:tcPr>
          <w:p w14:paraId="33893841">
            <w:pPr>
              <w:keepNext w:val="0"/>
              <w:keepLines w:val="0"/>
              <w:widowControl/>
              <w:suppressLineNumbers w:val="0"/>
              <w:jc w:val="center"/>
              <w:textAlignment w:val="center"/>
              <w:rPr>
                <w:rFonts w:hint="default" w:ascii="Times New Roman" w:hAnsi="Times New Roman" w:eastAsia="宋体" w:cs="Times New Roman"/>
                <w:color w:val="auto"/>
                <w:kern w:val="0"/>
                <w:sz w:val="24"/>
                <w:szCs w:val="24"/>
                <w:highlight w:val="none"/>
                <w:lang w:val="en-GB" w:eastAsia="zh-CN" w:bidi="he-IL"/>
              </w:rPr>
            </w:pPr>
          </w:p>
        </w:tc>
        <w:tc>
          <w:tcPr>
            <w:tcW w:w="550" w:type="pct"/>
            <w:shd w:val="clear" w:color="auto" w:fill="auto"/>
            <w:noWrap w:val="0"/>
            <w:vAlign w:val="center"/>
          </w:tcPr>
          <w:p w14:paraId="3AF9504F">
            <w:pPr>
              <w:keepNext w:val="0"/>
              <w:keepLines w:val="0"/>
              <w:widowControl/>
              <w:suppressLineNumbers w:val="0"/>
              <w:jc w:val="center"/>
              <w:textAlignment w:val="center"/>
              <w:rPr>
                <w:rFonts w:hint="default" w:ascii="Times New Roman" w:hAnsi="Times New Roman" w:eastAsia="宋体" w:cs="Times New Roman"/>
                <w:color w:val="auto"/>
                <w:kern w:val="0"/>
                <w:sz w:val="24"/>
                <w:szCs w:val="24"/>
                <w:highlight w:val="none"/>
                <w:lang w:val="en-US" w:eastAsia="zh-CN" w:bidi="he-IL"/>
              </w:rPr>
            </w:pPr>
            <w:r>
              <w:rPr>
                <w:rFonts w:hint="default" w:ascii="Times New Roman" w:hAnsi="Times New Roman" w:eastAsia="宋体" w:cs="Times New Roman"/>
                <w:color w:val="auto"/>
                <w:kern w:val="0"/>
                <w:sz w:val="24"/>
                <w:szCs w:val="24"/>
                <w:highlight w:val="none"/>
                <w:lang w:val="en-US" w:eastAsia="zh-CN" w:bidi="he-IL"/>
              </w:rPr>
              <w:t xml:space="preserve">0.004 </w:t>
            </w:r>
          </w:p>
        </w:tc>
        <w:tc>
          <w:tcPr>
            <w:tcW w:w="616" w:type="pct"/>
            <w:noWrap w:val="0"/>
            <w:vAlign w:val="center"/>
          </w:tcPr>
          <w:p w14:paraId="0F41AA47">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GB" w:eastAsia="zh-CN" w:bidi="he-IL"/>
              </w:rPr>
            </w:pPr>
          </w:p>
        </w:tc>
        <w:tc>
          <w:tcPr>
            <w:tcW w:w="693" w:type="pct"/>
            <w:noWrap w:val="0"/>
            <w:vAlign w:val="center"/>
          </w:tcPr>
          <w:p w14:paraId="0E603F7C">
            <w:pPr>
              <w:keepNext w:val="0"/>
              <w:keepLines w:val="0"/>
              <w:widowControl/>
              <w:suppressLineNumbers w:val="0"/>
              <w:jc w:val="center"/>
              <w:textAlignment w:val="center"/>
              <w:rPr>
                <w:rFonts w:hint="default" w:ascii="Times New Roman" w:hAnsi="Times New Roman" w:eastAsia="宋体" w:cs="Times New Roman"/>
                <w:color w:val="auto"/>
                <w:kern w:val="0"/>
                <w:sz w:val="24"/>
                <w:szCs w:val="24"/>
                <w:highlight w:val="none"/>
                <w:lang w:val="en-US" w:eastAsia="zh-CN" w:bidi="he-IL"/>
              </w:rPr>
            </w:pPr>
            <w:r>
              <w:rPr>
                <w:rFonts w:hint="default" w:ascii="Times New Roman" w:hAnsi="Times New Roman" w:eastAsia="宋体" w:cs="Times New Roman"/>
                <w:color w:val="auto"/>
                <w:kern w:val="0"/>
                <w:sz w:val="24"/>
                <w:szCs w:val="24"/>
                <w:highlight w:val="none"/>
                <w:lang w:val="en-US" w:eastAsia="zh-CN" w:bidi="he-IL"/>
              </w:rPr>
              <w:t xml:space="preserve">0.004 </w:t>
            </w:r>
          </w:p>
        </w:tc>
        <w:tc>
          <w:tcPr>
            <w:tcW w:w="452" w:type="pct"/>
            <w:noWrap w:val="0"/>
            <w:vAlign w:val="center"/>
          </w:tcPr>
          <w:p w14:paraId="6CDB83CC">
            <w:pPr>
              <w:keepNext w:val="0"/>
              <w:keepLines w:val="0"/>
              <w:widowControl/>
              <w:suppressLineNumbers w:val="0"/>
              <w:jc w:val="center"/>
              <w:textAlignment w:val="center"/>
              <w:rPr>
                <w:rFonts w:hint="default" w:ascii="Times New Roman" w:hAnsi="Times New Roman" w:eastAsia="宋体" w:cs="Times New Roman"/>
                <w:color w:val="auto"/>
                <w:kern w:val="0"/>
                <w:sz w:val="24"/>
                <w:szCs w:val="24"/>
                <w:highlight w:val="none"/>
                <w:lang w:val="en-US" w:eastAsia="zh-CN" w:bidi="he-IL"/>
              </w:rPr>
            </w:pPr>
            <w:r>
              <w:rPr>
                <w:rFonts w:hint="eastAsia" w:ascii="Times New Roman" w:hAnsi="Times New Roman" w:eastAsia="宋体" w:cs="Times New Roman"/>
                <w:color w:val="auto"/>
                <w:kern w:val="0"/>
                <w:sz w:val="24"/>
                <w:szCs w:val="24"/>
                <w:highlight w:val="none"/>
                <w:lang w:val="en-US" w:eastAsia="zh-CN" w:bidi="he-IL"/>
              </w:rPr>
              <w:t>+</w:t>
            </w:r>
            <w:r>
              <w:rPr>
                <w:rFonts w:hint="default" w:ascii="Times New Roman" w:hAnsi="Times New Roman" w:eastAsia="宋体" w:cs="Times New Roman"/>
                <w:color w:val="auto"/>
                <w:kern w:val="0"/>
                <w:sz w:val="24"/>
                <w:szCs w:val="24"/>
                <w:highlight w:val="none"/>
                <w:lang w:val="en-US" w:eastAsia="zh-CN" w:bidi="he-IL"/>
              </w:rPr>
              <w:t xml:space="preserve">0.004 </w:t>
            </w:r>
          </w:p>
        </w:tc>
      </w:tr>
      <w:tr w14:paraId="745D0F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07" w:type="pct"/>
            <w:vMerge w:val="continue"/>
            <w:noWrap w:val="0"/>
            <w:vAlign w:val="center"/>
          </w:tcPr>
          <w:p w14:paraId="2C9FB88F">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p>
        </w:tc>
        <w:tc>
          <w:tcPr>
            <w:tcW w:w="541" w:type="pct"/>
            <w:noWrap w:val="0"/>
            <w:vAlign w:val="center"/>
          </w:tcPr>
          <w:p w14:paraId="3B0BE18A">
            <w:pPr>
              <w:pStyle w:val="134"/>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eastAsia="宋体" w:cs="Times New Roman"/>
                <w:color w:val="auto"/>
                <w:kern w:val="0"/>
                <w:sz w:val="24"/>
                <w:szCs w:val="24"/>
                <w:highlight w:val="none"/>
                <w:lang w:val="en-US" w:eastAsia="zh-CN" w:bidi="he-IL"/>
              </w:rPr>
            </w:pPr>
            <w:r>
              <w:rPr>
                <w:rFonts w:hint="default" w:ascii="Times New Roman" w:hAnsi="Times New Roman" w:eastAsia="宋体" w:cs="Times New Roman"/>
                <w:color w:val="auto"/>
                <w:kern w:val="0"/>
                <w:sz w:val="24"/>
                <w:szCs w:val="24"/>
                <w:highlight w:val="none"/>
                <w:lang w:val="en-US" w:eastAsia="zh-CN" w:bidi="he-IL"/>
              </w:rPr>
              <w:t>TN</w:t>
            </w:r>
          </w:p>
        </w:tc>
        <w:tc>
          <w:tcPr>
            <w:tcW w:w="597" w:type="pct"/>
            <w:noWrap w:val="0"/>
            <w:vAlign w:val="center"/>
          </w:tcPr>
          <w:p w14:paraId="5B31757A">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US" w:eastAsia="zh-CN" w:bidi="he-IL"/>
              </w:rPr>
            </w:pPr>
          </w:p>
        </w:tc>
        <w:tc>
          <w:tcPr>
            <w:tcW w:w="443" w:type="pct"/>
            <w:noWrap w:val="0"/>
            <w:vAlign w:val="center"/>
          </w:tcPr>
          <w:p w14:paraId="719B10F0">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GB" w:eastAsia="zh-CN" w:bidi="he-IL"/>
              </w:rPr>
            </w:pPr>
          </w:p>
        </w:tc>
        <w:tc>
          <w:tcPr>
            <w:tcW w:w="597" w:type="pct"/>
            <w:noWrap w:val="0"/>
            <w:vAlign w:val="center"/>
          </w:tcPr>
          <w:p w14:paraId="04783929">
            <w:pPr>
              <w:keepNext w:val="0"/>
              <w:keepLines w:val="0"/>
              <w:widowControl/>
              <w:suppressLineNumbers w:val="0"/>
              <w:jc w:val="center"/>
              <w:textAlignment w:val="center"/>
              <w:rPr>
                <w:rFonts w:hint="default" w:ascii="Times New Roman" w:hAnsi="Times New Roman" w:eastAsia="宋体" w:cs="Times New Roman"/>
                <w:color w:val="auto"/>
                <w:kern w:val="0"/>
                <w:sz w:val="24"/>
                <w:szCs w:val="24"/>
                <w:highlight w:val="none"/>
                <w:lang w:val="en-GB" w:eastAsia="zh-CN" w:bidi="he-IL"/>
              </w:rPr>
            </w:pPr>
          </w:p>
        </w:tc>
        <w:tc>
          <w:tcPr>
            <w:tcW w:w="550" w:type="pct"/>
            <w:shd w:val="clear" w:color="auto" w:fill="auto"/>
            <w:noWrap w:val="0"/>
            <w:vAlign w:val="center"/>
          </w:tcPr>
          <w:p w14:paraId="56C2B855">
            <w:pPr>
              <w:keepNext w:val="0"/>
              <w:keepLines w:val="0"/>
              <w:widowControl/>
              <w:suppressLineNumbers w:val="0"/>
              <w:jc w:val="center"/>
              <w:textAlignment w:val="center"/>
              <w:rPr>
                <w:rFonts w:hint="default" w:ascii="Times New Roman" w:hAnsi="Times New Roman" w:eastAsia="宋体" w:cs="Times New Roman"/>
                <w:color w:val="auto"/>
                <w:kern w:val="0"/>
                <w:sz w:val="24"/>
                <w:szCs w:val="24"/>
                <w:highlight w:val="none"/>
                <w:lang w:val="en-US" w:eastAsia="zh-CN" w:bidi="he-IL"/>
              </w:rPr>
            </w:pPr>
            <w:r>
              <w:rPr>
                <w:rFonts w:hint="default" w:ascii="Times New Roman" w:hAnsi="Times New Roman" w:eastAsia="宋体" w:cs="Times New Roman"/>
                <w:color w:val="auto"/>
                <w:kern w:val="0"/>
                <w:sz w:val="24"/>
                <w:szCs w:val="24"/>
                <w:highlight w:val="none"/>
                <w:lang w:val="en-US" w:eastAsia="zh-CN" w:bidi="he-IL"/>
              </w:rPr>
              <w:t xml:space="preserve">0.060 </w:t>
            </w:r>
          </w:p>
        </w:tc>
        <w:tc>
          <w:tcPr>
            <w:tcW w:w="616" w:type="pct"/>
            <w:noWrap w:val="0"/>
            <w:vAlign w:val="center"/>
          </w:tcPr>
          <w:p w14:paraId="2195DAEA">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GB" w:eastAsia="zh-CN" w:bidi="he-IL"/>
              </w:rPr>
            </w:pPr>
          </w:p>
        </w:tc>
        <w:tc>
          <w:tcPr>
            <w:tcW w:w="693" w:type="pct"/>
            <w:noWrap w:val="0"/>
            <w:vAlign w:val="center"/>
          </w:tcPr>
          <w:p w14:paraId="41FC8015">
            <w:pPr>
              <w:keepNext w:val="0"/>
              <w:keepLines w:val="0"/>
              <w:widowControl/>
              <w:suppressLineNumbers w:val="0"/>
              <w:jc w:val="center"/>
              <w:textAlignment w:val="center"/>
              <w:rPr>
                <w:rFonts w:hint="default" w:ascii="Times New Roman" w:hAnsi="Times New Roman" w:eastAsia="宋体" w:cs="Times New Roman"/>
                <w:color w:val="auto"/>
                <w:kern w:val="0"/>
                <w:sz w:val="24"/>
                <w:szCs w:val="24"/>
                <w:highlight w:val="none"/>
                <w:lang w:val="en-US" w:eastAsia="zh-CN" w:bidi="he-IL"/>
              </w:rPr>
            </w:pPr>
            <w:r>
              <w:rPr>
                <w:rFonts w:hint="default" w:ascii="Times New Roman" w:hAnsi="Times New Roman" w:eastAsia="宋体" w:cs="Times New Roman"/>
                <w:color w:val="auto"/>
                <w:kern w:val="0"/>
                <w:sz w:val="24"/>
                <w:szCs w:val="24"/>
                <w:highlight w:val="none"/>
                <w:lang w:val="en-US" w:eastAsia="zh-CN" w:bidi="he-IL"/>
              </w:rPr>
              <w:t xml:space="preserve">0.060 </w:t>
            </w:r>
          </w:p>
        </w:tc>
        <w:tc>
          <w:tcPr>
            <w:tcW w:w="452" w:type="pct"/>
            <w:noWrap w:val="0"/>
            <w:vAlign w:val="center"/>
          </w:tcPr>
          <w:p w14:paraId="08010BCE">
            <w:pPr>
              <w:keepNext w:val="0"/>
              <w:keepLines w:val="0"/>
              <w:widowControl/>
              <w:suppressLineNumbers w:val="0"/>
              <w:jc w:val="center"/>
              <w:textAlignment w:val="center"/>
              <w:rPr>
                <w:rFonts w:hint="default" w:ascii="Times New Roman" w:hAnsi="Times New Roman" w:eastAsia="宋体" w:cs="Times New Roman"/>
                <w:color w:val="auto"/>
                <w:kern w:val="0"/>
                <w:sz w:val="24"/>
                <w:szCs w:val="24"/>
                <w:highlight w:val="none"/>
                <w:lang w:val="en-US" w:eastAsia="zh-CN" w:bidi="he-IL"/>
              </w:rPr>
            </w:pPr>
            <w:r>
              <w:rPr>
                <w:rFonts w:hint="eastAsia" w:ascii="Times New Roman" w:hAnsi="Times New Roman" w:eastAsia="宋体" w:cs="Times New Roman"/>
                <w:color w:val="auto"/>
                <w:kern w:val="0"/>
                <w:sz w:val="24"/>
                <w:szCs w:val="24"/>
                <w:highlight w:val="none"/>
                <w:lang w:val="en-US" w:eastAsia="zh-CN" w:bidi="he-IL"/>
              </w:rPr>
              <w:t>+</w:t>
            </w:r>
            <w:r>
              <w:rPr>
                <w:rFonts w:hint="default" w:ascii="Times New Roman" w:hAnsi="Times New Roman" w:eastAsia="宋体" w:cs="Times New Roman"/>
                <w:color w:val="auto"/>
                <w:kern w:val="0"/>
                <w:sz w:val="24"/>
                <w:szCs w:val="24"/>
                <w:highlight w:val="none"/>
                <w:lang w:val="en-US" w:eastAsia="zh-CN" w:bidi="he-IL"/>
              </w:rPr>
              <w:t xml:space="preserve">0.060 </w:t>
            </w:r>
          </w:p>
        </w:tc>
      </w:tr>
      <w:tr w14:paraId="45DB51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07" w:type="pct"/>
            <w:vMerge w:val="continue"/>
            <w:noWrap w:val="0"/>
            <w:vAlign w:val="center"/>
          </w:tcPr>
          <w:p w14:paraId="2F0E0D6D">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p>
        </w:tc>
        <w:tc>
          <w:tcPr>
            <w:tcW w:w="541" w:type="pct"/>
            <w:noWrap w:val="0"/>
            <w:vAlign w:val="center"/>
          </w:tcPr>
          <w:p w14:paraId="2410DE7E">
            <w:pPr>
              <w:pStyle w:val="134"/>
              <w:keepNext w:val="0"/>
              <w:keepLines w:val="0"/>
              <w:pageBreakBefore w:val="0"/>
              <w:kinsoku/>
              <w:wordWrap/>
              <w:overflowPunct/>
              <w:topLinePunct w:val="0"/>
              <w:autoSpaceDE/>
              <w:autoSpaceDN/>
              <w:bidi w:val="0"/>
              <w:adjustRightInd/>
              <w:snapToGrid/>
              <w:spacing w:line="340" w:lineRule="exact"/>
              <w:ind w:right="0" w:rightChars="0"/>
              <w:jc w:val="center"/>
              <w:textAlignment w:val="auto"/>
              <w:rPr>
                <w:rFonts w:hint="default" w:ascii="Times New Roman" w:hAnsi="Times New Roman" w:eastAsia="宋体" w:cs="Times New Roman"/>
                <w:color w:val="auto"/>
                <w:kern w:val="0"/>
                <w:sz w:val="24"/>
                <w:szCs w:val="24"/>
                <w:highlight w:val="none"/>
                <w:lang w:val="en-US" w:eastAsia="zh-CN" w:bidi="he-IL"/>
              </w:rPr>
            </w:pPr>
            <w:r>
              <w:rPr>
                <w:rFonts w:hint="default" w:ascii="Times New Roman" w:hAnsi="Times New Roman" w:eastAsia="宋体" w:cs="Times New Roman"/>
                <w:color w:val="auto"/>
                <w:kern w:val="0"/>
                <w:sz w:val="24"/>
                <w:szCs w:val="24"/>
                <w:highlight w:val="none"/>
                <w:lang w:val="en-US" w:eastAsia="zh-CN" w:bidi="he-IL"/>
              </w:rPr>
              <w:t>TP</w:t>
            </w:r>
          </w:p>
        </w:tc>
        <w:tc>
          <w:tcPr>
            <w:tcW w:w="597" w:type="pct"/>
            <w:noWrap w:val="0"/>
            <w:vAlign w:val="center"/>
          </w:tcPr>
          <w:p w14:paraId="43248DCC">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US" w:eastAsia="zh-CN" w:bidi="he-IL"/>
              </w:rPr>
            </w:pPr>
          </w:p>
        </w:tc>
        <w:tc>
          <w:tcPr>
            <w:tcW w:w="443" w:type="pct"/>
            <w:noWrap w:val="0"/>
            <w:vAlign w:val="center"/>
          </w:tcPr>
          <w:p w14:paraId="72F0C40A">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GB" w:eastAsia="zh-CN" w:bidi="he-IL"/>
              </w:rPr>
            </w:pPr>
          </w:p>
        </w:tc>
        <w:tc>
          <w:tcPr>
            <w:tcW w:w="597" w:type="pct"/>
            <w:noWrap w:val="0"/>
            <w:vAlign w:val="center"/>
          </w:tcPr>
          <w:p w14:paraId="52ED26AC">
            <w:pPr>
              <w:keepNext w:val="0"/>
              <w:keepLines w:val="0"/>
              <w:widowControl/>
              <w:suppressLineNumbers w:val="0"/>
              <w:jc w:val="center"/>
              <w:textAlignment w:val="center"/>
              <w:rPr>
                <w:rFonts w:hint="default" w:ascii="Times New Roman" w:hAnsi="Times New Roman" w:eastAsia="宋体" w:cs="Times New Roman"/>
                <w:color w:val="auto"/>
                <w:kern w:val="0"/>
                <w:sz w:val="24"/>
                <w:szCs w:val="24"/>
                <w:highlight w:val="none"/>
                <w:lang w:val="en-GB" w:eastAsia="zh-CN" w:bidi="he-IL"/>
              </w:rPr>
            </w:pPr>
          </w:p>
        </w:tc>
        <w:tc>
          <w:tcPr>
            <w:tcW w:w="550" w:type="pct"/>
            <w:shd w:val="clear" w:color="auto" w:fill="auto"/>
            <w:noWrap w:val="0"/>
            <w:vAlign w:val="center"/>
          </w:tcPr>
          <w:p w14:paraId="182E9CD6">
            <w:pPr>
              <w:keepNext w:val="0"/>
              <w:keepLines w:val="0"/>
              <w:widowControl/>
              <w:suppressLineNumbers w:val="0"/>
              <w:jc w:val="center"/>
              <w:textAlignment w:val="center"/>
              <w:rPr>
                <w:rFonts w:hint="default" w:ascii="Times New Roman" w:hAnsi="Times New Roman" w:eastAsia="宋体" w:cs="Times New Roman"/>
                <w:color w:val="auto"/>
                <w:kern w:val="0"/>
                <w:sz w:val="24"/>
                <w:szCs w:val="24"/>
                <w:highlight w:val="none"/>
                <w:lang w:val="en-US" w:eastAsia="zh-CN" w:bidi="he-IL"/>
              </w:rPr>
            </w:pPr>
            <w:r>
              <w:rPr>
                <w:rFonts w:hint="default" w:ascii="Times New Roman" w:hAnsi="Times New Roman" w:eastAsia="宋体" w:cs="Times New Roman"/>
                <w:color w:val="auto"/>
                <w:kern w:val="0"/>
                <w:sz w:val="24"/>
                <w:szCs w:val="24"/>
                <w:highlight w:val="none"/>
                <w:lang w:val="en-US" w:eastAsia="zh-CN" w:bidi="he-IL"/>
              </w:rPr>
              <w:t>0.00</w:t>
            </w:r>
            <w:r>
              <w:rPr>
                <w:rFonts w:hint="eastAsia" w:ascii="Times New Roman" w:hAnsi="Times New Roman" w:eastAsia="宋体" w:cs="Times New Roman"/>
                <w:color w:val="auto"/>
                <w:kern w:val="0"/>
                <w:sz w:val="24"/>
                <w:szCs w:val="24"/>
                <w:highlight w:val="none"/>
                <w:lang w:val="en-US" w:eastAsia="zh-CN" w:bidi="he-IL"/>
              </w:rPr>
              <w:t>2</w:t>
            </w:r>
            <w:r>
              <w:rPr>
                <w:rFonts w:hint="default" w:ascii="Times New Roman" w:hAnsi="Times New Roman" w:eastAsia="宋体" w:cs="Times New Roman"/>
                <w:color w:val="auto"/>
                <w:kern w:val="0"/>
                <w:sz w:val="24"/>
                <w:szCs w:val="24"/>
                <w:highlight w:val="none"/>
                <w:lang w:val="en-US" w:eastAsia="zh-CN" w:bidi="he-IL"/>
              </w:rPr>
              <w:t xml:space="preserve"> </w:t>
            </w:r>
          </w:p>
        </w:tc>
        <w:tc>
          <w:tcPr>
            <w:tcW w:w="616" w:type="pct"/>
            <w:noWrap w:val="0"/>
            <w:vAlign w:val="center"/>
          </w:tcPr>
          <w:p w14:paraId="24C139A7">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GB" w:eastAsia="zh-CN" w:bidi="he-IL"/>
              </w:rPr>
            </w:pPr>
          </w:p>
        </w:tc>
        <w:tc>
          <w:tcPr>
            <w:tcW w:w="693" w:type="pct"/>
            <w:noWrap w:val="0"/>
            <w:vAlign w:val="center"/>
          </w:tcPr>
          <w:p w14:paraId="3D4DD6BE">
            <w:pPr>
              <w:keepNext w:val="0"/>
              <w:keepLines w:val="0"/>
              <w:widowControl/>
              <w:suppressLineNumbers w:val="0"/>
              <w:jc w:val="center"/>
              <w:textAlignment w:val="center"/>
              <w:rPr>
                <w:rFonts w:hint="default" w:ascii="Times New Roman" w:hAnsi="Times New Roman" w:eastAsia="宋体" w:cs="Times New Roman"/>
                <w:color w:val="auto"/>
                <w:kern w:val="0"/>
                <w:sz w:val="24"/>
                <w:szCs w:val="24"/>
                <w:highlight w:val="none"/>
                <w:lang w:val="en-US" w:eastAsia="zh-CN" w:bidi="he-IL"/>
              </w:rPr>
            </w:pPr>
            <w:r>
              <w:rPr>
                <w:rFonts w:hint="default" w:ascii="Times New Roman" w:hAnsi="Times New Roman" w:eastAsia="宋体" w:cs="Times New Roman"/>
                <w:color w:val="auto"/>
                <w:kern w:val="0"/>
                <w:sz w:val="24"/>
                <w:szCs w:val="24"/>
                <w:highlight w:val="none"/>
                <w:lang w:val="en-US" w:eastAsia="zh-CN" w:bidi="he-IL"/>
              </w:rPr>
              <w:t>0.00</w:t>
            </w:r>
            <w:r>
              <w:rPr>
                <w:rFonts w:hint="eastAsia" w:ascii="Times New Roman" w:hAnsi="Times New Roman" w:eastAsia="宋体" w:cs="Times New Roman"/>
                <w:color w:val="auto"/>
                <w:kern w:val="0"/>
                <w:sz w:val="24"/>
                <w:szCs w:val="24"/>
                <w:highlight w:val="none"/>
                <w:lang w:val="en-US" w:eastAsia="zh-CN" w:bidi="he-IL"/>
              </w:rPr>
              <w:t>2</w:t>
            </w:r>
            <w:r>
              <w:rPr>
                <w:rFonts w:hint="default" w:ascii="Times New Roman" w:hAnsi="Times New Roman" w:eastAsia="宋体" w:cs="Times New Roman"/>
                <w:color w:val="auto"/>
                <w:kern w:val="0"/>
                <w:sz w:val="24"/>
                <w:szCs w:val="24"/>
                <w:highlight w:val="none"/>
                <w:lang w:val="en-US" w:eastAsia="zh-CN" w:bidi="he-IL"/>
              </w:rPr>
              <w:t xml:space="preserve"> </w:t>
            </w:r>
          </w:p>
        </w:tc>
        <w:tc>
          <w:tcPr>
            <w:tcW w:w="452" w:type="pct"/>
            <w:noWrap w:val="0"/>
            <w:vAlign w:val="center"/>
          </w:tcPr>
          <w:p w14:paraId="7B9C29B6">
            <w:pPr>
              <w:keepNext w:val="0"/>
              <w:keepLines w:val="0"/>
              <w:widowControl/>
              <w:suppressLineNumbers w:val="0"/>
              <w:jc w:val="center"/>
              <w:textAlignment w:val="center"/>
              <w:rPr>
                <w:rFonts w:hint="default" w:ascii="Times New Roman" w:hAnsi="Times New Roman" w:eastAsia="宋体" w:cs="Times New Roman"/>
                <w:color w:val="auto"/>
                <w:kern w:val="0"/>
                <w:sz w:val="24"/>
                <w:szCs w:val="24"/>
                <w:highlight w:val="none"/>
                <w:lang w:val="en-US" w:eastAsia="zh-CN" w:bidi="he-IL"/>
              </w:rPr>
            </w:pPr>
            <w:r>
              <w:rPr>
                <w:rFonts w:hint="eastAsia" w:ascii="Times New Roman" w:hAnsi="Times New Roman" w:eastAsia="宋体" w:cs="Times New Roman"/>
                <w:color w:val="auto"/>
                <w:kern w:val="0"/>
                <w:sz w:val="24"/>
                <w:szCs w:val="24"/>
                <w:highlight w:val="none"/>
                <w:lang w:val="en-US" w:eastAsia="zh-CN" w:bidi="he-IL"/>
              </w:rPr>
              <w:t>+</w:t>
            </w:r>
            <w:r>
              <w:rPr>
                <w:rFonts w:hint="default" w:ascii="Times New Roman" w:hAnsi="Times New Roman" w:eastAsia="宋体" w:cs="Times New Roman"/>
                <w:color w:val="auto"/>
                <w:kern w:val="0"/>
                <w:sz w:val="24"/>
                <w:szCs w:val="24"/>
                <w:highlight w:val="none"/>
                <w:lang w:val="en-US" w:eastAsia="zh-CN" w:bidi="he-IL"/>
              </w:rPr>
              <w:t>0.00</w:t>
            </w:r>
            <w:r>
              <w:rPr>
                <w:rFonts w:hint="eastAsia" w:ascii="Times New Roman" w:hAnsi="Times New Roman" w:eastAsia="宋体" w:cs="Times New Roman"/>
                <w:color w:val="auto"/>
                <w:kern w:val="0"/>
                <w:sz w:val="24"/>
                <w:szCs w:val="24"/>
                <w:highlight w:val="none"/>
                <w:lang w:val="en-US" w:eastAsia="zh-CN" w:bidi="he-IL"/>
              </w:rPr>
              <w:t>2</w:t>
            </w:r>
            <w:r>
              <w:rPr>
                <w:rFonts w:hint="default" w:ascii="Times New Roman" w:hAnsi="Times New Roman" w:eastAsia="宋体" w:cs="Times New Roman"/>
                <w:color w:val="auto"/>
                <w:kern w:val="0"/>
                <w:sz w:val="24"/>
                <w:szCs w:val="24"/>
                <w:highlight w:val="none"/>
                <w:lang w:val="en-US" w:eastAsia="zh-CN" w:bidi="he-IL"/>
              </w:rPr>
              <w:t xml:space="preserve"> </w:t>
            </w:r>
          </w:p>
        </w:tc>
      </w:tr>
      <w:tr w14:paraId="71E0AD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07" w:type="pct"/>
            <w:vMerge w:val="restart"/>
            <w:noWrap w:val="0"/>
            <w:vAlign w:val="center"/>
          </w:tcPr>
          <w:p w14:paraId="2F9D476C">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lang w:val="en-GB"/>
              </w:rPr>
              <w:t>一般工业</w:t>
            </w:r>
          </w:p>
          <w:p w14:paraId="755093A2">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lang w:val="en-GB"/>
              </w:rPr>
              <w:t>固体废物</w:t>
            </w:r>
          </w:p>
        </w:tc>
        <w:tc>
          <w:tcPr>
            <w:tcW w:w="541" w:type="pct"/>
            <w:noWrap w:val="0"/>
            <w:vAlign w:val="center"/>
          </w:tcPr>
          <w:p w14:paraId="6B94A725">
            <w:pPr>
              <w:pStyle w:val="96"/>
              <w:rPr>
                <w:rFonts w:hint="default" w:ascii="Times New Roman" w:hAnsi="Times New Roman" w:eastAsia="宋体" w:cs="Times New Roman"/>
                <w:color w:val="auto"/>
                <w:kern w:val="0"/>
                <w:sz w:val="24"/>
                <w:szCs w:val="24"/>
                <w:highlight w:val="none"/>
                <w:lang w:val="en-US" w:eastAsia="zh-CN" w:bidi="he-IL"/>
              </w:rPr>
            </w:pPr>
            <w:r>
              <w:rPr>
                <w:rFonts w:hint="default" w:ascii="Times New Roman" w:hAnsi="Times New Roman" w:eastAsia="宋体" w:cs="Times New Roman"/>
                <w:color w:val="auto"/>
                <w:kern w:val="0"/>
                <w:sz w:val="24"/>
                <w:szCs w:val="24"/>
                <w:highlight w:val="none"/>
                <w:lang w:val="en-US" w:eastAsia="zh-CN" w:bidi="he-IL"/>
              </w:rPr>
              <w:t>废包装材料</w:t>
            </w:r>
          </w:p>
        </w:tc>
        <w:tc>
          <w:tcPr>
            <w:tcW w:w="597" w:type="pct"/>
            <w:noWrap w:val="0"/>
            <w:vAlign w:val="center"/>
          </w:tcPr>
          <w:p w14:paraId="0EBD2CC8">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US" w:eastAsia="zh-CN" w:bidi="he-IL"/>
              </w:rPr>
            </w:pPr>
          </w:p>
        </w:tc>
        <w:tc>
          <w:tcPr>
            <w:tcW w:w="443" w:type="pct"/>
            <w:noWrap w:val="0"/>
            <w:vAlign w:val="center"/>
          </w:tcPr>
          <w:p w14:paraId="389BE1C7">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GB" w:eastAsia="zh-CN" w:bidi="he-IL"/>
              </w:rPr>
            </w:pPr>
          </w:p>
        </w:tc>
        <w:tc>
          <w:tcPr>
            <w:tcW w:w="597" w:type="pct"/>
            <w:noWrap w:val="0"/>
            <w:vAlign w:val="center"/>
          </w:tcPr>
          <w:p w14:paraId="1C60DB55">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GB" w:eastAsia="zh-CN" w:bidi="he-IL"/>
              </w:rPr>
            </w:pPr>
          </w:p>
        </w:tc>
        <w:tc>
          <w:tcPr>
            <w:tcW w:w="1522" w:type="dxa"/>
            <w:noWrap w:val="0"/>
            <w:vAlign w:val="center"/>
          </w:tcPr>
          <w:p w14:paraId="5A201382">
            <w:pPr>
              <w:pStyle w:val="96"/>
              <w:rPr>
                <w:rFonts w:hint="default" w:ascii="Times New Roman" w:hAnsi="Times New Roman" w:eastAsia="宋体" w:cs="Times New Roman"/>
                <w:color w:val="auto"/>
                <w:kern w:val="0"/>
                <w:sz w:val="24"/>
                <w:szCs w:val="24"/>
                <w:highlight w:val="none"/>
                <w:lang w:val="en-US" w:eastAsia="zh-CN" w:bidi="he-IL"/>
              </w:rPr>
            </w:pPr>
            <w:r>
              <w:rPr>
                <w:rFonts w:hint="default" w:ascii="Times New Roman" w:hAnsi="Times New Roman" w:eastAsia="宋体" w:cs="Times New Roman"/>
                <w:color w:val="auto"/>
                <w:kern w:val="0"/>
                <w:sz w:val="24"/>
                <w:szCs w:val="24"/>
                <w:highlight w:val="none"/>
                <w:lang w:val="en-US" w:eastAsia="zh-CN" w:bidi="he-IL"/>
              </w:rPr>
              <w:t>21.6</w:t>
            </w:r>
          </w:p>
        </w:tc>
        <w:tc>
          <w:tcPr>
            <w:tcW w:w="616" w:type="pct"/>
            <w:noWrap w:val="0"/>
            <w:vAlign w:val="center"/>
          </w:tcPr>
          <w:p w14:paraId="0DB09997">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GB" w:eastAsia="zh-CN" w:bidi="he-IL"/>
              </w:rPr>
            </w:pPr>
          </w:p>
        </w:tc>
        <w:tc>
          <w:tcPr>
            <w:tcW w:w="1918" w:type="dxa"/>
            <w:noWrap w:val="0"/>
            <w:vAlign w:val="center"/>
          </w:tcPr>
          <w:p w14:paraId="2E21DEEB">
            <w:pPr>
              <w:pStyle w:val="96"/>
              <w:rPr>
                <w:rFonts w:hint="default" w:ascii="Times New Roman" w:hAnsi="Times New Roman" w:eastAsia="宋体" w:cs="Times New Roman"/>
                <w:color w:val="auto"/>
                <w:kern w:val="0"/>
                <w:sz w:val="24"/>
                <w:szCs w:val="24"/>
                <w:highlight w:val="none"/>
                <w:lang w:val="en-US" w:eastAsia="zh-CN" w:bidi="he-IL"/>
              </w:rPr>
            </w:pPr>
            <w:r>
              <w:rPr>
                <w:rFonts w:hint="default" w:ascii="Times New Roman" w:hAnsi="Times New Roman" w:eastAsia="宋体" w:cs="Times New Roman"/>
                <w:color w:val="auto"/>
                <w:kern w:val="0"/>
                <w:sz w:val="24"/>
                <w:szCs w:val="24"/>
                <w:highlight w:val="none"/>
                <w:lang w:val="en-US" w:eastAsia="zh-CN" w:bidi="he-IL"/>
              </w:rPr>
              <w:t>21.6</w:t>
            </w:r>
          </w:p>
        </w:tc>
        <w:tc>
          <w:tcPr>
            <w:tcW w:w="1251" w:type="dxa"/>
            <w:noWrap w:val="0"/>
            <w:vAlign w:val="center"/>
          </w:tcPr>
          <w:p w14:paraId="7B9DDB52">
            <w:pPr>
              <w:pStyle w:val="96"/>
              <w:rPr>
                <w:rFonts w:hint="default" w:ascii="Times New Roman" w:hAnsi="Times New Roman" w:eastAsia="宋体" w:cs="Times New Roman"/>
                <w:color w:val="auto"/>
                <w:kern w:val="0"/>
                <w:sz w:val="24"/>
                <w:szCs w:val="24"/>
                <w:highlight w:val="none"/>
                <w:lang w:val="en-US" w:eastAsia="zh-CN" w:bidi="he-IL"/>
              </w:rPr>
            </w:pPr>
            <w:r>
              <w:rPr>
                <w:rFonts w:hint="eastAsia" w:ascii="Times New Roman" w:hAnsi="Times New Roman" w:eastAsia="宋体" w:cs="Times New Roman"/>
                <w:color w:val="auto"/>
                <w:kern w:val="0"/>
                <w:sz w:val="24"/>
                <w:szCs w:val="24"/>
                <w:highlight w:val="none"/>
                <w:lang w:val="en-US" w:eastAsia="zh-CN" w:bidi="he-IL"/>
              </w:rPr>
              <w:t>+</w:t>
            </w:r>
            <w:r>
              <w:rPr>
                <w:rFonts w:hint="default" w:ascii="Times New Roman" w:hAnsi="Times New Roman" w:eastAsia="宋体" w:cs="Times New Roman"/>
                <w:color w:val="auto"/>
                <w:kern w:val="0"/>
                <w:sz w:val="24"/>
                <w:szCs w:val="24"/>
                <w:highlight w:val="none"/>
                <w:lang w:val="en-US" w:eastAsia="zh-CN" w:bidi="he-IL"/>
              </w:rPr>
              <w:t>21.6</w:t>
            </w:r>
          </w:p>
        </w:tc>
      </w:tr>
      <w:tr w14:paraId="722DAA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07" w:type="pct"/>
            <w:vMerge w:val="continue"/>
            <w:noWrap w:val="0"/>
            <w:vAlign w:val="center"/>
          </w:tcPr>
          <w:p w14:paraId="7390ECBD">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p>
        </w:tc>
        <w:tc>
          <w:tcPr>
            <w:tcW w:w="541" w:type="pct"/>
            <w:noWrap w:val="0"/>
            <w:vAlign w:val="center"/>
          </w:tcPr>
          <w:p w14:paraId="3ADAE60B">
            <w:pPr>
              <w:pStyle w:val="96"/>
              <w:rPr>
                <w:rFonts w:hint="default" w:ascii="Times New Roman" w:hAnsi="Times New Roman" w:eastAsia="宋体" w:cs="Times New Roman"/>
                <w:color w:val="auto"/>
                <w:kern w:val="0"/>
                <w:sz w:val="24"/>
                <w:szCs w:val="24"/>
                <w:highlight w:val="none"/>
                <w:lang w:val="en-US" w:eastAsia="zh-CN" w:bidi="he-IL"/>
              </w:rPr>
            </w:pPr>
            <w:r>
              <w:rPr>
                <w:rFonts w:hint="default" w:ascii="Times New Roman" w:hAnsi="Times New Roman" w:eastAsia="宋体" w:cs="Times New Roman"/>
                <w:color w:val="auto"/>
                <w:kern w:val="0"/>
                <w:sz w:val="24"/>
                <w:szCs w:val="24"/>
                <w:highlight w:val="none"/>
                <w:lang w:val="en-US" w:eastAsia="zh-CN" w:bidi="he-IL"/>
              </w:rPr>
              <w:t>清洗沉渣</w:t>
            </w:r>
          </w:p>
        </w:tc>
        <w:tc>
          <w:tcPr>
            <w:tcW w:w="597" w:type="pct"/>
            <w:noWrap w:val="0"/>
            <w:vAlign w:val="center"/>
          </w:tcPr>
          <w:p w14:paraId="32BD0DFE">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US" w:eastAsia="zh-CN" w:bidi="he-IL"/>
              </w:rPr>
            </w:pPr>
          </w:p>
        </w:tc>
        <w:tc>
          <w:tcPr>
            <w:tcW w:w="443" w:type="pct"/>
            <w:noWrap w:val="0"/>
            <w:vAlign w:val="center"/>
          </w:tcPr>
          <w:p w14:paraId="32774BC6">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GB" w:eastAsia="zh-CN" w:bidi="he-IL"/>
              </w:rPr>
            </w:pPr>
          </w:p>
        </w:tc>
        <w:tc>
          <w:tcPr>
            <w:tcW w:w="597" w:type="pct"/>
            <w:noWrap w:val="0"/>
            <w:vAlign w:val="center"/>
          </w:tcPr>
          <w:p w14:paraId="7BE2CEF8">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GB" w:eastAsia="zh-CN" w:bidi="he-IL"/>
              </w:rPr>
            </w:pPr>
          </w:p>
        </w:tc>
        <w:tc>
          <w:tcPr>
            <w:tcW w:w="1522" w:type="dxa"/>
            <w:noWrap w:val="0"/>
            <w:vAlign w:val="center"/>
          </w:tcPr>
          <w:p w14:paraId="02AAAB60">
            <w:pPr>
              <w:pStyle w:val="96"/>
              <w:rPr>
                <w:rFonts w:hint="default" w:ascii="Times New Roman" w:hAnsi="Times New Roman" w:eastAsia="宋体" w:cs="Times New Roman"/>
                <w:color w:val="auto"/>
                <w:kern w:val="0"/>
                <w:sz w:val="24"/>
                <w:szCs w:val="24"/>
                <w:highlight w:val="none"/>
                <w:lang w:val="en-US" w:eastAsia="zh-CN" w:bidi="he-IL"/>
              </w:rPr>
            </w:pPr>
            <w:r>
              <w:rPr>
                <w:rFonts w:hint="default" w:ascii="Times New Roman" w:hAnsi="Times New Roman" w:eastAsia="宋体" w:cs="Times New Roman"/>
                <w:color w:val="auto"/>
                <w:kern w:val="0"/>
                <w:sz w:val="24"/>
                <w:szCs w:val="24"/>
                <w:highlight w:val="none"/>
                <w:lang w:val="en-US" w:eastAsia="zh-CN" w:bidi="he-IL"/>
              </w:rPr>
              <w:t>87.52</w:t>
            </w:r>
          </w:p>
        </w:tc>
        <w:tc>
          <w:tcPr>
            <w:tcW w:w="616" w:type="pct"/>
            <w:noWrap w:val="0"/>
            <w:vAlign w:val="center"/>
          </w:tcPr>
          <w:p w14:paraId="7443047E">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US" w:eastAsia="zh-CN" w:bidi="he-IL"/>
              </w:rPr>
            </w:pPr>
          </w:p>
        </w:tc>
        <w:tc>
          <w:tcPr>
            <w:tcW w:w="1918" w:type="dxa"/>
            <w:noWrap w:val="0"/>
            <w:vAlign w:val="center"/>
          </w:tcPr>
          <w:p w14:paraId="1D55ADF8">
            <w:pPr>
              <w:pStyle w:val="96"/>
              <w:rPr>
                <w:rFonts w:hint="default" w:ascii="Times New Roman" w:hAnsi="Times New Roman" w:eastAsia="宋体" w:cs="Times New Roman"/>
                <w:color w:val="auto"/>
                <w:kern w:val="0"/>
                <w:sz w:val="24"/>
                <w:szCs w:val="24"/>
                <w:highlight w:val="none"/>
                <w:lang w:val="en-US" w:eastAsia="zh-CN" w:bidi="he-IL"/>
              </w:rPr>
            </w:pPr>
            <w:r>
              <w:rPr>
                <w:rFonts w:hint="default" w:ascii="Times New Roman" w:hAnsi="Times New Roman" w:eastAsia="宋体" w:cs="Times New Roman"/>
                <w:color w:val="auto"/>
                <w:kern w:val="0"/>
                <w:sz w:val="24"/>
                <w:szCs w:val="24"/>
                <w:highlight w:val="none"/>
                <w:lang w:val="en-US" w:eastAsia="zh-CN" w:bidi="he-IL"/>
              </w:rPr>
              <w:t>87.52</w:t>
            </w:r>
          </w:p>
        </w:tc>
        <w:tc>
          <w:tcPr>
            <w:tcW w:w="1251" w:type="dxa"/>
            <w:noWrap w:val="0"/>
            <w:vAlign w:val="center"/>
          </w:tcPr>
          <w:p w14:paraId="1514F53A">
            <w:pPr>
              <w:pStyle w:val="96"/>
              <w:rPr>
                <w:rFonts w:hint="default" w:ascii="Times New Roman" w:hAnsi="Times New Roman" w:eastAsia="宋体" w:cs="Times New Roman"/>
                <w:color w:val="auto"/>
                <w:kern w:val="0"/>
                <w:sz w:val="24"/>
                <w:szCs w:val="24"/>
                <w:highlight w:val="none"/>
                <w:lang w:val="en-US" w:eastAsia="zh-CN" w:bidi="he-IL"/>
              </w:rPr>
            </w:pPr>
            <w:r>
              <w:rPr>
                <w:rFonts w:hint="eastAsia" w:ascii="Times New Roman" w:hAnsi="Times New Roman" w:eastAsia="宋体" w:cs="Times New Roman"/>
                <w:color w:val="auto"/>
                <w:kern w:val="0"/>
                <w:sz w:val="24"/>
                <w:szCs w:val="24"/>
                <w:highlight w:val="none"/>
                <w:lang w:val="en-US" w:eastAsia="zh-CN" w:bidi="he-IL"/>
              </w:rPr>
              <w:t>+</w:t>
            </w:r>
            <w:r>
              <w:rPr>
                <w:rFonts w:hint="default" w:ascii="Times New Roman" w:hAnsi="Times New Roman" w:eastAsia="宋体" w:cs="Times New Roman"/>
                <w:color w:val="auto"/>
                <w:kern w:val="0"/>
                <w:sz w:val="24"/>
                <w:szCs w:val="24"/>
                <w:highlight w:val="none"/>
                <w:lang w:val="en-US" w:eastAsia="zh-CN" w:bidi="he-IL"/>
              </w:rPr>
              <w:t>87.52</w:t>
            </w:r>
          </w:p>
        </w:tc>
      </w:tr>
      <w:tr w14:paraId="2206DC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07" w:type="pct"/>
            <w:vMerge w:val="continue"/>
            <w:noWrap w:val="0"/>
            <w:vAlign w:val="center"/>
          </w:tcPr>
          <w:p w14:paraId="0BCDFED9">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p>
        </w:tc>
        <w:tc>
          <w:tcPr>
            <w:tcW w:w="541" w:type="pct"/>
            <w:noWrap w:val="0"/>
            <w:vAlign w:val="center"/>
          </w:tcPr>
          <w:p w14:paraId="769CA206">
            <w:pPr>
              <w:pStyle w:val="96"/>
              <w:rPr>
                <w:rFonts w:hint="default" w:ascii="Times New Roman" w:hAnsi="Times New Roman" w:eastAsia="宋体" w:cs="Times New Roman"/>
                <w:color w:val="auto"/>
                <w:kern w:val="0"/>
                <w:sz w:val="24"/>
                <w:szCs w:val="24"/>
                <w:highlight w:val="none"/>
                <w:lang w:val="en-US" w:eastAsia="zh-CN" w:bidi="he-IL"/>
              </w:rPr>
            </w:pPr>
            <w:r>
              <w:rPr>
                <w:rFonts w:hint="default" w:ascii="Times New Roman" w:hAnsi="Times New Roman" w:eastAsia="宋体" w:cs="Times New Roman"/>
                <w:color w:val="auto"/>
                <w:kern w:val="0"/>
                <w:sz w:val="24"/>
                <w:szCs w:val="24"/>
                <w:highlight w:val="none"/>
                <w:lang w:val="en-US" w:eastAsia="zh-CN" w:bidi="he-IL"/>
              </w:rPr>
              <w:t>废纸浆、废纸屑</w:t>
            </w:r>
          </w:p>
        </w:tc>
        <w:tc>
          <w:tcPr>
            <w:tcW w:w="597" w:type="pct"/>
            <w:noWrap w:val="0"/>
            <w:vAlign w:val="center"/>
          </w:tcPr>
          <w:p w14:paraId="5796A87D">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US" w:eastAsia="zh-CN" w:bidi="he-IL"/>
              </w:rPr>
            </w:pPr>
          </w:p>
        </w:tc>
        <w:tc>
          <w:tcPr>
            <w:tcW w:w="443" w:type="pct"/>
            <w:noWrap w:val="0"/>
            <w:vAlign w:val="center"/>
          </w:tcPr>
          <w:p w14:paraId="2D7BFDB4">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US" w:eastAsia="zh-CN" w:bidi="he-IL"/>
              </w:rPr>
            </w:pPr>
          </w:p>
        </w:tc>
        <w:tc>
          <w:tcPr>
            <w:tcW w:w="597" w:type="pct"/>
            <w:noWrap w:val="0"/>
            <w:vAlign w:val="center"/>
          </w:tcPr>
          <w:p w14:paraId="744D8520">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US" w:eastAsia="zh-CN" w:bidi="he-IL"/>
              </w:rPr>
            </w:pPr>
          </w:p>
        </w:tc>
        <w:tc>
          <w:tcPr>
            <w:tcW w:w="1522" w:type="dxa"/>
            <w:noWrap w:val="0"/>
            <w:vAlign w:val="center"/>
          </w:tcPr>
          <w:p w14:paraId="03B26C4B">
            <w:pPr>
              <w:pStyle w:val="96"/>
              <w:rPr>
                <w:rFonts w:hint="default" w:ascii="Times New Roman" w:hAnsi="Times New Roman" w:eastAsia="宋体" w:cs="Times New Roman"/>
                <w:color w:val="auto"/>
                <w:kern w:val="0"/>
                <w:sz w:val="24"/>
                <w:szCs w:val="24"/>
                <w:highlight w:val="none"/>
                <w:lang w:val="en-US" w:eastAsia="zh-CN" w:bidi="he-IL"/>
              </w:rPr>
            </w:pPr>
            <w:r>
              <w:rPr>
                <w:rFonts w:hint="default" w:ascii="Times New Roman" w:hAnsi="Times New Roman" w:eastAsia="宋体" w:cs="Times New Roman"/>
                <w:color w:val="auto"/>
                <w:kern w:val="0"/>
                <w:sz w:val="24"/>
                <w:szCs w:val="24"/>
                <w:highlight w:val="none"/>
                <w:lang w:val="en-US" w:eastAsia="zh-CN" w:bidi="he-IL"/>
              </w:rPr>
              <w:t>16.8</w:t>
            </w:r>
          </w:p>
        </w:tc>
        <w:tc>
          <w:tcPr>
            <w:tcW w:w="616" w:type="pct"/>
            <w:noWrap w:val="0"/>
            <w:vAlign w:val="center"/>
          </w:tcPr>
          <w:p w14:paraId="3F8BB312">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US" w:eastAsia="zh-CN" w:bidi="he-IL"/>
              </w:rPr>
            </w:pPr>
          </w:p>
        </w:tc>
        <w:tc>
          <w:tcPr>
            <w:tcW w:w="1918" w:type="dxa"/>
            <w:noWrap w:val="0"/>
            <w:vAlign w:val="center"/>
          </w:tcPr>
          <w:p w14:paraId="7A917B33">
            <w:pPr>
              <w:pStyle w:val="96"/>
              <w:rPr>
                <w:rFonts w:hint="default" w:ascii="Times New Roman" w:hAnsi="Times New Roman" w:eastAsia="宋体" w:cs="Times New Roman"/>
                <w:color w:val="auto"/>
                <w:kern w:val="0"/>
                <w:sz w:val="24"/>
                <w:szCs w:val="24"/>
                <w:highlight w:val="none"/>
                <w:lang w:val="en-US" w:eastAsia="zh-CN" w:bidi="he-IL"/>
              </w:rPr>
            </w:pPr>
            <w:r>
              <w:rPr>
                <w:rFonts w:hint="default" w:ascii="Times New Roman" w:hAnsi="Times New Roman" w:eastAsia="宋体" w:cs="Times New Roman"/>
                <w:color w:val="auto"/>
                <w:kern w:val="0"/>
                <w:sz w:val="24"/>
                <w:szCs w:val="24"/>
                <w:highlight w:val="none"/>
                <w:lang w:val="en-US" w:eastAsia="zh-CN" w:bidi="he-IL"/>
              </w:rPr>
              <w:t>16.8</w:t>
            </w:r>
          </w:p>
        </w:tc>
        <w:tc>
          <w:tcPr>
            <w:tcW w:w="1251" w:type="dxa"/>
            <w:noWrap w:val="0"/>
            <w:vAlign w:val="center"/>
          </w:tcPr>
          <w:p w14:paraId="27679697">
            <w:pPr>
              <w:pStyle w:val="96"/>
              <w:rPr>
                <w:rFonts w:hint="default" w:ascii="Times New Roman" w:hAnsi="Times New Roman" w:eastAsia="宋体" w:cs="Times New Roman"/>
                <w:color w:val="auto"/>
                <w:kern w:val="0"/>
                <w:sz w:val="24"/>
                <w:szCs w:val="24"/>
                <w:highlight w:val="none"/>
                <w:lang w:val="en-US" w:eastAsia="zh-CN" w:bidi="he-IL"/>
              </w:rPr>
            </w:pPr>
            <w:r>
              <w:rPr>
                <w:rFonts w:hint="eastAsia" w:ascii="Times New Roman" w:hAnsi="Times New Roman" w:eastAsia="宋体" w:cs="Times New Roman"/>
                <w:color w:val="auto"/>
                <w:kern w:val="0"/>
                <w:sz w:val="24"/>
                <w:szCs w:val="24"/>
                <w:highlight w:val="none"/>
                <w:lang w:val="en-US" w:eastAsia="zh-CN" w:bidi="he-IL"/>
              </w:rPr>
              <w:t>+</w:t>
            </w:r>
            <w:r>
              <w:rPr>
                <w:rFonts w:hint="default" w:ascii="Times New Roman" w:hAnsi="Times New Roman" w:eastAsia="宋体" w:cs="Times New Roman"/>
                <w:color w:val="auto"/>
                <w:kern w:val="0"/>
                <w:sz w:val="24"/>
                <w:szCs w:val="24"/>
                <w:highlight w:val="none"/>
                <w:lang w:val="en-US" w:eastAsia="zh-CN" w:bidi="he-IL"/>
              </w:rPr>
              <w:t>16.8</w:t>
            </w:r>
          </w:p>
        </w:tc>
      </w:tr>
      <w:tr w14:paraId="4A28DE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07" w:type="pct"/>
            <w:vMerge w:val="continue"/>
            <w:noWrap w:val="0"/>
            <w:vAlign w:val="center"/>
          </w:tcPr>
          <w:p w14:paraId="624A09D3">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sz w:val="24"/>
                <w:szCs w:val="24"/>
                <w:highlight w:val="none"/>
                <w:lang w:val="en-GB"/>
              </w:rPr>
            </w:pPr>
          </w:p>
        </w:tc>
        <w:tc>
          <w:tcPr>
            <w:tcW w:w="541" w:type="pct"/>
            <w:noWrap w:val="0"/>
            <w:vAlign w:val="center"/>
          </w:tcPr>
          <w:p w14:paraId="37BBD25F">
            <w:pPr>
              <w:pStyle w:val="96"/>
              <w:rPr>
                <w:rFonts w:hint="default" w:ascii="Times New Roman" w:hAnsi="Times New Roman" w:eastAsia="宋体" w:cs="Times New Roman"/>
                <w:color w:val="auto"/>
                <w:kern w:val="0"/>
                <w:sz w:val="24"/>
                <w:szCs w:val="24"/>
                <w:highlight w:val="none"/>
                <w:lang w:val="en-US" w:eastAsia="zh-CN" w:bidi="he-IL"/>
              </w:rPr>
            </w:pPr>
            <w:r>
              <w:rPr>
                <w:rFonts w:hint="default" w:ascii="Times New Roman" w:hAnsi="Times New Roman" w:eastAsia="宋体" w:cs="Times New Roman"/>
                <w:color w:val="auto"/>
                <w:kern w:val="0"/>
                <w:sz w:val="24"/>
                <w:szCs w:val="24"/>
                <w:highlight w:val="none"/>
                <w:lang w:val="en-US" w:eastAsia="zh-CN" w:bidi="he-IL"/>
              </w:rPr>
              <w:t>污泥</w:t>
            </w:r>
          </w:p>
        </w:tc>
        <w:tc>
          <w:tcPr>
            <w:tcW w:w="597" w:type="pct"/>
            <w:noWrap w:val="0"/>
            <w:vAlign w:val="center"/>
          </w:tcPr>
          <w:p w14:paraId="4D4BAB0F">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US" w:eastAsia="zh-CN" w:bidi="he-IL"/>
              </w:rPr>
            </w:pPr>
          </w:p>
        </w:tc>
        <w:tc>
          <w:tcPr>
            <w:tcW w:w="443" w:type="pct"/>
            <w:noWrap w:val="0"/>
            <w:vAlign w:val="center"/>
          </w:tcPr>
          <w:p w14:paraId="583C2ABB">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US" w:eastAsia="zh-CN" w:bidi="he-IL"/>
              </w:rPr>
            </w:pPr>
          </w:p>
        </w:tc>
        <w:tc>
          <w:tcPr>
            <w:tcW w:w="597" w:type="pct"/>
            <w:noWrap w:val="0"/>
            <w:vAlign w:val="center"/>
          </w:tcPr>
          <w:p w14:paraId="52E6B085">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US" w:eastAsia="zh-CN" w:bidi="he-IL"/>
              </w:rPr>
            </w:pPr>
          </w:p>
        </w:tc>
        <w:tc>
          <w:tcPr>
            <w:tcW w:w="1522" w:type="dxa"/>
            <w:noWrap w:val="0"/>
            <w:vAlign w:val="center"/>
          </w:tcPr>
          <w:p w14:paraId="3F8C4AF7">
            <w:pPr>
              <w:pStyle w:val="96"/>
              <w:rPr>
                <w:rFonts w:hint="default" w:ascii="Times New Roman" w:hAnsi="Times New Roman" w:eastAsia="宋体" w:cs="Times New Roman"/>
                <w:color w:val="auto"/>
                <w:kern w:val="0"/>
                <w:sz w:val="24"/>
                <w:szCs w:val="24"/>
                <w:highlight w:val="none"/>
                <w:lang w:val="en-US" w:eastAsia="zh-CN" w:bidi="he-IL"/>
              </w:rPr>
            </w:pPr>
            <w:r>
              <w:rPr>
                <w:rFonts w:hint="default" w:ascii="Times New Roman" w:hAnsi="Times New Roman" w:eastAsia="宋体" w:cs="Times New Roman"/>
                <w:color w:val="auto"/>
                <w:kern w:val="0"/>
                <w:sz w:val="24"/>
                <w:szCs w:val="24"/>
                <w:highlight w:val="none"/>
                <w:lang w:val="en-US" w:eastAsia="zh-CN" w:bidi="he-IL"/>
              </w:rPr>
              <w:t>2.5</w:t>
            </w:r>
          </w:p>
        </w:tc>
        <w:tc>
          <w:tcPr>
            <w:tcW w:w="616" w:type="pct"/>
            <w:noWrap w:val="0"/>
            <w:vAlign w:val="center"/>
          </w:tcPr>
          <w:p w14:paraId="3941DE34">
            <w:pPr>
              <w:pStyle w:val="90"/>
              <w:keepNext w:val="0"/>
              <w:keepLines w:val="0"/>
              <w:pageBreakBefore w:val="0"/>
              <w:widowControl w:val="0"/>
              <w:kinsoku/>
              <w:wordWrap/>
              <w:overflowPunct/>
              <w:topLinePunct w:val="0"/>
              <w:autoSpaceDE w:val="0"/>
              <w:autoSpaceDN w:val="0"/>
              <w:bidi w:val="0"/>
              <w:adjustRightInd w:val="0"/>
              <w:snapToGrid w:val="0"/>
              <w:spacing w:line="340" w:lineRule="exact"/>
              <w:ind w:left="0" w:firstLine="0" w:firstLineChars="0"/>
              <w:textAlignment w:val="auto"/>
              <w:rPr>
                <w:rFonts w:hint="default" w:ascii="Times New Roman" w:hAnsi="Times New Roman" w:eastAsia="宋体" w:cs="Times New Roman"/>
                <w:color w:val="auto"/>
                <w:kern w:val="0"/>
                <w:sz w:val="24"/>
                <w:szCs w:val="24"/>
                <w:highlight w:val="none"/>
                <w:lang w:val="en-US" w:eastAsia="zh-CN" w:bidi="he-IL"/>
              </w:rPr>
            </w:pPr>
          </w:p>
        </w:tc>
        <w:tc>
          <w:tcPr>
            <w:tcW w:w="1918" w:type="dxa"/>
            <w:noWrap w:val="0"/>
            <w:vAlign w:val="center"/>
          </w:tcPr>
          <w:p w14:paraId="55F4F469">
            <w:pPr>
              <w:pStyle w:val="96"/>
              <w:rPr>
                <w:rFonts w:hint="default" w:ascii="Times New Roman" w:hAnsi="Times New Roman" w:eastAsia="宋体" w:cs="Times New Roman"/>
                <w:color w:val="auto"/>
                <w:kern w:val="0"/>
                <w:sz w:val="24"/>
                <w:szCs w:val="24"/>
                <w:highlight w:val="none"/>
                <w:lang w:val="en-US" w:eastAsia="zh-CN" w:bidi="he-IL"/>
              </w:rPr>
            </w:pPr>
            <w:r>
              <w:rPr>
                <w:rFonts w:hint="default" w:ascii="Times New Roman" w:hAnsi="Times New Roman" w:eastAsia="宋体" w:cs="Times New Roman"/>
                <w:color w:val="auto"/>
                <w:kern w:val="0"/>
                <w:sz w:val="24"/>
                <w:szCs w:val="24"/>
                <w:highlight w:val="none"/>
                <w:lang w:val="en-US" w:eastAsia="zh-CN" w:bidi="he-IL"/>
              </w:rPr>
              <w:t>2.5</w:t>
            </w:r>
          </w:p>
        </w:tc>
        <w:tc>
          <w:tcPr>
            <w:tcW w:w="1251" w:type="dxa"/>
            <w:noWrap w:val="0"/>
            <w:vAlign w:val="center"/>
          </w:tcPr>
          <w:p w14:paraId="39C20F0C">
            <w:pPr>
              <w:pStyle w:val="96"/>
              <w:rPr>
                <w:rFonts w:hint="default" w:ascii="Times New Roman" w:hAnsi="Times New Roman" w:eastAsia="宋体" w:cs="Times New Roman"/>
                <w:color w:val="auto"/>
                <w:kern w:val="0"/>
                <w:sz w:val="24"/>
                <w:szCs w:val="24"/>
                <w:highlight w:val="none"/>
                <w:lang w:val="en-US" w:eastAsia="zh-CN" w:bidi="he-IL"/>
              </w:rPr>
            </w:pPr>
            <w:r>
              <w:rPr>
                <w:rFonts w:hint="eastAsia" w:ascii="Times New Roman" w:hAnsi="Times New Roman" w:eastAsia="宋体" w:cs="Times New Roman"/>
                <w:color w:val="auto"/>
                <w:kern w:val="0"/>
                <w:sz w:val="24"/>
                <w:szCs w:val="24"/>
                <w:highlight w:val="none"/>
                <w:lang w:val="en-US" w:eastAsia="zh-CN" w:bidi="he-IL"/>
              </w:rPr>
              <w:t>+</w:t>
            </w:r>
            <w:r>
              <w:rPr>
                <w:rFonts w:hint="default" w:ascii="Times New Roman" w:hAnsi="Times New Roman" w:eastAsia="宋体" w:cs="Times New Roman"/>
                <w:color w:val="auto"/>
                <w:kern w:val="0"/>
                <w:sz w:val="24"/>
                <w:szCs w:val="24"/>
                <w:highlight w:val="none"/>
                <w:lang w:val="en-US" w:eastAsia="zh-CN" w:bidi="he-IL"/>
              </w:rPr>
              <w:t>2.5</w:t>
            </w:r>
          </w:p>
        </w:tc>
      </w:tr>
    </w:tbl>
    <w:p w14:paraId="67760D5F">
      <w:pPr>
        <w:pStyle w:val="58"/>
        <w:spacing w:before="192" w:beforeLines="80" w:after="24"/>
        <w:jc w:val="left"/>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注：</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instrText xml:space="preserve"> = 6 \* GB3 \* MERGEFORMAT </w:instrTex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⑥</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1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①</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3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③</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4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④</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instrText xml:space="preserve"> = 5 \* GB3 \* MERGEFORMAT </w:instrTex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⑤</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7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⑦</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instrText xml:space="preserve"> = 6 \* GB3 \* MERGEFORMAT </w:instrTex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⑥</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1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①</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p>
    <w:p w14:paraId="1E05B79D">
      <w:pPr>
        <w:rPr>
          <w:rFonts w:hint="default" w:ascii="Times New Roman" w:hAnsi="Times New Roman" w:eastAsia="宋体" w:cs="Times New Roman"/>
          <w:color w:val="000000" w:themeColor="text1"/>
          <w14:textFill>
            <w14:solidFill>
              <w14:schemeClr w14:val="tx1"/>
            </w14:solidFill>
          </w14:textFill>
        </w:rPr>
      </w:pPr>
    </w:p>
    <w:p w14:paraId="64B81044">
      <w:pPr>
        <w:rPr>
          <w:rFonts w:hint="default" w:ascii="Times New Roman" w:hAnsi="Times New Roman" w:eastAsia="宋体" w:cs="Times New Roman"/>
          <w:color w:val="000000" w:themeColor="text1"/>
          <w14:textFill>
            <w14:solidFill>
              <w14:schemeClr w14:val="tx1"/>
            </w14:solidFill>
          </w14:textFill>
        </w:rPr>
        <w:sectPr>
          <w:footerReference r:id="rId12" w:type="default"/>
          <w:pgSz w:w="16838" w:h="11906" w:orient="landscape"/>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1AF8D4B7">
      <w:pPr>
        <w:keepNext w:val="0"/>
        <w:keepLines w:val="0"/>
        <w:pageBreakBefore w:val="0"/>
        <w:widowControl w:val="0"/>
        <w:tabs>
          <w:tab w:val="left" w:pos="1852"/>
        </w:tabs>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color w:val="000000" w:themeColor="text1"/>
          <w:sz w:val="44"/>
          <w:szCs w:val="52"/>
          <w:highlight w:val="none"/>
          <w14:textFill>
            <w14:solidFill>
              <w14:schemeClr w14:val="tx1"/>
            </w14:solidFill>
          </w14:textFill>
        </w:rPr>
      </w:pPr>
      <w:bookmarkStart w:id="27" w:name="_Toc18812"/>
      <w:bookmarkStart w:id="28" w:name="_Toc26590"/>
      <w:bookmarkStart w:id="29" w:name="_Toc21713"/>
      <w:r>
        <w:rPr>
          <w:rFonts w:hint="default" w:ascii="Times New Roman" w:hAnsi="Times New Roman" w:cs="Times New Roman"/>
          <w:b/>
          <w:bCs/>
          <w:color w:val="000000" w:themeColor="text1"/>
          <w:sz w:val="44"/>
          <w:szCs w:val="52"/>
          <w:highlight w:val="none"/>
          <w14:textFill>
            <w14:solidFill>
              <w14:schemeClr w14:val="tx1"/>
            </w14:solidFill>
          </w14:textFill>
        </w:rPr>
        <w:drawing>
          <wp:anchor distT="0" distB="0" distL="114300" distR="114300" simplePos="0" relativeHeight="251671552" behindDoc="0" locked="0" layoutInCell="1" allowOverlap="1">
            <wp:simplePos x="0" y="0"/>
            <wp:positionH relativeFrom="column">
              <wp:posOffset>1270</wp:posOffset>
            </wp:positionH>
            <wp:positionV relativeFrom="paragraph">
              <wp:posOffset>0</wp:posOffset>
            </wp:positionV>
            <wp:extent cx="5613400" cy="8181340"/>
            <wp:effectExtent l="0" t="0" r="0" b="10160"/>
            <wp:wrapNone/>
            <wp:docPr id="21" name="图片 21" descr="打印编号：1763548879000 (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打印编号：1763548879000 (1)_04"/>
                    <pic:cNvPicPr>
                      <a:picLocks noChangeAspect="1"/>
                    </pic:cNvPicPr>
                  </pic:nvPicPr>
                  <pic:blipFill>
                    <a:blip r:embed="rId33"/>
                    <a:stretch>
                      <a:fillRect/>
                    </a:stretch>
                  </pic:blipFill>
                  <pic:spPr>
                    <a:xfrm>
                      <a:off x="0" y="0"/>
                      <a:ext cx="5613400" cy="8181340"/>
                    </a:xfrm>
                    <a:prstGeom prst="rect">
                      <a:avLst/>
                    </a:prstGeom>
                  </pic:spPr>
                </pic:pic>
              </a:graphicData>
            </a:graphic>
          </wp:anchor>
        </w:drawing>
      </w:r>
      <w:r>
        <w:rPr>
          <w:rFonts w:hint="default" w:ascii="Times New Roman" w:hAnsi="Times New Roman" w:cs="Times New Roman"/>
          <w:b/>
          <w:bCs/>
          <w:color w:val="000000" w:themeColor="text1"/>
          <w:sz w:val="44"/>
          <w:szCs w:val="52"/>
          <w:highlight w:val="none"/>
          <w14:textFill>
            <w14:solidFill>
              <w14:schemeClr w14:val="tx1"/>
            </w14:solidFill>
          </w14:textFill>
        </w:rPr>
        <w:t>申请环评批复</w:t>
      </w:r>
      <w:r>
        <w:rPr>
          <w:rFonts w:hint="default" w:ascii="Times New Roman" w:hAnsi="Times New Roman" w:cs="Times New Roman"/>
          <w:b/>
          <w:bCs/>
          <w:color w:val="000000" w:themeColor="text1"/>
          <w:sz w:val="44"/>
          <w:szCs w:val="52"/>
          <w:highlight w:val="none"/>
          <w:lang w:eastAsia="zh-CN"/>
          <w14:textFill>
            <w14:solidFill>
              <w14:schemeClr w14:val="tx1"/>
            </w14:solidFill>
          </w14:textFill>
        </w:rPr>
        <w:t>报告</w:t>
      </w:r>
    </w:p>
    <w:p w14:paraId="3CABDC7A">
      <w:pPr>
        <w:keepNext w:val="0"/>
        <w:keepLines w:val="0"/>
        <w:pageBreakBefore w:val="0"/>
        <w:widowControl w:val="0"/>
        <w:tabs>
          <w:tab w:val="left" w:pos="1852"/>
        </w:tabs>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pPr>
    </w:p>
    <w:p w14:paraId="6D3CE62F">
      <w:pPr>
        <w:keepNext w:val="0"/>
        <w:keepLines w:val="0"/>
        <w:pageBreakBefore w:val="0"/>
        <w:widowControl w:val="0"/>
        <w:tabs>
          <w:tab w:val="left" w:pos="1852"/>
        </w:tabs>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pPr>
    </w:p>
    <w:p w14:paraId="3E270660">
      <w:pPr>
        <w:keepNext w:val="0"/>
        <w:keepLines w:val="0"/>
        <w:pageBreakBefore w:val="0"/>
        <w:widowControl w:val="0"/>
        <w:tabs>
          <w:tab w:val="left" w:pos="1852"/>
        </w:tabs>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福州市福清生态环境局</w:t>
      </w:r>
      <w:r>
        <w:rPr>
          <w:rFonts w:hint="default" w:ascii="Times New Roman" w:hAnsi="Times New Roman" w:eastAsia="宋体" w:cs="Times New Roman"/>
          <w:b w:val="0"/>
          <w:bCs w:val="0"/>
          <w:color w:val="000000" w:themeColor="text1"/>
          <w:sz w:val="28"/>
          <w:szCs w:val="28"/>
          <w:highlight w:val="none"/>
          <w:lang w:eastAsia="zh-CN"/>
          <w14:textFill>
            <w14:solidFill>
              <w14:schemeClr w14:val="tx1"/>
            </w14:solidFill>
          </w14:textFill>
        </w:rPr>
        <w:t>：</w:t>
      </w:r>
    </w:p>
    <w:p w14:paraId="26710DA4">
      <w:pPr>
        <w:keepNext w:val="0"/>
        <w:keepLines w:val="0"/>
        <w:pageBreakBefore w:val="0"/>
        <w:widowControl w:val="0"/>
        <w:tabs>
          <w:tab w:val="left" w:pos="1852"/>
        </w:tabs>
        <w:kinsoku/>
        <w:wordWrap/>
        <w:overflowPunct/>
        <w:topLinePunct w:val="0"/>
        <w:autoSpaceDE/>
        <w:autoSpaceDN/>
        <w:bidi w:val="0"/>
        <w:adjustRightInd/>
        <w:snapToGrid/>
        <w:spacing w:line="360" w:lineRule="auto"/>
        <w:ind w:firstLine="560" w:firstLineChars="200"/>
        <w:jc w:val="left"/>
        <w:textAlignment w:val="auto"/>
        <w:rPr>
          <w:rFonts w:hint="default" w:ascii="Times New Roman" w:hAnsi="Times New Roman" w:eastAsia="宋体" w:cs="Times New Roman"/>
          <w:b w:val="0"/>
          <w:bCs w:val="0"/>
          <w:color w:val="000000" w:themeColor="text1"/>
          <w:sz w:val="28"/>
          <w:szCs w:val="28"/>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我单位</w:t>
      </w:r>
      <w:r>
        <w:rPr>
          <w:rFonts w:hint="default" w:ascii="Times New Roman" w:hAnsi="Times New Roman" w:eastAsia="宋体" w:cs="Times New Roman"/>
          <w:b w:val="0"/>
          <w:bCs w:val="0"/>
          <w:color w:val="000000" w:themeColor="text1"/>
          <w:sz w:val="28"/>
          <w:szCs w:val="28"/>
          <w:highlight w:val="none"/>
          <w:lang w:eastAsia="zh-CN"/>
          <w14:textFill>
            <w14:solidFill>
              <w14:schemeClr w14:val="tx1"/>
            </w14:solidFill>
          </w14:textFill>
        </w:rPr>
        <w:t>申请的</w:t>
      </w:r>
      <w:r>
        <w:rPr>
          <w:rFonts w:hint="default" w:ascii="Times New Roman" w:hAnsi="Times New Roman" w:cs="Times New Roman"/>
          <w:b w:val="0"/>
          <w:bCs w:val="0"/>
          <w:color w:val="000000" w:themeColor="text1"/>
          <w:sz w:val="28"/>
          <w:szCs w:val="28"/>
          <w:highlight w:val="none"/>
          <w:u w:val="single"/>
          <w:lang w:eastAsia="zh-CN"/>
          <w14:textFill>
            <w14:solidFill>
              <w14:schemeClr w14:val="tx1"/>
            </w14:solidFill>
          </w14:textFill>
        </w:rPr>
        <w:t>福州市福清亿树资源再生有限公司年回收加工输液瓶（袋）10400吨、年回收加工破碎生活塑料4000吨项目</w:t>
      </w:r>
      <w:r>
        <w:rPr>
          <w:rFonts w:hint="default" w:ascii="Times New Roman" w:hAnsi="Times New Roman" w:eastAsia="宋体" w:cs="Times New Roman"/>
          <w:b w:val="0"/>
          <w:bCs w:val="0"/>
          <w:color w:val="000000" w:themeColor="text1"/>
          <w:sz w:val="28"/>
          <w:szCs w:val="28"/>
          <w:highlight w:val="none"/>
          <w:lang w:eastAsia="zh-CN"/>
          <w14:textFill>
            <w14:solidFill>
              <w14:schemeClr w14:val="tx1"/>
            </w14:solidFill>
          </w14:textFill>
        </w:rPr>
        <w:t>建设项目环评</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文件审批，本项目选址在</w:t>
      </w:r>
      <w:r>
        <w:rPr>
          <w:rFonts w:hint="default" w:ascii="Times New Roman" w:hAnsi="Times New Roman" w:eastAsia="宋体" w:cs="Times New Roman"/>
          <w:b w:val="0"/>
          <w:bCs w:val="0"/>
          <w:color w:val="000000" w:themeColor="text1"/>
          <w:sz w:val="28"/>
          <w:szCs w:val="28"/>
          <w:highlight w:val="none"/>
          <w:u w:val="single"/>
          <w14:textFill>
            <w14:solidFill>
              <w14:schemeClr w14:val="tx1"/>
            </w14:solidFill>
          </w14:textFill>
        </w:rPr>
        <w:t>闽台（福州）蓝色经济产业园福建蓝谷海工装备产业综合体</w:t>
      </w:r>
      <w:r>
        <w:rPr>
          <w:rFonts w:hint="default" w:ascii="Times New Roman" w:hAnsi="Times New Roman" w:cs="Times New Roman"/>
          <w:b w:val="0"/>
          <w:bCs w:val="0"/>
          <w:color w:val="000000" w:themeColor="text1"/>
          <w:sz w:val="28"/>
          <w:szCs w:val="28"/>
          <w:highlight w:val="none"/>
          <w:u w:val="single"/>
          <w:lang w:eastAsia="zh-CN"/>
          <w14:textFill>
            <w14:solidFill>
              <w14:schemeClr w14:val="tx1"/>
            </w14:solidFill>
          </w14:textFill>
        </w:rPr>
        <w:t>B37厂房</w:t>
      </w:r>
      <w:r>
        <w:rPr>
          <w:rFonts w:hint="default" w:ascii="Times New Roman" w:hAnsi="Times New Roman" w:cs="Times New Roman"/>
          <w:b w:val="0"/>
          <w:bCs w:val="0"/>
          <w:color w:val="000000" w:themeColor="text1"/>
          <w:sz w:val="28"/>
          <w:szCs w:val="28"/>
          <w:highlight w:val="none"/>
          <w:u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建设</w:t>
      </w:r>
      <w:r>
        <w:rPr>
          <w:rFonts w:hint="default" w:ascii="Times New Roman" w:hAnsi="Times New Roman" w:eastAsia="宋体" w:cs="Times New Roman"/>
          <w:b w:val="0"/>
          <w:bCs w:val="0"/>
          <w:color w:val="000000" w:themeColor="text1"/>
          <w:sz w:val="28"/>
          <w:szCs w:val="28"/>
          <w:highlight w:val="none"/>
          <w:lang w:eastAsia="zh-CN"/>
          <w14:textFill>
            <w14:solidFill>
              <w14:schemeClr w14:val="tx1"/>
            </w14:solidFill>
          </w14:textFill>
        </w:rPr>
        <w:t>规模</w:t>
      </w:r>
      <w:r>
        <w:rPr>
          <w:rFonts w:hint="default" w:ascii="Times New Roman" w:hAnsi="Times New Roman" w:cs="Times New Roman"/>
          <w:b w:val="0"/>
          <w:bCs w:val="0"/>
          <w:color w:val="000000" w:themeColor="text1"/>
          <w:sz w:val="28"/>
          <w:szCs w:val="28"/>
          <w:highlight w:val="none"/>
          <w:u w:val="single"/>
          <w:lang w:eastAsia="zh-CN"/>
          <w14:textFill>
            <w14:solidFill>
              <w14:schemeClr w14:val="tx1"/>
            </w14:solidFill>
          </w14:textFill>
        </w:rPr>
        <w:t>年回收加工输液瓶（袋）10400吨、年回收加工破碎生活塑料4000吨项目</w:t>
      </w:r>
      <w:r>
        <w:rPr>
          <w:rFonts w:hint="default" w:ascii="Times New Roman" w:hAnsi="Times New Roman" w:eastAsia="宋体" w:cs="Times New Roman"/>
          <w:b w:val="0"/>
          <w:bCs w:val="0"/>
          <w:color w:val="000000" w:themeColor="text1"/>
          <w:sz w:val="28"/>
          <w:szCs w:val="28"/>
          <w:highlight w:val="none"/>
          <w:u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8"/>
          <w:szCs w:val="28"/>
          <w:highlight w:val="none"/>
          <w:lang w:eastAsia="zh-CN"/>
          <w14:textFill>
            <w14:solidFill>
              <w14:schemeClr w14:val="tx1"/>
            </w14:solidFill>
          </w14:textFill>
        </w:rPr>
        <w:t>根据</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《建设项目环境保护管理条例》等有关</w:t>
      </w:r>
      <w:r>
        <w:rPr>
          <w:rFonts w:hint="default" w:ascii="Times New Roman" w:hAnsi="Times New Roman" w:cs="Times New Roman"/>
          <w:b w:val="0"/>
          <w:bCs w:val="0"/>
          <w:color w:val="000000" w:themeColor="text1"/>
          <w:sz w:val="28"/>
          <w:szCs w:val="28"/>
          <w:highlight w:val="none"/>
          <w:lang w:eastAsia="zh-CN"/>
          <w14:textFill>
            <w14:solidFill>
              <w14:schemeClr w14:val="tx1"/>
            </w14:solidFill>
          </w14:textFill>
        </w:rPr>
        <w:t>法律法规</w:t>
      </w:r>
      <w:r>
        <w:rPr>
          <w:rFonts w:hint="default" w:ascii="Times New Roman" w:hAnsi="Times New Roman" w:eastAsia="宋体" w:cs="Times New Roman"/>
          <w:b w:val="0"/>
          <w:bCs w:val="0"/>
          <w:color w:val="000000" w:themeColor="text1"/>
          <w:sz w:val="28"/>
          <w:szCs w:val="28"/>
          <w:highlight w:val="none"/>
          <w:lang w:eastAsia="zh-CN"/>
          <w14:textFill>
            <w14:solidFill>
              <w14:schemeClr w14:val="tx1"/>
            </w14:solidFill>
          </w14:textFill>
        </w:rPr>
        <w:t>规定。</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本单位委托</w:t>
      </w:r>
      <w:r>
        <w:rPr>
          <w:rFonts w:hint="default" w:ascii="Times New Roman" w:hAnsi="Times New Roman" w:eastAsia="宋体" w:cs="Times New Roman"/>
          <w:b w:val="0"/>
          <w:bCs w:val="0"/>
          <w:color w:val="000000" w:themeColor="text1"/>
          <w:sz w:val="28"/>
          <w:szCs w:val="28"/>
          <w:highlight w:val="none"/>
          <w:u w:val="single"/>
          <w:lang w:eastAsia="zh-CN"/>
          <w14:textFill>
            <w14:solidFill>
              <w14:schemeClr w14:val="tx1"/>
            </w14:solidFill>
          </w14:textFill>
        </w:rPr>
        <w:t>福建中森亚环保科技有限公司</w:t>
      </w:r>
      <w:r>
        <w:rPr>
          <w:rFonts w:hint="default" w:ascii="Times New Roman" w:hAnsi="Times New Roman" w:cs="Times New Roman"/>
          <w:b w:val="0"/>
          <w:bCs w:val="0"/>
          <w:color w:val="000000" w:themeColor="text1"/>
          <w:sz w:val="28"/>
          <w:szCs w:val="28"/>
          <w:highlight w:val="none"/>
          <w:u w:val="single"/>
          <w:lang w:eastAsia="zh-CN"/>
          <w14:textFill>
            <w14:solidFill>
              <w14:schemeClr w14:val="tx1"/>
            </w14:solidFill>
          </w14:textFill>
        </w:rPr>
        <w:t>编制</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了</w:t>
      </w:r>
      <w:r>
        <w:rPr>
          <w:rFonts w:hint="default" w:ascii="Times New Roman" w:hAnsi="Times New Roman" w:eastAsia="宋体" w:cs="Times New Roman"/>
          <w:b w:val="0"/>
          <w:bCs w:val="0"/>
          <w:color w:val="000000" w:themeColor="text1"/>
          <w:sz w:val="28"/>
          <w:szCs w:val="28"/>
          <w:highlight w:val="none"/>
          <w:lang w:eastAsia="zh-CN"/>
          <w14:textFill>
            <w14:solidFill>
              <w14:schemeClr w14:val="tx1"/>
            </w14:solidFill>
          </w14:textFill>
        </w:rPr>
        <w:t>环境影响报告表</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w:t>
      </w:r>
      <w:r>
        <w:rPr>
          <w:rFonts w:hint="default" w:ascii="Times New Roman" w:hAnsi="Times New Roman" w:cs="Times New Roman"/>
          <w:b w:val="0"/>
          <w:bCs w:val="0"/>
          <w:color w:val="000000" w:themeColor="text1"/>
          <w:sz w:val="28"/>
          <w:szCs w:val="28"/>
          <w:highlight w:val="none"/>
          <w:lang w:eastAsia="zh-CN"/>
          <w14:textFill>
            <w14:solidFill>
              <w14:schemeClr w14:val="tx1"/>
            </w14:solidFill>
          </w14:textFill>
        </w:rPr>
        <w:t>现已</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完成并呈报贵局，</w:t>
      </w:r>
      <w:r>
        <w:rPr>
          <w:rFonts w:hint="default" w:ascii="Times New Roman" w:hAnsi="Times New Roman" w:eastAsia="宋体" w:cs="Times New Roman"/>
          <w:b w:val="0"/>
          <w:bCs w:val="0"/>
          <w:color w:val="000000" w:themeColor="text1"/>
          <w:sz w:val="28"/>
          <w:szCs w:val="28"/>
          <w:highlight w:val="none"/>
          <w:lang w:eastAsia="zh-CN"/>
          <w14:textFill>
            <w14:solidFill>
              <w14:schemeClr w14:val="tx1"/>
            </w14:solidFill>
          </w14:textFill>
        </w:rPr>
        <w:t>请</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及时给予批复</w:t>
      </w:r>
      <w:r>
        <w:rPr>
          <w:rFonts w:hint="default" w:ascii="Times New Roman" w:hAnsi="Times New Roman" w:eastAsia="宋体" w:cs="Times New Roman"/>
          <w:b w:val="0"/>
          <w:bCs w:val="0"/>
          <w:color w:val="000000" w:themeColor="text1"/>
          <w:sz w:val="28"/>
          <w:szCs w:val="28"/>
          <w:highlight w:val="none"/>
          <w:lang w:eastAsia="zh-CN"/>
          <w14:textFill>
            <w14:solidFill>
              <w14:schemeClr w14:val="tx1"/>
            </w14:solidFill>
          </w14:textFill>
        </w:rPr>
        <w:t>。</w:t>
      </w:r>
    </w:p>
    <w:p w14:paraId="21466132">
      <w:pPr>
        <w:keepNext w:val="0"/>
        <w:keepLines w:val="0"/>
        <w:pageBreakBefore w:val="0"/>
        <w:widowControl w:val="0"/>
        <w:tabs>
          <w:tab w:val="left" w:pos="1852"/>
        </w:tabs>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宋体" w:cs="Times New Roman"/>
          <w:b w:val="0"/>
          <w:bCs w:val="0"/>
          <w:color w:val="000000" w:themeColor="text1"/>
          <w:sz w:val="28"/>
          <w:szCs w:val="28"/>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专此报告</w:t>
      </w:r>
      <w:r>
        <w:rPr>
          <w:rFonts w:hint="default" w:ascii="Times New Roman" w:hAnsi="Times New Roman" w:eastAsia="宋体" w:cs="Times New Roman"/>
          <w:b w:val="0"/>
          <w:bCs w:val="0"/>
          <w:color w:val="000000" w:themeColor="text1"/>
          <w:sz w:val="28"/>
          <w:szCs w:val="28"/>
          <w:highlight w:val="none"/>
          <w:lang w:eastAsia="zh-CN"/>
          <w14:textFill>
            <w14:solidFill>
              <w14:schemeClr w14:val="tx1"/>
            </w14:solidFill>
          </w14:textFill>
        </w:rPr>
        <w:t>！</w:t>
      </w:r>
    </w:p>
    <w:p w14:paraId="59595A19">
      <w:pPr>
        <w:jc w:val="right"/>
        <w:rPr>
          <w:rFonts w:hint="default" w:ascii="Times New Roman" w:hAnsi="Times New Roman" w:eastAsia="宋体" w:cs="Times New Roman"/>
          <w:bCs w:val="0"/>
          <w:color w:val="000000" w:themeColor="text1"/>
          <w:spacing w:val="0"/>
          <w:kern w:val="2"/>
          <w:sz w:val="28"/>
          <w:szCs w:val="36"/>
          <w:highlight w:val="none"/>
          <w:lang w:val="en-US" w:eastAsia="zh-CN" w:bidi="ar-SA"/>
          <w14:textFill>
            <w14:solidFill>
              <w14:schemeClr w14:val="tx1"/>
            </w14:solidFill>
          </w14:textFill>
        </w:rPr>
      </w:pPr>
    </w:p>
    <w:p w14:paraId="31A387E9">
      <w:pPr>
        <w:jc w:val="right"/>
        <w:rPr>
          <w:rFonts w:hint="default" w:ascii="Times New Roman" w:hAnsi="Times New Roman" w:eastAsia="宋体" w:cs="Times New Roman"/>
          <w:bCs w:val="0"/>
          <w:color w:val="000000" w:themeColor="text1"/>
          <w:spacing w:val="0"/>
          <w:kern w:val="2"/>
          <w:sz w:val="28"/>
          <w:szCs w:val="36"/>
          <w:highlight w:val="none"/>
          <w:lang w:val="en-US" w:eastAsia="zh-CN" w:bidi="ar-SA"/>
          <w14:textFill>
            <w14:solidFill>
              <w14:schemeClr w14:val="tx1"/>
            </w14:solidFill>
          </w14:textFill>
        </w:rPr>
      </w:pPr>
    </w:p>
    <w:p w14:paraId="5A9E4B11">
      <w:pPr>
        <w:jc w:val="right"/>
        <w:rPr>
          <w:rFonts w:hint="default" w:ascii="Times New Roman" w:hAnsi="Times New Roman" w:eastAsia="宋体" w:cs="Times New Roman"/>
          <w:bCs w:val="0"/>
          <w:color w:val="000000" w:themeColor="text1"/>
          <w:spacing w:val="0"/>
          <w:kern w:val="2"/>
          <w:sz w:val="28"/>
          <w:szCs w:val="36"/>
          <w:highlight w:val="none"/>
          <w:lang w:val="en-US" w:eastAsia="zh-CN" w:bidi="ar-SA"/>
          <w14:textFill>
            <w14:solidFill>
              <w14:schemeClr w14:val="tx1"/>
            </w14:solidFill>
          </w14:textFill>
        </w:rPr>
      </w:pPr>
    </w:p>
    <w:p w14:paraId="20E6BBAE">
      <w:pPr>
        <w:jc w:val="right"/>
        <w:rPr>
          <w:rFonts w:hint="default" w:ascii="Times New Roman" w:hAnsi="Times New Roman" w:eastAsia="宋体" w:cs="Times New Roman"/>
          <w:bCs w:val="0"/>
          <w:color w:val="000000" w:themeColor="text1"/>
          <w:spacing w:val="0"/>
          <w:kern w:val="2"/>
          <w:sz w:val="28"/>
          <w:szCs w:val="36"/>
          <w:highlight w:val="none"/>
          <w:lang w:val="en-US" w:eastAsia="zh-CN" w:bidi="ar-SA"/>
          <w14:textFill>
            <w14:solidFill>
              <w14:schemeClr w14:val="tx1"/>
            </w14:solidFill>
          </w14:textFill>
        </w:rPr>
      </w:pPr>
    </w:p>
    <w:p w14:paraId="577094BF">
      <w:pPr>
        <w:jc w:val="right"/>
        <w:rPr>
          <w:rFonts w:hint="default" w:ascii="Times New Roman" w:hAnsi="Times New Roman" w:eastAsia="宋体" w:cs="Times New Roman"/>
          <w:bCs w:val="0"/>
          <w:color w:val="000000" w:themeColor="text1"/>
          <w:spacing w:val="0"/>
          <w:kern w:val="2"/>
          <w:sz w:val="28"/>
          <w:szCs w:val="36"/>
          <w:highlight w:val="none"/>
          <w:lang w:val="en-US" w:eastAsia="zh-CN" w:bidi="ar-SA"/>
          <w14:textFill>
            <w14:solidFill>
              <w14:schemeClr w14:val="tx1"/>
            </w14:solidFill>
          </w14:textFill>
        </w:rPr>
      </w:pPr>
    </w:p>
    <w:p w14:paraId="29ABD3AE">
      <w:pPr>
        <w:jc w:val="right"/>
        <w:rPr>
          <w:rFonts w:hint="default" w:ascii="Times New Roman" w:hAnsi="Times New Roman" w:eastAsia="宋体" w:cs="Times New Roman"/>
          <w:bCs w:val="0"/>
          <w:color w:val="000000" w:themeColor="text1"/>
          <w:spacing w:val="0"/>
          <w:kern w:val="2"/>
          <w:sz w:val="28"/>
          <w:szCs w:val="36"/>
          <w:highlight w:val="none"/>
          <w:lang w:val="en-US" w:eastAsia="zh-CN" w:bidi="ar-SA"/>
          <w14:textFill>
            <w14:solidFill>
              <w14:schemeClr w14:val="tx1"/>
            </w14:solidFill>
          </w14:textFill>
        </w:rPr>
      </w:pPr>
    </w:p>
    <w:p w14:paraId="6A88EA77">
      <w:pPr>
        <w:keepNext w:val="0"/>
        <w:keepLines w:val="0"/>
        <w:pageBreakBefore w:val="0"/>
        <w:widowControl w:val="0"/>
        <w:kinsoku/>
        <w:wordWrap/>
        <w:overflowPunct/>
        <w:topLinePunct w:val="0"/>
        <w:autoSpaceDE/>
        <w:autoSpaceDN/>
        <w:bidi w:val="0"/>
        <w:adjustRightInd/>
        <w:snapToGrid/>
        <w:jc w:val="right"/>
        <w:textAlignment w:val="auto"/>
        <w:outlineLvl w:val="9"/>
        <w:rPr>
          <w:rFonts w:hint="default" w:ascii="Times New Roman" w:hAnsi="Times New Roman" w:cs="Times New Roman"/>
          <w:bCs w:val="0"/>
          <w:color w:val="000000" w:themeColor="text1"/>
          <w:spacing w:val="0"/>
          <w:kern w:val="2"/>
          <w:sz w:val="28"/>
          <w:szCs w:val="36"/>
          <w:highlight w:val="none"/>
          <w:lang w:val="en-US" w:eastAsia="zh-CN" w:bidi="ar-SA"/>
          <w14:textFill>
            <w14:solidFill>
              <w14:schemeClr w14:val="tx1"/>
            </w14:solidFill>
          </w14:textFill>
        </w:rPr>
      </w:pPr>
    </w:p>
    <w:p w14:paraId="567337F1">
      <w:pPr>
        <w:keepNext w:val="0"/>
        <w:keepLines w:val="0"/>
        <w:pageBreakBefore w:val="0"/>
        <w:widowControl w:val="0"/>
        <w:kinsoku/>
        <w:wordWrap/>
        <w:overflowPunct/>
        <w:topLinePunct w:val="0"/>
        <w:autoSpaceDE/>
        <w:autoSpaceDN/>
        <w:bidi w:val="0"/>
        <w:adjustRightInd/>
        <w:snapToGrid/>
        <w:jc w:val="right"/>
        <w:textAlignment w:val="auto"/>
        <w:outlineLvl w:val="9"/>
        <w:rPr>
          <w:rFonts w:hint="default" w:ascii="Times New Roman" w:hAnsi="Times New Roman" w:cs="Times New Roman"/>
          <w:bCs w:val="0"/>
          <w:color w:val="000000" w:themeColor="text1"/>
          <w:spacing w:val="0"/>
          <w:kern w:val="2"/>
          <w:sz w:val="28"/>
          <w:szCs w:val="36"/>
          <w:highlight w:val="none"/>
          <w:lang w:val="en-US" w:eastAsia="zh-CN" w:bidi="ar-SA"/>
          <w14:textFill>
            <w14:solidFill>
              <w14:schemeClr w14:val="tx1"/>
            </w14:solidFill>
          </w14:textFill>
        </w:rPr>
      </w:pPr>
    </w:p>
    <w:p w14:paraId="7FFC167C">
      <w:pPr>
        <w:keepNext w:val="0"/>
        <w:keepLines w:val="0"/>
        <w:pageBreakBefore w:val="0"/>
        <w:widowControl w:val="0"/>
        <w:kinsoku/>
        <w:wordWrap/>
        <w:overflowPunct/>
        <w:topLinePunct w:val="0"/>
        <w:autoSpaceDE/>
        <w:autoSpaceDN/>
        <w:bidi w:val="0"/>
        <w:adjustRightInd/>
        <w:snapToGrid/>
        <w:jc w:val="right"/>
        <w:textAlignment w:val="auto"/>
        <w:outlineLvl w:val="9"/>
        <w:rPr>
          <w:rFonts w:hint="default" w:ascii="Times New Roman" w:hAnsi="Times New Roman" w:eastAsia="宋体" w:cs="Times New Roman"/>
          <w:bCs w:val="0"/>
          <w:color w:val="000000" w:themeColor="text1"/>
          <w:spacing w:val="0"/>
          <w:kern w:val="2"/>
          <w:sz w:val="28"/>
          <w:szCs w:val="36"/>
          <w:highlight w:val="none"/>
          <w:lang w:val="en-US" w:eastAsia="zh-CN" w:bidi="ar-SA"/>
          <w14:textFill>
            <w14:solidFill>
              <w14:schemeClr w14:val="tx1"/>
            </w14:solidFill>
          </w14:textFill>
        </w:rPr>
      </w:pPr>
      <w:r>
        <w:rPr>
          <w:rFonts w:hint="default" w:ascii="Times New Roman" w:hAnsi="Times New Roman" w:cs="Times New Roman"/>
          <w:bCs w:val="0"/>
          <w:color w:val="000000" w:themeColor="text1"/>
          <w:spacing w:val="0"/>
          <w:kern w:val="2"/>
          <w:sz w:val="28"/>
          <w:szCs w:val="36"/>
          <w:highlight w:val="none"/>
          <w:lang w:val="en-US" w:eastAsia="zh-CN" w:bidi="ar-SA"/>
          <w14:textFill>
            <w14:solidFill>
              <w14:schemeClr w14:val="tx1"/>
            </w14:solidFill>
          </w14:textFill>
        </w:rPr>
        <w:t>申请单位</w:t>
      </w:r>
      <w:r>
        <w:rPr>
          <w:rFonts w:hint="default" w:ascii="Times New Roman" w:hAnsi="Times New Roman" w:eastAsia="宋体" w:cs="Times New Roman"/>
          <w:bCs w:val="0"/>
          <w:color w:val="000000" w:themeColor="text1"/>
          <w:spacing w:val="0"/>
          <w:kern w:val="2"/>
          <w:sz w:val="28"/>
          <w:szCs w:val="36"/>
          <w:highlight w:val="none"/>
          <w:lang w:val="en-US" w:eastAsia="zh-CN" w:bidi="ar-SA"/>
          <w14:textFill>
            <w14:solidFill>
              <w14:schemeClr w14:val="tx1"/>
            </w14:solidFill>
          </w14:textFill>
        </w:rPr>
        <w:t>（盖章）：</w:t>
      </w:r>
      <w:r>
        <w:rPr>
          <w:rFonts w:hint="default" w:ascii="Times New Roman" w:hAnsi="Times New Roman" w:cs="Times New Roman"/>
          <w:bCs w:val="0"/>
          <w:color w:val="000000" w:themeColor="text1"/>
          <w:spacing w:val="0"/>
          <w:kern w:val="2"/>
          <w:sz w:val="28"/>
          <w:szCs w:val="36"/>
          <w:highlight w:val="none"/>
          <w:lang w:val="en-US" w:eastAsia="zh-CN" w:bidi="ar-SA"/>
          <w14:textFill>
            <w14:solidFill>
              <w14:schemeClr w14:val="tx1"/>
            </w14:solidFill>
          </w14:textFill>
        </w:rPr>
        <w:t>福州市福清亿树资源再生有限公司</w:t>
      </w:r>
    </w:p>
    <w:p w14:paraId="7A99E1A1">
      <w:pPr>
        <w:pStyle w:val="24"/>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val="0"/>
          <w:color w:val="000000" w:themeColor="text1"/>
          <w:spacing w:val="0"/>
          <w:kern w:val="2"/>
          <w:sz w:val="28"/>
          <w:szCs w:val="36"/>
          <w:highlight w:val="none"/>
          <w:lang w:val="en-US" w:eastAsia="zh-CN" w:bidi="ar-SA"/>
          <w14:textFill>
            <w14:solidFill>
              <w14:schemeClr w14:val="tx1"/>
            </w14:solidFill>
          </w14:textFill>
        </w:rPr>
      </w:pPr>
      <w:r>
        <w:rPr>
          <w:rFonts w:hint="default" w:ascii="Times New Roman" w:hAnsi="Times New Roman" w:eastAsia="宋体" w:cs="Times New Roman"/>
          <w:bCs w:val="0"/>
          <w:color w:val="000000" w:themeColor="text1"/>
          <w:spacing w:val="0"/>
          <w:kern w:val="2"/>
          <w:sz w:val="28"/>
          <w:szCs w:val="36"/>
          <w:highlight w:val="none"/>
          <w:lang w:val="en-US" w:eastAsia="zh-CN" w:bidi="ar-SA"/>
          <w14:textFill>
            <w14:solidFill>
              <w14:schemeClr w14:val="tx1"/>
            </w14:solidFill>
          </w14:textFill>
        </w:rPr>
        <w:t xml:space="preserve">   </w:t>
      </w:r>
      <w:bookmarkStart w:id="30" w:name="_Toc14448"/>
      <w:bookmarkStart w:id="31" w:name="_Toc4523"/>
      <w:bookmarkStart w:id="32" w:name="_Toc25460"/>
      <w:bookmarkStart w:id="33" w:name="_Toc3050"/>
      <w:bookmarkStart w:id="34" w:name="_Toc13963"/>
      <w:r>
        <w:rPr>
          <w:rFonts w:hint="default" w:ascii="Times New Roman" w:hAnsi="Times New Roman" w:eastAsia="宋体" w:cs="Times New Roman"/>
          <w:bCs w:val="0"/>
          <w:color w:val="000000" w:themeColor="text1"/>
          <w:spacing w:val="0"/>
          <w:kern w:val="2"/>
          <w:sz w:val="28"/>
          <w:szCs w:val="36"/>
          <w:highlight w:val="none"/>
          <w:lang w:val="en-US" w:eastAsia="zh-CN" w:bidi="ar-SA"/>
          <w14:textFill>
            <w14:solidFill>
              <w14:schemeClr w14:val="tx1"/>
            </w14:solidFill>
          </w14:textFill>
        </w:rPr>
        <w:t>法定代表人（签章）：</w:t>
      </w:r>
      <w:bookmarkEnd w:id="30"/>
      <w:bookmarkEnd w:id="31"/>
      <w:bookmarkEnd w:id="32"/>
      <w:bookmarkEnd w:id="33"/>
      <w:bookmarkEnd w:id="34"/>
    </w:p>
    <w:p w14:paraId="14D7F32C">
      <w:pPr>
        <w:pStyle w:val="24"/>
        <w:keepNext w:val="0"/>
        <w:keepLines w:val="0"/>
        <w:pageBreakBefore w:val="0"/>
        <w:widowControl w:val="0"/>
        <w:kinsoku/>
        <w:wordWrap/>
        <w:overflowPunct/>
        <w:topLinePunct w:val="0"/>
        <w:autoSpaceDE/>
        <w:autoSpaceDN/>
        <w:bidi w:val="0"/>
        <w:adjustRightInd/>
        <w:snapToGrid/>
        <w:jc w:val="right"/>
        <w:textAlignment w:val="auto"/>
        <w:outlineLvl w:val="9"/>
        <w:rPr>
          <w:rFonts w:hint="default" w:ascii="Times New Roman" w:hAnsi="Times New Roman" w:eastAsia="宋体" w:cs="Times New Roman"/>
          <w:bCs w:val="0"/>
          <w:color w:val="000000" w:themeColor="text1"/>
          <w:spacing w:val="0"/>
          <w:kern w:val="2"/>
          <w:sz w:val="28"/>
          <w:szCs w:val="36"/>
          <w:highlight w:val="none"/>
          <w:lang w:val="en-US" w:eastAsia="zh-CN" w:bidi="ar-SA"/>
          <w14:textFill>
            <w14:solidFill>
              <w14:schemeClr w14:val="tx1"/>
            </w14:solidFill>
          </w14:textFill>
        </w:rPr>
      </w:pPr>
      <w:r>
        <w:rPr>
          <w:rFonts w:hint="eastAsia" w:ascii="Times New Roman" w:hAnsi="Times New Roman" w:eastAsia="宋体" w:cs="Times New Roman"/>
          <w:bCs w:val="0"/>
          <w:color w:val="000000" w:themeColor="text1"/>
          <w:spacing w:val="0"/>
          <w:kern w:val="2"/>
          <w:sz w:val="28"/>
          <w:szCs w:val="36"/>
          <w:highlight w:val="none"/>
          <w:lang w:val="en-US" w:eastAsia="zh-CN" w:bidi="ar-SA"/>
          <w14:textFill>
            <w14:solidFill>
              <w14:schemeClr w14:val="tx1"/>
            </w14:solidFill>
          </w14:textFill>
        </w:rPr>
        <w:t>2025年11月19日</w:t>
      </w:r>
    </w:p>
    <w:p w14:paraId="49C8CEC5">
      <w:pPr>
        <w:tabs>
          <w:tab w:val="left" w:pos="1852"/>
        </w:tabs>
        <w:jc w:val="center"/>
        <w:rPr>
          <w:rFonts w:hint="default" w:ascii="Times New Roman" w:hAnsi="Times New Roman" w:cs="Times New Roman"/>
          <w:b w:val="0"/>
          <w:bCs w:val="0"/>
          <w:color w:val="000000" w:themeColor="text1"/>
          <w:sz w:val="44"/>
          <w:szCs w:val="52"/>
          <w:highlight w:val="none"/>
          <w14:textFill>
            <w14:solidFill>
              <w14:schemeClr w14:val="tx1"/>
            </w14:solidFill>
          </w14:textFill>
        </w:rPr>
        <w:sectPr>
          <w:headerReference r:id="rId13" w:type="default"/>
          <w:footerReference r:id="rId14"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bookmarkEnd w:id="27"/>
    <w:bookmarkEnd w:id="28"/>
    <w:bookmarkEnd w:id="29"/>
    <w:p w14:paraId="3EC84400">
      <w:pPr>
        <w:keepNext w:val="0"/>
        <w:keepLines w:val="0"/>
        <w:pageBreakBefore w:val="0"/>
        <w:widowControl w:val="0"/>
        <w:tabs>
          <w:tab w:val="left" w:pos="1852"/>
        </w:tabs>
        <w:kinsoku/>
        <w:wordWrap/>
        <w:overflowPunct/>
        <w:topLinePunct w:val="0"/>
        <w:autoSpaceDE/>
        <w:autoSpaceDN/>
        <w:bidi w:val="0"/>
        <w:adjustRightInd/>
        <w:snapToGrid/>
        <w:jc w:val="center"/>
        <w:textAlignment w:val="auto"/>
        <w:outlineLvl w:val="9"/>
        <w:rPr>
          <w:rFonts w:hint="default" w:ascii="Times New Roman" w:hAnsi="Times New Roman" w:cs="Times New Roman"/>
          <w:b w:val="0"/>
          <w:bCs w:val="0"/>
          <w:color w:val="000000" w:themeColor="text1"/>
          <w:sz w:val="44"/>
          <w:szCs w:val="52"/>
          <w:highlight w:val="none"/>
          <w14:textFill>
            <w14:solidFill>
              <w14:schemeClr w14:val="tx1"/>
            </w14:solidFill>
          </w14:textFill>
        </w:rPr>
      </w:pPr>
      <w:bookmarkStart w:id="35" w:name="_Toc32343"/>
      <w:bookmarkStart w:id="36" w:name="_Toc27026"/>
      <w:bookmarkStart w:id="37" w:name="_Toc1056"/>
      <w:r>
        <w:rPr>
          <w:rFonts w:hint="default" w:ascii="Times New Roman" w:hAnsi="Times New Roman" w:cs="Times New Roman"/>
          <w:b/>
          <w:bCs/>
          <w:color w:val="000000" w:themeColor="text1"/>
          <w:sz w:val="44"/>
          <w:szCs w:val="52"/>
          <w:highlight w:val="none"/>
          <w14:textFill>
            <w14:solidFill>
              <w14:schemeClr w14:val="tx1"/>
            </w14:solidFill>
          </w14:textFill>
        </w:rPr>
        <w:drawing>
          <wp:anchor distT="0" distB="0" distL="114300" distR="114300" simplePos="0" relativeHeight="251672576" behindDoc="0" locked="0" layoutInCell="1" allowOverlap="1">
            <wp:simplePos x="0" y="0"/>
            <wp:positionH relativeFrom="column">
              <wp:posOffset>1270</wp:posOffset>
            </wp:positionH>
            <wp:positionV relativeFrom="paragraph">
              <wp:posOffset>0</wp:posOffset>
            </wp:positionV>
            <wp:extent cx="5607050" cy="8145145"/>
            <wp:effectExtent l="0" t="0" r="6350" b="8255"/>
            <wp:wrapNone/>
            <wp:docPr id="32" name="图片 32" descr="打印编号：1763548879000 (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打印编号：1763548879000 (1)_06"/>
                    <pic:cNvPicPr>
                      <a:picLocks noChangeAspect="1"/>
                    </pic:cNvPicPr>
                  </pic:nvPicPr>
                  <pic:blipFill>
                    <a:blip r:embed="rId34"/>
                    <a:stretch>
                      <a:fillRect/>
                    </a:stretch>
                  </pic:blipFill>
                  <pic:spPr>
                    <a:xfrm>
                      <a:off x="0" y="0"/>
                      <a:ext cx="5607050" cy="8145145"/>
                    </a:xfrm>
                    <a:prstGeom prst="rect">
                      <a:avLst/>
                    </a:prstGeom>
                  </pic:spPr>
                </pic:pic>
              </a:graphicData>
            </a:graphic>
          </wp:anchor>
        </w:drawing>
      </w:r>
      <w:r>
        <w:rPr>
          <w:rFonts w:hint="default" w:ascii="Times New Roman" w:hAnsi="Times New Roman" w:cs="Times New Roman"/>
          <w:b/>
          <w:bCs/>
          <w:color w:val="000000" w:themeColor="text1"/>
          <w:sz w:val="44"/>
          <w:szCs w:val="52"/>
          <w:highlight w:val="none"/>
          <w14:textFill>
            <w14:solidFill>
              <w14:schemeClr w14:val="tx1"/>
            </w14:solidFill>
          </w14:textFill>
        </w:rPr>
        <w:t>信息删除理由说明报告</w:t>
      </w:r>
      <w:bookmarkEnd w:id="35"/>
      <w:bookmarkEnd w:id="36"/>
      <w:bookmarkEnd w:id="37"/>
    </w:p>
    <w:p w14:paraId="03CCAB68">
      <w:pPr>
        <w:keepNext w:val="0"/>
        <w:keepLines w:val="0"/>
        <w:pageBreakBefore w:val="0"/>
        <w:widowControl w:val="0"/>
        <w:tabs>
          <w:tab w:val="left" w:pos="1852"/>
        </w:tabs>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color w:val="000000" w:themeColor="text1"/>
          <w:sz w:val="28"/>
          <w:szCs w:val="36"/>
          <w:highlight w:val="none"/>
          <w14:textFill>
            <w14:solidFill>
              <w14:schemeClr w14:val="tx1"/>
            </w14:solidFill>
          </w14:textFill>
        </w:rPr>
      </w:pPr>
    </w:p>
    <w:p w14:paraId="4ED0D0EB">
      <w:pPr>
        <w:pStyle w:val="24"/>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color w:val="000000" w:themeColor="text1"/>
          <w14:textFill>
            <w14:solidFill>
              <w14:schemeClr w14:val="tx1"/>
            </w14:solidFill>
          </w14:textFill>
        </w:rPr>
      </w:pPr>
    </w:p>
    <w:p w14:paraId="16869C64">
      <w:pPr>
        <w:keepNext w:val="0"/>
        <w:keepLines w:val="0"/>
        <w:pageBreakBefore w:val="0"/>
        <w:widowControl w:val="0"/>
        <w:tabs>
          <w:tab w:val="left" w:pos="1852"/>
        </w:tabs>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color w:val="000000" w:themeColor="text1"/>
          <w:sz w:val="28"/>
          <w:szCs w:val="36"/>
          <w:highlight w:val="none"/>
          <w14:textFill>
            <w14:solidFill>
              <w14:schemeClr w14:val="tx1"/>
            </w14:solidFill>
          </w14:textFill>
        </w:rPr>
      </w:pPr>
      <w:r>
        <w:rPr>
          <w:rFonts w:hint="default" w:ascii="Times New Roman" w:hAnsi="Times New Roman" w:cs="Times New Roman"/>
          <w:color w:val="000000" w:themeColor="text1"/>
          <w:sz w:val="28"/>
          <w:szCs w:val="36"/>
          <w:highlight w:val="none"/>
          <w14:textFill>
            <w14:solidFill>
              <w14:schemeClr w14:val="tx1"/>
            </w14:solidFill>
          </w14:textFill>
        </w:rPr>
        <w:t>福州市福清生态环境局：</w:t>
      </w:r>
    </w:p>
    <w:p w14:paraId="3C08E283">
      <w:pPr>
        <w:keepNext w:val="0"/>
        <w:keepLines w:val="0"/>
        <w:pageBreakBefore w:val="0"/>
        <w:widowControl w:val="0"/>
        <w:tabs>
          <w:tab w:val="left" w:pos="1852"/>
        </w:tabs>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cs="Times New Roman"/>
          <w:color w:val="000000" w:themeColor="text1"/>
          <w:sz w:val="28"/>
          <w:szCs w:val="36"/>
          <w:highlight w:val="none"/>
          <w14:textFill>
            <w14:solidFill>
              <w14:schemeClr w14:val="tx1"/>
            </w14:solidFill>
          </w14:textFill>
        </w:rPr>
      </w:pPr>
      <w:r>
        <w:rPr>
          <w:rFonts w:hint="default" w:ascii="Times New Roman" w:hAnsi="Times New Roman" w:cs="Times New Roman"/>
          <w:color w:val="000000" w:themeColor="text1"/>
          <w:sz w:val="28"/>
          <w:szCs w:val="36"/>
          <w:highlight w:val="none"/>
          <w14:textFill>
            <w14:solidFill>
              <w14:schemeClr w14:val="tx1"/>
            </w14:solidFill>
          </w14:textFill>
        </w:rPr>
        <w:t>我单位向你局申报的</w:t>
      </w:r>
      <w:r>
        <w:rPr>
          <w:rFonts w:hint="default" w:ascii="Times New Roman" w:hAnsi="Times New Roman" w:cs="Times New Roman"/>
          <w:color w:val="000000" w:themeColor="text1"/>
          <w:sz w:val="28"/>
          <w:szCs w:val="36"/>
          <w:highlight w:val="none"/>
          <w:u w:val="single"/>
          <w:lang w:val="en-US" w:eastAsia="zh-CN"/>
          <w14:textFill>
            <w14:solidFill>
              <w14:schemeClr w14:val="tx1"/>
            </w14:solidFill>
          </w14:textFill>
        </w:rPr>
        <w:t>福州市福清亿树资源再生有限公司年回收加工输液瓶（袋）10400吨、年回收加工破碎生活塑料4000吨项目</w:t>
      </w:r>
      <w:r>
        <w:rPr>
          <w:rFonts w:hint="default" w:ascii="Times New Roman" w:hAnsi="Times New Roman" w:cs="Times New Roman"/>
          <w:color w:val="000000" w:themeColor="text1"/>
          <w:sz w:val="28"/>
          <w:szCs w:val="36"/>
          <w:highlight w:val="none"/>
          <w:u w:val="none"/>
          <w:lang w:val="en-US" w:eastAsia="zh-CN"/>
          <w14:textFill>
            <w14:solidFill>
              <w14:schemeClr w14:val="tx1"/>
            </w14:solidFill>
          </w14:textFill>
        </w:rPr>
        <w:t>环境影响报告</w:t>
      </w:r>
      <w:r>
        <w:rPr>
          <w:rFonts w:hint="default" w:ascii="Times New Roman" w:hAnsi="Times New Roman" w:cs="Times New Roman"/>
          <w:color w:val="000000" w:themeColor="text1"/>
          <w:sz w:val="28"/>
          <w:szCs w:val="36"/>
          <w:highlight w:val="none"/>
          <w:lang w:eastAsia="zh-CN"/>
          <w14:textFill>
            <w14:solidFill>
              <w14:schemeClr w14:val="tx1"/>
            </w14:solidFill>
          </w14:textFill>
        </w:rPr>
        <w:t>表</w:t>
      </w:r>
      <w:r>
        <w:rPr>
          <w:rFonts w:hint="default" w:ascii="Times New Roman" w:hAnsi="Times New Roman" w:cs="Times New Roman"/>
          <w:color w:val="000000" w:themeColor="text1"/>
          <w:sz w:val="28"/>
          <w:szCs w:val="36"/>
          <w:highlight w:val="none"/>
          <w14:textFill>
            <w14:solidFill>
              <w14:schemeClr w14:val="tx1"/>
            </w14:solidFill>
          </w14:textFill>
        </w:rPr>
        <w:t>件中</w:t>
      </w:r>
      <w:r>
        <w:rPr>
          <w:rFonts w:hint="default" w:ascii="Times New Roman" w:hAnsi="Times New Roman" w:cs="Times New Roman"/>
          <w:color w:val="000000" w:themeColor="text1"/>
          <w:sz w:val="28"/>
          <w:szCs w:val="36"/>
          <w:highlight w:val="none"/>
          <w:lang w:eastAsia="zh-CN"/>
          <w14:textFill>
            <w14:solidFill>
              <w14:schemeClr w14:val="tx1"/>
            </w14:solidFill>
          </w14:textFill>
        </w:rPr>
        <w:t>有</w:t>
      </w:r>
      <w:r>
        <w:rPr>
          <w:rFonts w:hint="default" w:ascii="Times New Roman" w:hAnsi="Times New Roman" w:cs="Times New Roman"/>
          <w:color w:val="000000" w:themeColor="text1"/>
          <w:sz w:val="28"/>
          <w:szCs w:val="36"/>
          <w:highlight w:val="none"/>
          <w14:textFill>
            <w14:solidFill>
              <w14:schemeClr w14:val="tx1"/>
            </w14:solidFill>
          </w14:textFill>
        </w:rPr>
        <w:t>涉及国家秘密和商业秘密等内容</w:t>
      </w:r>
      <w:r>
        <w:rPr>
          <w:rFonts w:hint="default" w:ascii="Times New Roman" w:hAnsi="Times New Roman" w:cs="Times New Roman"/>
          <w:color w:val="000000" w:themeColor="text1"/>
          <w:sz w:val="28"/>
          <w:szCs w:val="36"/>
          <w:highlight w:val="none"/>
          <w:lang w:eastAsia="zh-CN"/>
          <w14:textFill>
            <w14:solidFill>
              <w14:schemeClr w14:val="tx1"/>
            </w14:solidFill>
          </w14:textFill>
        </w:rPr>
        <w:t>。</w:t>
      </w:r>
      <w:r>
        <w:rPr>
          <w:rFonts w:hint="default" w:ascii="Times New Roman" w:hAnsi="Times New Roman" w:cs="Times New Roman"/>
          <w:color w:val="000000" w:themeColor="text1"/>
          <w:sz w:val="28"/>
          <w:szCs w:val="36"/>
          <w:highlight w:val="none"/>
          <w14:textFill>
            <w14:solidFill>
              <w14:schemeClr w14:val="tx1"/>
            </w14:solidFill>
          </w14:textFill>
        </w:rPr>
        <w:t>按照</w:t>
      </w:r>
      <w:r>
        <w:rPr>
          <w:rFonts w:hint="default" w:ascii="Times New Roman" w:hAnsi="Times New Roman" w:cs="Times New Roman"/>
          <w:color w:val="000000" w:themeColor="text1"/>
          <w:sz w:val="28"/>
          <w:szCs w:val="36"/>
          <w:highlight w:val="none"/>
          <w:lang w:eastAsia="zh-CN"/>
          <w14:textFill>
            <w14:solidFill>
              <w14:schemeClr w14:val="tx1"/>
            </w14:solidFill>
          </w14:textFill>
        </w:rPr>
        <w:t>生态环境部</w:t>
      </w:r>
      <w:r>
        <w:rPr>
          <w:rFonts w:hint="default" w:ascii="Times New Roman" w:hAnsi="Times New Roman" w:cs="Times New Roman"/>
          <w:color w:val="000000" w:themeColor="text1"/>
          <w:sz w:val="28"/>
          <w:szCs w:val="36"/>
          <w:highlight w:val="none"/>
          <w14:textFill>
            <w14:solidFill>
              <w14:schemeClr w14:val="tx1"/>
            </w14:solidFill>
          </w14:textFill>
        </w:rPr>
        <w:t>《建设项目环境影响评价政府信息公开指南（试行）</w:t>
      </w:r>
      <w:r>
        <w:rPr>
          <w:rFonts w:hint="default" w:ascii="Times New Roman" w:hAnsi="Times New Roman" w:cs="Times New Roman"/>
          <w:color w:val="000000" w:themeColor="text1"/>
          <w:sz w:val="28"/>
          <w:szCs w:val="36"/>
          <w:highlight w:val="none"/>
          <w:lang w:eastAsia="zh-CN"/>
          <w14:textFill>
            <w14:solidFill>
              <w14:schemeClr w14:val="tx1"/>
            </w14:solidFill>
          </w14:textFill>
        </w:rPr>
        <w:t>》</w:t>
      </w:r>
      <w:r>
        <w:rPr>
          <w:rFonts w:hint="default" w:ascii="Times New Roman" w:hAnsi="Times New Roman" w:cs="Times New Roman"/>
          <w:color w:val="000000" w:themeColor="text1"/>
          <w:sz w:val="28"/>
          <w:szCs w:val="36"/>
          <w:highlight w:val="none"/>
          <w14:textFill>
            <w14:solidFill>
              <w14:schemeClr w14:val="tx1"/>
            </w14:solidFill>
          </w14:textFill>
        </w:rPr>
        <w:t>要求，我单位</w:t>
      </w:r>
      <w:r>
        <w:rPr>
          <w:rFonts w:hint="default" w:ascii="Times New Roman" w:hAnsi="Times New Roman" w:cs="Times New Roman"/>
          <w:color w:val="000000" w:themeColor="text1"/>
          <w:sz w:val="28"/>
          <w:szCs w:val="36"/>
          <w:highlight w:val="none"/>
          <w:lang w:eastAsia="zh-CN"/>
          <w14:textFill>
            <w14:solidFill>
              <w14:schemeClr w14:val="tx1"/>
            </w14:solidFill>
          </w14:textFill>
        </w:rPr>
        <w:t>已对“</w:t>
      </w:r>
      <w:r>
        <w:rPr>
          <w:rFonts w:hint="default" w:ascii="Times New Roman" w:hAnsi="Times New Roman" w:cs="Times New Roman"/>
          <w:color w:val="000000" w:themeColor="text1"/>
          <w:sz w:val="28"/>
          <w:szCs w:val="36"/>
          <w:highlight w:val="none"/>
          <w14:textFill>
            <w14:solidFill>
              <w14:schemeClr w14:val="tx1"/>
            </w14:solidFill>
          </w14:textFill>
        </w:rPr>
        <w:t>供生态环境部门信息公开使用</w:t>
      </w:r>
      <w:r>
        <w:rPr>
          <w:rFonts w:hint="default" w:ascii="Times New Roman" w:hAnsi="Times New Roman" w:cs="Times New Roman"/>
          <w:color w:val="000000" w:themeColor="text1"/>
          <w:sz w:val="28"/>
          <w:szCs w:val="36"/>
          <w:highlight w:val="none"/>
          <w:lang w:eastAsia="zh-CN"/>
          <w14:textFill>
            <w14:solidFill>
              <w14:schemeClr w14:val="tx1"/>
            </w14:solidFill>
          </w14:textFill>
        </w:rPr>
        <w:t>”</w:t>
      </w:r>
      <w:r>
        <w:rPr>
          <w:rFonts w:hint="default" w:ascii="Times New Roman" w:hAnsi="Times New Roman" w:cs="Times New Roman"/>
          <w:color w:val="000000" w:themeColor="text1"/>
          <w:sz w:val="28"/>
          <w:szCs w:val="36"/>
          <w:highlight w:val="none"/>
          <w14:textFill>
            <w14:solidFill>
              <w14:schemeClr w14:val="tx1"/>
            </w14:solidFill>
          </w14:textFill>
        </w:rPr>
        <w:t>的环评文件中涉及国家秘密和商业秘密等内容进行删除，现将所</w:t>
      </w:r>
      <w:r>
        <w:rPr>
          <w:rFonts w:hint="default" w:ascii="Times New Roman" w:hAnsi="Times New Roman" w:cs="Times New Roman"/>
          <w:color w:val="000000" w:themeColor="text1"/>
          <w:sz w:val="28"/>
          <w:szCs w:val="36"/>
          <w:highlight w:val="none"/>
          <w:lang w:eastAsia="zh-CN"/>
          <w14:textFill>
            <w14:solidFill>
              <w14:schemeClr w14:val="tx1"/>
            </w14:solidFill>
          </w14:textFill>
        </w:rPr>
        <w:t>删</w:t>
      </w:r>
      <w:r>
        <w:rPr>
          <w:rFonts w:hint="default" w:ascii="Times New Roman" w:hAnsi="Times New Roman" w:cs="Times New Roman"/>
          <w:color w:val="000000" w:themeColor="text1"/>
          <w:sz w:val="28"/>
          <w:szCs w:val="36"/>
          <w:highlight w:val="none"/>
          <w14:textFill>
            <w14:solidFill>
              <w14:schemeClr w14:val="tx1"/>
            </w14:solidFill>
          </w14:textFill>
        </w:rPr>
        <w:t>除内容、依据及理由说明</w:t>
      </w:r>
      <w:r>
        <w:rPr>
          <w:rFonts w:hint="default" w:ascii="Times New Roman" w:hAnsi="Times New Roman" w:cs="Times New Roman"/>
          <w:color w:val="000000" w:themeColor="text1"/>
          <w:sz w:val="28"/>
          <w:szCs w:val="36"/>
          <w:highlight w:val="none"/>
          <w:lang w:eastAsia="zh-CN"/>
          <w14:textFill>
            <w14:solidFill>
              <w14:schemeClr w14:val="tx1"/>
            </w14:solidFill>
          </w14:textFill>
        </w:rPr>
        <w:t>报告</w:t>
      </w:r>
      <w:r>
        <w:rPr>
          <w:rFonts w:hint="default" w:ascii="Times New Roman" w:hAnsi="Times New Roman" w:cs="Times New Roman"/>
          <w:color w:val="000000" w:themeColor="text1"/>
          <w:sz w:val="28"/>
          <w:szCs w:val="36"/>
          <w:highlight w:val="none"/>
          <w14:textFill>
            <w14:solidFill>
              <w14:schemeClr w14:val="tx1"/>
            </w14:solidFill>
          </w14:textFill>
        </w:rPr>
        <w:t>如下：</w:t>
      </w:r>
    </w:p>
    <w:p w14:paraId="1EA9817B">
      <w:pPr>
        <w:keepNext w:val="0"/>
        <w:keepLines w:val="0"/>
        <w:pageBreakBefore w:val="0"/>
        <w:widowControl w:val="0"/>
        <w:numPr>
          <w:ilvl w:val="0"/>
          <w:numId w:val="0"/>
        </w:numPr>
        <w:tabs>
          <w:tab w:val="left" w:pos="1852"/>
        </w:tabs>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eastAsia="宋体" w:cs="Times New Roman"/>
          <w:color w:val="000000" w:themeColor="text1"/>
          <w:sz w:val="28"/>
          <w:szCs w:val="36"/>
          <w:highlight w:val="none"/>
          <w:u w:val="single"/>
          <w:lang w:eastAsia="zh-CN"/>
          <w14:textFill>
            <w14:solidFill>
              <w14:schemeClr w14:val="tx1"/>
            </w14:solidFill>
          </w14:textFill>
        </w:rPr>
      </w:pPr>
      <w:r>
        <w:rPr>
          <w:rFonts w:hint="default" w:ascii="Times New Roman" w:hAnsi="Times New Roman" w:cs="Times New Roman"/>
          <w:color w:val="000000" w:themeColor="text1"/>
          <w:sz w:val="28"/>
          <w:szCs w:val="36"/>
          <w:highlight w:val="none"/>
          <w:u w:val="single"/>
          <w:lang w:val="en-US" w:eastAsia="zh-CN"/>
          <w14:textFill>
            <w14:solidFill>
              <w14:schemeClr w14:val="tx1"/>
            </w14:solidFill>
          </w14:textFill>
        </w:rPr>
        <w:t>1、删</w:t>
      </w:r>
      <w:r>
        <w:rPr>
          <w:rFonts w:hint="default" w:ascii="Times New Roman" w:hAnsi="Times New Roman" w:cs="Times New Roman"/>
          <w:color w:val="000000" w:themeColor="text1"/>
          <w:sz w:val="28"/>
          <w:szCs w:val="36"/>
          <w:highlight w:val="none"/>
          <w:u w:val="single"/>
          <w14:textFill>
            <w14:solidFill>
              <w14:schemeClr w14:val="tx1"/>
            </w14:solidFill>
          </w14:textFill>
        </w:rPr>
        <w:t>除企业工商信息及法人、联系人相关个人信息</w:t>
      </w:r>
      <w:r>
        <w:rPr>
          <w:rFonts w:hint="default" w:ascii="Times New Roman" w:hAnsi="Times New Roman" w:cs="Times New Roman"/>
          <w:color w:val="000000" w:themeColor="text1"/>
          <w:sz w:val="28"/>
          <w:szCs w:val="36"/>
          <w:highlight w:val="none"/>
          <w:u w:val="single"/>
          <w:lang w:eastAsia="zh-CN"/>
          <w14:textFill>
            <w14:solidFill>
              <w14:schemeClr w14:val="tx1"/>
            </w14:solidFill>
          </w14:textFill>
        </w:rPr>
        <w:t>，</w:t>
      </w:r>
      <w:r>
        <w:rPr>
          <w:rFonts w:hint="default" w:ascii="Times New Roman" w:hAnsi="Times New Roman" w:cs="Times New Roman"/>
          <w:color w:val="000000" w:themeColor="text1"/>
          <w:sz w:val="28"/>
          <w:szCs w:val="36"/>
          <w:highlight w:val="none"/>
          <w:u w:val="single"/>
          <w14:textFill>
            <w14:solidFill>
              <w14:schemeClr w14:val="tx1"/>
            </w14:solidFill>
          </w14:textFill>
        </w:rPr>
        <w:t>因涉及企业商业秘密和个人</w:t>
      </w:r>
      <w:r>
        <w:rPr>
          <w:rFonts w:hint="default" w:ascii="Times New Roman" w:hAnsi="Times New Roman" w:cs="Times New Roman"/>
          <w:color w:val="000000" w:themeColor="text1"/>
          <w:sz w:val="28"/>
          <w:szCs w:val="36"/>
          <w:highlight w:val="none"/>
          <w:u w:val="single"/>
          <w:lang w:eastAsia="zh-CN"/>
          <w14:textFill>
            <w14:solidFill>
              <w14:schemeClr w14:val="tx1"/>
            </w14:solidFill>
          </w14:textFill>
        </w:rPr>
        <w:t>隐私；</w:t>
      </w:r>
    </w:p>
    <w:p w14:paraId="00EDA42F">
      <w:pPr>
        <w:keepNext w:val="0"/>
        <w:keepLines w:val="0"/>
        <w:pageBreakBefore w:val="0"/>
        <w:widowControl w:val="0"/>
        <w:numPr>
          <w:ilvl w:val="0"/>
          <w:numId w:val="0"/>
        </w:numPr>
        <w:tabs>
          <w:tab w:val="left" w:pos="1852"/>
        </w:tabs>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eastAsia="宋体" w:cs="Times New Roman"/>
          <w:color w:val="000000" w:themeColor="text1"/>
          <w:sz w:val="28"/>
          <w:szCs w:val="36"/>
          <w:highlight w:val="none"/>
          <w:u w:val="single"/>
          <w:lang w:eastAsia="zh-CN"/>
          <w14:textFill>
            <w14:solidFill>
              <w14:schemeClr w14:val="tx1"/>
            </w14:solidFill>
          </w14:textFill>
        </w:rPr>
      </w:pPr>
      <w:r>
        <w:rPr>
          <w:rFonts w:hint="default" w:ascii="Times New Roman" w:hAnsi="Times New Roman" w:cs="Times New Roman"/>
          <w:color w:val="000000" w:themeColor="text1"/>
          <w:sz w:val="28"/>
          <w:szCs w:val="36"/>
          <w:highlight w:val="none"/>
          <w:u w:val="single"/>
          <w14:textFill>
            <w14:solidFill>
              <w14:schemeClr w14:val="tx1"/>
            </w14:solidFill>
          </w14:textFill>
        </w:rPr>
        <w:t>2、</w:t>
      </w:r>
      <w:r>
        <w:rPr>
          <w:rFonts w:hint="default" w:ascii="Times New Roman" w:hAnsi="Times New Roman" w:cs="Times New Roman"/>
          <w:color w:val="000000" w:themeColor="text1"/>
          <w:sz w:val="28"/>
          <w:szCs w:val="36"/>
          <w:highlight w:val="none"/>
          <w:u w:val="single"/>
          <w:lang w:eastAsia="zh-CN"/>
          <w14:textFill>
            <w14:solidFill>
              <w14:schemeClr w14:val="tx1"/>
            </w14:solidFill>
          </w14:textFill>
        </w:rPr>
        <w:t>删除</w:t>
      </w:r>
      <w:r>
        <w:rPr>
          <w:rFonts w:hint="default" w:ascii="Times New Roman" w:hAnsi="Times New Roman" w:cs="Times New Roman"/>
          <w:color w:val="000000" w:themeColor="text1"/>
          <w:sz w:val="28"/>
          <w:szCs w:val="36"/>
          <w:highlight w:val="none"/>
          <w:u w:val="single"/>
          <w14:textFill>
            <w14:solidFill>
              <w14:schemeClr w14:val="tx1"/>
            </w14:solidFill>
          </w14:textFill>
        </w:rPr>
        <w:t>编制单位和编制人员情况表</w:t>
      </w:r>
      <w:r>
        <w:rPr>
          <w:rFonts w:hint="default" w:ascii="Times New Roman" w:hAnsi="Times New Roman" w:cs="Times New Roman"/>
          <w:color w:val="000000" w:themeColor="text1"/>
          <w:sz w:val="28"/>
          <w:szCs w:val="36"/>
          <w:highlight w:val="none"/>
          <w:u w:val="single"/>
          <w:lang w:eastAsia="zh-CN"/>
          <w14:textFill>
            <w14:solidFill>
              <w14:schemeClr w14:val="tx1"/>
            </w14:solidFill>
          </w14:textFill>
        </w:rPr>
        <w:t>，</w:t>
      </w:r>
      <w:r>
        <w:rPr>
          <w:rFonts w:hint="default" w:ascii="Times New Roman" w:hAnsi="Times New Roman" w:cs="Times New Roman"/>
          <w:color w:val="000000" w:themeColor="text1"/>
          <w:sz w:val="28"/>
          <w:szCs w:val="36"/>
          <w:highlight w:val="none"/>
          <w:u w:val="single"/>
          <w14:textFill>
            <w14:solidFill>
              <w14:schemeClr w14:val="tx1"/>
            </w14:solidFill>
          </w14:textFill>
        </w:rPr>
        <w:t>因涉及企业和个人</w:t>
      </w:r>
      <w:r>
        <w:rPr>
          <w:rFonts w:hint="default" w:ascii="Times New Roman" w:hAnsi="Times New Roman" w:cs="Times New Roman"/>
          <w:color w:val="000000" w:themeColor="text1"/>
          <w:sz w:val="28"/>
          <w:szCs w:val="36"/>
          <w:highlight w:val="none"/>
          <w:u w:val="single"/>
          <w:lang w:eastAsia="zh-CN"/>
          <w14:textFill>
            <w14:solidFill>
              <w14:schemeClr w14:val="tx1"/>
            </w14:solidFill>
          </w14:textFill>
        </w:rPr>
        <w:t>隐私；</w:t>
      </w:r>
    </w:p>
    <w:p w14:paraId="6233344B">
      <w:pPr>
        <w:keepNext w:val="0"/>
        <w:keepLines w:val="0"/>
        <w:pageBreakBefore w:val="0"/>
        <w:widowControl w:val="0"/>
        <w:numPr>
          <w:ilvl w:val="0"/>
          <w:numId w:val="0"/>
        </w:numPr>
        <w:tabs>
          <w:tab w:val="left" w:pos="1852"/>
        </w:tabs>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cs="Times New Roman"/>
          <w:color w:val="000000" w:themeColor="text1"/>
          <w:sz w:val="28"/>
          <w:szCs w:val="36"/>
          <w:highlight w:val="none"/>
          <w:u w:val="single"/>
          <w:lang w:val="en-US" w:eastAsia="zh-CN"/>
          <w14:textFill>
            <w14:solidFill>
              <w14:schemeClr w14:val="tx1"/>
            </w14:solidFill>
          </w14:textFill>
        </w:rPr>
      </w:pPr>
      <w:r>
        <w:rPr>
          <w:rFonts w:hint="default" w:ascii="Times New Roman" w:hAnsi="Times New Roman" w:cs="Times New Roman"/>
          <w:color w:val="000000" w:themeColor="text1"/>
          <w:sz w:val="28"/>
          <w:szCs w:val="36"/>
          <w:highlight w:val="none"/>
          <w:u w:val="single"/>
          <w:lang w:val="en-US" w:eastAsia="zh-CN"/>
          <w14:textFill>
            <w14:solidFill>
              <w14:schemeClr w14:val="tx1"/>
            </w14:solidFill>
          </w14:textFill>
        </w:rPr>
        <w:t>3、删除原辅材料、生产设备、生产工艺信息，因涉及企业商业秘密；</w:t>
      </w:r>
    </w:p>
    <w:p w14:paraId="3E6EB5EE">
      <w:pPr>
        <w:keepNext w:val="0"/>
        <w:keepLines w:val="0"/>
        <w:pageBreakBefore w:val="0"/>
        <w:widowControl w:val="0"/>
        <w:numPr>
          <w:ilvl w:val="0"/>
          <w:numId w:val="0"/>
        </w:numPr>
        <w:tabs>
          <w:tab w:val="left" w:pos="1852"/>
        </w:tabs>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cs="Times New Roman"/>
          <w:color w:val="000000" w:themeColor="text1"/>
          <w:sz w:val="28"/>
          <w:szCs w:val="36"/>
          <w:highlight w:val="none"/>
          <w:u w:val="single"/>
          <w:lang w:eastAsia="zh-CN"/>
          <w14:textFill>
            <w14:solidFill>
              <w14:schemeClr w14:val="tx1"/>
            </w14:solidFill>
          </w14:textFill>
        </w:rPr>
      </w:pPr>
      <w:r>
        <w:rPr>
          <w:rFonts w:hint="default" w:ascii="Times New Roman" w:hAnsi="Times New Roman" w:cs="Times New Roman"/>
          <w:color w:val="000000" w:themeColor="text1"/>
          <w:sz w:val="28"/>
          <w:szCs w:val="36"/>
          <w:highlight w:val="none"/>
          <w:u w:val="single"/>
          <w:lang w:val="en-US" w:eastAsia="zh-CN"/>
          <w14:textFill>
            <w14:solidFill>
              <w14:schemeClr w14:val="tx1"/>
            </w14:solidFill>
          </w14:textFill>
        </w:rPr>
        <w:t>4</w:t>
      </w:r>
      <w:r>
        <w:rPr>
          <w:rFonts w:hint="default" w:ascii="Times New Roman" w:hAnsi="Times New Roman" w:cs="Times New Roman"/>
          <w:color w:val="000000" w:themeColor="text1"/>
          <w:sz w:val="28"/>
          <w:szCs w:val="36"/>
          <w:highlight w:val="none"/>
          <w:u w:val="single"/>
          <w14:textFill>
            <w14:solidFill>
              <w14:schemeClr w14:val="tx1"/>
            </w14:solidFill>
          </w14:textFill>
        </w:rPr>
        <w:t>、</w:t>
      </w:r>
      <w:r>
        <w:rPr>
          <w:rFonts w:hint="default" w:ascii="Times New Roman" w:hAnsi="Times New Roman" w:cs="Times New Roman"/>
          <w:color w:val="000000" w:themeColor="text1"/>
          <w:sz w:val="28"/>
          <w:szCs w:val="36"/>
          <w:highlight w:val="none"/>
          <w:u w:val="single"/>
          <w:lang w:eastAsia="zh-CN"/>
          <w14:textFill>
            <w14:solidFill>
              <w14:schemeClr w14:val="tx1"/>
            </w14:solidFill>
          </w14:textFill>
        </w:rPr>
        <w:t>删除</w:t>
      </w:r>
      <w:r>
        <w:rPr>
          <w:rFonts w:hint="eastAsia" w:ascii="Times New Roman" w:hAnsi="Times New Roman" w:cs="Times New Roman"/>
          <w:color w:val="000000" w:themeColor="text1"/>
          <w:sz w:val="28"/>
          <w:szCs w:val="36"/>
          <w:highlight w:val="none"/>
          <w:u w:val="single"/>
          <w:lang w:val="en-US" w:eastAsia="zh-CN"/>
          <w14:textFill>
            <w14:solidFill>
              <w14:schemeClr w14:val="tx1"/>
            </w14:solidFill>
          </w14:textFill>
        </w:rPr>
        <w:t>补</w:t>
      </w:r>
      <w:r>
        <w:rPr>
          <w:rFonts w:hint="default" w:ascii="Times New Roman" w:hAnsi="Times New Roman" w:cs="Times New Roman"/>
          <w:color w:val="000000" w:themeColor="text1"/>
          <w:sz w:val="28"/>
          <w:szCs w:val="36"/>
          <w:highlight w:val="none"/>
          <w:u w:val="single"/>
          <w14:textFill>
            <w14:solidFill>
              <w14:schemeClr w14:val="tx1"/>
            </w14:solidFill>
          </w14:textFill>
        </w:rPr>
        <w:t>充监测</w:t>
      </w:r>
      <w:r>
        <w:rPr>
          <w:rFonts w:hint="default" w:ascii="Times New Roman" w:hAnsi="Times New Roman" w:cs="Times New Roman"/>
          <w:color w:val="000000" w:themeColor="text1"/>
          <w:sz w:val="28"/>
          <w:szCs w:val="36"/>
          <w:highlight w:val="none"/>
          <w:u w:val="single"/>
          <w:lang w:eastAsia="zh-CN"/>
          <w14:textFill>
            <w14:solidFill>
              <w14:schemeClr w14:val="tx1"/>
            </w14:solidFill>
          </w14:textFill>
        </w:rPr>
        <w:t>数据，</w:t>
      </w:r>
      <w:r>
        <w:rPr>
          <w:rFonts w:hint="default" w:ascii="Times New Roman" w:hAnsi="Times New Roman" w:cs="Times New Roman"/>
          <w:color w:val="000000" w:themeColor="text1"/>
          <w:sz w:val="28"/>
          <w:szCs w:val="36"/>
          <w:highlight w:val="none"/>
          <w:u w:val="single"/>
          <w14:textFill>
            <w14:solidFill>
              <w14:schemeClr w14:val="tx1"/>
            </w14:solidFill>
          </w14:textFill>
        </w:rPr>
        <w:t>因涉及</w:t>
      </w:r>
      <w:r>
        <w:rPr>
          <w:rFonts w:hint="default" w:ascii="Times New Roman" w:hAnsi="Times New Roman" w:cs="Times New Roman"/>
          <w:color w:val="000000" w:themeColor="text1"/>
          <w:sz w:val="28"/>
          <w:szCs w:val="36"/>
          <w:highlight w:val="none"/>
          <w:u w:val="single"/>
          <w:lang w:eastAsia="zh-CN"/>
          <w14:textFill>
            <w14:solidFill>
              <w14:schemeClr w14:val="tx1"/>
            </w14:solidFill>
          </w14:textFill>
        </w:rPr>
        <w:t>商</w:t>
      </w:r>
      <w:r>
        <w:rPr>
          <w:rFonts w:hint="default" w:ascii="Times New Roman" w:hAnsi="Times New Roman" w:cs="Times New Roman"/>
          <w:color w:val="000000" w:themeColor="text1"/>
          <w:sz w:val="28"/>
          <w:szCs w:val="36"/>
          <w:highlight w:val="none"/>
          <w:u w:val="single"/>
          <w14:textFill>
            <w14:solidFill>
              <w14:schemeClr w14:val="tx1"/>
            </w14:solidFill>
          </w14:textFill>
        </w:rPr>
        <w:t>业秘密</w:t>
      </w:r>
      <w:r>
        <w:rPr>
          <w:rFonts w:hint="default" w:ascii="Times New Roman" w:hAnsi="Times New Roman" w:cs="Times New Roman"/>
          <w:color w:val="000000" w:themeColor="text1"/>
          <w:sz w:val="28"/>
          <w:szCs w:val="36"/>
          <w:highlight w:val="none"/>
          <w:u w:val="single"/>
          <w:lang w:eastAsia="zh-CN"/>
          <w14:textFill>
            <w14:solidFill>
              <w14:schemeClr w14:val="tx1"/>
            </w14:solidFill>
          </w14:textFill>
        </w:rPr>
        <w:t>；</w:t>
      </w:r>
    </w:p>
    <w:p w14:paraId="38DD4E20">
      <w:pPr>
        <w:keepNext w:val="0"/>
        <w:keepLines w:val="0"/>
        <w:pageBreakBefore w:val="0"/>
        <w:widowControl w:val="0"/>
        <w:numPr>
          <w:ilvl w:val="0"/>
          <w:numId w:val="0"/>
        </w:numPr>
        <w:tabs>
          <w:tab w:val="left" w:pos="1852"/>
        </w:tabs>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cs="Times New Roman"/>
          <w:color w:val="000000" w:themeColor="text1"/>
          <w:sz w:val="28"/>
          <w:szCs w:val="36"/>
          <w:highlight w:val="none"/>
          <w:u w:val="single"/>
          <w:lang w:val="en-US" w:eastAsia="zh-CN"/>
          <w14:textFill>
            <w14:solidFill>
              <w14:schemeClr w14:val="tx1"/>
            </w14:solidFill>
          </w14:textFill>
        </w:rPr>
      </w:pPr>
      <w:r>
        <w:rPr>
          <w:rFonts w:hint="eastAsia" w:ascii="Times New Roman" w:hAnsi="Times New Roman" w:cs="Times New Roman"/>
          <w:color w:val="000000" w:themeColor="text1"/>
          <w:sz w:val="28"/>
          <w:szCs w:val="36"/>
          <w:highlight w:val="none"/>
          <w:u w:val="single"/>
          <w:lang w:val="en-US" w:eastAsia="zh-CN"/>
          <w14:textFill>
            <w14:solidFill>
              <w14:schemeClr w14:val="tx1"/>
            </w14:solidFill>
          </w14:textFill>
        </w:rPr>
        <w:t>5、报告所有附件、附图内容。</w:t>
      </w:r>
    </w:p>
    <w:p w14:paraId="7712B6EE">
      <w:pPr>
        <w:keepNext w:val="0"/>
        <w:keepLines w:val="0"/>
        <w:pageBreakBefore w:val="0"/>
        <w:widowControl w:val="0"/>
        <w:numPr>
          <w:ilvl w:val="0"/>
          <w:numId w:val="0"/>
        </w:numPr>
        <w:tabs>
          <w:tab w:val="left" w:pos="1852"/>
        </w:tabs>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cs="Times New Roman"/>
          <w:color w:val="000000" w:themeColor="text1"/>
          <w:sz w:val="28"/>
          <w:szCs w:val="36"/>
          <w:highlight w:val="none"/>
          <w:lang w:eastAsia="zh-CN"/>
          <w14:textFill>
            <w14:solidFill>
              <w14:schemeClr w14:val="tx1"/>
            </w14:solidFill>
          </w14:textFill>
        </w:rPr>
      </w:pPr>
      <w:r>
        <w:rPr>
          <w:rFonts w:hint="default" w:ascii="Times New Roman" w:hAnsi="Times New Roman" w:cs="Times New Roman"/>
          <w:color w:val="000000" w:themeColor="text1"/>
          <w:sz w:val="28"/>
          <w:szCs w:val="36"/>
          <w:highlight w:val="none"/>
          <w14:textFill>
            <w14:solidFill>
              <w14:schemeClr w14:val="tx1"/>
            </w14:solidFill>
          </w14:textFill>
        </w:rPr>
        <w:t>专此报告</w:t>
      </w:r>
      <w:r>
        <w:rPr>
          <w:rFonts w:hint="default" w:ascii="Times New Roman" w:hAnsi="Times New Roman" w:cs="Times New Roman"/>
          <w:color w:val="000000" w:themeColor="text1"/>
          <w:sz w:val="28"/>
          <w:szCs w:val="36"/>
          <w:highlight w:val="none"/>
          <w:lang w:eastAsia="zh-CN"/>
          <w14:textFill>
            <w14:solidFill>
              <w14:schemeClr w14:val="tx1"/>
            </w14:solidFill>
          </w14:textFill>
        </w:rPr>
        <w:t>！</w:t>
      </w:r>
    </w:p>
    <w:p w14:paraId="3023BB7D">
      <w:pPr>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color w:val="000000" w:themeColor="text1"/>
          <w:sz w:val="28"/>
          <w:szCs w:val="36"/>
          <w:highlight w:val="none"/>
          <w:lang w:eastAsia="zh-CN"/>
          <w14:textFill>
            <w14:solidFill>
              <w14:schemeClr w14:val="tx1"/>
            </w14:solidFill>
          </w14:textFill>
        </w:rPr>
      </w:pPr>
    </w:p>
    <w:p w14:paraId="2DC0CD91">
      <w:pPr>
        <w:keepNext w:val="0"/>
        <w:keepLines w:val="0"/>
        <w:pageBreakBefore w:val="0"/>
        <w:widowControl w:val="0"/>
        <w:kinsoku/>
        <w:wordWrap/>
        <w:overflowPunct/>
        <w:topLinePunct w:val="0"/>
        <w:autoSpaceDE/>
        <w:autoSpaceDN/>
        <w:bidi w:val="0"/>
        <w:adjustRightInd/>
        <w:snapToGrid/>
        <w:spacing w:line="480" w:lineRule="auto"/>
        <w:textAlignment w:val="auto"/>
        <w:outlineLvl w:val="9"/>
        <w:rPr>
          <w:rFonts w:hint="default" w:ascii="Times New Roman" w:hAnsi="Times New Roman" w:cs="Times New Roman"/>
          <w:color w:val="000000" w:themeColor="text1"/>
          <w:sz w:val="28"/>
          <w:szCs w:val="36"/>
          <w:highlight w:val="none"/>
          <w:lang w:eastAsia="zh-CN"/>
          <w14:textFill>
            <w14:solidFill>
              <w14:schemeClr w14:val="tx1"/>
            </w14:solidFill>
          </w14:textFill>
        </w:rPr>
      </w:pPr>
    </w:p>
    <w:p w14:paraId="17BE7E05">
      <w:pPr>
        <w:keepNext w:val="0"/>
        <w:keepLines w:val="0"/>
        <w:pageBreakBefore w:val="0"/>
        <w:widowControl w:val="0"/>
        <w:kinsoku/>
        <w:wordWrap/>
        <w:overflowPunct/>
        <w:topLinePunct w:val="0"/>
        <w:autoSpaceDE/>
        <w:autoSpaceDN/>
        <w:bidi w:val="0"/>
        <w:adjustRightInd/>
        <w:snapToGrid/>
        <w:spacing w:line="360" w:lineRule="auto"/>
        <w:ind w:left="0"/>
        <w:jc w:val="right"/>
        <w:textAlignment w:val="auto"/>
        <w:outlineLvl w:val="9"/>
        <w:rPr>
          <w:rFonts w:hint="default" w:ascii="Times New Roman" w:hAnsi="Times New Roman" w:eastAsia="宋体" w:cs="Times New Roman"/>
          <w:bCs w:val="0"/>
          <w:color w:val="000000" w:themeColor="text1"/>
          <w:spacing w:val="0"/>
          <w:kern w:val="2"/>
          <w:sz w:val="28"/>
          <w:szCs w:val="36"/>
          <w:highlight w:val="none"/>
          <w:lang w:val="en-US" w:eastAsia="zh-CN" w:bidi="ar-SA"/>
          <w14:textFill>
            <w14:solidFill>
              <w14:schemeClr w14:val="tx1"/>
            </w14:solidFill>
          </w14:textFill>
        </w:rPr>
      </w:pPr>
    </w:p>
    <w:p w14:paraId="33A945AB">
      <w:pPr>
        <w:keepNext w:val="0"/>
        <w:keepLines w:val="0"/>
        <w:pageBreakBefore w:val="0"/>
        <w:widowControl w:val="0"/>
        <w:kinsoku/>
        <w:wordWrap/>
        <w:overflowPunct/>
        <w:topLinePunct w:val="0"/>
        <w:autoSpaceDE/>
        <w:autoSpaceDN/>
        <w:bidi w:val="0"/>
        <w:adjustRightInd/>
        <w:snapToGrid/>
        <w:spacing w:line="360" w:lineRule="auto"/>
        <w:ind w:left="0"/>
        <w:jc w:val="right"/>
        <w:textAlignment w:val="auto"/>
        <w:outlineLvl w:val="9"/>
        <w:rPr>
          <w:rFonts w:hint="default" w:ascii="Times New Roman" w:hAnsi="Times New Roman" w:eastAsia="宋体" w:cs="Times New Roman"/>
          <w:bCs w:val="0"/>
          <w:color w:val="000000" w:themeColor="text1"/>
          <w:spacing w:val="0"/>
          <w:kern w:val="2"/>
          <w:sz w:val="28"/>
          <w:szCs w:val="36"/>
          <w:highlight w:val="none"/>
          <w:lang w:val="en-US" w:eastAsia="zh-CN" w:bidi="ar-SA"/>
          <w14:textFill>
            <w14:solidFill>
              <w14:schemeClr w14:val="tx1"/>
            </w14:solidFill>
          </w14:textFill>
        </w:rPr>
      </w:pPr>
      <w:r>
        <w:rPr>
          <w:rFonts w:hint="default" w:ascii="Times New Roman" w:hAnsi="Times New Roman" w:eastAsia="宋体" w:cs="Times New Roman"/>
          <w:bCs w:val="0"/>
          <w:color w:val="000000" w:themeColor="text1"/>
          <w:spacing w:val="0"/>
          <w:kern w:val="2"/>
          <w:sz w:val="28"/>
          <w:szCs w:val="36"/>
          <w:highlight w:val="none"/>
          <w:lang w:val="en-US" w:eastAsia="zh-CN" w:bidi="ar-SA"/>
          <w14:textFill>
            <w14:solidFill>
              <w14:schemeClr w14:val="tx1"/>
            </w14:solidFill>
          </w14:textFill>
        </w:rPr>
        <w:t>建设单位（盖章）：</w:t>
      </w:r>
      <w:r>
        <w:rPr>
          <w:rFonts w:hint="default" w:ascii="Times New Roman" w:hAnsi="Times New Roman" w:cs="Times New Roman"/>
          <w:bCs w:val="0"/>
          <w:color w:val="000000" w:themeColor="text1"/>
          <w:spacing w:val="0"/>
          <w:kern w:val="2"/>
          <w:sz w:val="28"/>
          <w:szCs w:val="36"/>
          <w:highlight w:val="none"/>
          <w:lang w:val="en-US" w:eastAsia="zh-CN" w:bidi="ar-SA"/>
          <w14:textFill>
            <w14:solidFill>
              <w14:schemeClr w14:val="tx1"/>
            </w14:solidFill>
          </w14:textFill>
        </w:rPr>
        <w:t>福州市福清亿树资源再生有限公司</w:t>
      </w:r>
    </w:p>
    <w:p w14:paraId="1574F1E5">
      <w:pPr>
        <w:keepLines w:val="0"/>
        <w:pageBreakBefore w:val="0"/>
        <w:widowControl w:val="0"/>
        <w:kinsoku/>
        <w:wordWrap/>
        <w:topLinePunct w:val="0"/>
        <w:autoSpaceDE/>
        <w:autoSpaceDN/>
        <w:bidi w:val="0"/>
        <w:adjustRightInd/>
        <w:spacing w:before="0" w:after="0" w:line="360" w:lineRule="auto"/>
        <w:ind w:left="0"/>
        <w:jc w:val="right"/>
        <w:textAlignment w:val="auto"/>
        <w:outlineLvl w:val="9"/>
        <w:rPr>
          <w:rFonts w:hint="default" w:ascii="Times New Roman" w:hAnsi="Times New Roman" w:eastAsia="黑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8"/>
          <w:szCs w:val="36"/>
          <w:highlight w:val="none"/>
          <w:lang w:val="en-US" w:eastAsia="zh-CN" w:bidi="ar-SA"/>
          <w14:textFill>
            <w14:solidFill>
              <w14:schemeClr w14:val="tx1"/>
            </w14:solidFill>
          </w14:textFill>
        </w:rPr>
        <w:t>2025年11月19日</w:t>
      </w:r>
    </w:p>
    <w:p w14:paraId="16C701B7">
      <w:pPr>
        <w:pStyle w:val="2"/>
        <w:outlineLvl w:val="9"/>
        <w:rPr>
          <w:rFonts w:hint="default" w:ascii="Times New Roman" w:hAnsi="Times New Roman" w:eastAsia="宋体" w:cs="Times New Roman"/>
          <w:color w:val="000000" w:themeColor="text1"/>
          <w:lang w:eastAsia="zh-CN"/>
          <w14:textFill>
            <w14:solidFill>
              <w14:schemeClr w14:val="tx1"/>
            </w14:solidFill>
          </w14:textFill>
        </w:rPr>
      </w:pPr>
    </w:p>
    <w:sectPr>
      <w:headerReference r:id="rId15" w:type="default"/>
      <w:footerReference r:id="rId16"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方正小标宋简体">
    <w:altName w:val="Arial Unicode MS"/>
    <w:panose1 w:val="03000509000000000000"/>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swiss"/>
    <w:pitch w:val="default"/>
    <w:sig w:usb0="FFFFFFFF" w:usb1="E9FFFFFF" w:usb2="0000003F" w:usb3="00000000" w:csb0="603F01FF" w:csb1="FFFF0000"/>
  </w:font>
  <w:font w:name="Century Gothic">
    <w:panose1 w:val="020B0502020202020204"/>
    <w:charset w:val="00"/>
    <w:family w:val="swiss"/>
    <w:pitch w:val="default"/>
    <w:sig w:usb0="00000287" w:usb1="00000000" w:usb2="00000000" w:usb3="00000000" w:csb0="2000009F" w:csb1="DFD70000"/>
  </w:font>
  <w:font w:name="方正小标宋_GBK">
    <w:altName w:val="微软雅黑"/>
    <w:panose1 w:val="03000509000000000000"/>
    <w:charset w:val="86"/>
    <w:family w:val="script"/>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5FD7D">
    <w:pPr>
      <w:tabs>
        <w:tab w:val="center" w:pos="4153"/>
        <w:tab w:val="right" w:pos="8306"/>
      </w:tabs>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50AD3">
    <w:pPr>
      <w:framePr w:wrap="around" w:vAnchor="text" w:hAnchor="margin" w:xAlign="center" w:y="1"/>
      <w:tabs>
        <w:tab w:val="center" w:pos="4153"/>
        <w:tab w:val="right" w:pos="8306"/>
      </w:tabs>
    </w:pPr>
    <w:r>
      <w:fldChar w:fldCharType="begin"/>
    </w:r>
    <w:r>
      <w:instrText xml:space="preserve">PAGE  </w:instrText>
    </w:r>
    <w:r>
      <w:fldChar w:fldCharType="end"/>
    </w:r>
  </w:p>
  <w:p w14:paraId="14631F7C">
    <w:pPr>
      <w:tabs>
        <w:tab w:val="center" w:pos="4153"/>
        <w:tab w:val="right" w:pos="8306"/>
      </w:tabs>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3651F">
    <w:pPr>
      <w:pStyle w:val="19"/>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A076D">
    <w:pPr>
      <w:pStyle w:val="19"/>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847F0">
    <w:pPr>
      <w:pStyle w:val="19"/>
      <w:ind w:right="360"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7" name="文本框 20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4C3AE6">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205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8DU4uIBAADDAwAADgAA&#10;AAAAAAABACAAAAAeAQAAZHJzL2Uyb0RvYy54bWxQSwUGAAAAAAYABgBZAQAAcgUAAAAA&#10;">
              <v:fill on="f" focussize="0,0"/>
              <v:stroke on="f"/>
              <v:imagedata o:title=""/>
              <o:lock v:ext="edit" aspectratio="f"/>
              <v:textbox inset="0mm,0mm,0mm,0mm" style="mso-fit-shape-to-text:t;">
                <w:txbxContent>
                  <w:p w14:paraId="3A4C3AE6">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538FE">
    <w:pPr>
      <w:pStyle w:val="19"/>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E1019">
    <w:pPr>
      <w:pStyle w:val="19"/>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FA2FD">
    <w:pPr>
      <w:pStyle w:val="19"/>
      <w:ind w:right="360"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AA0C9">
    <w:pPr>
      <w:pStyle w:val="19"/>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D93DA">
    <w:pPr>
      <w:tabs>
        <w:tab w:val="center" w:pos="4153"/>
        <w:tab w:val="right"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6A139">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93765">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782FB">
    <w:pPr>
      <w:pStyle w:val="20"/>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6F1B8">
    <w:pPr>
      <w:pStyle w:val="2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EA1181"/>
    <w:multiLevelType w:val="singleLevel"/>
    <w:tmpl w:val="86EA1181"/>
    <w:lvl w:ilvl="0" w:tentative="0">
      <w:start w:val="1"/>
      <w:numFmt w:val="decimal"/>
      <w:suff w:val="nothing"/>
      <w:lvlText w:val="%1、"/>
      <w:lvlJc w:val="left"/>
    </w:lvl>
  </w:abstractNum>
  <w:abstractNum w:abstractNumId="1">
    <w:nsid w:val="8D77941E"/>
    <w:multiLevelType w:val="singleLevel"/>
    <w:tmpl w:val="8D77941E"/>
    <w:lvl w:ilvl="0" w:tentative="0">
      <w:start w:val="1"/>
      <w:numFmt w:val="decimal"/>
      <w:suff w:val="nothing"/>
      <w:lvlText w:val="%1、"/>
      <w:lvlJc w:val="left"/>
    </w:lvl>
  </w:abstractNum>
  <w:abstractNum w:abstractNumId="2">
    <w:nsid w:val="905AB63A"/>
    <w:multiLevelType w:val="singleLevel"/>
    <w:tmpl w:val="905AB63A"/>
    <w:lvl w:ilvl="0" w:tentative="0">
      <w:start w:val="1"/>
      <w:numFmt w:val="decimal"/>
      <w:suff w:val="nothing"/>
      <w:lvlText w:val="%1、"/>
      <w:lvlJc w:val="left"/>
    </w:lvl>
  </w:abstractNum>
  <w:abstractNum w:abstractNumId="3">
    <w:nsid w:val="D69083D0"/>
    <w:multiLevelType w:val="singleLevel"/>
    <w:tmpl w:val="D69083D0"/>
    <w:lvl w:ilvl="0" w:tentative="0">
      <w:start w:val="1"/>
      <w:numFmt w:val="decimal"/>
      <w:suff w:val="nothing"/>
      <w:lvlText w:val="%1、"/>
      <w:lvlJc w:val="left"/>
    </w:lvl>
  </w:abstractNum>
  <w:abstractNum w:abstractNumId="4">
    <w:nsid w:val="F2BF04CF"/>
    <w:multiLevelType w:val="singleLevel"/>
    <w:tmpl w:val="F2BF04CF"/>
    <w:lvl w:ilvl="0" w:tentative="0">
      <w:start w:val="1"/>
      <w:numFmt w:val="decimal"/>
      <w:lvlText w:val="(%1)"/>
      <w:lvlJc w:val="left"/>
      <w:pPr>
        <w:tabs>
          <w:tab w:val="left" w:pos="312"/>
        </w:tabs>
      </w:pPr>
    </w:lvl>
  </w:abstractNum>
  <w:abstractNum w:abstractNumId="5">
    <w:nsid w:val="FE8317E2"/>
    <w:multiLevelType w:val="singleLevel"/>
    <w:tmpl w:val="FE8317E2"/>
    <w:lvl w:ilvl="0" w:tentative="0">
      <w:start w:val="1"/>
      <w:numFmt w:val="decimal"/>
      <w:suff w:val="nothing"/>
      <w:lvlText w:val="%1、"/>
      <w:lvlJc w:val="left"/>
    </w:lvl>
  </w:abstractNum>
  <w:abstractNum w:abstractNumId="6">
    <w:nsid w:val="391F5E33"/>
    <w:multiLevelType w:val="singleLevel"/>
    <w:tmpl w:val="391F5E33"/>
    <w:lvl w:ilvl="0" w:tentative="0">
      <w:start w:val="1"/>
      <w:numFmt w:val="decimal"/>
      <w:suff w:val="nothing"/>
      <w:lvlText w:val="%1、"/>
      <w:lvlJc w:val="left"/>
    </w:lvl>
  </w:abstractNum>
  <w:abstractNum w:abstractNumId="7">
    <w:nsid w:val="4B459EC9"/>
    <w:multiLevelType w:val="singleLevel"/>
    <w:tmpl w:val="4B459EC9"/>
    <w:lvl w:ilvl="0" w:tentative="0">
      <w:start w:val="1"/>
      <w:numFmt w:val="upperLetter"/>
      <w:lvlText w:val="%1."/>
      <w:lvlJc w:val="left"/>
      <w:pPr>
        <w:tabs>
          <w:tab w:val="left" w:pos="312"/>
        </w:tabs>
      </w:pPr>
    </w:lvl>
  </w:abstractNum>
  <w:abstractNum w:abstractNumId="8">
    <w:nsid w:val="56AF4760"/>
    <w:multiLevelType w:val="multilevel"/>
    <w:tmpl w:val="56AF4760"/>
    <w:lvl w:ilvl="0" w:tentative="0">
      <w:start w:val="1"/>
      <w:numFmt w:val="chineseCountingThousand"/>
      <w:suff w:val="nothing"/>
      <w:lvlText w:val="%1、"/>
      <w:lvlJc w:val="left"/>
      <w:pPr>
        <w:ind w:left="993" w:firstLine="0"/>
      </w:pPr>
      <w:rPr>
        <w:rFonts w:hint="eastAsia"/>
      </w:rPr>
    </w:lvl>
    <w:lvl w:ilvl="1" w:tentative="0">
      <w:start w:val="1"/>
      <w:numFmt w:val="decimal"/>
      <w:pStyle w:val="3"/>
      <w:isLgl/>
      <w:suff w:val="space"/>
      <w:lvlText w:val="%1.%2"/>
      <w:lvlJc w:val="left"/>
      <w:pPr>
        <w:ind w:left="0" w:firstLine="0"/>
      </w:pPr>
      <w:rPr>
        <w:rFonts w:hint="eastAsia"/>
      </w:rPr>
    </w:lvl>
    <w:lvl w:ilvl="2" w:tentative="0">
      <w:start w:val="1"/>
      <w:numFmt w:val="decimal"/>
      <w:isLgl/>
      <w:suff w:val="space"/>
      <w:lvlText w:val="%1.%2.%3"/>
      <w:lvlJc w:val="left"/>
      <w:pPr>
        <w:ind w:left="0" w:firstLine="0"/>
      </w:pPr>
      <w:rPr>
        <w:b/>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isLgl/>
      <w:suff w:val="space"/>
      <w:lvlText w:val="%1.%2.%3.%4"/>
      <w:lvlJc w:val="left"/>
      <w:pPr>
        <w:ind w:left="0" w:firstLine="0"/>
      </w:pPr>
      <w:rPr>
        <w:rFonts w:hint="eastAsia"/>
      </w:rPr>
    </w:lvl>
    <w:lvl w:ilvl="4" w:tentative="0">
      <w:start w:val="1"/>
      <w:numFmt w:val="decimal"/>
      <w:lvlRestart w:val="2"/>
      <w:isLgl/>
      <w:suff w:val="space"/>
      <w:lvlText w:val="表%1.%2-%5"/>
      <w:lvlJc w:val="left"/>
      <w:pPr>
        <w:ind w:left="0" w:firstLine="0"/>
      </w:pPr>
    </w:lvl>
    <w:lvl w:ilvl="5" w:tentative="0">
      <w:start w:val="1"/>
      <w:numFmt w:val="decimal"/>
      <w:lvlRestart w:val="2"/>
      <w:isLgl/>
      <w:suff w:val="space"/>
      <w:lvlText w:val="图%1.%2-%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9">
    <w:nsid w:val="6B873479"/>
    <w:multiLevelType w:val="singleLevel"/>
    <w:tmpl w:val="6B873479"/>
    <w:lvl w:ilvl="0" w:tentative="0">
      <w:start w:val="3"/>
      <w:numFmt w:val="decimal"/>
      <w:suff w:val="nothing"/>
      <w:lvlText w:val="%1、"/>
      <w:lvlJc w:val="left"/>
    </w:lvl>
  </w:abstractNum>
  <w:abstractNum w:abstractNumId="10">
    <w:nsid w:val="7B937F15"/>
    <w:multiLevelType w:val="multilevel"/>
    <w:tmpl w:val="7B937F15"/>
    <w:lvl w:ilvl="0" w:tentative="0">
      <w:start w:val="1"/>
      <w:numFmt w:val="decimal"/>
      <w:suff w:val="space"/>
      <w:lvlText w:val="%1"/>
      <w:lvlJc w:val="left"/>
      <w:pPr>
        <w:ind w:left="0" w:firstLine="0"/>
      </w:pPr>
      <w:rPr>
        <w:rFonts w:hint="eastAsia"/>
      </w:rPr>
    </w:lvl>
    <w:lvl w:ilvl="1" w:tentative="0">
      <w:start w:val="1"/>
      <w:numFmt w:val="decimal"/>
      <w:suff w:val="space"/>
      <w:lvlText w:val="%1.%2"/>
      <w:lvlJc w:val="left"/>
      <w:pPr>
        <w:ind w:left="425"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pStyle w:val="5"/>
      <w:suff w:val="space"/>
      <w:lvlText w:val="%1.%2.%3.%4"/>
      <w:lvlJc w:val="left"/>
      <w:pPr>
        <w:ind w:left="0" w:firstLine="0"/>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1">
    <w:nsid w:val="7F0C3E49"/>
    <w:multiLevelType w:val="multilevel"/>
    <w:tmpl w:val="7F0C3E49"/>
    <w:lvl w:ilvl="0" w:tentative="0">
      <w:start w:val="1"/>
      <w:numFmt w:val="decimal"/>
      <w:pStyle w:val="66"/>
      <w:lvlText w:val="表%1"/>
      <w:lvlJc w:val="left"/>
      <w:pPr>
        <w:ind w:left="420" w:hanging="420"/>
      </w:pPr>
      <w:rPr>
        <w:rFonts w:hint="eastAsia"/>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10"/>
  </w:num>
  <w:num w:numId="3">
    <w:abstractNumId w:val="11"/>
  </w:num>
  <w:num w:numId="4">
    <w:abstractNumId w:val="6"/>
  </w:num>
  <w:num w:numId="5">
    <w:abstractNumId w:val="1"/>
  </w:num>
  <w:num w:numId="6">
    <w:abstractNumId w:val="0"/>
  </w:num>
  <w:num w:numId="7">
    <w:abstractNumId w:val="2"/>
  </w:num>
  <w:num w:numId="8">
    <w:abstractNumId w:val="3"/>
  </w:num>
  <w:num w:numId="9">
    <w:abstractNumId w:val="5"/>
  </w:num>
  <w:num w:numId="10">
    <w:abstractNumId w:val="4"/>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NmMDFlZTA3MzEwNjk3MDI4MzNhYzI0OTdmZmUyZjMifQ=="/>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1F7669"/>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75440"/>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3F6A"/>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2D5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5D1E09"/>
    <w:rsid w:val="019A573A"/>
    <w:rsid w:val="019D6E86"/>
    <w:rsid w:val="022706BE"/>
    <w:rsid w:val="02697903"/>
    <w:rsid w:val="02F96569"/>
    <w:rsid w:val="03262463"/>
    <w:rsid w:val="03464898"/>
    <w:rsid w:val="03732C56"/>
    <w:rsid w:val="03EA7B21"/>
    <w:rsid w:val="042F3C3B"/>
    <w:rsid w:val="04620DB8"/>
    <w:rsid w:val="04626F5F"/>
    <w:rsid w:val="04AE40DF"/>
    <w:rsid w:val="04FF7D02"/>
    <w:rsid w:val="052B0596"/>
    <w:rsid w:val="054233E8"/>
    <w:rsid w:val="05816019"/>
    <w:rsid w:val="05E546EC"/>
    <w:rsid w:val="05F83EAE"/>
    <w:rsid w:val="063A77AB"/>
    <w:rsid w:val="063E7D85"/>
    <w:rsid w:val="06A32969"/>
    <w:rsid w:val="070177D8"/>
    <w:rsid w:val="07293586"/>
    <w:rsid w:val="07295285"/>
    <w:rsid w:val="07357FAB"/>
    <w:rsid w:val="075C087E"/>
    <w:rsid w:val="07636392"/>
    <w:rsid w:val="07770C56"/>
    <w:rsid w:val="07866E17"/>
    <w:rsid w:val="078D3A1F"/>
    <w:rsid w:val="07A858F5"/>
    <w:rsid w:val="07D87480"/>
    <w:rsid w:val="08072FC2"/>
    <w:rsid w:val="08D4742C"/>
    <w:rsid w:val="090962DE"/>
    <w:rsid w:val="092217DD"/>
    <w:rsid w:val="09294C09"/>
    <w:rsid w:val="093410DD"/>
    <w:rsid w:val="093A7294"/>
    <w:rsid w:val="09551934"/>
    <w:rsid w:val="09713712"/>
    <w:rsid w:val="09D1170E"/>
    <w:rsid w:val="0A263993"/>
    <w:rsid w:val="0A2D3AC2"/>
    <w:rsid w:val="0A3D2CD6"/>
    <w:rsid w:val="0A406662"/>
    <w:rsid w:val="0A5F50C5"/>
    <w:rsid w:val="0AA755DF"/>
    <w:rsid w:val="0AB4355E"/>
    <w:rsid w:val="0B0E4E77"/>
    <w:rsid w:val="0B120D44"/>
    <w:rsid w:val="0B2A4D91"/>
    <w:rsid w:val="0BC451DB"/>
    <w:rsid w:val="0BD27BF6"/>
    <w:rsid w:val="0BE337B7"/>
    <w:rsid w:val="0C1E62ED"/>
    <w:rsid w:val="0C2C437D"/>
    <w:rsid w:val="0C3B3C7D"/>
    <w:rsid w:val="0CAB2EAE"/>
    <w:rsid w:val="0CC55A09"/>
    <w:rsid w:val="0CE51C08"/>
    <w:rsid w:val="0D366B93"/>
    <w:rsid w:val="0D3A544D"/>
    <w:rsid w:val="0D621C7D"/>
    <w:rsid w:val="0D901076"/>
    <w:rsid w:val="0DC108C7"/>
    <w:rsid w:val="0E73034D"/>
    <w:rsid w:val="0F13775A"/>
    <w:rsid w:val="0F3D0A31"/>
    <w:rsid w:val="0F5F45FE"/>
    <w:rsid w:val="0F9A112B"/>
    <w:rsid w:val="1066305F"/>
    <w:rsid w:val="106D2F64"/>
    <w:rsid w:val="108A59B6"/>
    <w:rsid w:val="108B7F7B"/>
    <w:rsid w:val="10B63710"/>
    <w:rsid w:val="10F10820"/>
    <w:rsid w:val="11165B0E"/>
    <w:rsid w:val="111C2F7A"/>
    <w:rsid w:val="11665CA1"/>
    <w:rsid w:val="117C347B"/>
    <w:rsid w:val="11D927A3"/>
    <w:rsid w:val="11EC6535"/>
    <w:rsid w:val="120976C0"/>
    <w:rsid w:val="1348173E"/>
    <w:rsid w:val="1374556B"/>
    <w:rsid w:val="1389559C"/>
    <w:rsid w:val="13951726"/>
    <w:rsid w:val="1396451F"/>
    <w:rsid w:val="13BC4712"/>
    <w:rsid w:val="14260D10"/>
    <w:rsid w:val="14396509"/>
    <w:rsid w:val="14BA53E4"/>
    <w:rsid w:val="14CE5B1C"/>
    <w:rsid w:val="14DD2C3C"/>
    <w:rsid w:val="15396B7A"/>
    <w:rsid w:val="15B4117A"/>
    <w:rsid w:val="16087E1D"/>
    <w:rsid w:val="16561996"/>
    <w:rsid w:val="170B3D8E"/>
    <w:rsid w:val="17263548"/>
    <w:rsid w:val="1759695E"/>
    <w:rsid w:val="17701D14"/>
    <w:rsid w:val="17735226"/>
    <w:rsid w:val="17BB42D2"/>
    <w:rsid w:val="1818740F"/>
    <w:rsid w:val="189F624C"/>
    <w:rsid w:val="18D71EA5"/>
    <w:rsid w:val="19264976"/>
    <w:rsid w:val="19D10B45"/>
    <w:rsid w:val="19FE6DC9"/>
    <w:rsid w:val="1A1C66C0"/>
    <w:rsid w:val="1A42393B"/>
    <w:rsid w:val="1A922CFB"/>
    <w:rsid w:val="1AAD45DE"/>
    <w:rsid w:val="1AB943B7"/>
    <w:rsid w:val="1ADF7AA2"/>
    <w:rsid w:val="1B046F80"/>
    <w:rsid w:val="1B247258"/>
    <w:rsid w:val="1B3267B5"/>
    <w:rsid w:val="1B40161D"/>
    <w:rsid w:val="1B441859"/>
    <w:rsid w:val="1B6606B1"/>
    <w:rsid w:val="1C4A1E0A"/>
    <w:rsid w:val="1C5E7925"/>
    <w:rsid w:val="1CFD070F"/>
    <w:rsid w:val="1D2624F4"/>
    <w:rsid w:val="1D2A5847"/>
    <w:rsid w:val="1D3E00F2"/>
    <w:rsid w:val="1D5F6196"/>
    <w:rsid w:val="1D6132A5"/>
    <w:rsid w:val="1D67608B"/>
    <w:rsid w:val="1D8E56D5"/>
    <w:rsid w:val="1E7A43DA"/>
    <w:rsid w:val="1F14304B"/>
    <w:rsid w:val="1F936BE1"/>
    <w:rsid w:val="1FE7539E"/>
    <w:rsid w:val="20671BE0"/>
    <w:rsid w:val="20755A2E"/>
    <w:rsid w:val="20963CB8"/>
    <w:rsid w:val="20A41DB2"/>
    <w:rsid w:val="20A81A1B"/>
    <w:rsid w:val="20A847C3"/>
    <w:rsid w:val="20B07FB6"/>
    <w:rsid w:val="20B646FB"/>
    <w:rsid w:val="213B74B1"/>
    <w:rsid w:val="213C722F"/>
    <w:rsid w:val="214116AB"/>
    <w:rsid w:val="215A2310"/>
    <w:rsid w:val="21902632"/>
    <w:rsid w:val="21D536EA"/>
    <w:rsid w:val="21DE318A"/>
    <w:rsid w:val="21EF5B80"/>
    <w:rsid w:val="220003F6"/>
    <w:rsid w:val="223B5EEF"/>
    <w:rsid w:val="22576990"/>
    <w:rsid w:val="226B28D3"/>
    <w:rsid w:val="2279239E"/>
    <w:rsid w:val="22862622"/>
    <w:rsid w:val="22F47480"/>
    <w:rsid w:val="23B46872"/>
    <w:rsid w:val="23DE1C48"/>
    <w:rsid w:val="240210CD"/>
    <w:rsid w:val="24100CF6"/>
    <w:rsid w:val="24BF09F7"/>
    <w:rsid w:val="24DB20EE"/>
    <w:rsid w:val="252D53FE"/>
    <w:rsid w:val="25EC2D81"/>
    <w:rsid w:val="26010D90"/>
    <w:rsid w:val="2618776F"/>
    <w:rsid w:val="262504A9"/>
    <w:rsid w:val="268A204B"/>
    <w:rsid w:val="26B84AC6"/>
    <w:rsid w:val="26DF03CD"/>
    <w:rsid w:val="27234119"/>
    <w:rsid w:val="27421CD9"/>
    <w:rsid w:val="277057A2"/>
    <w:rsid w:val="27AE586F"/>
    <w:rsid w:val="27D33279"/>
    <w:rsid w:val="284169E9"/>
    <w:rsid w:val="28946C0E"/>
    <w:rsid w:val="290B1A10"/>
    <w:rsid w:val="29206EB8"/>
    <w:rsid w:val="29595666"/>
    <w:rsid w:val="29874881"/>
    <w:rsid w:val="29E325E0"/>
    <w:rsid w:val="2A24494E"/>
    <w:rsid w:val="2A452503"/>
    <w:rsid w:val="2A7F1C4E"/>
    <w:rsid w:val="2A8510F8"/>
    <w:rsid w:val="2B86318B"/>
    <w:rsid w:val="2BA936A8"/>
    <w:rsid w:val="2BB860CA"/>
    <w:rsid w:val="2C230B79"/>
    <w:rsid w:val="2C315A5A"/>
    <w:rsid w:val="2C4B1C25"/>
    <w:rsid w:val="2C56507C"/>
    <w:rsid w:val="2CC3423A"/>
    <w:rsid w:val="2CEA07E5"/>
    <w:rsid w:val="2D0B750F"/>
    <w:rsid w:val="2D2F098C"/>
    <w:rsid w:val="2D9E56F5"/>
    <w:rsid w:val="2DD40208"/>
    <w:rsid w:val="2E61176C"/>
    <w:rsid w:val="2E667F96"/>
    <w:rsid w:val="2E8226AB"/>
    <w:rsid w:val="2EEE6964"/>
    <w:rsid w:val="2EFD0F56"/>
    <w:rsid w:val="2F3445FD"/>
    <w:rsid w:val="2FD065E6"/>
    <w:rsid w:val="2FD96870"/>
    <w:rsid w:val="30580BC9"/>
    <w:rsid w:val="311E2ED7"/>
    <w:rsid w:val="315619EE"/>
    <w:rsid w:val="315C449C"/>
    <w:rsid w:val="317346CE"/>
    <w:rsid w:val="31B82709"/>
    <w:rsid w:val="31D05482"/>
    <w:rsid w:val="31FB2BAF"/>
    <w:rsid w:val="32400B34"/>
    <w:rsid w:val="329E6876"/>
    <w:rsid w:val="32A658FC"/>
    <w:rsid w:val="32AA034D"/>
    <w:rsid w:val="32EA1FE4"/>
    <w:rsid w:val="333015F2"/>
    <w:rsid w:val="334B6320"/>
    <w:rsid w:val="33D934D4"/>
    <w:rsid w:val="33FE2F6A"/>
    <w:rsid w:val="34022683"/>
    <w:rsid w:val="340E07E5"/>
    <w:rsid w:val="34235BF7"/>
    <w:rsid w:val="34915D87"/>
    <w:rsid w:val="34A209D7"/>
    <w:rsid w:val="35084922"/>
    <w:rsid w:val="35111378"/>
    <w:rsid w:val="35527ED3"/>
    <w:rsid w:val="358C5FA8"/>
    <w:rsid w:val="35A579D6"/>
    <w:rsid w:val="35C15DF1"/>
    <w:rsid w:val="35F112E9"/>
    <w:rsid w:val="36074A7F"/>
    <w:rsid w:val="361502FC"/>
    <w:rsid w:val="366651BC"/>
    <w:rsid w:val="36923549"/>
    <w:rsid w:val="36B75FBF"/>
    <w:rsid w:val="36BD0C45"/>
    <w:rsid w:val="371C36EF"/>
    <w:rsid w:val="37A0171A"/>
    <w:rsid w:val="37E00298"/>
    <w:rsid w:val="38623B09"/>
    <w:rsid w:val="38B302F9"/>
    <w:rsid w:val="38F12CD3"/>
    <w:rsid w:val="38F94775"/>
    <w:rsid w:val="39253877"/>
    <w:rsid w:val="392971ED"/>
    <w:rsid w:val="39325651"/>
    <w:rsid w:val="39CA792A"/>
    <w:rsid w:val="39E62997"/>
    <w:rsid w:val="3A223A67"/>
    <w:rsid w:val="3A872856"/>
    <w:rsid w:val="3ADE5C5A"/>
    <w:rsid w:val="3B3763D1"/>
    <w:rsid w:val="3B5A0CE0"/>
    <w:rsid w:val="3C2F6E1E"/>
    <w:rsid w:val="3C4F64BA"/>
    <w:rsid w:val="3CDA245A"/>
    <w:rsid w:val="3D1E06B7"/>
    <w:rsid w:val="3D651D55"/>
    <w:rsid w:val="3DDA7F49"/>
    <w:rsid w:val="3E3F5C2E"/>
    <w:rsid w:val="3E4A6F89"/>
    <w:rsid w:val="3E5829AA"/>
    <w:rsid w:val="3E6D5765"/>
    <w:rsid w:val="3ED03950"/>
    <w:rsid w:val="3EDA0523"/>
    <w:rsid w:val="3FE041A9"/>
    <w:rsid w:val="40363F4D"/>
    <w:rsid w:val="407A6407"/>
    <w:rsid w:val="40AA6712"/>
    <w:rsid w:val="40D1079E"/>
    <w:rsid w:val="4101599A"/>
    <w:rsid w:val="4200449D"/>
    <w:rsid w:val="422957B3"/>
    <w:rsid w:val="423A3BCC"/>
    <w:rsid w:val="424E57D2"/>
    <w:rsid w:val="428B1868"/>
    <w:rsid w:val="42B26C49"/>
    <w:rsid w:val="42C334F8"/>
    <w:rsid w:val="43313725"/>
    <w:rsid w:val="433A6FE6"/>
    <w:rsid w:val="434765EB"/>
    <w:rsid w:val="43480868"/>
    <w:rsid w:val="4350713C"/>
    <w:rsid w:val="436653E0"/>
    <w:rsid w:val="4377323B"/>
    <w:rsid w:val="43C4431A"/>
    <w:rsid w:val="43F51B21"/>
    <w:rsid w:val="442036C1"/>
    <w:rsid w:val="44B951CC"/>
    <w:rsid w:val="44CD14E0"/>
    <w:rsid w:val="44F20B0B"/>
    <w:rsid w:val="452E5F4C"/>
    <w:rsid w:val="45612018"/>
    <w:rsid w:val="458946E9"/>
    <w:rsid w:val="45A47C0E"/>
    <w:rsid w:val="462B4CA6"/>
    <w:rsid w:val="46334861"/>
    <w:rsid w:val="46577FD6"/>
    <w:rsid w:val="46D955A7"/>
    <w:rsid w:val="47133957"/>
    <w:rsid w:val="473F0613"/>
    <w:rsid w:val="4772729A"/>
    <w:rsid w:val="478F48B9"/>
    <w:rsid w:val="47A07E0C"/>
    <w:rsid w:val="480D6AF9"/>
    <w:rsid w:val="4870272E"/>
    <w:rsid w:val="488C32A4"/>
    <w:rsid w:val="48D74EFD"/>
    <w:rsid w:val="494F70BE"/>
    <w:rsid w:val="49CE6740"/>
    <w:rsid w:val="49DC7715"/>
    <w:rsid w:val="49E92744"/>
    <w:rsid w:val="4A023139"/>
    <w:rsid w:val="4A0561F8"/>
    <w:rsid w:val="4A0D74B7"/>
    <w:rsid w:val="4A7B576F"/>
    <w:rsid w:val="4ACA0103"/>
    <w:rsid w:val="4AE72633"/>
    <w:rsid w:val="4AF561A9"/>
    <w:rsid w:val="4B49547C"/>
    <w:rsid w:val="4B7268F1"/>
    <w:rsid w:val="4B784609"/>
    <w:rsid w:val="4C2C5646"/>
    <w:rsid w:val="4C491E88"/>
    <w:rsid w:val="4C4A0649"/>
    <w:rsid w:val="4C7E5ECA"/>
    <w:rsid w:val="4C8258F6"/>
    <w:rsid w:val="4C876AA5"/>
    <w:rsid w:val="4D0E00FB"/>
    <w:rsid w:val="4D176606"/>
    <w:rsid w:val="4D9A1372"/>
    <w:rsid w:val="4DC13B4C"/>
    <w:rsid w:val="4DEC4FB0"/>
    <w:rsid w:val="4DF25957"/>
    <w:rsid w:val="4E075D8A"/>
    <w:rsid w:val="4EC00FAD"/>
    <w:rsid w:val="4ECD5572"/>
    <w:rsid w:val="4ED9158A"/>
    <w:rsid w:val="4F0C2A48"/>
    <w:rsid w:val="4F3D3856"/>
    <w:rsid w:val="4F5D14F6"/>
    <w:rsid w:val="4F9843DC"/>
    <w:rsid w:val="4FC62A8C"/>
    <w:rsid w:val="4FE20F0D"/>
    <w:rsid w:val="4FE51552"/>
    <w:rsid w:val="5030457C"/>
    <w:rsid w:val="50504C4B"/>
    <w:rsid w:val="50724B2D"/>
    <w:rsid w:val="507C775A"/>
    <w:rsid w:val="509C6E7C"/>
    <w:rsid w:val="5162104E"/>
    <w:rsid w:val="516F4D50"/>
    <w:rsid w:val="51ED53B0"/>
    <w:rsid w:val="521E6538"/>
    <w:rsid w:val="527E4AAC"/>
    <w:rsid w:val="52A03BD4"/>
    <w:rsid w:val="530F3714"/>
    <w:rsid w:val="53472D9D"/>
    <w:rsid w:val="539C5617"/>
    <w:rsid w:val="53A039CC"/>
    <w:rsid w:val="53A1505A"/>
    <w:rsid w:val="54063E08"/>
    <w:rsid w:val="542C78A0"/>
    <w:rsid w:val="543437E8"/>
    <w:rsid w:val="54BA0ADA"/>
    <w:rsid w:val="54BA3040"/>
    <w:rsid w:val="54F73313"/>
    <w:rsid w:val="54F80955"/>
    <w:rsid w:val="54FF7ED7"/>
    <w:rsid w:val="555170A7"/>
    <w:rsid w:val="55616596"/>
    <w:rsid w:val="556D4D3B"/>
    <w:rsid w:val="5587536D"/>
    <w:rsid w:val="559B174B"/>
    <w:rsid w:val="55CE0CF4"/>
    <w:rsid w:val="56B22A9C"/>
    <w:rsid w:val="57050C81"/>
    <w:rsid w:val="57B72A76"/>
    <w:rsid w:val="57BD2B55"/>
    <w:rsid w:val="57C3426C"/>
    <w:rsid w:val="57CE1F93"/>
    <w:rsid w:val="587873A1"/>
    <w:rsid w:val="58850761"/>
    <w:rsid w:val="588743D1"/>
    <w:rsid w:val="5887701A"/>
    <w:rsid w:val="589715D5"/>
    <w:rsid w:val="58F159DB"/>
    <w:rsid w:val="5919429B"/>
    <w:rsid w:val="599C3DFC"/>
    <w:rsid w:val="59C0439F"/>
    <w:rsid w:val="59C66DD1"/>
    <w:rsid w:val="59CD7278"/>
    <w:rsid w:val="59ED056C"/>
    <w:rsid w:val="5A7B0F3E"/>
    <w:rsid w:val="5A98746F"/>
    <w:rsid w:val="5ABE2233"/>
    <w:rsid w:val="5B273B99"/>
    <w:rsid w:val="5BDF5D95"/>
    <w:rsid w:val="5BFE7528"/>
    <w:rsid w:val="5C0167C5"/>
    <w:rsid w:val="5C084598"/>
    <w:rsid w:val="5C266BAE"/>
    <w:rsid w:val="5CAB6287"/>
    <w:rsid w:val="5CC514F3"/>
    <w:rsid w:val="5D691DF0"/>
    <w:rsid w:val="5DCB348A"/>
    <w:rsid w:val="5DFC632F"/>
    <w:rsid w:val="5E2467F1"/>
    <w:rsid w:val="5E3D4525"/>
    <w:rsid w:val="5E6261E1"/>
    <w:rsid w:val="5F1A2B43"/>
    <w:rsid w:val="5F8F4BB7"/>
    <w:rsid w:val="5FB4430B"/>
    <w:rsid w:val="5FB837BB"/>
    <w:rsid w:val="5FEF3DA8"/>
    <w:rsid w:val="603A69C2"/>
    <w:rsid w:val="60CC405A"/>
    <w:rsid w:val="60D050F4"/>
    <w:rsid w:val="60FD08C3"/>
    <w:rsid w:val="615114E2"/>
    <w:rsid w:val="618B3D19"/>
    <w:rsid w:val="619D3CFC"/>
    <w:rsid w:val="61CA3E75"/>
    <w:rsid w:val="61E215D8"/>
    <w:rsid w:val="621908D4"/>
    <w:rsid w:val="621B3775"/>
    <w:rsid w:val="62364782"/>
    <w:rsid w:val="62773F76"/>
    <w:rsid w:val="62CE3801"/>
    <w:rsid w:val="6313098B"/>
    <w:rsid w:val="636522D0"/>
    <w:rsid w:val="6394356A"/>
    <w:rsid w:val="639A6376"/>
    <w:rsid w:val="63B3128D"/>
    <w:rsid w:val="63C61B2C"/>
    <w:rsid w:val="63D40BE9"/>
    <w:rsid w:val="64102431"/>
    <w:rsid w:val="64A5243A"/>
    <w:rsid w:val="64F531DE"/>
    <w:rsid w:val="65363F2C"/>
    <w:rsid w:val="65373578"/>
    <w:rsid w:val="65A6487D"/>
    <w:rsid w:val="65E67728"/>
    <w:rsid w:val="66B524C1"/>
    <w:rsid w:val="66DF1DFC"/>
    <w:rsid w:val="66FF66E4"/>
    <w:rsid w:val="670F297B"/>
    <w:rsid w:val="671F124A"/>
    <w:rsid w:val="677A33C6"/>
    <w:rsid w:val="681F6961"/>
    <w:rsid w:val="682E559E"/>
    <w:rsid w:val="68434E21"/>
    <w:rsid w:val="68610A2F"/>
    <w:rsid w:val="68805514"/>
    <w:rsid w:val="69316E2F"/>
    <w:rsid w:val="694E2071"/>
    <w:rsid w:val="69766163"/>
    <w:rsid w:val="697A3B33"/>
    <w:rsid w:val="699527B5"/>
    <w:rsid w:val="699B1E2F"/>
    <w:rsid w:val="69B43CCD"/>
    <w:rsid w:val="69D44760"/>
    <w:rsid w:val="69D837FB"/>
    <w:rsid w:val="69EA78F3"/>
    <w:rsid w:val="6A4932B7"/>
    <w:rsid w:val="6A520EC7"/>
    <w:rsid w:val="6A7B12F8"/>
    <w:rsid w:val="6ACC6693"/>
    <w:rsid w:val="6AE33665"/>
    <w:rsid w:val="6AF87E20"/>
    <w:rsid w:val="6B322639"/>
    <w:rsid w:val="6B5A1265"/>
    <w:rsid w:val="6B867C48"/>
    <w:rsid w:val="6BAD68E6"/>
    <w:rsid w:val="6C2B555E"/>
    <w:rsid w:val="6C2E1E34"/>
    <w:rsid w:val="6C36516A"/>
    <w:rsid w:val="6C636C38"/>
    <w:rsid w:val="6C840371"/>
    <w:rsid w:val="6D4C3CA3"/>
    <w:rsid w:val="6D8A6AD6"/>
    <w:rsid w:val="6DB34098"/>
    <w:rsid w:val="6DB545B6"/>
    <w:rsid w:val="6DE02FB4"/>
    <w:rsid w:val="6E514CED"/>
    <w:rsid w:val="6E7704E4"/>
    <w:rsid w:val="6E907F65"/>
    <w:rsid w:val="6EB563D5"/>
    <w:rsid w:val="6ED92677"/>
    <w:rsid w:val="6F225983"/>
    <w:rsid w:val="6FDA49FF"/>
    <w:rsid w:val="6FF46C0C"/>
    <w:rsid w:val="6FFC5590"/>
    <w:rsid w:val="70531612"/>
    <w:rsid w:val="706D1DD0"/>
    <w:rsid w:val="70856B87"/>
    <w:rsid w:val="708C5CB6"/>
    <w:rsid w:val="70BB79D3"/>
    <w:rsid w:val="70D527EE"/>
    <w:rsid w:val="71097952"/>
    <w:rsid w:val="715B5300"/>
    <w:rsid w:val="71D27F8A"/>
    <w:rsid w:val="71D31398"/>
    <w:rsid w:val="722F54CB"/>
    <w:rsid w:val="72553024"/>
    <w:rsid w:val="730E1CB1"/>
    <w:rsid w:val="73122968"/>
    <w:rsid w:val="731F5D5E"/>
    <w:rsid w:val="732945ED"/>
    <w:rsid w:val="73C51AD5"/>
    <w:rsid w:val="73D47729"/>
    <w:rsid w:val="73EF4DC8"/>
    <w:rsid w:val="74004EB4"/>
    <w:rsid w:val="741E793C"/>
    <w:rsid w:val="74360825"/>
    <w:rsid w:val="745E3944"/>
    <w:rsid w:val="747868FE"/>
    <w:rsid w:val="747A48F2"/>
    <w:rsid w:val="74AE1553"/>
    <w:rsid w:val="74CA5A70"/>
    <w:rsid w:val="7537580E"/>
    <w:rsid w:val="75546D59"/>
    <w:rsid w:val="755936B8"/>
    <w:rsid w:val="7561642C"/>
    <w:rsid w:val="75F010E9"/>
    <w:rsid w:val="7635099D"/>
    <w:rsid w:val="766E26E9"/>
    <w:rsid w:val="76F11890"/>
    <w:rsid w:val="77140B2C"/>
    <w:rsid w:val="7748289E"/>
    <w:rsid w:val="77762421"/>
    <w:rsid w:val="778F230D"/>
    <w:rsid w:val="77B56B1F"/>
    <w:rsid w:val="780F09F4"/>
    <w:rsid w:val="78544995"/>
    <w:rsid w:val="78A90480"/>
    <w:rsid w:val="78C81FFA"/>
    <w:rsid w:val="7982370D"/>
    <w:rsid w:val="799F56F3"/>
    <w:rsid w:val="7A364017"/>
    <w:rsid w:val="7A625323"/>
    <w:rsid w:val="7A8265E1"/>
    <w:rsid w:val="7B13767A"/>
    <w:rsid w:val="7B501290"/>
    <w:rsid w:val="7B686D42"/>
    <w:rsid w:val="7B841746"/>
    <w:rsid w:val="7C2E532D"/>
    <w:rsid w:val="7C6C5AC7"/>
    <w:rsid w:val="7CC6544B"/>
    <w:rsid w:val="7D0239FF"/>
    <w:rsid w:val="7D1C734F"/>
    <w:rsid w:val="7D575C62"/>
    <w:rsid w:val="7D5E40CD"/>
    <w:rsid w:val="7DCD56F2"/>
    <w:rsid w:val="7E271525"/>
    <w:rsid w:val="7E8E4A25"/>
    <w:rsid w:val="7EC94EA3"/>
    <w:rsid w:val="7F001CE7"/>
    <w:rsid w:val="7F266A80"/>
    <w:rsid w:val="7F466FB7"/>
    <w:rsid w:val="7FA20F73"/>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qFormat="1"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iPriority="99"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numPr>
        <w:ilvl w:val="1"/>
        <w:numId w:val="1"/>
      </w:numPr>
      <w:spacing w:line="360" w:lineRule="auto"/>
      <w:outlineLvl w:val="1"/>
    </w:pPr>
    <w:rPr>
      <w:b/>
      <w:bCs/>
      <w:kern w:val="0"/>
      <w:sz w:val="28"/>
      <w:szCs w:val="28"/>
    </w:rPr>
  </w:style>
  <w:style w:type="paragraph" w:styleId="4">
    <w:name w:val="heading 3"/>
    <w:basedOn w:val="1"/>
    <w:next w:val="1"/>
    <w:qFormat/>
    <w:locked/>
    <w:uiPriority w:val="0"/>
    <w:pPr>
      <w:keepNext/>
      <w:keepLines/>
      <w:ind w:firstLine="0"/>
      <w:outlineLvl w:val="2"/>
    </w:pPr>
  </w:style>
  <w:style w:type="paragraph" w:styleId="5">
    <w:name w:val="heading 4"/>
    <w:basedOn w:val="1"/>
    <w:next w:val="1"/>
    <w:qFormat/>
    <w:locked/>
    <w:uiPriority w:val="0"/>
    <w:pPr>
      <w:keepNext/>
      <w:keepLines/>
      <w:numPr>
        <w:ilvl w:val="3"/>
        <w:numId w:val="2"/>
      </w:numPr>
      <w:spacing w:line="360" w:lineRule="auto"/>
      <w:jc w:val="left"/>
      <w:outlineLvl w:val="3"/>
    </w:pPr>
    <w:rPr>
      <w:rFonts w:ascii="Times New Roman" w:hAnsi="Times New Roman"/>
      <w:bCs/>
      <w:sz w:val="24"/>
    </w:rPr>
  </w:style>
  <w:style w:type="character" w:default="1" w:styleId="30">
    <w:name w:val="Default Paragraph Font"/>
    <w:link w:val="31"/>
    <w:semiHidden/>
    <w:qFormat/>
    <w:uiPriority w:val="0"/>
    <w:rPr>
      <w:rFonts w:ascii="宋体" w:hAnsi="宋体" w:eastAsia="宋体" w:cs="Courier New"/>
      <w:sz w:val="32"/>
      <w:szCs w:val="32"/>
    </w:rPr>
  </w:style>
  <w:style w:type="table" w:default="1" w:styleId="28">
    <w:name w:val="Normal Table"/>
    <w:semiHidden/>
    <w:qFormat/>
    <w:uiPriority w:val="0"/>
    <w:tblPr>
      <w:tblCellMar>
        <w:top w:w="0" w:type="dxa"/>
        <w:left w:w="108" w:type="dxa"/>
        <w:bottom w:w="0" w:type="dxa"/>
        <w:right w:w="108" w:type="dxa"/>
      </w:tblCellMar>
    </w:tblPr>
  </w:style>
  <w:style w:type="paragraph" w:styleId="6">
    <w:name w:val="List 3"/>
    <w:basedOn w:val="1"/>
    <w:qFormat/>
    <w:locked/>
    <w:uiPriority w:val="0"/>
    <w:pPr>
      <w:ind w:left="100" w:leftChars="400" w:hanging="200" w:hangingChars="200"/>
      <w:contextualSpacing/>
    </w:pPr>
  </w:style>
  <w:style w:type="paragraph" w:styleId="7">
    <w:name w:val="Note Heading"/>
    <w:basedOn w:val="1"/>
    <w:next w:val="1"/>
    <w:qFormat/>
    <w:locked/>
    <w:uiPriority w:val="0"/>
    <w:pPr>
      <w:widowControl w:val="0"/>
      <w:jc w:val="left"/>
    </w:pPr>
    <w:rPr>
      <w:rFonts w:ascii="Times New Roman" w:hAnsi="Times New Roman" w:eastAsia="宋体" w:cs="Times New Roman"/>
      <w:kern w:val="2"/>
      <w:sz w:val="21"/>
      <w:szCs w:val="24"/>
      <w:lang w:val="en-US" w:eastAsia="zh-CN" w:bidi="ar-SA"/>
    </w:rPr>
  </w:style>
  <w:style w:type="paragraph" w:styleId="8">
    <w:name w:val="Normal Indent"/>
    <w:basedOn w:val="1"/>
    <w:next w:val="9"/>
    <w:qFormat/>
    <w:locked/>
    <w:uiPriority w:val="0"/>
    <w:pPr>
      <w:ind w:firstLine="420"/>
    </w:pPr>
  </w:style>
  <w:style w:type="paragraph" w:customStyle="1" w:styleId="9">
    <w:name w:val="样式 正文文本 + 首行缩进:  2 字符"/>
    <w:basedOn w:val="10"/>
    <w:qFormat/>
    <w:uiPriority w:val="0"/>
    <w:pPr>
      <w:widowControl w:val="0"/>
      <w:snapToGrid/>
      <w:spacing w:before="0" w:after="0" w:line="540" w:lineRule="exact"/>
      <w:ind w:right="0"/>
      <w:jc w:val="center"/>
    </w:pPr>
    <w:rPr>
      <w:rFonts w:ascii="黑体" w:hAnsi="黑体" w:eastAsia="黑体"/>
      <w:b/>
      <w:kern w:val="2"/>
      <w:sz w:val="24"/>
      <w:szCs w:val="22"/>
    </w:rPr>
  </w:style>
  <w:style w:type="paragraph" w:styleId="10">
    <w:name w:val="Body Text"/>
    <w:basedOn w:val="1"/>
    <w:link w:val="36"/>
    <w:qFormat/>
    <w:uiPriority w:val="0"/>
    <w:pPr>
      <w:widowControl/>
      <w:snapToGrid w:val="0"/>
      <w:spacing w:before="60" w:after="160" w:line="259" w:lineRule="auto"/>
      <w:ind w:right="113"/>
    </w:pPr>
    <w:rPr>
      <w:kern w:val="0"/>
      <w:sz w:val="18"/>
      <w:szCs w:val="20"/>
    </w:rPr>
  </w:style>
  <w:style w:type="paragraph" w:styleId="11">
    <w:name w:val="caption"/>
    <w:basedOn w:val="1"/>
    <w:next w:val="1"/>
    <w:qFormat/>
    <w:locked/>
    <w:uiPriority w:val="0"/>
    <w:pPr>
      <w:spacing w:before="152" w:after="160" w:line="460" w:lineRule="exact"/>
      <w:ind w:firstLine="561" w:firstLineChars="200"/>
    </w:pPr>
    <w:rPr>
      <w:rFonts w:ascii="宋体" w:hAnsi="宋体" w:eastAsia="宋体"/>
      <w:b/>
      <w:bCs/>
    </w:rPr>
  </w:style>
  <w:style w:type="paragraph" w:styleId="12">
    <w:name w:val="annotation text"/>
    <w:basedOn w:val="1"/>
    <w:link w:val="35"/>
    <w:semiHidden/>
    <w:qFormat/>
    <w:uiPriority w:val="0"/>
    <w:pPr>
      <w:jc w:val="left"/>
    </w:pPr>
    <w:rPr>
      <w:kern w:val="0"/>
      <w:sz w:val="24"/>
      <w:szCs w:val="20"/>
    </w:rPr>
  </w:style>
  <w:style w:type="paragraph" w:styleId="13">
    <w:name w:val="Salutation"/>
    <w:next w:val="1"/>
    <w:unhideWhenUsed/>
    <w:qFormat/>
    <w:locked/>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14">
    <w:name w:val="Body Text Indent"/>
    <w:basedOn w:val="1"/>
    <w:link w:val="37"/>
    <w:qFormat/>
    <w:uiPriority w:val="0"/>
    <w:pPr>
      <w:spacing w:after="120"/>
      <w:ind w:left="420" w:leftChars="200"/>
    </w:pPr>
    <w:rPr>
      <w:kern w:val="0"/>
      <w:sz w:val="24"/>
      <w:szCs w:val="20"/>
    </w:rPr>
  </w:style>
  <w:style w:type="paragraph" w:styleId="15">
    <w:name w:val="index 4"/>
    <w:basedOn w:val="1"/>
    <w:next w:val="1"/>
    <w:qFormat/>
    <w:locked/>
    <w:uiPriority w:val="0"/>
    <w:pPr>
      <w:ind w:left="600" w:leftChars="600"/>
    </w:pPr>
    <w:rPr>
      <w:sz w:val="21"/>
    </w:rPr>
  </w:style>
  <w:style w:type="paragraph" w:styleId="16">
    <w:name w:val="Plain Text"/>
    <w:basedOn w:val="1"/>
    <w:qFormat/>
    <w:locked/>
    <w:uiPriority w:val="0"/>
    <w:pPr>
      <w:ind w:firstLine="0"/>
    </w:pPr>
    <w:rPr>
      <w:rFonts w:ascii="宋体" w:hAnsi="Courier New"/>
      <w:sz w:val="24"/>
    </w:rPr>
  </w:style>
  <w:style w:type="paragraph" w:styleId="17">
    <w:name w:val="Date"/>
    <w:basedOn w:val="1"/>
    <w:next w:val="1"/>
    <w:link w:val="39"/>
    <w:qFormat/>
    <w:uiPriority w:val="0"/>
    <w:pPr>
      <w:ind w:left="100" w:leftChars="2500"/>
    </w:pPr>
    <w:rPr>
      <w:kern w:val="0"/>
      <w:sz w:val="24"/>
      <w:szCs w:val="20"/>
    </w:rPr>
  </w:style>
  <w:style w:type="paragraph" w:styleId="18">
    <w:name w:val="Balloon Text"/>
    <w:basedOn w:val="1"/>
    <w:link w:val="40"/>
    <w:semiHidden/>
    <w:qFormat/>
    <w:uiPriority w:val="0"/>
    <w:rPr>
      <w:kern w:val="0"/>
      <w:sz w:val="18"/>
      <w:szCs w:val="20"/>
    </w:rPr>
  </w:style>
  <w:style w:type="paragraph" w:styleId="19">
    <w:name w:val="footer"/>
    <w:basedOn w:val="1"/>
    <w:link w:val="41"/>
    <w:qFormat/>
    <w:uiPriority w:val="99"/>
    <w:pPr>
      <w:tabs>
        <w:tab w:val="center" w:pos="4153"/>
        <w:tab w:val="right" w:pos="8306"/>
      </w:tabs>
      <w:snapToGrid w:val="0"/>
      <w:jc w:val="left"/>
    </w:pPr>
    <w:rPr>
      <w:kern w:val="0"/>
      <w:sz w:val="18"/>
      <w:szCs w:val="20"/>
    </w:rPr>
  </w:style>
  <w:style w:type="paragraph" w:styleId="20">
    <w:name w:val="header"/>
    <w:basedOn w:val="1"/>
    <w:link w:val="38"/>
    <w:qFormat/>
    <w:uiPriority w:val="0"/>
    <w:pPr>
      <w:pBdr>
        <w:bottom w:val="single" w:color="auto" w:sz="6" w:space="1"/>
      </w:pBdr>
      <w:tabs>
        <w:tab w:val="center" w:pos="4153"/>
        <w:tab w:val="right" w:pos="8306"/>
      </w:tabs>
      <w:snapToGrid w:val="0"/>
      <w:jc w:val="center"/>
    </w:pPr>
    <w:rPr>
      <w:kern w:val="0"/>
      <w:sz w:val="18"/>
      <w:szCs w:val="20"/>
    </w:rPr>
  </w:style>
  <w:style w:type="paragraph" w:styleId="21">
    <w:name w:val="toc 1"/>
    <w:basedOn w:val="1"/>
    <w:next w:val="1"/>
    <w:qFormat/>
    <w:locked/>
    <w:uiPriority w:val="0"/>
  </w:style>
  <w:style w:type="paragraph" w:styleId="22">
    <w:name w:val="List"/>
    <w:basedOn w:val="1"/>
    <w:qFormat/>
    <w:locked/>
    <w:uiPriority w:val="0"/>
    <w:pPr>
      <w:ind w:left="200" w:hanging="200" w:hangingChars="200"/>
    </w:pPr>
  </w:style>
  <w:style w:type="paragraph" w:styleId="23">
    <w:name w:val="Normal (Web)"/>
    <w:basedOn w:val="1"/>
    <w:link w:val="42"/>
    <w:qFormat/>
    <w:uiPriority w:val="0"/>
    <w:pPr>
      <w:widowControl/>
      <w:spacing w:before="100" w:beforeAutospacing="1" w:after="100" w:afterAutospacing="1"/>
      <w:jc w:val="left"/>
    </w:pPr>
    <w:rPr>
      <w:rFonts w:ascii="宋体" w:hAnsi="宋体"/>
      <w:kern w:val="0"/>
      <w:sz w:val="24"/>
      <w:szCs w:val="20"/>
    </w:rPr>
  </w:style>
  <w:style w:type="paragraph" w:styleId="24">
    <w:name w:val="Title"/>
    <w:basedOn w:val="1"/>
    <w:next w:val="1"/>
    <w:qFormat/>
    <w:locked/>
    <w:uiPriority w:val="0"/>
    <w:pPr>
      <w:spacing w:before="240" w:after="60"/>
      <w:jc w:val="center"/>
      <w:outlineLvl w:val="0"/>
    </w:pPr>
    <w:rPr>
      <w:rFonts w:ascii="Cambria" w:hAnsi="Cambria" w:eastAsia="方正小标宋简体"/>
      <w:bCs/>
      <w:spacing w:val="0"/>
      <w:kern w:val="0"/>
      <w:sz w:val="36"/>
      <w:szCs w:val="32"/>
    </w:rPr>
  </w:style>
  <w:style w:type="paragraph" w:styleId="25">
    <w:name w:val="annotation subject"/>
    <w:basedOn w:val="12"/>
    <w:next w:val="12"/>
    <w:link w:val="43"/>
    <w:semiHidden/>
    <w:qFormat/>
    <w:uiPriority w:val="0"/>
    <w:rPr>
      <w:b/>
      <w:sz w:val="24"/>
      <w:szCs w:val="20"/>
    </w:rPr>
  </w:style>
  <w:style w:type="paragraph" w:styleId="26">
    <w:name w:val="Body Text First Indent"/>
    <w:basedOn w:val="10"/>
    <w:next w:val="1"/>
    <w:qFormat/>
    <w:locked/>
    <w:uiPriority w:val="0"/>
    <w:pPr>
      <w:ind w:firstLine="640" w:firstLineChars="200"/>
    </w:pPr>
    <w:rPr>
      <w:rFonts w:ascii="Times New Roman" w:hAnsi="Times New Roman" w:eastAsia="宋体"/>
    </w:rPr>
  </w:style>
  <w:style w:type="paragraph" w:styleId="27">
    <w:name w:val="Body Text First Indent 2"/>
    <w:basedOn w:val="14"/>
    <w:next w:val="1"/>
    <w:qFormat/>
    <w:locked/>
    <w:uiPriority w:val="0"/>
    <w:pPr>
      <w:ind w:firstLine="420" w:firstLineChars="200"/>
    </w:pPr>
  </w:style>
  <w:style w:type="table" w:styleId="29">
    <w:name w:val="Table Grid"/>
    <w:basedOn w:val="28"/>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1">
    <w:name w:val=" Char Char Char Char Char Char Char Char Char1 Char"/>
    <w:basedOn w:val="1"/>
    <w:link w:val="30"/>
    <w:semiHidden/>
    <w:qFormat/>
    <w:uiPriority w:val="0"/>
    <w:pPr>
      <w:ind w:firstLine="0"/>
    </w:pPr>
    <w:rPr>
      <w:rFonts w:ascii="宋体" w:hAnsi="宋体" w:eastAsia="宋体" w:cs="Courier New"/>
      <w:sz w:val="32"/>
      <w:szCs w:val="32"/>
    </w:rPr>
  </w:style>
  <w:style w:type="character" w:styleId="32">
    <w:name w:val="page number"/>
    <w:basedOn w:val="30"/>
    <w:qFormat/>
    <w:locked/>
    <w:uiPriority w:val="0"/>
  </w:style>
  <w:style w:type="character" w:styleId="33">
    <w:name w:val="Hyperlink"/>
    <w:basedOn w:val="30"/>
    <w:qFormat/>
    <w:locked/>
    <w:uiPriority w:val="0"/>
    <w:rPr>
      <w:color w:val="0000FF"/>
      <w:u w:val="single"/>
    </w:rPr>
  </w:style>
  <w:style w:type="character" w:styleId="34">
    <w:name w:val="annotation reference"/>
    <w:basedOn w:val="30"/>
    <w:semiHidden/>
    <w:qFormat/>
    <w:uiPriority w:val="0"/>
    <w:rPr>
      <w:sz w:val="21"/>
    </w:rPr>
  </w:style>
  <w:style w:type="character" w:customStyle="1" w:styleId="35">
    <w:name w:val="批注文字 Char"/>
    <w:link w:val="12"/>
    <w:qFormat/>
    <w:locked/>
    <w:uiPriority w:val="0"/>
    <w:rPr>
      <w:rFonts w:ascii="Times New Roman" w:hAnsi="Times New Roman" w:eastAsia="宋体"/>
      <w:sz w:val="24"/>
    </w:rPr>
  </w:style>
  <w:style w:type="character" w:customStyle="1" w:styleId="36">
    <w:name w:val="正文文本 Char"/>
    <w:link w:val="10"/>
    <w:qFormat/>
    <w:locked/>
    <w:uiPriority w:val="0"/>
    <w:rPr>
      <w:sz w:val="18"/>
    </w:rPr>
  </w:style>
  <w:style w:type="character" w:customStyle="1" w:styleId="37">
    <w:name w:val="正文文本缩进 Char1"/>
    <w:basedOn w:val="30"/>
    <w:link w:val="14"/>
    <w:qFormat/>
    <w:uiPriority w:val="0"/>
    <w:rPr>
      <w:rFonts w:ascii="宋体" w:hAnsi="宋体" w:eastAsia="仿宋_GB2312" w:cs="Courier New"/>
      <w:kern w:val="2"/>
      <w:sz w:val="28"/>
      <w:szCs w:val="32"/>
      <w:lang w:val="en-US" w:eastAsia="zh-CN" w:bidi="ar-SA"/>
    </w:rPr>
  </w:style>
  <w:style w:type="character" w:customStyle="1" w:styleId="38">
    <w:name w:val="页眉 Char"/>
    <w:link w:val="20"/>
    <w:qFormat/>
    <w:locked/>
    <w:uiPriority w:val="0"/>
    <w:rPr>
      <w:sz w:val="18"/>
    </w:rPr>
  </w:style>
  <w:style w:type="character" w:customStyle="1" w:styleId="39">
    <w:name w:val="日期 Char"/>
    <w:link w:val="17"/>
    <w:qFormat/>
    <w:locked/>
    <w:uiPriority w:val="0"/>
    <w:rPr>
      <w:rFonts w:ascii="Times New Roman" w:hAnsi="Times New Roman" w:eastAsia="宋体"/>
      <w:sz w:val="24"/>
    </w:rPr>
  </w:style>
  <w:style w:type="character" w:customStyle="1" w:styleId="40">
    <w:name w:val="批注框文本 Char"/>
    <w:link w:val="18"/>
    <w:semiHidden/>
    <w:qFormat/>
    <w:locked/>
    <w:uiPriority w:val="0"/>
    <w:rPr>
      <w:rFonts w:ascii="Times New Roman" w:hAnsi="Times New Roman" w:eastAsia="宋体"/>
      <w:sz w:val="18"/>
    </w:rPr>
  </w:style>
  <w:style w:type="character" w:customStyle="1" w:styleId="41">
    <w:name w:val="页脚 Char"/>
    <w:link w:val="19"/>
    <w:qFormat/>
    <w:locked/>
    <w:uiPriority w:val="99"/>
    <w:rPr>
      <w:sz w:val="18"/>
    </w:rPr>
  </w:style>
  <w:style w:type="character" w:customStyle="1" w:styleId="42">
    <w:name w:val="普通(网站) Char"/>
    <w:link w:val="23"/>
    <w:qFormat/>
    <w:locked/>
    <w:uiPriority w:val="0"/>
    <w:rPr>
      <w:rFonts w:ascii="宋体" w:hAnsi="宋体" w:eastAsia="宋体"/>
      <w:sz w:val="24"/>
    </w:rPr>
  </w:style>
  <w:style w:type="character" w:customStyle="1" w:styleId="43">
    <w:name w:val="批注主题 Char"/>
    <w:link w:val="25"/>
    <w:semiHidden/>
    <w:qFormat/>
    <w:locked/>
    <w:uiPriority w:val="0"/>
    <w:rPr>
      <w:rFonts w:ascii="Times New Roman" w:hAnsi="Times New Roman" w:eastAsia="宋体"/>
      <w:b/>
      <w:kern w:val="2"/>
      <w:sz w:val="24"/>
    </w:rPr>
  </w:style>
  <w:style w:type="paragraph" w:customStyle="1" w:styleId="44">
    <w:name w:val="样式2"/>
    <w:basedOn w:val="15"/>
    <w:next w:val="5"/>
    <w:qFormat/>
    <w:uiPriority w:val="0"/>
    <w:pPr>
      <w:spacing w:line="360" w:lineRule="auto"/>
      <w:ind w:firstLine="482" w:firstLineChars="200"/>
    </w:pPr>
    <w:rPr>
      <w:b/>
      <w:sz w:val="24"/>
    </w:rPr>
  </w:style>
  <w:style w:type="paragraph" w:customStyle="1" w:styleId="45">
    <w:name w:val="样式 正文文本缩进 + 行距: 1.5 倍行距"/>
    <w:basedOn w:val="1"/>
    <w:qFormat/>
    <w:uiPriority w:val="0"/>
    <w:pPr>
      <w:spacing w:after="120" w:line="360" w:lineRule="auto"/>
      <w:ind w:left="90" w:leftChars="32" w:firstLine="560" w:firstLineChars="200"/>
    </w:pPr>
    <w:rPr>
      <w:rFonts w:cs="宋体"/>
      <w:sz w:val="24"/>
    </w:rPr>
  </w:style>
  <w:style w:type="character" w:customStyle="1" w:styleId="46">
    <w:name w:val="样式 zhang正文 + 宋体 小四 Char"/>
    <w:basedOn w:val="47"/>
    <w:link w:val="49"/>
    <w:qFormat/>
    <w:uiPriority w:val="0"/>
    <w:rPr>
      <w:rFonts w:ascii="宋体" w:hAnsi="宋体" w:eastAsia="宋体"/>
      <w:sz w:val="24"/>
    </w:rPr>
  </w:style>
  <w:style w:type="character" w:customStyle="1" w:styleId="47">
    <w:name w:val="zhang正文 Char1"/>
    <w:basedOn w:val="37"/>
    <w:link w:val="48"/>
    <w:qFormat/>
    <w:uiPriority w:val="0"/>
    <w:rPr>
      <w:rFonts w:eastAsia="楷体_GB2312"/>
      <w:kern w:val="0"/>
    </w:rPr>
  </w:style>
  <w:style w:type="paragraph" w:customStyle="1" w:styleId="48">
    <w:name w:val="zhang正文"/>
    <w:basedOn w:val="14"/>
    <w:next w:val="1"/>
    <w:link w:val="47"/>
    <w:qFormat/>
    <w:uiPriority w:val="0"/>
    <w:pPr>
      <w:autoSpaceDE w:val="0"/>
      <w:autoSpaceDN w:val="0"/>
      <w:adjustRightInd w:val="0"/>
      <w:snapToGrid w:val="0"/>
      <w:spacing w:line="500" w:lineRule="exact"/>
      <w:ind w:firstLine="539"/>
      <w:textAlignment w:val="baseline"/>
    </w:pPr>
    <w:rPr>
      <w:rFonts w:eastAsia="楷体_GB2312"/>
      <w:kern w:val="0"/>
    </w:rPr>
  </w:style>
  <w:style w:type="paragraph" w:customStyle="1" w:styleId="49">
    <w:name w:val="样式 zhang正文 + 宋体 小四"/>
    <w:basedOn w:val="48"/>
    <w:link w:val="46"/>
    <w:qFormat/>
    <w:uiPriority w:val="0"/>
    <w:rPr>
      <w:rFonts w:ascii="宋体" w:hAnsi="宋体" w:eastAsia="宋体"/>
      <w:sz w:val="24"/>
    </w:rPr>
  </w:style>
  <w:style w:type="character" w:customStyle="1" w:styleId="50">
    <w:name w:val="正文文本 字符1"/>
    <w:semiHidden/>
    <w:qFormat/>
    <w:uiPriority w:val="0"/>
    <w:rPr>
      <w:rFonts w:ascii="Times New Roman" w:hAnsi="Times New Roman" w:eastAsia="宋体"/>
      <w:sz w:val="24"/>
    </w:rPr>
  </w:style>
  <w:style w:type="character" w:customStyle="1" w:styleId="51">
    <w:name w:val="font51"/>
    <w:basedOn w:val="30"/>
    <w:qFormat/>
    <w:uiPriority w:val="0"/>
    <w:rPr>
      <w:rFonts w:hint="eastAsia" w:ascii="微软雅黑" w:hAnsi="微软雅黑" w:eastAsia="微软雅黑" w:cs="微软雅黑"/>
      <w:color w:val="333333"/>
      <w:sz w:val="24"/>
      <w:szCs w:val="24"/>
      <w:u w:val="none"/>
    </w:rPr>
  </w:style>
  <w:style w:type="character" w:customStyle="1" w:styleId="52">
    <w:name w:val="5文章(治) Char1"/>
    <w:qFormat/>
    <w:uiPriority w:val="0"/>
    <w:rPr>
      <w:rFonts w:ascii="Arial" w:hAnsi="Arial" w:eastAsia="宋体" w:cs="Tahoma"/>
      <w:snapToGrid w:val="0"/>
      <w:sz w:val="24"/>
      <w:szCs w:val="21"/>
      <w:lang w:val="en-US" w:eastAsia="zh-CN" w:bidi="ar-SA"/>
    </w:rPr>
  </w:style>
  <w:style w:type="character" w:customStyle="1" w:styleId="53">
    <w:name w:val="正文文本缩进 Char"/>
    <w:basedOn w:val="30"/>
    <w:semiHidden/>
    <w:qFormat/>
    <w:locked/>
    <w:uiPriority w:val="0"/>
    <w:rPr>
      <w:rFonts w:ascii="Times New Roman" w:hAnsi="Times New Roman" w:eastAsia="宋体"/>
      <w:sz w:val="24"/>
    </w:rPr>
  </w:style>
  <w:style w:type="character" w:customStyle="1" w:styleId="54">
    <w:name w:val="批注文字 字符1"/>
    <w:semiHidden/>
    <w:qFormat/>
    <w:uiPriority w:val="0"/>
    <w:rPr>
      <w:rFonts w:ascii="Times New Roman" w:hAnsi="Times New Roman" w:eastAsia="宋体"/>
      <w:sz w:val="24"/>
    </w:rPr>
  </w:style>
  <w:style w:type="character" w:customStyle="1" w:styleId="55">
    <w:name w:val="日期 字符"/>
    <w:semiHidden/>
    <w:qFormat/>
    <w:uiPriority w:val="0"/>
    <w:rPr>
      <w:rFonts w:ascii="Times New Roman" w:hAnsi="Times New Roman" w:eastAsia="宋体"/>
      <w:sz w:val="24"/>
    </w:rPr>
  </w:style>
  <w:style w:type="character" w:customStyle="1" w:styleId="56">
    <w:name w:val="页脚 字符"/>
    <w:basedOn w:val="30"/>
    <w:qFormat/>
    <w:uiPriority w:val="99"/>
  </w:style>
  <w:style w:type="character" w:customStyle="1" w:styleId="57">
    <w:name w:val="表格 Char"/>
    <w:link w:val="58"/>
    <w:qFormat/>
    <w:locked/>
    <w:uiPriority w:val="0"/>
    <w:rPr>
      <w:rFonts w:ascii="宋体"/>
      <w:sz w:val="21"/>
    </w:rPr>
  </w:style>
  <w:style w:type="paragraph" w:customStyle="1" w:styleId="58">
    <w:name w:val="表格"/>
    <w:basedOn w:val="59"/>
    <w:next w:val="1"/>
    <w:link w:val="57"/>
    <w:qFormat/>
    <w:uiPriority w:val="0"/>
    <w:pPr>
      <w:adjustRightInd w:val="0"/>
      <w:snapToGrid w:val="0"/>
      <w:spacing w:beforeLines="10" w:afterLines="10" w:line="259" w:lineRule="auto"/>
      <w:jc w:val="center"/>
    </w:pPr>
    <w:rPr>
      <w:rFonts w:ascii="宋体"/>
      <w:kern w:val="0"/>
      <w:szCs w:val="20"/>
    </w:rPr>
  </w:style>
  <w:style w:type="paragraph" w:customStyle="1" w:styleId="59">
    <w:name w:val="三化正文文本"/>
    <w:qFormat/>
    <w:uiPriority w:val="0"/>
    <w:pPr>
      <w:widowControl w:val="0"/>
      <w:adjustRightInd w:val="0"/>
      <w:snapToGrid w:val="0"/>
      <w:spacing w:line="420" w:lineRule="exact"/>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60">
    <w:name w:val="font61"/>
    <w:basedOn w:val="30"/>
    <w:qFormat/>
    <w:uiPriority w:val="0"/>
    <w:rPr>
      <w:rFonts w:hint="eastAsia" w:ascii="宋体" w:hAnsi="宋体" w:eastAsia="宋体" w:cs="宋体"/>
      <w:color w:val="333333"/>
      <w:sz w:val="24"/>
      <w:szCs w:val="24"/>
      <w:u w:val="none"/>
    </w:rPr>
  </w:style>
  <w:style w:type="character" w:customStyle="1" w:styleId="61">
    <w:name w:val="Font Style92"/>
    <w:qFormat/>
    <w:uiPriority w:val="0"/>
    <w:rPr>
      <w:rFonts w:ascii="宋体" w:eastAsia="宋体" w:cs="宋体"/>
      <w:spacing w:val="10"/>
      <w:sz w:val="26"/>
      <w:szCs w:val="26"/>
    </w:rPr>
  </w:style>
  <w:style w:type="paragraph" w:customStyle="1" w:styleId="62">
    <w:name w:val="表格名称"/>
    <w:basedOn w:val="1"/>
    <w:qFormat/>
    <w:uiPriority w:val="0"/>
    <w:pPr>
      <w:adjustRightInd/>
      <w:snapToGrid/>
      <w:spacing w:before="50" w:beforeLines="50" w:line="240" w:lineRule="auto"/>
      <w:ind w:firstLine="0" w:firstLineChars="0"/>
      <w:jc w:val="center"/>
    </w:pPr>
    <w:rPr>
      <w:rFonts w:cs="宋体"/>
      <w:b/>
      <w:bCs/>
      <w:sz w:val="21"/>
      <w:szCs w:val="21"/>
    </w:rPr>
  </w:style>
  <w:style w:type="paragraph" w:customStyle="1" w:styleId="63">
    <w:name w:val="环评 表格"/>
    <w:basedOn w:val="64"/>
    <w:qFormat/>
    <w:uiPriority w:val="0"/>
    <w:pPr>
      <w:pBdr>
        <w:top w:val="none" w:color="auto" w:sz="0" w:space="1"/>
        <w:left w:val="dashed" w:color="FFFFFF" w:sz="4" w:space="4"/>
        <w:bottom w:val="none" w:color="auto" w:sz="0" w:space="1"/>
        <w:right w:val="dashed" w:color="FFFFFF" w:sz="4" w:space="4"/>
      </w:pBdr>
      <w:ind w:firstLine="0" w:firstLineChars="0"/>
      <w:jc w:val="center"/>
    </w:pPr>
    <w:rPr>
      <w:sz w:val="21"/>
      <w:szCs w:val="21"/>
      <w:lang w:eastAsia="en-US"/>
    </w:rPr>
  </w:style>
  <w:style w:type="paragraph" w:customStyle="1" w:styleId="64">
    <w:name w:val="无间隔1"/>
    <w:qFormat/>
    <w:uiPriority w:val="1"/>
    <w:pPr>
      <w:widowControl w:val="0"/>
      <w:ind w:firstLine="200" w:firstLineChars="200"/>
      <w:jc w:val="both"/>
    </w:pPr>
    <w:rPr>
      <w:rFonts w:ascii="Calibri" w:hAnsi="Calibri" w:eastAsia="宋体" w:cs="Calibri"/>
      <w:kern w:val="2"/>
      <w:sz w:val="24"/>
      <w:szCs w:val="24"/>
      <w:lang w:val="en-US" w:eastAsia="zh-CN" w:bidi="ar-SA"/>
    </w:rPr>
  </w:style>
  <w:style w:type="paragraph" w:customStyle="1" w:styleId="65">
    <w:name w:val="表格内正文1"/>
    <w:basedOn w:val="1"/>
    <w:next w:val="1"/>
    <w:qFormat/>
    <w:uiPriority w:val="0"/>
    <w:pPr>
      <w:adjustRightInd w:val="0"/>
      <w:snapToGrid w:val="0"/>
      <w:jc w:val="center"/>
    </w:pPr>
    <w:rPr>
      <w:rFonts w:ascii="Times New Roman" w:hAnsi="Times New Roman"/>
      <w:sz w:val="21"/>
    </w:rPr>
  </w:style>
  <w:style w:type="paragraph" w:customStyle="1" w:styleId="66">
    <w:name w:val="表格标题"/>
    <w:basedOn w:val="1"/>
    <w:next w:val="1"/>
    <w:qFormat/>
    <w:uiPriority w:val="0"/>
    <w:pPr>
      <w:numPr>
        <w:ilvl w:val="0"/>
        <w:numId w:val="3"/>
      </w:numPr>
      <w:spacing w:line="360" w:lineRule="auto"/>
      <w:ind w:left="0" w:firstLine="0"/>
      <w:jc w:val="center"/>
      <w:outlineLvl w:val="4"/>
    </w:pPr>
    <w:rPr>
      <w:b/>
      <w:kern w:val="0"/>
      <w:sz w:val="24"/>
    </w:rPr>
  </w:style>
  <w:style w:type="paragraph" w:customStyle="1" w:styleId="67">
    <w:name w:val="表格文字"/>
    <w:basedOn w:val="8"/>
    <w:qFormat/>
    <w:uiPriority w:val="0"/>
    <w:pPr>
      <w:ind w:firstLine="0"/>
      <w:jc w:val="center"/>
    </w:pPr>
    <w:rPr>
      <w:rFonts w:eastAsia="宋体"/>
      <w:sz w:val="18"/>
      <w:szCs w:val="18"/>
    </w:rPr>
  </w:style>
  <w:style w:type="paragraph" w:customStyle="1" w:styleId="68">
    <w:name w:val="Default"/>
    <w:basedOn w:val="69"/>
    <w:next w:val="6"/>
    <w:qFormat/>
    <w:uiPriority w:val="0"/>
    <w:pPr>
      <w:widowControl w:val="0"/>
      <w:autoSpaceDE w:val="0"/>
      <w:autoSpaceDN w:val="0"/>
      <w:adjustRightInd w:val="0"/>
    </w:pPr>
    <w:rPr>
      <w:rFonts w:ascii="Arial Unicode MS" w:hAnsi="Arial Unicode MS" w:eastAsia="宋体" w:cs="Arial Unicode MS"/>
      <w:color w:val="000000"/>
      <w:sz w:val="24"/>
      <w:szCs w:val="24"/>
      <w:lang w:val="en-US" w:eastAsia="zh-CN" w:bidi="ar-SA"/>
    </w:rPr>
  </w:style>
  <w:style w:type="paragraph" w:customStyle="1" w:styleId="69">
    <w:name w:val="纯文本1"/>
    <w:basedOn w:val="1"/>
    <w:next w:val="16"/>
    <w:qFormat/>
    <w:uiPriority w:val="99"/>
    <w:rPr>
      <w:rFonts w:ascii="宋体" w:hAnsi="Courier New" w:eastAsia="宋体" w:cs="黑体"/>
      <w:szCs w:val="21"/>
    </w:rPr>
  </w:style>
  <w:style w:type="paragraph" w:customStyle="1" w:styleId="70">
    <w:name w:val="图表标题"/>
    <w:basedOn w:val="1"/>
    <w:qFormat/>
    <w:uiPriority w:val="0"/>
    <w:pPr>
      <w:spacing w:line="240" w:lineRule="auto"/>
      <w:ind w:firstLine="0" w:firstLineChars="0"/>
      <w:jc w:val="center"/>
    </w:pPr>
    <w:rPr>
      <w:b/>
      <w:bCs/>
      <w:szCs w:val="24"/>
    </w:rPr>
  </w:style>
  <w:style w:type="paragraph" w:customStyle="1" w:styleId="71">
    <w:name w:val="BGZX"/>
    <w:next w:val="1"/>
    <w:qFormat/>
    <w:uiPriority w:val="0"/>
    <w:pPr>
      <w:widowControl w:val="0"/>
      <w:spacing w:line="360" w:lineRule="auto"/>
      <w:ind w:firstLine="480" w:firstLineChars="200"/>
      <w:jc w:val="both"/>
      <w:textAlignment w:val="center"/>
    </w:pPr>
    <w:rPr>
      <w:rFonts w:ascii="Times New Roman" w:hAnsi="Times New Roman" w:eastAsia="宋体" w:cs="Times New Roman"/>
      <w:color w:val="0000FF"/>
      <w:sz w:val="24"/>
      <w:lang w:val="en-US" w:eastAsia="zh-CN" w:bidi="ar-SA"/>
    </w:rPr>
  </w:style>
  <w:style w:type="paragraph" w:customStyle="1" w:styleId="72">
    <w:name w:val="正文（无网格）"/>
    <w:basedOn w:val="1"/>
    <w:qFormat/>
    <w:uiPriority w:val="0"/>
    <w:pPr>
      <w:adjustRightInd w:val="0"/>
      <w:snapToGrid w:val="0"/>
      <w:spacing w:line="360" w:lineRule="auto"/>
      <w:ind w:firstLine="480" w:firstLineChars="200"/>
    </w:pPr>
    <w:rPr>
      <w:rFonts w:cs="宋体"/>
      <w:sz w:val="24"/>
      <w:szCs w:val="20"/>
    </w:rPr>
  </w:style>
  <w:style w:type="paragraph" w:customStyle="1" w:styleId="73">
    <w:name w:val="表中正文"/>
    <w:basedOn w:val="1"/>
    <w:semiHidden/>
    <w:qFormat/>
    <w:uiPriority w:val="0"/>
    <w:pPr>
      <w:autoSpaceDE w:val="0"/>
      <w:autoSpaceDN w:val="0"/>
      <w:adjustRightInd w:val="0"/>
      <w:snapToGrid w:val="0"/>
      <w:spacing w:line="300" w:lineRule="exact"/>
      <w:ind w:firstLine="0" w:firstLineChars="0"/>
      <w:jc w:val="center"/>
    </w:pPr>
    <w:rPr>
      <w:rFonts w:ascii="宋体"/>
      <w:kern w:val="0"/>
      <w:sz w:val="21"/>
      <w:szCs w:val="21"/>
    </w:rPr>
  </w:style>
  <w:style w:type="paragraph" w:customStyle="1" w:styleId="74">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5">
    <w:name w:val="样式 宋体 两端对齐 首行缩进:  2 字符"/>
    <w:basedOn w:val="1"/>
    <w:qFormat/>
    <w:uiPriority w:val="0"/>
    <w:pPr>
      <w:spacing w:line="360" w:lineRule="auto"/>
      <w:ind w:firstLine="480" w:firstLineChars="200"/>
    </w:pPr>
    <w:rPr>
      <w:rFonts w:ascii="宋体" w:hAnsi="宋体" w:eastAsia="宋体" w:cs="宋体"/>
      <w:sz w:val="24"/>
    </w:rPr>
  </w:style>
  <w:style w:type="paragraph" w:customStyle="1" w:styleId="76">
    <w:name w:val="Normal (Web)"/>
    <w:basedOn w:val="1"/>
    <w:qFormat/>
    <w:uiPriority w:val="0"/>
    <w:pPr>
      <w:keepNext w:val="0"/>
      <w:keepLines w:val="0"/>
      <w:widowControl/>
      <w:suppressLineNumbers w:val="0"/>
      <w:spacing w:before="100" w:beforeAutospacing="1" w:after="100" w:afterAutospacing="1"/>
      <w:ind w:left="0" w:right="0"/>
      <w:jc w:val="left"/>
    </w:pPr>
    <w:rPr>
      <w:rFonts w:hint="eastAsia" w:ascii="宋体" w:hAnsi="宋体" w:eastAsia="宋体" w:cs="Times New Roman"/>
      <w:kern w:val="2"/>
      <w:sz w:val="24"/>
      <w:szCs w:val="20"/>
      <w:lang w:val="en-US" w:eastAsia="zh-CN" w:bidi="ar"/>
    </w:rPr>
  </w:style>
  <w:style w:type="paragraph" w:customStyle="1" w:styleId="77">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8">
    <w:name w:val="表的标题"/>
    <w:basedOn w:val="1"/>
    <w:next w:val="73"/>
    <w:qFormat/>
    <w:uiPriority w:val="0"/>
    <w:pPr>
      <w:adjustRightInd w:val="0"/>
      <w:snapToGrid w:val="0"/>
      <w:spacing w:before="50" w:beforeLines="50"/>
      <w:jc w:val="center"/>
    </w:pPr>
    <w:rPr>
      <w:rFonts w:eastAsia="黑体" w:cs="宋体"/>
      <w:sz w:val="24"/>
      <w:szCs w:val="20"/>
    </w:rPr>
  </w:style>
  <w:style w:type="paragraph" w:customStyle="1" w:styleId="79">
    <w:name w:val="5文章(治)"/>
    <w:basedOn w:val="1"/>
    <w:qFormat/>
    <w:uiPriority w:val="0"/>
    <w:pPr>
      <w:keepNext w:val="0"/>
      <w:keepLines w:val="0"/>
      <w:widowControl w:val="0"/>
      <w:suppressLineNumbers w:val="0"/>
      <w:spacing w:before="0" w:beforeAutospacing="0" w:after="0" w:afterAutospacing="0" w:line="360" w:lineRule="auto"/>
      <w:ind w:left="0" w:right="0" w:firstLine="560" w:firstLineChars="200"/>
      <w:jc w:val="both"/>
    </w:pPr>
    <w:rPr>
      <w:rFonts w:hint="default" w:ascii="Times New Roman" w:hAnsi="Times New Roman" w:eastAsia="宋体" w:cs="Times New Roman"/>
      <w:kern w:val="2"/>
      <w:sz w:val="24"/>
      <w:szCs w:val="20"/>
      <w:lang w:val="en-US" w:eastAsia="zh-CN" w:bidi="ar-SA"/>
    </w:rPr>
  </w:style>
  <w:style w:type="paragraph" w:customStyle="1" w:styleId="80">
    <w:name w:val="金皇-表格内文字"/>
    <w:basedOn w:val="1"/>
    <w:qFormat/>
    <w:uiPriority w:val="0"/>
    <w:pPr>
      <w:tabs>
        <w:tab w:val="left" w:pos="0"/>
      </w:tabs>
      <w:adjustRightInd w:val="0"/>
      <w:snapToGrid w:val="0"/>
      <w:jc w:val="center"/>
    </w:pPr>
    <w:rPr>
      <w:snapToGrid w:val="0"/>
      <w:szCs w:val="21"/>
    </w:rPr>
  </w:style>
  <w:style w:type="paragraph" w:customStyle="1" w:styleId="81">
    <w:name w:val="样式 首行缩进:  2 字符1"/>
    <w:basedOn w:val="1"/>
    <w:qFormat/>
    <w:uiPriority w:val="0"/>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pPr>
    <w:rPr>
      <w:rFonts w:hint="eastAsia" w:ascii="宋体" w:hAnsi="宋体" w:eastAsia="宋体" w:cs="Times New Roman"/>
      <w:kern w:val="2"/>
      <w:sz w:val="24"/>
      <w:szCs w:val="20"/>
      <w:lang w:val="en-US" w:eastAsia="zh-CN" w:bidi="ar-SA"/>
    </w:rPr>
  </w:style>
  <w:style w:type="paragraph" w:customStyle="1" w:styleId="82">
    <w:name w:val="缩进"/>
    <w:basedOn w:val="1"/>
    <w:qFormat/>
    <w:uiPriority w:val="0"/>
    <w:pPr>
      <w:autoSpaceDE w:val="0"/>
      <w:autoSpaceDN w:val="0"/>
      <w:adjustRightInd w:val="0"/>
      <w:spacing w:line="400" w:lineRule="atLeast"/>
      <w:ind w:firstLine="425"/>
      <w:textAlignment w:val="baseline"/>
    </w:pPr>
    <w:rPr>
      <w:kern w:val="0"/>
      <w:sz w:val="24"/>
      <w:szCs w:val="20"/>
    </w:rPr>
  </w:style>
  <w:style w:type="paragraph" w:customStyle="1" w:styleId="83">
    <w:name w:val="常用"/>
    <w:basedOn w:val="1"/>
    <w:qFormat/>
    <w:uiPriority w:val="0"/>
    <w:pPr>
      <w:widowControl/>
      <w:spacing w:line="360" w:lineRule="auto"/>
      <w:ind w:firstLine="200" w:firstLineChars="200"/>
      <w:jc w:val="left"/>
    </w:pPr>
    <w:rPr>
      <w:rFonts w:ascii="宋体" w:hAnsi="宋体" w:eastAsia="宋体"/>
      <w:kern w:val="0"/>
      <w:szCs w:val="28"/>
    </w:rPr>
  </w:style>
  <w:style w:type="paragraph" w:customStyle="1" w:styleId="84">
    <w:name w:val="2表内正文CM"/>
    <w:basedOn w:val="1"/>
    <w:next w:val="1"/>
    <w:qFormat/>
    <w:uiPriority w:val="0"/>
    <w:pPr>
      <w:adjustRightInd w:val="0"/>
      <w:snapToGrid w:val="0"/>
      <w:jc w:val="center"/>
    </w:pPr>
    <w:rPr>
      <w:rFonts w:ascii="Times New Roman" w:hAnsi="Times New Roman"/>
      <w:kern w:val="2"/>
      <w:sz w:val="21"/>
      <w:szCs w:val="24"/>
    </w:rPr>
  </w:style>
  <w:style w:type="paragraph" w:customStyle="1" w:styleId="85">
    <w:name w:val="1.表格标题CM"/>
    <w:basedOn w:val="1"/>
    <w:qFormat/>
    <w:uiPriority w:val="0"/>
    <w:pPr>
      <w:widowControl w:val="0"/>
      <w:adjustRightInd w:val="0"/>
      <w:snapToGrid w:val="0"/>
      <w:spacing w:before="30" w:beforeLines="30" w:line="360" w:lineRule="auto"/>
      <w:jc w:val="center"/>
      <w:outlineLvl w:val="6"/>
    </w:pPr>
    <w:rPr>
      <w:rFonts w:ascii="Times New Roman" w:hAnsi="Times New Roman" w:eastAsia="黑体"/>
      <w:b/>
      <w:kern w:val="2"/>
      <w:sz w:val="24"/>
      <w:szCs w:val="24"/>
      <w:lang w:val="zh-CN" w:eastAsia="zh-CN"/>
    </w:rPr>
  </w:style>
  <w:style w:type="paragraph" w:customStyle="1" w:styleId="86">
    <w:name w:val="CM11"/>
    <w:basedOn w:val="1"/>
    <w:next w:val="1"/>
    <w:qFormat/>
    <w:uiPriority w:val="0"/>
    <w:pPr>
      <w:autoSpaceDE w:val="0"/>
      <w:autoSpaceDN w:val="0"/>
      <w:adjustRightInd w:val="0"/>
      <w:spacing w:line="520" w:lineRule="atLeast"/>
      <w:ind w:firstLine="0"/>
      <w:jc w:val="left"/>
    </w:pPr>
    <w:rPr>
      <w:rFonts w:ascii="宋体" w:eastAsia="宋体"/>
      <w:kern w:val="0"/>
      <w:sz w:val="24"/>
    </w:rPr>
  </w:style>
  <w:style w:type="paragraph" w:customStyle="1" w:styleId="87">
    <w:name w:val="7表格(治)"/>
    <w:qFormat/>
    <w:uiPriority w:val="0"/>
    <w:pPr>
      <w:jc w:val="center"/>
    </w:pPr>
    <w:rPr>
      <w:rFonts w:ascii="Calibri" w:hAnsi="Calibri" w:eastAsia="宋体" w:cs="Times New Roman"/>
      <w:sz w:val="21"/>
      <w:lang w:val="en-US" w:eastAsia="zh-CN" w:bidi="ar-SA"/>
    </w:rPr>
  </w:style>
  <w:style w:type="paragraph" w:customStyle="1" w:styleId="88">
    <w:name w:val="样式 样式 样式 首行缩进:  2 字符 + 居中 + 行距: 固定值 17 磅"/>
    <w:basedOn w:val="1"/>
    <w:qFormat/>
    <w:uiPriority w:val="0"/>
    <w:pPr>
      <w:adjustRightInd w:val="0"/>
      <w:snapToGrid w:val="0"/>
      <w:spacing w:line="340" w:lineRule="exact"/>
      <w:ind w:firstLine="0"/>
      <w:jc w:val="center"/>
    </w:pPr>
    <w:rPr>
      <w:rFonts w:eastAsia="宋体" w:cs="宋体"/>
      <w:color w:val="000000"/>
      <w:sz w:val="21"/>
    </w:rPr>
  </w:style>
  <w:style w:type="paragraph" w:customStyle="1" w:styleId="89">
    <w:name w:val="a表格"/>
    <w:basedOn w:val="1"/>
    <w:qFormat/>
    <w:uiPriority w:val="0"/>
    <w:pPr>
      <w:snapToGrid w:val="0"/>
      <w:ind w:firstLine="0"/>
      <w:jc w:val="center"/>
    </w:pPr>
    <w:rPr>
      <w:rFonts w:eastAsia="宋体"/>
      <w:sz w:val="21"/>
      <w:szCs w:val="24"/>
    </w:rPr>
  </w:style>
  <w:style w:type="paragraph" w:customStyle="1" w:styleId="90">
    <w:name w:val="表格内容"/>
    <w:basedOn w:val="22"/>
    <w:next w:val="1"/>
    <w:qFormat/>
    <w:uiPriority w:val="0"/>
    <w:pPr>
      <w:autoSpaceDE w:val="0"/>
      <w:autoSpaceDN w:val="0"/>
      <w:ind w:firstLine="0"/>
      <w:jc w:val="center"/>
    </w:pPr>
    <w:rPr>
      <w:kern w:val="0"/>
      <w:sz w:val="24"/>
      <w:lang w:bidi="he-IL"/>
    </w:rPr>
  </w:style>
  <w:style w:type="paragraph" w:customStyle="1" w:styleId="91">
    <w:name w:val="表格表头"/>
    <w:basedOn w:val="48"/>
    <w:qFormat/>
    <w:uiPriority w:val="0"/>
    <w:pPr>
      <w:spacing w:before="160" w:after="160"/>
      <w:jc w:val="center"/>
    </w:pPr>
    <w:rPr>
      <w:rFonts w:ascii="Times New Roman" w:hAnsi="Times New Roman" w:eastAsia="宋体" w:cs="Times New Roman"/>
      <w:b/>
      <w:kern w:val="2"/>
      <w:sz w:val="24"/>
      <w:szCs w:val="24"/>
      <w:lang w:val="en-US" w:eastAsia="zh-CN" w:bidi="ar-SA"/>
    </w:rPr>
  </w:style>
  <w:style w:type="paragraph" w:customStyle="1" w:styleId="92">
    <w:name w:val="正文1"/>
    <w:basedOn w:val="14"/>
    <w:qFormat/>
    <w:uiPriority w:val="0"/>
    <w:pPr>
      <w:ind w:firstLine="200" w:firstLineChars="200"/>
    </w:pPr>
    <w:rPr>
      <w:rFonts w:eastAsia="宋体" w:cs="宋体"/>
      <w:sz w:val="24"/>
    </w:rPr>
  </w:style>
  <w:style w:type="paragraph" w:customStyle="1" w:styleId="9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4">
    <w:name w:val="表格固定文字"/>
    <w:basedOn w:val="1"/>
    <w:qFormat/>
    <w:uiPriority w:val="0"/>
    <w:pPr>
      <w:ind w:firstLine="0"/>
    </w:pPr>
    <w:rPr>
      <w:rFonts w:eastAsia="宋体"/>
      <w:sz w:val="21"/>
      <w:szCs w:val="24"/>
    </w:rPr>
  </w:style>
  <w:style w:type="paragraph" w:customStyle="1" w:styleId="95">
    <w:name w:val="4正文"/>
    <w:basedOn w:val="1"/>
    <w:qFormat/>
    <w:uiPriority w:val="0"/>
    <w:pPr>
      <w:adjustRightInd w:val="0"/>
      <w:snapToGrid w:val="0"/>
      <w:spacing w:line="360" w:lineRule="auto"/>
      <w:ind w:firstLine="480" w:firstLineChars="200"/>
    </w:pPr>
    <w:rPr>
      <w:rFonts w:eastAsia="宋体" w:cs="宋体"/>
      <w:sz w:val="24"/>
    </w:rPr>
  </w:style>
  <w:style w:type="paragraph" w:customStyle="1" w:styleId="96">
    <w:name w:val="表格字体"/>
    <w:qFormat/>
    <w:uiPriority w:val="0"/>
    <w:pPr>
      <w:snapToGrid w:val="0"/>
      <w:jc w:val="center"/>
    </w:pPr>
    <w:rPr>
      <w:rFonts w:ascii="Times New Roman" w:hAnsi="Times New Roman" w:eastAsia="宋体" w:cs="Times New Roman"/>
      <w:kern w:val="2"/>
      <w:sz w:val="21"/>
      <w:lang w:val="en-US" w:eastAsia="zh-CN" w:bidi="ar-SA"/>
    </w:rPr>
  </w:style>
  <w:style w:type="paragraph" w:customStyle="1" w:styleId="97">
    <w:name w:val="Table Paragraph"/>
    <w:basedOn w:val="1"/>
    <w:qFormat/>
    <w:uiPriority w:val="0"/>
    <w:pPr>
      <w:keepNext w:val="0"/>
      <w:keepLines w:val="0"/>
      <w:widowControl/>
      <w:suppressLineNumbers w:val="0"/>
      <w:spacing w:before="0" w:beforeAutospacing="0" w:after="0" w:afterAutospacing="0"/>
      <w:ind w:left="0" w:right="0"/>
      <w:jc w:val="left"/>
    </w:pPr>
    <w:rPr>
      <w:rFonts w:hint="default" w:ascii="Calibri" w:hAnsi="Calibri" w:eastAsia="宋体" w:cs="宋体"/>
      <w:kern w:val="0"/>
      <w:sz w:val="22"/>
      <w:szCs w:val="22"/>
      <w:lang w:val="en-US" w:eastAsia="zh-CN" w:bidi="ar"/>
    </w:rPr>
  </w:style>
  <w:style w:type="paragraph" w:customStyle="1" w:styleId="98">
    <w:name w:val="正文小四"/>
    <w:basedOn w:val="1"/>
    <w:qFormat/>
    <w:uiPriority w:val="0"/>
    <w:pPr>
      <w:spacing w:line="360" w:lineRule="auto"/>
      <w:ind w:firstLine="360" w:firstLineChars="150"/>
      <w:jc w:val="left"/>
    </w:pPr>
    <w:rPr>
      <w:rFonts w:eastAsia="Century Gothic"/>
      <w:sz w:val="24"/>
    </w:rPr>
  </w:style>
  <w:style w:type="table" w:customStyle="1" w:styleId="99">
    <w:name w:val="样式6"/>
    <w:basedOn w:val="28"/>
    <w:qFormat/>
    <w:uiPriority w:val="99"/>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left w:w="0" w:type="dxa"/>
        <w:right w:w="0" w:type="dxa"/>
      </w:tblCellMar>
    </w:tblPr>
    <w:tcPr>
      <w:vAlign w:val="center"/>
    </w:tcPr>
  </w:style>
  <w:style w:type="paragraph" w:customStyle="1" w:styleId="100">
    <w:name w:val="C正文"/>
    <w:next w:val="20"/>
    <w:qFormat/>
    <w:uiPriority w:val="0"/>
    <w:pPr>
      <w:wordWrap w:val="0"/>
      <w:adjustRightInd w:val="0"/>
      <w:snapToGrid w:val="0"/>
      <w:spacing w:line="360" w:lineRule="auto"/>
      <w:ind w:firstLine="200" w:firstLineChars="200"/>
      <w:jc w:val="both"/>
    </w:pPr>
    <w:rPr>
      <w:rFonts w:ascii="Times New Roman" w:hAnsi="Times New Roman" w:eastAsia="仿宋_GB2312" w:cs="Arial"/>
      <w:kern w:val="2"/>
      <w:sz w:val="32"/>
      <w:szCs w:val="30"/>
      <w:lang w:val="en-US" w:eastAsia="zh-CN" w:bidi="ar-SA"/>
    </w:rPr>
  </w:style>
  <w:style w:type="paragraph" w:customStyle="1" w:styleId="101">
    <w:name w:val="表格内容（）"/>
    <w:basedOn w:val="1"/>
    <w:qFormat/>
    <w:uiPriority w:val="0"/>
    <w:pPr>
      <w:widowControl w:val="0"/>
      <w:spacing w:line="240" w:lineRule="auto"/>
      <w:ind w:firstLine="0" w:firstLineChars="0"/>
      <w:jc w:val="center"/>
    </w:pPr>
    <w:rPr>
      <w:color w:val="00B0F0"/>
      <w:sz w:val="21"/>
      <w:szCs w:val="21"/>
    </w:rPr>
  </w:style>
  <w:style w:type="paragraph" w:customStyle="1" w:styleId="102">
    <w:name w:val="二级标题（）"/>
    <w:basedOn w:val="1"/>
    <w:qFormat/>
    <w:uiPriority w:val="0"/>
    <w:pPr>
      <w:widowControl w:val="0"/>
      <w:ind w:firstLine="0" w:firstLineChars="0"/>
      <w:outlineLvl w:val="1"/>
    </w:pPr>
    <w:rPr>
      <w:rFonts w:eastAsia="黑体"/>
      <w:sz w:val="30"/>
      <w:szCs w:val="30"/>
    </w:rPr>
  </w:style>
  <w:style w:type="paragraph" w:customStyle="1" w:styleId="103">
    <w:name w:val="三级标题（）"/>
    <w:basedOn w:val="1"/>
    <w:qFormat/>
    <w:uiPriority w:val="0"/>
    <w:pPr>
      <w:widowControl w:val="0"/>
      <w:tabs>
        <w:tab w:val="left" w:pos="3840"/>
      </w:tabs>
      <w:ind w:firstLine="0" w:firstLineChars="0"/>
      <w:outlineLvl w:val="2"/>
    </w:pPr>
    <w:rPr>
      <w:rFonts w:eastAsia="黑体"/>
      <w:sz w:val="28"/>
      <w:szCs w:val="30"/>
    </w:rPr>
  </w:style>
  <w:style w:type="paragraph" w:customStyle="1" w:styleId="104">
    <w:name w:val="正文（）"/>
    <w:basedOn w:val="1"/>
    <w:link w:val="105"/>
    <w:qFormat/>
    <w:uiPriority w:val="0"/>
    <w:rPr>
      <w:rFonts w:ascii="宋体" w:hAnsi="宋体"/>
      <w:color w:val="4BACC6"/>
      <w:kern w:val="0"/>
    </w:rPr>
  </w:style>
  <w:style w:type="character" w:customStyle="1" w:styleId="105">
    <w:name w:val="正文（） Char"/>
    <w:link w:val="104"/>
    <w:qFormat/>
    <w:uiPriority w:val="0"/>
    <w:rPr>
      <w:rFonts w:ascii="宋体" w:hAnsi="宋体"/>
      <w:color w:val="4BACC6"/>
      <w:kern w:val="0"/>
    </w:rPr>
  </w:style>
  <w:style w:type="paragraph" w:customStyle="1" w:styleId="106">
    <w:name w:val="表格标题（）"/>
    <w:basedOn w:val="1"/>
    <w:qFormat/>
    <w:uiPriority w:val="0"/>
    <w:pPr>
      <w:widowControl w:val="0"/>
      <w:adjustRightInd/>
      <w:snapToGrid/>
      <w:spacing w:line="240" w:lineRule="auto"/>
      <w:ind w:firstLine="0" w:firstLineChars="0"/>
      <w:jc w:val="center"/>
    </w:pPr>
    <w:rPr>
      <w:rFonts w:eastAsia="黑体"/>
      <w:color w:val="000000"/>
      <w:lang w:val="zh-CN" w:bidi="he-IL"/>
    </w:rPr>
  </w:style>
  <w:style w:type="character" w:customStyle="1" w:styleId="107">
    <w:name w:val="15"/>
    <w:qFormat/>
    <w:uiPriority w:val="0"/>
    <w:rPr>
      <w:rFonts w:hint="eastAsia" w:ascii="宋体" w:hAnsi="宋体" w:eastAsia="宋体"/>
      <w:color w:val="4BACC6"/>
      <w:sz w:val="24"/>
      <w:szCs w:val="24"/>
    </w:rPr>
  </w:style>
  <w:style w:type="paragraph" w:customStyle="1" w:styleId="108">
    <w:name w:val="四级标题（）"/>
    <w:basedOn w:val="1"/>
    <w:qFormat/>
    <w:uiPriority w:val="0"/>
    <w:pPr>
      <w:keepNext/>
      <w:widowControl w:val="0"/>
      <w:suppressAutoHyphens/>
      <w:ind w:firstLine="0" w:firstLineChars="0"/>
      <w:textAlignment w:val="baseline"/>
      <w:outlineLvl w:val="3"/>
    </w:pPr>
    <w:rPr>
      <w:rFonts w:ascii="Calibri" w:hAnsi="Calibri" w:eastAsia="黑体"/>
      <w:bCs/>
      <w:kern w:val="28"/>
      <w:lang w:bidi="he-IL"/>
    </w:rPr>
  </w:style>
  <w:style w:type="paragraph" w:customStyle="1" w:styleId="109">
    <w:name w:val="表格内文字"/>
    <w:basedOn w:val="1"/>
    <w:qFormat/>
    <w:uiPriority w:val="0"/>
    <w:pPr>
      <w:tabs>
        <w:tab w:val="left" w:pos="0"/>
      </w:tabs>
      <w:jc w:val="center"/>
    </w:pPr>
    <w:rPr>
      <w:rFonts w:eastAsia="仿宋_GB2312"/>
      <w:sz w:val="24"/>
      <w:szCs w:val="24"/>
    </w:rPr>
  </w:style>
  <w:style w:type="paragraph" w:customStyle="1" w:styleId="110">
    <w:name w:val="表头"/>
    <w:basedOn w:val="92"/>
    <w:qFormat/>
    <w:uiPriority w:val="0"/>
    <w:pPr>
      <w:widowControl w:val="0"/>
      <w:adjustRightInd w:val="0"/>
      <w:spacing w:line="360" w:lineRule="auto"/>
    </w:pPr>
    <w:rPr>
      <w:rFonts w:eastAsia="黑体"/>
      <w:snapToGrid w:val="0"/>
      <w:sz w:val="28"/>
    </w:rPr>
  </w:style>
  <w:style w:type="paragraph" w:customStyle="1" w:styleId="111">
    <w:name w:val="正文（小四）"/>
    <w:qFormat/>
    <w:uiPriority w:val="0"/>
    <w:pPr>
      <w:spacing w:line="360" w:lineRule="auto"/>
      <w:ind w:firstLine="200" w:firstLineChars="200"/>
      <w:jc w:val="both"/>
    </w:pPr>
    <w:rPr>
      <w:rFonts w:ascii="Times New Roman" w:hAnsi="Times New Roman" w:eastAsia="宋体" w:cs="Times New Roman"/>
      <w:bCs/>
      <w:color w:val="000000"/>
      <w:kern w:val="2"/>
      <w:sz w:val="24"/>
      <w:szCs w:val="32"/>
      <w:lang w:val="en-US" w:eastAsia="zh-CN" w:bidi="ar-SA"/>
    </w:rPr>
  </w:style>
  <w:style w:type="paragraph" w:customStyle="1" w:styleId="112">
    <w:name w:val="5段落"/>
    <w:basedOn w:val="1"/>
    <w:qFormat/>
    <w:uiPriority w:val="0"/>
    <w:pPr>
      <w:spacing w:line="360" w:lineRule="auto"/>
      <w:ind w:firstLine="420" w:firstLineChars="200"/>
    </w:pPr>
  </w:style>
  <w:style w:type="paragraph" w:customStyle="1" w:styleId="113">
    <w:name w:val="6表格"/>
    <w:basedOn w:val="1"/>
    <w:qFormat/>
    <w:uiPriority w:val="0"/>
    <w:pPr>
      <w:jc w:val="center"/>
    </w:pPr>
  </w:style>
  <w:style w:type="paragraph" w:customStyle="1" w:styleId="114">
    <w:name w:val="正文-yss"/>
    <w:basedOn w:val="1"/>
    <w:qFormat/>
    <w:uiPriority w:val="0"/>
    <w:pPr>
      <w:wordWrap w:val="0"/>
      <w:autoSpaceDE w:val="0"/>
      <w:autoSpaceDN w:val="0"/>
      <w:adjustRightInd w:val="0"/>
      <w:snapToGrid w:val="0"/>
      <w:spacing w:line="360" w:lineRule="auto"/>
      <w:ind w:firstLine="720" w:firstLineChars="200"/>
      <w:jc w:val="left"/>
    </w:pPr>
    <w:rPr>
      <w:rFonts w:hint="eastAsia" w:ascii="Times New Roman" w:hAnsi="Times New Roman" w:eastAsia="宋体" w:cs="宋体"/>
      <w:kern w:val="0"/>
      <w:szCs w:val="21"/>
    </w:rPr>
  </w:style>
  <w:style w:type="character" w:customStyle="1" w:styleId="115">
    <w:name w:val="表格内容 Char1"/>
    <w:qFormat/>
    <w:uiPriority w:val="0"/>
    <w:rPr>
      <w:rFonts w:ascii="宋体" w:hAnsi="宋体" w:eastAsia="宋体"/>
      <w:kern w:val="0"/>
      <w:sz w:val="21"/>
    </w:rPr>
  </w:style>
  <w:style w:type="paragraph" w:customStyle="1" w:styleId="116">
    <w:name w:val="表内容"/>
    <w:basedOn w:val="1"/>
    <w:qFormat/>
    <w:uiPriority w:val="0"/>
    <w:pPr>
      <w:keepNext w:val="0"/>
      <w:keepLines w:val="0"/>
      <w:widowControl w:val="0"/>
      <w:suppressLineNumbers w:val="0"/>
      <w:adjustRightInd w:val="0"/>
      <w:snapToGrid w:val="0"/>
      <w:spacing w:before="0" w:beforeAutospacing="0" w:after="0" w:afterAutospacing="0" w:line="240" w:lineRule="auto"/>
      <w:ind w:left="0" w:right="0" w:firstLine="0" w:firstLineChars="0"/>
      <w:jc w:val="center"/>
    </w:pPr>
    <w:rPr>
      <w:rFonts w:hint="default" w:ascii="Times New Roman" w:hAnsi="Times New Roman" w:cs="Times New Roman"/>
      <w:snapToGrid/>
      <w:kern w:val="2"/>
      <w:sz w:val="21"/>
      <w:szCs w:val="21"/>
      <w:lang w:val="en-US" w:eastAsia="zh-CN" w:bidi="ar"/>
    </w:rPr>
  </w:style>
  <w:style w:type="paragraph" w:customStyle="1" w:styleId="117">
    <w:name w:val="足乐正文"/>
    <w:basedOn w:val="1"/>
    <w:qFormat/>
    <w:uiPriority w:val="0"/>
    <w:pPr>
      <w:spacing w:line="360" w:lineRule="auto"/>
      <w:ind w:firstLine="720" w:firstLineChars="200"/>
    </w:pPr>
    <w:rPr>
      <w:rFonts w:ascii="Times New Roman" w:hAnsi="Times New Roman"/>
    </w:rPr>
  </w:style>
  <w:style w:type="paragraph" w:customStyle="1" w:styleId="118">
    <w:name w:val="0正文"/>
    <w:basedOn w:val="1"/>
    <w:semiHidden/>
    <w:qFormat/>
    <w:uiPriority w:val="0"/>
    <w:pPr>
      <w:spacing w:line="360" w:lineRule="auto"/>
      <w:ind w:firstLine="720" w:firstLineChars="200"/>
      <w:jc w:val="left"/>
    </w:pPr>
    <w:rPr>
      <w:kern w:val="0"/>
      <w:sz w:val="24"/>
      <w:szCs w:val="24"/>
    </w:rPr>
  </w:style>
  <w:style w:type="paragraph" w:customStyle="1" w:styleId="119">
    <w:name w:val="表格名称1"/>
    <w:basedOn w:val="1"/>
    <w:qFormat/>
    <w:uiPriority w:val="0"/>
    <w:pPr>
      <w:adjustRightInd w:val="0"/>
      <w:snapToGrid w:val="0"/>
      <w:jc w:val="center"/>
    </w:pPr>
    <w:rPr>
      <w:b/>
    </w:rPr>
  </w:style>
  <w:style w:type="paragraph" w:customStyle="1" w:styleId="120">
    <w:name w:val="章1正文样式"/>
    <w:basedOn w:val="1"/>
    <w:qFormat/>
    <w:uiPriority w:val="0"/>
    <w:pPr>
      <w:adjustRightInd w:val="0"/>
      <w:snapToGrid w:val="0"/>
      <w:spacing w:line="360" w:lineRule="auto"/>
      <w:ind w:firstLine="720" w:firstLineChars="200"/>
    </w:pPr>
    <w:rPr>
      <w:rFonts w:hint="eastAsia" w:ascii="Times New Roman" w:hAnsi="Times New Roman" w:eastAsia="宋体" w:cs="Times New Roman"/>
      <w:sz w:val="24"/>
      <w:szCs w:val="21"/>
    </w:rPr>
  </w:style>
  <w:style w:type="paragraph" w:customStyle="1" w:styleId="121">
    <w:name w:val="表格样式—zsy"/>
    <w:basedOn w:val="1"/>
    <w:qFormat/>
    <w:uiPriority w:val="0"/>
    <w:pPr>
      <w:keepNext/>
      <w:keepLines/>
      <w:spacing w:line="340" w:lineRule="exact"/>
      <w:ind w:firstLine="0" w:firstLineChars="0"/>
      <w:jc w:val="center"/>
    </w:pPr>
    <w:rPr>
      <w:rFonts w:hint="eastAsia" w:ascii="Times New Roman" w:hAnsi="Times New Roman" w:eastAsia="宋体"/>
    </w:rPr>
  </w:style>
  <w:style w:type="paragraph" w:customStyle="1" w:styleId="122">
    <w:name w:val="表格内容Q"/>
    <w:basedOn w:val="1"/>
    <w:qFormat/>
    <w:uiPriority w:val="0"/>
    <w:pPr>
      <w:spacing w:line="240" w:lineRule="auto"/>
      <w:ind w:firstLine="0" w:firstLineChars="0"/>
      <w:jc w:val="center"/>
    </w:pPr>
    <w:rPr>
      <w:sz w:val="21"/>
      <w:szCs w:val="21"/>
    </w:rPr>
  </w:style>
  <w:style w:type="paragraph" w:customStyle="1" w:styleId="123">
    <w:name w:val="表头样式"/>
    <w:basedOn w:val="1"/>
    <w:next w:val="1"/>
    <w:qFormat/>
    <w:uiPriority w:val="0"/>
    <w:pPr>
      <w:keepNext/>
      <w:overflowPunct w:val="0"/>
      <w:adjustRightInd w:val="0"/>
      <w:snapToGrid w:val="0"/>
      <w:spacing w:before="50" w:beforeLines="50" w:line="240" w:lineRule="auto"/>
      <w:ind w:left="0" w:firstLine="0"/>
      <w:jc w:val="center"/>
      <w:outlineLvl w:val="9"/>
    </w:pPr>
    <w:rPr>
      <w:rFonts w:hint="eastAsia" w:ascii="Times New Roman" w:hAnsi="Times New Roman" w:eastAsia="黑体"/>
      <w:bCs/>
      <w:color w:val="000000"/>
      <w:kern w:val="44"/>
      <w:sz w:val="24"/>
    </w:rPr>
  </w:style>
  <w:style w:type="paragraph" w:customStyle="1" w:styleId="124">
    <w:name w:val="正文样式-zsy"/>
    <w:basedOn w:val="125"/>
    <w:qFormat/>
    <w:uiPriority w:val="0"/>
    <w:pPr>
      <w:keepNext/>
      <w:keepLines/>
      <w:spacing w:line="360" w:lineRule="auto"/>
      <w:ind w:firstLine="720" w:firstLineChars="200"/>
      <w:outlineLvl w:val="9"/>
    </w:pPr>
    <w:rPr>
      <w:rFonts w:ascii="Times New Roman" w:hAnsi="Times New Roman" w:eastAsia="宋体"/>
      <w:sz w:val="24"/>
    </w:rPr>
  </w:style>
  <w:style w:type="paragraph" w:customStyle="1" w:styleId="125">
    <w:name w:val="正文样式"/>
    <w:basedOn w:val="1"/>
    <w:qFormat/>
    <w:uiPriority w:val="0"/>
    <w:pPr>
      <w:adjustRightInd w:val="0"/>
      <w:snapToGrid w:val="0"/>
      <w:spacing w:line="360" w:lineRule="auto"/>
      <w:ind w:firstLine="720" w:firstLineChars="200"/>
      <w:jc w:val="both"/>
    </w:pPr>
    <w:rPr>
      <w:rFonts w:ascii="Times New Roman" w:hAnsi="Times New Roman" w:eastAsia="宋体" w:cs="Times New Roman"/>
      <w:sz w:val="24"/>
    </w:rPr>
  </w:style>
  <w:style w:type="paragraph" w:customStyle="1" w:styleId="126">
    <w:name w:val="表格样式"/>
    <w:basedOn w:val="1"/>
    <w:next w:val="1"/>
    <w:qFormat/>
    <w:uiPriority w:val="0"/>
    <w:pPr>
      <w:keepNext/>
      <w:overflowPunct w:val="0"/>
      <w:snapToGrid w:val="0"/>
      <w:spacing w:line="340" w:lineRule="exact"/>
      <w:ind w:left="0" w:firstLine="0"/>
      <w:jc w:val="center"/>
      <w:outlineLvl w:val="9"/>
    </w:pPr>
    <w:rPr>
      <w:rFonts w:hint="eastAsia" w:ascii="Times New Roman" w:hAnsi="Times New Roman" w:eastAsia="宋体"/>
      <w:bCs/>
      <w:color w:val="000000"/>
      <w:kern w:val="44"/>
      <w:szCs w:val="30"/>
    </w:rPr>
  </w:style>
  <w:style w:type="paragraph" w:customStyle="1" w:styleId="127">
    <w:name w:val="附件附图样式"/>
    <w:basedOn w:val="1"/>
    <w:qFormat/>
    <w:uiPriority w:val="0"/>
    <w:pPr>
      <w:spacing w:line="360" w:lineRule="auto"/>
      <w:jc w:val="right"/>
      <w:outlineLvl w:val="0"/>
    </w:pPr>
    <w:rPr>
      <w:rFonts w:ascii="Times New Roman" w:hAnsi="Times New Roman" w:eastAsia="黑体"/>
      <w:sz w:val="24"/>
      <w:szCs w:val="52"/>
    </w:rPr>
  </w:style>
  <w:style w:type="paragraph" w:customStyle="1" w:styleId="128">
    <w:name w:val="WPSOffice手动目录 1"/>
    <w:qFormat/>
    <w:uiPriority w:val="0"/>
    <w:pPr>
      <w:ind w:leftChars="0"/>
    </w:pPr>
    <w:rPr>
      <w:rFonts w:ascii="Times New Roman" w:hAnsi="Times New Roman" w:eastAsia="宋体" w:cs="Times New Roman"/>
      <w:sz w:val="20"/>
      <w:szCs w:val="20"/>
    </w:rPr>
  </w:style>
  <w:style w:type="paragraph" w:customStyle="1" w:styleId="129">
    <w:name w:val=" Char Char Char Char Char Char"/>
    <w:basedOn w:val="1"/>
    <w:qFormat/>
    <w:uiPriority w:val="0"/>
  </w:style>
  <w:style w:type="paragraph" w:customStyle="1" w:styleId="130">
    <w:name w:val="6表(图)头(治)"/>
    <w:next w:val="1"/>
    <w:qFormat/>
    <w:uiPriority w:val="0"/>
    <w:pPr>
      <w:widowControl w:val="0"/>
      <w:jc w:val="center"/>
    </w:pPr>
    <w:rPr>
      <w:rFonts w:ascii="Times New Roman" w:hAnsi="Times New Roman" w:eastAsia="黑体" w:cs="Times New Roman"/>
      <w:b/>
      <w:bCs/>
      <w:sz w:val="28"/>
      <w:lang w:val="en-US" w:eastAsia="zh-CN" w:bidi="ar-SA"/>
    </w:rPr>
  </w:style>
  <w:style w:type="paragraph" w:customStyle="1" w:styleId="131">
    <w:name w:val="8说明(治)"/>
    <w:basedOn w:val="1"/>
    <w:next w:val="79"/>
    <w:qFormat/>
    <w:uiPriority w:val="0"/>
    <w:pPr>
      <w:ind w:firstLine="435"/>
    </w:pPr>
    <w:rPr>
      <w:rFonts w:eastAsia="仿宋_GB2312"/>
      <w:sz w:val="21"/>
      <w:szCs w:val="24"/>
    </w:rPr>
  </w:style>
  <w:style w:type="paragraph" w:customStyle="1" w:styleId="132">
    <w:name w:val="5文章"/>
    <w:basedOn w:val="1"/>
    <w:qFormat/>
    <w:uiPriority w:val="0"/>
    <w:pPr>
      <w:ind w:firstLine="560"/>
    </w:pPr>
    <w:rPr>
      <w:rFonts w:ascii="Calibri" w:hAnsi="Calibri" w:eastAsia="宋体" w:cs="Times New Roman"/>
      <w:szCs w:val="28"/>
    </w:rPr>
  </w:style>
  <w:style w:type="paragraph" w:customStyle="1" w:styleId="133">
    <w:name w:val="标题3"/>
    <w:basedOn w:val="1"/>
    <w:qFormat/>
    <w:uiPriority w:val="0"/>
    <w:pPr>
      <w:widowControl/>
      <w:spacing w:line="360" w:lineRule="auto"/>
      <w:jc w:val="left"/>
      <w:outlineLvl w:val="2"/>
    </w:pPr>
    <w:rPr>
      <w:b/>
      <w:sz w:val="24"/>
    </w:rPr>
  </w:style>
  <w:style w:type="paragraph" w:customStyle="1" w:styleId="134">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135">
    <w:name w:val="Table Normal"/>
    <w:semiHidden/>
    <w:unhideWhenUsed/>
    <w:qFormat/>
    <w:uiPriority w:val="0"/>
    <w:tblPr>
      <w:tblCellMar>
        <w:top w:w="0" w:type="dxa"/>
        <w:left w:w="0" w:type="dxa"/>
        <w:bottom w:w="0" w:type="dxa"/>
        <w:right w:w="0" w:type="dxa"/>
      </w:tblCellMar>
    </w:tblPr>
  </w:style>
  <w:style w:type="character" w:customStyle="1" w:styleId="136">
    <w:name w:val="font11"/>
    <w:basedOn w:val="30"/>
    <w:qFormat/>
    <w:uiPriority w:val="0"/>
    <w:rPr>
      <w:rFonts w:hint="eastAsia" w:ascii="宋体" w:hAnsi="宋体" w:eastAsia="宋体" w:cs="宋体"/>
      <w:color w:val="000000"/>
      <w:sz w:val="24"/>
      <w:szCs w:val="24"/>
      <w:u w:val="none"/>
    </w:rPr>
  </w:style>
  <w:style w:type="character" w:customStyle="1" w:styleId="137">
    <w:name w:val="font21"/>
    <w:basedOn w:val="30"/>
    <w:qFormat/>
    <w:uiPriority w:val="0"/>
    <w:rPr>
      <w:rFonts w:ascii="Arial" w:hAnsi="Arial" w:cs="Arial"/>
      <w:color w:val="000000"/>
      <w:sz w:val="24"/>
      <w:szCs w:val="24"/>
      <w:u w:val="none"/>
    </w:rPr>
  </w:style>
  <w:style w:type="character" w:customStyle="1" w:styleId="138">
    <w:name w:val="font31"/>
    <w:basedOn w:val="30"/>
    <w:qFormat/>
    <w:uiPriority w:val="0"/>
    <w:rPr>
      <w:rFonts w:hint="eastAsia" w:ascii="宋体" w:hAnsi="宋体" w:eastAsia="宋体" w:cs="宋体"/>
      <w:color w:val="000000"/>
      <w:sz w:val="24"/>
      <w:szCs w:val="24"/>
      <w:u w:val="none"/>
    </w:rPr>
  </w:style>
  <w:style w:type="character" w:customStyle="1" w:styleId="139">
    <w:name w:val="font41"/>
    <w:basedOn w:val="30"/>
    <w:qFormat/>
    <w:uiPriority w:val="0"/>
    <w:rPr>
      <w:rFonts w:ascii="Arial" w:hAnsi="Arial" w:cs="Arial"/>
      <w:color w:val="000000"/>
      <w:sz w:val="24"/>
      <w:szCs w:val="24"/>
      <w:u w:val="none"/>
    </w:rPr>
  </w:style>
  <w:style w:type="paragraph" w:customStyle="1" w:styleId="140">
    <w:name w:val="p0"/>
    <w:basedOn w:val="1"/>
    <w:qFormat/>
    <w:uiPriority w:val="0"/>
    <w:pPr>
      <w:widowControl/>
    </w:pPr>
    <w:rPr>
      <w:kern w:val="0"/>
      <w:szCs w:val="21"/>
    </w:rPr>
  </w:style>
  <w:style w:type="paragraph" w:customStyle="1" w:styleId="141">
    <w:name w:val="②表格内文字"/>
    <w:basedOn w:val="1"/>
    <w:qFormat/>
    <w:uiPriority w:val="0"/>
    <w:pPr>
      <w:jc w:val="center"/>
    </w:pPr>
    <w:rPr>
      <w:color w:val="00000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7.jpeg"/><Relationship Id="rId33" Type="http://schemas.openxmlformats.org/officeDocument/2006/relationships/image" Target="media/image16.jpeg"/><Relationship Id="rId32" Type="http://schemas.openxmlformats.org/officeDocument/2006/relationships/image" Target="media/image15.jpeg"/><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header" Target="header1.xml"/><Relationship Id="rId29" Type="http://schemas.openxmlformats.org/officeDocument/2006/relationships/image" Target="media/image12.jpeg"/><Relationship Id="rId28" Type="http://schemas.openxmlformats.org/officeDocument/2006/relationships/image" Target="media/image11.emf"/><Relationship Id="rId27" Type="http://schemas.openxmlformats.org/officeDocument/2006/relationships/image" Target="media/image10.png"/><Relationship Id="rId26" Type="http://schemas.openxmlformats.org/officeDocument/2006/relationships/image" Target="media/image9.emf"/><Relationship Id="rId25" Type="http://schemas.openxmlformats.org/officeDocument/2006/relationships/image" Target="media/image8.wmf"/><Relationship Id="rId24" Type="http://schemas.openxmlformats.org/officeDocument/2006/relationships/image" Target="media/image7.wmf"/><Relationship Id="rId23" Type="http://schemas.openxmlformats.org/officeDocument/2006/relationships/image" Target="media/image6.wmf"/><Relationship Id="rId22" Type="http://schemas.openxmlformats.org/officeDocument/2006/relationships/image" Target="media/image5.wmf"/><Relationship Id="rId21" Type="http://schemas.openxmlformats.org/officeDocument/2006/relationships/image" Target="media/image4.jpeg"/><Relationship Id="rId20" Type="http://schemas.openxmlformats.org/officeDocument/2006/relationships/image" Target="media/image3.wmf"/><Relationship Id="rId2" Type="http://schemas.openxmlformats.org/officeDocument/2006/relationships/settings" Target="settings.xml"/><Relationship Id="rId19" Type="http://schemas.openxmlformats.org/officeDocument/2006/relationships/image" Target="media/image2.emf"/><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68</Pages>
  <Words>35550</Words>
  <Characters>41391</Characters>
  <Lines>13</Lines>
  <Paragraphs>3</Paragraphs>
  <TotalTime>5</TotalTime>
  <ScaleCrop>false</ScaleCrop>
  <LinksUpToDate>false</LinksUpToDate>
  <CharactersWithSpaces>42044</CharactersWithSpaces>
  <Application>WPS Office_12.8.2.19315_F1E327BC-269C-435d-A152-05C5408002CA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2020-12-24T09:29:00Z</dcterms:created>
  <dc:creator>lhj</dc:creator>
  <cp:lastModifiedBy>admin</cp:lastModifiedBy>
  <cp:lastPrinted>2024-04-25T07:19:00Z</cp:lastPrinted>
  <dcterms:modified xsi:type="dcterms:W3CDTF">2025-11-20T07:31:14Z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2052-12.8.2.19315</vt:lpwstr>
  </property>
  <property fmtid="{D5CDD505-2E9C-101B-9397-08002B2CF9AE}" pid="3" name="ICV">
    <vt:lpwstr>56B493AEA0FA4F7B9D4713C4BDAE0DF5_13</vt:lpwstr>
  </property>
  <property fmtid="{D5CDD505-2E9C-101B-9397-08002B2CF9AE}" pid="4" name="KSOTemplateDocerSaveRecord">
    <vt:lpwstr>eyJoZGlkIjoiMjlmMWNiMjZlZGVkNWU0MTExMDcyYjA0MzIxZjBhMmQiLCJ1c2VySWQiOiIxNDk5NjcxMTQzIn0=</vt:lpwstr>
  </property>
</Properties>
</file>